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7CA8D1" w14:textId="65759C9F" w:rsidR="00CC4683" w:rsidRPr="00A359E1" w:rsidRDefault="00953535" w:rsidP="00953535">
      <w:pPr>
        <w:pStyle w:val="Pagedecouverture"/>
        <w:rPr>
          <w:noProof/>
        </w:rPr>
      </w:pPr>
      <w:bookmarkStart w:id="0" w:name="_Hlk223017024"/>
      <w:bookmarkStart w:id="1" w:name="LW_BM_COVERPAGE"/>
      <w:r>
        <w:rPr>
          <w:noProof/>
        </w:rPr>
        <w:pict w14:anchorId="0F02D5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97CD10B-FFCA-4081-BAFB-F75ED00CBEEA" style="width:455.25pt;height:300pt">
            <v:imagedata r:id="rId8" o:title=""/>
          </v:shape>
        </w:pict>
      </w:r>
    </w:p>
    <w:bookmarkEnd w:id="1"/>
    <w:p w14:paraId="7F395905" w14:textId="7513B91B" w:rsidR="00CC4683" w:rsidRPr="00A359E1" w:rsidRDefault="00CC4683" w:rsidP="00CC4683">
      <w:pPr>
        <w:rPr>
          <w:noProof/>
        </w:rPr>
        <w:sectPr w:rsidR="00CC4683" w:rsidRPr="00A359E1" w:rsidSect="00953535">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93713B8" w14:textId="20FC2D79" w:rsidR="00A80192" w:rsidRPr="00A80192" w:rsidRDefault="00A80192" w:rsidP="00A80192">
      <w:pPr>
        <w:pStyle w:val="Typedudocument"/>
        <w:rPr>
          <w:noProof/>
        </w:rPr>
      </w:pPr>
      <w:bookmarkStart w:id="2" w:name="_GoBack"/>
      <w:bookmarkEnd w:id="0"/>
      <w:bookmarkEnd w:id="2"/>
      <w:r w:rsidRPr="00A80192">
        <w:rPr>
          <w:noProof/>
        </w:rPr>
        <w:lastRenderedPageBreak/>
        <w:t>RAPORT AL COMISIEI CĂTRE PARLAMENTUL EUROPEAN ȘI CONSILIU</w:t>
      </w:r>
    </w:p>
    <w:p w14:paraId="14F2FB62" w14:textId="48A2A7BB" w:rsidR="00A80192" w:rsidRPr="00A80192" w:rsidRDefault="00A80192" w:rsidP="00A80192">
      <w:pPr>
        <w:pStyle w:val="Titreobjet"/>
        <w:rPr>
          <w:noProof/>
        </w:rPr>
      </w:pPr>
      <w:r w:rsidRPr="00A80192">
        <w:rPr>
          <w:noProof/>
        </w:rPr>
        <w:t>privind aplicarea Directivei 2009/52/CE din 18 iunie 2009 de stabilire a standardelor minime privind sancțiunile și măsurile la adresa angajatorilor de resortisanți din țări terțe aflați în situație de ședere ilegală</w:t>
      </w:r>
    </w:p>
    <w:p w14:paraId="73606B31" w14:textId="37B0CE9C" w:rsidR="00077A20" w:rsidRPr="00A359E1" w:rsidRDefault="00077A20" w:rsidP="00077A20">
      <w:pPr>
        <w:rPr>
          <w:noProof/>
        </w:rPr>
      </w:pPr>
    </w:p>
    <w:p w14:paraId="10631F42" w14:textId="71F2A012" w:rsidR="00077A20" w:rsidRPr="008D4701" w:rsidRDefault="00077A20" w:rsidP="00077A20">
      <w:pPr>
        <w:pStyle w:val="ListParagraph"/>
        <w:numPr>
          <w:ilvl w:val="0"/>
          <w:numId w:val="2"/>
        </w:numPr>
        <w:spacing w:after="120" w:line="276" w:lineRule="auto"/>
        <w:ind w:left="426" w:hanging="426"/>
        <w:jc w:val="both"/>
        <w:outlineLvl w:val="0"/>
        <w:rPr>
          <w:rFonts w:ascii="Times New Roman" w:eastAsia="Times New Roman" w:hAnsi="Times New Roman" w:cs="Times New Roman"/>
          <w:b/>
          <w:bCs/>
          <w:noProof/>
          <w:sz w:val="24"/>
          <w:szCs w:val="24"/>
          <w14:ligatures w14:val="none"/>
        </w:rPr>
      </w:pPr>
      <w:bookmarkStart w:id="3" w:name="_Hlk224028150"/>
      <w:r w:rsidRPr="008D4701">
        <w:rPr>
          <w:rFonts w:ascii="Times New Roman" w:hAnsi="Times New Roman"/>
          <w:b/>
          <w:noProof/>
          <w:sz w:val="24"/>
        </w:rPr>
        <w:t>Introducere</w:t>
      </w:r>
    </w:p>
    <w:p w14:paraId="45B2ED1C" w14:textId="095138E9" w:rsidR="00077A20" w:rsidRPr="00A359E1" w:rsidRDefault="00077A20" w:rsidP="00077A20">
      <w:pPr>
        <w:spacing w:line="276" w:lineRule="auto"/>
        <w:jc w:val="both"/>
        <w:rPr>
          <w:rFonts w:ascii="Times New Roman" w:hAnsi="Times New Roman" w:cs="Times New Roman"/>
          <w:noProof/>
          <w:sz w:val="24"/>
          <w:szCs w:val="24"/>
          <w14:ligatures w14:val="none"/>
        </w:rPr>
      </w:pPr>
      <w:r>
        <w:rPr>
          <w:rFonts w:ascii="Times New Roman" w:hAnsi="Times New Roman"/>
          <w:noProof/>
          <w:sz w:val="24"/>
        </w:rPr>
        <w:t>Directiva privind sancțiunile la adresa angajatorilor</w:t>
      </w:r>
      <w:r>
        <w:rPr>
          <w:rFonts w:ascii="Times New Roman" w:hAnsi="Times New Roman" w:cs="Times New Roman"/>
          <w:noProof/>
          <w:sz w:val="24"/>
          <w:szCs w:val="24"/>
          <w:vertAlign w:val="superscript"/>
        </w:rPr>
        <w:footnoteReference w:id="1"/>
      </w:r>
      <w:r>
        <w:rPr>
          <w:rFonts w:ascii="Times New Roman" w:hAnsi="Times New Roman"/>
          <w:noProof/>
          <w:sz w:val="24"/>
        </w:rPr>
        <w:t xml:space="preserve"> („directiva”) stabilește standarde minime pe care statele membre trebuie să le respecte în vederea identificării și sancționării angajatorilor de lucrători migranți aflați în situație ilegală</w:t>
      </w:r>
      <w:r>
        <w:rPr>
          <w:rFonts w:ascii="Times New Roman" w:hAnsi="Times New Roman" w:cs="Times New Roman"/>
          <w:noProof/>
          <w:sz w:val="24"/>
          <w:szCs w:val="24"/>
          <w:vertAlign w:val="superscript"/>
        </w:rPr>
        <w:footnoteReference w:id="2"/>
      </w:r>
      <w:r>
        <w:rPr>
          <w:rFonts w:ascii="Times New Roman" w:hAnsi="Times New Roman"/>
          <w:noProof/>
          <w:sz w:val="24"/>
        </w:rPr>
        <w:t xml:space="preserve">, a efectuării de inspecții în sectoarele cu risc ridicat în materie de angajare ilegală și a asigurării unor garanții pentru lucrătorii respectivi, inclusiv a unor mecanisme de depunere a plângerilor și recuperare a plăților restante. În conformitate cu domeniul de aplicare al directivei, prezentul raport se axează pe angajarea ilegală a resortisanților din țări terțe care nu au drept de ședere în UE. </w:t>
      </w:r>
    </w:p>
    <w:p w14:paraId="7C3F259B" w14:textId="551D7F97" w:rsidR="00077A20" w:rsidRPr="00A359E1" w:rsidRDefault="00077A20" w:rsidP="00077A20">
      <w:pPr>
        <w:spacing w:line="276" w:lineRule="auto"/>
        <w:jc w:val="both"/>
        <w:rPr>
          <w:rFonts w:ascii="Times New Roman" w:eastAsia="Times New Roman" w:hAnsi="Times New Roman" w:cs="Times New Roman"/>
          <w:noProof/>
          <w:sz w:val="24"/>
          <w:szCs w:val="24"/>
          <w14:ligatures w14:val="none"/>
        </w:rPr>
      </w:pPr>
      <w:r>
        <w:rPr>
          <w:rFonts w:ascii="Times New Roman" w:hAnsi="Times New Roman"/>
          <w:noProof/>
          <w:sz w:val="24"/>
        </w:rPr>
        <w:t xml:space="preserve">Directiva contribuie la abordarea cuprinzătoare a UE în ceea ce privește gestionarea migrației, prin prevenirea și descurajarea angajării în UE a lucrătorilor resortisanți ai țărilor terțe care nu au statutul juridic necesar, unul dintre principalii factori determinanți ai migrației ilegale, reducând astfel atractivitatea migrației ilegale în Uniune. Strategia europeană de gestionare a azilului și a migrației, adoptată în ianuarie </w:t>
      </w:r>
      <w:r w:rsidRPr="008D4701">
        <w:rPr>
          <w:rFonts w:ascii="Times New Roman" w:hAnsi="Times New Roman"/>
          <w:noProof/>
          <w:sz w:val="24"/>
        </w:rPr>
        <w:t>2026</w:t>
      </w:r>
      <w:r>
        <w:rPr>
          <w:rFonts w:ascii="Times New Roman" w:hAnsi="Times New Roman" w:cs="Times New Roman"/>
          <w:noProof/>
          <w:sz w:val="24"/>
          <w:szCs w:val="24"/>
          <w:vertAlign w:val="superscript"/>
        </w:rPr>
        <w:footnoteReference w:id="3"/>
      </w:r>
      <w:r>
        <w:rPr>
          <w:rFonts w:ascii="Times New Roman" w:hAnsi="Times New Roman"/>
          <w:noProof/>
          <w:sz w:val="24"/>
        </w:rPr>
        <w:t>, subliniază importanța promovării mobilității forței de muncă și a intensificării eforturilor de combatere a angajării ilegale și a abuzurilor împotriva lucrătorilor resortisanți ai țărilor terțe în UE, în special în sectoarele mai expuse acestor riscuri. Mai multe state membre au prezentat măsuri în strategiile lor naționale de gestionare a azilului și a migrației pentru a combate exploatarea și a reduce angajarea ilegală în conformitate cu directiva</w:t>
      </w:r>
      <w:r>
        <w:rPr>
          <w:rFonts w:ascii="Times New Roman" w:hAnsi="Times New Roman" w:cs="Times New Roman"/>
          <w:noProof/>
          <w:sz w:val="24"/>
          <w:szCs w:val="24"/>
          <w:vertAlign w:val="superscript"/>
        </w:rPr>
        <w:footnoteReference w:id="4"/>
      </w:r>
      <w:r>
        <w:rPr>
          <w:rFonts w:ascii="Times New Roman" w:hAnsi="Times New Roman"/>
          <w:noProof/>
          <w:sz w:val="24"/>
        </w:rPr>
        <w:t xml:space="preserve">. </w:t>
      </w:r>
    </w:p>
    <w:p w14:paraId="1D92B4BB" w14:textId="62E052D4" w:rsidR="00077A20" w:rsidRPr="00A359E1" w:rsidRDefault="00077A20" w:rsidP="00077A20">
      <w:pPr>
        <w:spacing w:line="276" w:lineRule="auto"/>
        <w:jc w:val="both"/>
        <w:rPr>
          <w:rFonts w:ascii="Times New Roman" w:hAnsi="Times New Roman" w:cs="Times New Roman"/>
          <w:noProof/>
          <w:sz w:val="24"/>
          <w:szCs w:val="24"/>
          <w14:ligatures w14:val="none"/>
        </w:rPr>
      </w:pPr>
      <w:r>
        <w:rPr>
          <w:rFonts w:ascii="Times New Roman" w:hAnsi="Times New Roman"/>
          <w:noProof/>
          <w:sz w:val="24"/>
        </w:rPr>
        <w:t>Angajarea ilegală are un impact negativ și asupra economiei UE, cauzând pierderi pentru finanțele publice, reducând în mod nejustificat salariile, înrăutățind condițiile de muncă, creând o concurență neloială între actorii economici și întreprinderi și sporind în mod semnificativ riscurile de exploatare a lucrătorilor. Directiva contribuie la sporirea competitivității economiei UE și la asigurarea unor condiții de concurență echitabile pentru angajatori și lucrători pe piața europeană a forței de muncă, creând premisele pentru colectarea veniturilor fiscale și a contribuțiilor de asigurări sociale legitime, plata salariilor restante și condiții de muncă echitabile. Directiva contribuie, de asemenea, la combaterea traficului de persoane și la Foaia de parcurs privind locurile de muncă de calitate</w:t>
      </w:r>
      <w:r>
        <w:rPr>
          <w:rFonts w:ascii="Times New Roman" w:hAnsi="Times New Roman" w:cs="Times New Roman"/>
          <w:noProof/>
          <w:sz w:val="24"/>
          <w:szCs w:val="24"/>
          <w:vertAlign w:val="superscript"/>
        </w:rPr>
        <w:footnoteReference w:id="5"/>
      </w:r>
      <w:r>
        <w:rPr>
          <w:rFonts w:ascii="Times New Roman" w:hAnsi="Times New Roman"/>
          <w:noProof/>
          <w:sz w:val="24"/>
        </w:rPr>
        <w:t xml:space="preserve"> prin îmbunătățirea detectării și prevenirii exploatării prin muncă, în special pentru lucrătorii din afara UE. </w:t>
      </w:r>
    </w:p>
    <w:p w14:paraId="202C2282" w14:textId="76232D18" w:rsidR="00077A20" w:rsidRPr="00A359E1" w:rsidRDefault="00077A20" w:rsidP="00077A20">
      <w:pPr>
        <w:spacing w:line="276" w:lineRule="auto"/>
        <w:jc w:val="both"/>
        <w:rPr>
          <w:rFonts w:ascii="Times New Roman" w:hAnsi="Times New Roman" w:cs="Times New Roman"/>
          <w:noProof/>
          <w:sz w:val="24"/>
          <w:szCs w:val="24"/>
          <w14:ligatures w14:val="none"/>
        </w:rPr>
      </w:pPr>
      <w:r>
        <w:rPr>
          <w:rFonts w:ascii="Times New Roman" w:hAnsi="Times New Roman"/>
          <w:noProof/>
          <w:sz w:val="24"/>
        </w:rPr>
        <w:t>Deși este în continuare dificil de măsurat amploarea angajării ilegale a lucrătorilor migranți aflați în situație ilegală în UE</w:t>
      </w:r>
      <w:r>
        <w:rPr>
          <w:rFonts w:ascii="Times New Roman" w:hAnsi="Times New Roman" w:cs="Times New Roman"/>
          <w:noProof/>
          <w:sz w:val="24"/>
          <w:szCs w:val="24"/>
          <w:vertAlign w:val="superscript"/>
        </w:rPr>
        <w:footnoteReference w:id="6"/>
      </w:r>
      <w:r>
        <w:rPr>
          <w:rFonts w:ascii="Times New Roman" w:hAnsi="Times New Roman"/>
          <w:noProof/>
          <w:sz w:val="24"/>
        </w:rPr>
        <w:t xml:space="preserve">, datele Eurostat oferă câteva indicii în acest sens. Numărul lucrătorilor migranți aflați în situație ilegală identificați în UE a crescut de la </w:t>
      </w:r>
      <w:r w:rsidRPr="008D4701">
        <w:rPr>
          <w:rFonts w:ascii="Times New Roman" w:hAnsi="Times New Roman"/>
          <w:noProof/>
          <w:sz w:val="24"/>
        </w:rPr>
        <w:t>679</w:t>
      </w:r>
      <w:r>
        <w:rPr>
          <w:rFonts w:ascii="Times New Roman" w:hAnsi="Times New Roman"/>
          <w:noProof/>
          <w:sz w:val="24"/>
        </w:rPr>
        <w:t> </w:t>
      </w:r>
      <w:r w:rsidRPr="008D4701">
        <w:rPr>
          <w:rFonts w:ascii="Times New Roman" w:hAnsi="Times New Roman"/>
          <w:noProof/>
          <w:sz w:val="24"/>
        </w:rPr>
        <w:t>730</w:t>
      </w:r>
      <w:r>
        <w:rPr>
          <w:rFonts w:ascii="Times New Roman" w:hAnsi="Times New Roman"/>
          <w:noProof/>
          <w:sz w:val="24"/>
        </w:rPr>
        <w:t xml:space="preserve"> de persoane în </w:t>
      </w:r>
      <w:r w:rsidRPr="008D4701">
        <w:rPr>
          <w:rFonts w:ascii="Times New Roman" w:hAnsi="Times New Roman"/>
          <w:noProof/>
          <w:sz w:val="24"/>
        </w:rPr>
        <w:t>2021</w:t>
      </w:r>
      <w:r>
        <w:rPr>
          <w:rFonts w:ascii="Times New Roman" w:hAnsi="Times New Roman"/>
          <w:noProof/>
          <w:sz w:val="24"/>
        </w:rPr>
        <w:t xml:space="preserve"> la </w:t>
      </w:r>
      <w:r w:rsidRPr="008D4701">
        <w:rPr>
          <w:rFonts w:ascii="Times New Roman" w:hAnsi="Times New Roman"/>
          <w:noProof/>
          <w:sz w:val="24"/>
        </w:rPr>
        <w:t>1</w:t>
      </w:r>
      <w:r>
        <w:rPr>
          <w:rFonts w:ascii="Times New Roman" w:hAnsi="Times New Roman"/>
          <w:noProof/>
          <w:sz w:val="24"/>
        </w:rPr>
        <w:t> </w:t>
      </w:r>
      <w:r w:rsidRPr="008D4701">
        <w:rPr>
          <w:rFonts w:ascii="Times New Roman" w:hAnsi="Times New Roman"/>
          <w:noProof/>
          <w:sz w:val="24"/>
        </w:rPr>
        <w:t>265</w:t>
      </w:r>
      <w:r>
        <w:rPr>
          <w:rFonts w:ascii="Times New Roman" w:hAnsi="Times New Roman"/>
          <w:noProof/>
          <w:sz w:val="24"/>
        </w:rPr>
        <w:t> </w:t>
      </w:r>
      <w:r w:rsidRPr="008D4701">
        <w:rPr>
          <w:rFonts w:ascii="Times New Roman" w:hAnsi="Times New Roman"/>
          <w:noProof/>
          <w:sz w:val="24"/>
        </w:rPr>
        <w:t>350</w:t>
      </w:r>
      <w:r>
        <w:rPr>
          <w:rFonts w:ascii="Times New Roman" w:hAnsi="Times New Roman"/>
          <w:noProof/>
          <w:sz w:val="24"/>
        </w:rPr>
        <w:t xml:space="preserve"> în </w:t>
      </w:r>
      <w:r w:rsidRPr="008D4701">
        <w:rPr>
          <w:rFonts w:ascii="Times New Roman" w:hAnsi="Times New Roman"/>
          <w:noProof/>
          <w:sz w:val="24"/>
        </w:rPr>
        <w:t>2023</w:t>
      </w:r>
      <w:r>
        <w:rPr>
          <w:rFonts w:ascii="Times New Roman" w:hAnsi="Times New Roman"/>
          <w:noProof/>
          <w:sz w:val="24"/>
        </w:rPr>
        <w:t xml:space="preserve">, estimarea provizorie pentru </w:t>
      </w:r>
      <w:r w:rsidRPr="008D4701">
        <w:rPr>
          <w:rFonts w:ascii="Times New Roman" w:hAnsi="Times New Roman"/>
          <w:noProof/>
          <w:sz w:val="24"/>
        </w:rPr>
        <w:t>2024</w:t>
      </w:r>
      <w:r>
        <w:rPr>
          <w:rFonts w:ascii="Times New Roman" w:hAnsi="Times New Roman"/>
          <w:noProof/>
          <w:sz w:val="24"/>
        </w:rPr>
        <w:t xml:space="preserve"> fiind de </w:t>
      </w:r>
      <w:r w:rsidRPr="008D4701">
        <w:rPr>
          <w:rFonts w:ascii="Times New Roman" w:hAnsi="Times New Roman"/>
          <w:noProof/>
          <w:sz w:val="24"/>
        </w:rPr>
        <w:t>918</w:t>
      </w:r>
      <w:r>
        <w:rPr>
          <w:rFonts w:ascii="Times New Roman" w:hAnsi="Times New Roman"/>
          <w:noProof/>
          <w:sz w:val="24"/>
        </w:rPr>
        <w:t> </w:t>
      </w:r>
      <w:r w:rsidRPr="008D4701">
        <w:rPr>
          <w:rFonts w:ascii="Times New Roman" w:hAnsi="Times New Roman"/>
          <w:noProof/>
          <w:sz w:val="24"/>
        </w:rPr>
        <w:t>925</w:t>
      </w:r>
      <w:r>
        <w:rPr>
          <w:rFonts w:ascii="Times New Roman" w:hAnsi="Times New Roman"/>
          <w:noProof/>
          <w:sz w:val="24"/>
        </w:rPr>
        <w:t xml:space="preserve"> de persoane. </w:t>
      </w:r>
    </w:p>
    <w:p w14:paraId="58348E05" w14:textId="362944F1" w:rsidR="00077A20" w:rsidRPr="00A359E1" w:rsidRDefault="00E0626E" w:rsidP="00077A20">
      <w:pPr>
        <w:spacing w:line="276" w:lineRule="auto"/>
        <w:jc w:val="both"/>
        <w:rPr>
          <w:rFonts w:ascii="Times New Roman" w:hAnsi="Times New Roman" w:cs="Times New Roman"/>
          <w:noProof/>
          <w:sz w:val="24"/>
          <w:szCs w:val="24"/>
          <w14:ligatures w14:val="none"/>
        </w:rPr>
      </w:pPr>
      <w:r>
        <w:rPr>
          <w:rFonts w:ascii="Times New Roman" w:hAnsi="Times New Roman"/>
          <w:noProof/>
          <w:sz w:val="24"/>
        </w:rPr>
        <w:t xml:space="preserve">Raportul anterior privind punerea în aplicare a directivei, adoptat în </w:t>
      </w:r>
      <w:r w:rsidRPr="008D4701">
        <w:rPr>
          <w:rFonts w:ascii="Times New Roman" w:hAnsi="Times New Roman"/>
          <w:noProof/>
          <w:sz w:val="24"/>
        </w:rPr>
        <w:t>2021</w:t>
      </w:r>
      <w:r>
        <w:rPr>
          <w:rFonts w:ascii="Times New Roman" w:hAnsi="Times New Roman" w:cs="Times New Roman"/>
          <w:noProof/>
          <w:sz w:val="24"/>
          <w:szCs w:val="24"/>
          <w:vertAlign w:val="superscript"/>
        </w:rPr>
        <w:footnoteReference w:id="7"/>
      </w:r>
      <w:r>
        <w:rPr>
          <w:rFonts w:ascii="Times New Roman" w:hAnsi="Times New Roman"/>
          <w:noProof/>
          <w:sz w:val="24"/>
        </w:rPr>
        <w:t>, a susținut necesitatea unei aplicări mai eficace a principalelor dispoziții privind inspecțiile, sancțiunile și măsurile de protecție și a creat premisele pentru abordarea lacunelor în materie de date. De atunci, Comisia și-a intensificat eforturile privind punerea în aplicare și asigurarea respectării directivei, în special prin promovarea învățării reciproce și a schimbului de bune practici în cadrul Grupului de experți în materie de migrație ilegală, inclusiv în ceea ce privește metodologiile de inspecție, obiectivele naționale privind numărul anual de inspecții, maximizarea strategiilor reușite de gestionare a riscurilor în cadrul inspecțiilor, descurajarea sancțiunilor financiare și prioritizarea strategică a asigurării respectării legislației în sectoarele expuse unui risc ridicat în materie de angajare ilegală. În cadrul grupului de experți și al Platformei privind migrația forței de muncă</w:t>
      </w:r>
      <w:r>
        <w:rPr>
          <w:rStyle w:val="FootnoteReference"/>
          <w:rFonts w:ascii="Times New Roman" w:hAnsi="Times New Roman" w:cs="Times New Roman"/>
          <w:noProof/>
          <w:sz w:val="24"/>
          <w:szCs w:val="24"/>
        </w:rPr>
        <w:footnoteReference w:id="8"/>
      </w:r>
      <w:r>
        <w:rPr>
          <w:rFonts w:ascii="Times New Roman" w:hAnsi="Times New Roman"/>
          <w:noProof/>
          <w:sz w:val="24"/>
        </w:rPr>
        <w:t xml:space="preserve">, Comisia a facilitat, de asemenea, cooperarea cu autoritățile naționale din domeniul muncii și al imigrației, cu partenerii sociali, cu societatea civilă și cu organizațiile internaționale, inclusiv pentru a îmbunătăți accesul efectiv al lucrătorilor resortisanți ai țărilor terțe la drepturile care le revin. </w:t>
      </w:r>
    </w:p>
    <w:p w14:paraId="733949E1" w14:textId="328649C7" w:rsidR="00077A20" w:rsidRPr="00A359E1" w:rsidRDefault="006B2949" w:rsidP="00077A20">
      <w:pPr>
        <w:spacing w:line="276" w:lineRule="auto"/>
        <w:jc w:val="both"/>
        <w:rPr>
          <w:rFonts w:ascii="Times New Roman" w:hAnsi="Times New Roman" w:cs="Times New Roman"/>
          <w:noProof/>
          <w:sz w:val="24"/>
          <w:szCs w:val="24"/>
          <w14:ligatures w14:val="none"/>
        </w:rPr>
      </w:pPr>
      <w:r>
        <w:rPr>
          <w:rFonts w:ascii="Times New Roman" w:hAnsi="Times New Roman"/>
          <w:noProof/>
          <w:sz w:val="24"/>
        </w:rPr>
        <w:t xml:space="preserve">În </w:t>
      </w:r>
      <w:r w:rsidRPr="008D4701">
        <w:rPr>
          <w:rFonts w:ascii="Times New Roman" w:hAnsi="Times New Roman"/>
          <w:noProof/>
          <w:sz w:val="24"/>
        </w:rPr>
        <w:t>2022</w:t>
      </w:r>
      <w:r>
        <w:rPr>
          <w:rFonts w:ascii="Times New Roman" w:hAnsi="Times New Roman"/>
          <w:noProof/>
          <w:sz w:val="24"/>
        </w:rPr>
        <w:t>, Comisia a creat un instrument informatic și o bază de date specifice în cadrul sistemului de schimb de informații al Rețelei europene de migrație, pentru a simplifica și a facilita raportarea de către statele membre, și a oferit programe de formare specifice. Acest lucru a adus îmbunătățiri semnificative, cum ar fi o colectare mai promptă, mai eficace și mai armonizată a datelor și un nou registru de date.</w:t>
      </w:r>
    </w:p>
    <w:p w14:paraId="77D42470" w14:textId="620F7872" w:rsidR="00077A20" w:rsidRPr="00A359E1" w:rsidRDefault="00077A20" w:rsidP="00077A20">
      <w:pPr>
        <w:spacing w:line="276" w:lineRule="auto"/>
        <w:jc w:val="both"/>
        <w:rPr>
          <w:rFonts w:ascii="Times New Roman" w:hAnsi="Times New Roman" w:cs="Times New Roman"/>
          <w:noProof/>
          <w:sz w:val="24"/>
          <w:szCs w:val="24"/>
          <w14:ligatures w14:val="none"/>
        </w:rPr>
      </w:pPr>
      <w:r>
        <w:rPr>
          <w:rFonts w:ascii="Times New Roman" w:hAnsi="Times New Roman"/>
          <w:noProof/>
          <w:sz w:val="24"/>
        </w:rPr>
        <w:t xml:space="preserve">Comisia a promovat cooperarea cu Platforma multidisciplinară europeană împotriva amenințărilor infracționale, în special în ceea ce privește acțiunile de combatere a exploatării prin muncă, inclusiv a traficului de persoane. În unele state membre au fost aplicate abordări de cooperare multidisciplinară și multiinstituțională în ceea ce privește combaterea exploatării prin muncă, bazate pe colaborarea dintre inspectorii de muncă, poliție, autoritățile fiscale, organizațiile neguvernamentale (ONG-uri) și sindicate. </w:t>
      </w:r>
    </w:p>
    <w:p w14:paraId="2086C584" w14:textId="00806362" w:rsidR="00077A20" w:rsidRPr="00A359E1" w:rsidRDefault="00077A20" w:rsidP="00077A20">
      <w:pPr>
        <w:spacing w:line="276" w:lineRule="auto"/>
        <w:jc w:val="both"/>
        <w:rPr>
          <w:rFonts w:ascii="Times New Roman" w:hAnsi="Times New Roman" w:cs="Times New Roman"/>
          <w:noProof/>
          <w:sz w:val="24"/>
          <w:szCs w:val="24"/>
          <w14:ligatures w14:val="none"/>
        </w:rPr>
      </w:pPr>
      <w:r>
        <w:rPr>
          <w:rFonts w:ascii="Times New Roman" w:hAnsi="Times New Roman"/>
          <w:noProof/>
          <w:sz w:val="24"/>
        </w:rPr>
        <w:t xml:space="preserve">Comisia a sprijinit statele membre, inclusiv prin finanțare din partea UE, în desfășurarea de campanii de informare, vizând în mod specific angajatorii care își desfășoară activitatea în sectoarele cele mai expuse riscului în materie de angajare ilegală și lucrătorii aflați în situație de ședere ilegală. În plus, Autoritatea Europeană a Muncii (ELA) a desfășurat campanii de informare la nivelul UE pentru sectorul ospitalității, al construcțiilor și al transporturilor, precum și în domeniul muncii sezoniere. </w:t>
      </w:r>
    </w:p>
    <w:p w14:paraId="4D1A21DF" w14:textId="34722C45" w:rsidR="00077A20" w:rsidRPr="00A359E1" w:rsidRDefault="00077A20" w:rsidP="00077A20">
      <w:pPr>
        <w:spacing w:line="276" w:lineRule="auto"/>
        <w:jc w:val="both"/>
        <w:rPr>
          <w:rFonts w:ascii="Times New Roman" w:eastAsia="Times New Roman" w:hAnsi="Times New Roman" w:cs="Times New Roman"/>
          <w:noProof/>
          <w:sz w:val="24"/>
          <w:szCs w:val="24"/>
          <w14:ligatures w14:val="none"/>
        </w:rPr>
      </w:pPr>
      <w:r>
        <w:rPr>
          <w:rFonts w:ascii="Times New Roman" w:hAnsi="Times New Roman"/>
          <w:noProof/>
          <w:sz w:val="24"/>
        </w:rPr>
        <w:t xml:space="preserve">Prezentul raport, care acoperă perioada </w:t>
      </w:r>
      <w:r w:rsidRPr="008D4701">
        <w:rPr>
          <w:rFonts w:ascii="Times New Roman" w:hAnsi="Times New Roman"/>
          <w:noProof/>
          <w:sz w:val="24"/>
        </w:rPr>
        <w:t>2021</w:t>
      </w:r>
      <w:r>
        <w:rPr>
          <w:rFonts w:ascii="Times New Roman" w:hAnsi="Times New Roman"/>
          <w:noProof/>
          <w:sz w:val="24"/>
        </w:rPr>
        <w:t>-</w:t>
      </w:r>
      <w:r w:rsidRPr="008D4701">
        <w:rPr>
          <w:rFonts w:ascii="Times New Roman" w:hAnsi="Times New Roman"/>
          <w:noProof/>
          <w:sz w:val="24"/>
        </w:rPr>
        <w:t>2024</w:t>
      </w:r>
      <w:r>
        <w:rPr>
          <w:rFonts w:ascii="Times New Roman" w:hAnsi="Times New Roman" w:cs="Times New Roman"/>
          <w:noProof/>
          <w:sz w:val="24"/>
          <w:szCs w:val="24"/>
          <w:vertAlign w:val="superscript"/>
        </w:rPr>
        <w:footnoteReference w:id="9"/>
      </w:r>
      <w:r>
        <w:rPr>
          <w:rFonts w:ascii="Times New Roman" w:hAnsi="Times New Roman"/>
          <w:noProof/>
          <w:sz w:val="24"/>
        </w:rPr>
        <w:t xml:space="preserve">, se bazează pe obligația Comisiei de a raporta periodic Parlamentului European și Consiliului cu privire la punerea în aplicare a directivei și, după caz, de a propune modificări. </w:t>
      </w:r>
      <w:r>
        <w:rPr>
          <w:rFonts w:ascii="Times New Roman" w:hAnsi="Times New Roman"/>
          <w:noProof/>
          <w:color w:val="000000"/>
          <w:sz w:val="24"/>
        </w:rPr>
        <w:t xml:space="preserve">Raportul este prezentat </w:t>
      </w:r>
      <w:r>
        <w:rPr>
          <w:rFonts w:ascii="Times New Roman" w:hAnsi="Times New Roman"/>
          <w:noProof/>
          <w:sz w:val="24"/>
        </w:rPr>
        <w:t>în paralel cu raportul referitor la punerea în aplicare a Directivei privind lucrătorii sezonieri</w:t>
      </w:r>
      <w:r>
        <w:rPr>
          <w:rFonts w:ascii="Times New Roman" w:hAnsi="Times New Roman" w:cs="Times New Roman"/>
          <w:noProof/>
          <w:sz w:val="24"/>
          <w:szCs w:val="24"/>
          <w:vertAlign w:val="superscript"/>
        </w:rPr>
        <w:footnoteReference w:id="10"/>
      </w:r>
      <w:r>
        <w:rPr>
          <w:rFonts w:ascii="Times New Roman" w:hAnsi="Times New Roman"/>
          <w:noProof/>
          <w:sz w:val="24"/>
        </w:rPr>
        <w:t xml:space="preserve"> și va contribui, de asemenea, la elaborarea viitoarei strategii privind combaterea traficului de persoane în </w:t>
      </w:r>
      <w:r w:rsidRPr="008D4701">
        <w:rPr>
          <w:rFonts w:ascii="Times New Roman" w:hAnsi="Times New Roman"/>
          <w:noProof/>
          <w:sz w:val="24"/>
        </w:rPr>
        <w:t>2026</w:t>
      </w:r>
      <w:r>
        <w:rPr>
          <w:rFonts w:ascii="Times New Roman" w:hAnsi="Times New Roman"/>
          <w:noProof/>
          <w:sz w:val="24"/>
        </w:rPr>
        <w:t>.</w:t>
      </w:r>
    </w:p>
    <w:p w14:paraId="7E9256D4" w14:textId="461D8E3C" w:rsidR="00077A20" w:rsidRPr="00A359E1" w:rsidRDefault="00077A20" w:rsidP="00077A20">
      <w:pPr>
        <w:jc w:val="both"/>
        <w:rPr>
          <w:noProof/>
          <w:sz w:val="24"/>
          <w:szCs w:val="24"/>
          <w14:ligatures w14:val="none"/>
        </w:rPr>
      </w:pPr>
      <w:r>
        <w:rPr>
          <w:rFonts w:ascii="Times New Roman" w:hAnsi="Times New Roman"/>
          <w:noProof/>
          <w:sz w:val="24"/>
        </w:rPr>
        <w:t xml:space="preserve">Raportul analizează modul în care au fost planificate și efectuate inspecțiile, rezultatele acestora, sancțiunile financiare și penale și alte măsuri administrative luate împotriva angajatorilor neconformi începând din </w:t>
      </w:r>
      <w:r w:rsidRPr="008D4701">
        <w:rPr>
          <w:rFonts w:ascii="Times New Roman" w:hAnsi="Times New Roman"/>
          <w:noProof/>
          <w:sz w:val="24"/>
        </w:rPr>
        <w:t>2021</w:t>
      </w:r>
      <w:r>
        <w:rPr>
          <w:rFonts w:ascii="Times New Roman" w:hAnsi="Times New Roman"/>
          <w:noProof/>
          <w:sz w:val="24"/>
        </w:rPr>
        <w:t>, precum și punerea în aplicare a măsurilor de protecție a lucrătorilor migranți aflați în situație ilegală, prezentând apoi măsuri concrete de monitorizare pentru soluționarea principalelor probleme identificate.</w:t>
      </w:r>
    </w:p>
    <w:p w14:paraId="4F19F5A8" w14:textId="74554B41" w:rsidR="00077A20" w:rsidRPr="008D4701" w:rsidRDefault="00077A20" w:rsidP="00077A20">
      <w:pPr>
        <w:pStyle w:val="ListParagraph"/>
        <w:numPr>
          <w:ilvl w:val="0"/>
          <w:numId w:val="2"/>
        </w:numPr>
        <w:spacing w:after="120" w:line="276" w:lineRule="auto"/>
        <w:jc w:val="both"/>
        <w:outlineLvl w:val="0"/>
        <w:rPr>
          <w:rFonts w:ascii="Times New Roman" w:eastAsia="Times New Roman" w:hAnsi="Times New Roman" w:cs="Times New Roman"/>
          <w:b/>
          <w:bCs/>
          <w:noProof/>
          <w:sz w:val="24"/>
          <w:szCs w:val="24"/>
          <w14:ligatures w14:val="none"/>
        </w:rPr>
      </w:pPr>
      <w:bookmarkStart w:id="4" w:name="_Toc210315950"/>
      <w:bookmarkStart w:id="5" w:name="_Toc215743780"/>
      <w:r w:rsidRPr="008D4701">
        <w:rPr>
          <w:rFonts w:ascii="Times New Roman" w:hAnsi="Times New Roman"/>
          <w:b/>
          <w:noProof/>
          <w:sz w:val="24"/>
        </w:rPr>
        <w:t>Modul în care este aplicată directiva în cele 25 de state membre vizate</w:t>
      </w:r>
      <w:bookmarkEnd w:id="4"/>
      <w:bookmarkEnd w:id="5"/>
      <w:r w:rsidRPr="008D4701">
        <w:rPr>
          <w:rStyle w:val="FootnoteReference"/>
          <w:rFonts w:ascii="Times New Roman" w:eastAsia="Times New Roman" w:hAnsi="Times New Roman" w:cs="Times New Roman"/>
          <w:b/>
          <w:bCs/>
          <w:noProof/>
          <w:sz w:val="24"/>
          <w:szCs w:val="24"/>
        </w:rPr>
        <w:footnoteReference w:id="11"/>
      </w:r>
    </w:p>
    <w:p w14:paraId="31F20493" w14:textId="1301E52A" w:rsidR="00077A20" w:rsidRPr="008D4701" w:rsidRDefault="00077A20" w:rsidP="00077A20">
      <w:pPr>
        <w:numPr>
          <w:ilvl w:val="1"/>
          <w:numId w:val="0"/>
        </w:numPr>
        <w:spacing w:after="120" w:line="276" w:lineRule="auto"/>
        <w:ind w:left="792" w:hanging="432"/>
        <w:contextualSpacing/>
        <w:jc w:val="both"/>
        <w:outlineLvl w:val="1"/>
        <w:rPr>
          <w:rFonts w:ascii="Times New Roman" w:eastAsia="Times New Roman" w:hAnsi="Times New Roman" w:cs="Times New Roman"/>
          <w:b/>
          <w:bCs/>
          <w:noProof/>
          <w:sz w:val="24"/>
          <w:szCs w:val="24"/>
          <w14:ligatures w14:val="none"/>
        </w:rPr>
      </w:pPr>
      <w:bookmarkStart w:id="6" w:name="_Toc210315951"/>
      <w:bookmarkStart w:id="7" w:name="_Toc215743781"/>
      <w:bookmarkStart w:id="8" w:name="_Hlk191478975"/>
      <w:r w:rsidRPr="008D4701">
        <w:rPr>
          <w:rFonts w:ascii="Times New Roman" w:hAnsi="Times New Roman"/>
          <w:b/>
          <w:noProof/>
          <w:sz w:val="24"/>
        </w:rPr>
        <w:t>2.1 Inspecții</w:t>
      </w:r>
      <w:bookmarkEnd w:id="6"/>
      <w:bookmarkEnd w:id="7"/>
    </w:p>
    <w:p w14:paraId="2CA64D60" w14:textId="0E1E65BF" w:rsidR="00077A20" w:rsidRPr="00A359E1" w:rsidRDefault="00077A20" w:rsidP="00077A20">
      <w:pPr>
        <w:spacing w:after="120" w:line="276" w:lineRule="auto"/>
        <w:jc w:val="both"/>
        <w:rPr>
          <w:rFonts w:ascii="Times New Roman" w:eastAsia="Times New Roman" w:hAnsi="Times New Roman" w:cs="Times New Roman"/>
          <w:noProof/>
          <w:sz w:val="24"/>
          <w:szCs w:val="24"/>
          <w14:ligatures w14:val="none"/>
        </w:rPr>
      </w:pPr>
      <w:r>
        <w:rPr>
          <w:rFonts w:ascii="Times New Roman" w:hAnsi="Times New Roman"/>
          <w:noProof/>
          <w:sz w:val="24"/>
        </w:rPr>
        <w:t xml:space="preserve">Inspecțiile reprezintă principalul instrument de identificare a angajatorilor care angajează lucrători migranți aflați în situație ilegală și de dezvăluire a cazurilor de exploatare și trafic de persoane. Acestea permit autorităților să tragă la răspundere angajatorii și să aplice sancțiuni, precum și să ofere protecție lucrătorilor care se confruntă cu condiții de muncă extrem de abuzive.  </w:t>
      </w:r>
    </w:p>
    <w:p w14:paraId="02F32AC7" w14:textId="225CDDC2" w:rsidR="00077A20" w:rsidRPr="008D4701" w:rsidRDefault="00077A20" w:rsidP="00077A20">
      <w:pPr>
        <w:pStyle w:val="ListParagraph"/>
        <w:numPr>
          <w:ilvl w:val="0"/>
          <w:numId w:val="3"/>
        </w:numPr>
        <w:spacing w:after="120" w:line="276" w:lineRule="auto"/>
        <w:jc w:val="both"/>
        <w:outlineLvl w:val="2"/>
        <w:rPr>
          <w:rFonts w:ascii="Times New Roman" w:eastAsia="Times New Roman" w:hAnsi="Times New Roman" w:cs="Times New Roman"/>
          <w:b/>
          <w:bCs/>
          <w:noProof/>
          <w:sz w:val="24"/>
          <w:szCs w:val="24"/>
          <w14:ligatures w14:val="none"/>
        </w:rPr>
      </w:pPr>
      <w:bookmarkStart w:id="9" w:name="_Toc215743782"/>
      <w:bookmarkStart w:id="10" w:name="_Toc210315952"/>
      <w:r w:rsidRPr="008D4701">
        <w:rPr>
          <w:rFonts w:ascii="Times New Roman" w:hAnsi="Times New Roman"/>
          <w:b/>
          <w:noProof/>
          <w:sz w:val="24"/>
        </w:rPr>
        <w:t>Gestionarea riscurilor</w:t>
      </w:r>
      <w:bookmarkEnd w:id="9"/>
      <w:r w:rsidRPr="008D4701">
        <w:rPr>
          <w:rFonts w:ascii="Times New Roman" w:hAnsi="Times New Roman"/>
          <w:b/>
          <w:noProof/>
          <w:sz w:val="24"/>
        </w:rPr>
        <w:t xml:space="preserve"> </w:t>
      </w:r>
      <w:bookmarkEnd w:id="10"/>
    </w:p>
    <w:p w14:paraId="45BCD209" w14:textId="1735B8F8"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În temeiul articolului </w:t>
      </w:r>
      <w:r w:rsidRPr="008D4701">
        <w:rPr>
          <w:rFonts w:ascii="Times New Roman" w:hAnsi="Times New Roman"/>
          <w:noProof/>
          <w:color w:val="000000" w:themeColor="text1"/>
          <w:sz w:val="24"/>
        </w:rPr>
        <w:t>14</w:t>
      </w:r>
      <w:r>
        <w:rPr>
          <w:rFonts w:ascii="Times New Roman" w:hAnsi="Times New Roman"/>
          <w:noProof/>
          <w:color w:val="000000" w:themeColor="text1"/>
          <w:sz w:val="24"/>
        </w:rPr>
        <w:t xml:space="preserve"> alineatul (</w:t>
      </w:r>
      <w:r w:rsidRPr="008D4701">
        <w:rPr>
          <w:rFonts w:ascii="Times New Roman" w:hAnsi="Times New Roman"/>
          <w:noProof/>
          <w:color w:val="000000" w:themeColor="text1"/>
          <w:sz w:val="24"/>
        </w:rPr>
        <w:t>2</w:t>
      </w:r>
      <w:r>
        <w:rPr>
          <w:rFonts w:ascii="Times New Roman" w:hAnsi="Times New Roman"/>
          <w:noProof/>
          <w:color w:val="000000" w:themeColor="text1"/>
          <w:sz w:val="24"/>
        </w:rPr>
        <w:t>) din directivă, statele membre trebuie să identifice periodic, pe baza unor evaluări ale riscurilor, sectoarele cu o incidență ridicată a angajării ilegale și să raporteze Comisiei cifrele și rezultatele inspecțiilor aferente.</w:t>
      </w:r>
    </w:p>
    <w:p w14:paraId="77D27085" w14:textId="47819139"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În acest sens, toate statele membre au elaborat metode de evaluare a riscurilor. Unele state membre</w:t>
      </w:r>
      <w:r>
        <w:rPr>
          <w:rFonts w:ascii="Times New Roman" w:eastAsiaTheme="minorEastAsia" w:hAnsi="Times New Roman" w:cs="Times New Roman"/>
          <w:noProof/>
          <w:color w:val="000000" w:themeColor="text1"/>
          <w:sz w:val="24"/>
          <w:szCs w:val="24"/>
          <w:vertAlign w:val="superscript"/>
        </w:rPr>
        <w:footnoteReference w:id="12"/>
      </w:r>
      <w:r>
        <w:rPr>
          <w:rFonts w:ascii="Times New Roman" w:hAnsi="Times New Roman"/>
          <w:noProof/>
          <w:color w:val="000000" w:themeColor="text1"/>
          <w:sz w:val="24"/>
        </w:rPr>
        <w:t xml:space="preserve"> includ activitățile de cercetare, indicatorii socioeconomici și tendințele în materie de migrație în planificarea inspecțiilor. Corelarea bazelor de date, inclusiv a celor deținute de autoritățile fiscale, institutele naționale de statistică, poliție și serviciile de imigrație, sunt, de asemenea, utilizate pe scară largă</w:t>
      </w:r>
      <w:r>
        <w:rPr>
          <w:rFonts w:ascii="Times New Roman" w:eastAsiaTheme="minorEastAsia" w:hAnsi="Times New Roman" w:cs="Times New Roman"/>
          <w:noProof/>
          <w:sz w:val="24"/>
          <w:szCs w:val="24"/>
          <w:vertAlign w:val="superscript"/>
        </w:rPr>
        <w:footnoteReference w:id="13"/>
      </w:r>
      <w:r>
        <w:rPr>
          <w:rFonts w:ascii="Times New Roman" w:hAnsi="Times New Roman"/>
          <w:noProof/>
          <w:color w:val="000000" w:themeColor="text1"/>
          <w:sz w:val="24"/>
        </w:rPr>
        <w:t>. Plângerile depuse de persoane, colegi de muncă, sindicate și resortisanți ai țărilor terțe sunt luate în considerare în analizele de risc în multe state membre</w:t>
      </w:r>
      <w:r>
        <w:rPr>
          <w:rFonts w:ascii="Times New Roman" w:eastAsiaTheme="minorEastAsia" w:hAnsi="Times New Roman" w:cs="Times New Roman"/>
          <w:noProof/>
          <w:color w:val="000000" w:themeColor="text1"/>
          <w:sz w:val="24"/>
          <w:szCs w:val="24"/>
          <w:vertAlign w:val="superscript"/>
        </w:rPr>
        <w:footnoteReference w:id="14"/>
      </w:r>
      <w:r>
        <w:rPr>
          <w:rFonts w:ascii="Times New Roman" w:hAnsi="Times New Roman"/>
          <w:noProof/>
          <w:color w:val="000000" w:themeColor="text1"/>
          <w:sz w:val="24"/>
        </w:rPr>
        <w:t>. Se consideră că toate aceste elemente contribuie la elaborarea unor strategii mai eficace de gestionare a riscurilor.</w:t>
      </w:r>
    </w:p>
    <w:p w14:paraId="5F339992" w14:textId="54728027"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Cooperarea între agenții este tot mai frecvent integrată în strategiile mai ample privind inspecțiile. Unele state membre</w:t>
      </w:r>
      <w:r>
        <w:rPr>
          <w:rFonts w:ascii="Times New Roman" w:hAnsi="Times New Roman" w:cs="Times New Roman"/>
          <w:noProof/>
          <w:color w:val="000000" w:themeColor="text1"/>
          <w:sz w:val="24"/>
          <w:szCs w:val="24"/>
          <w:vertAlign w:val="superscript"/>
        </w:rPr>
        <w:footnoteReference w:id="15"/>
      </w:r>
      <w:r>
        <w:rPr>
          <w:rFonts w:ascii="Times New Roman" w:hAnsi="Times New Roman"/>
          <w:noProof/>
          <w:color w:val="000000" w:themeColor="text1"/>
          <w:sz w:val="24"/>
        </w:rPr>
        <w:t xml:space="preserve"> efectuează inspecții comune la care participă inspectoratele de muncă, organismele de aplicare a legii, autoritățile fiscale și serviciile de imigrație, în timp ce altele</w:t>
      </w:r>
      <w:r>
        <w:rPr>
          <w:rFonts w:ascii="Times New Roman" w:eastAsiaTheme="minorEastAsia" w:hAnsi="Times New Roman" w:cs="Times New Roman"/>
          <w:noProof/>
          <w:color w:val="000000" w:themeColor="text1"/>
          <w:sz w:val="24"/>
          <w:szCs w:val="24"/>
          <w:vertAlign w:val="superscript"/>
        </w:rPr>
        <w:footnoteReference w:id="16"/>
      </w:r>
      <w:r>
        <w:rPr>
          <w:rFonts w:ascii="Times New Roman" w:hAnsi="Times New Roman"/>
          <w:noProof/>
          <w:color w:val="000000" w:themeColor="text1"/>
          <w:sz w:val="24"/>
        </w:rPr>
        <w:t xml:space="preserve"> aplică modele regionale de risc adaptate la condițiile economice locale și la tendințele anterioare în materie de conformitate.</w:t>
      </w:r>
    </w:p>
    <w:p w14:paraId="59976E99" w14:textId="4DFE12FD"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Statele membre adoptă abordări diferite în ceea ce privește elaborarea strategiilor naționale pentru a asigura o mai bună orientare a inspecțiilor către anumite sectoare. Câteva dintre ele</w:t>
      </w:r>
      <w:r>
        <w:rPr>
          <w:rFonts w:ascii="Times New Roman" w:eastAsiaTheme="minorEastAsia" w:hAnsi="Times New Roman" w:cs="Times New Roman"/>
          <w:noProof/>
          <w:color w:val="000000" w:themeColor="text1"/>
          <w:sz w:val="24"/>
          <w:szCs w:val="24"/>
          <w:vertAlign w:val="superscript"/>
        </w:rPr>
        <w:footnoteReference w:id="17"/>
      </w:r>
      <w:r>
        <w:rPr>
          <w:rFonts w:ascii="Times New Roman" w:hAnsi="Times New Roman"/>
          <w:noProof/>
          <w:color w:val="000000" w:themeColor="text1"/>
          <w:sz w:val="24"/>
        </w:rPr>
        <w:t xml:space="preserve"> efectuează inspecții sectoriale ample. În schimb, altele</w:t>
      </w:r>
      <w:r>
        <w:rPr>
          <w:rFonts w:ascii="Times New Roman" w:eastAsiaTheme="minorEastAsia" w:hAnsi="Times New Roman" w:cs="Times New Roman"/>
          <w:noProof/>
          <w:color w:val="000000" w:themeColor="text1"/>
          <w:sz w:val="24"/>
          <w:szCs w:val="24"/>
          <w:vertAlign w:val="superscript"/>
        </w:rPr>
        <w:footnoteReference w:id="18"/>
      </w:r>
      <w:r>
        <w:rPr>
          <w:rFonts w:ascii="Times New Roman" w:hAnsi="Times New Roman"/>
          <w:noProof/>
          <w:color w:val="000000" w:themeColor="text1"/>
          <w:sz w:val="24"/>
        </w:rPr>
        <w:t xml:space="preserve"> acordă prioritate sectoarelor cu o incidență ridicată a muncii nedeclarate și a locurilor de muncă ocupate de resortisanți ai țărilor terțe, în special (i) agricultura, construcțiile, (iii) transporturile, (iv) comerțul cu ridicata și cu amănuntul, (v) serviciile de cazare și alimentație publică și (vi) industria prelucrătoare. Unele state membre aplică abordări flexibile</w:t>
      </w:r>
      <w:r>
        <w:rPr>
          <w:rFonts w:ascii="Times New Roman" w:eastAsiaTheme="minorEastAsia" w:hAnsi="Times New Roman" w:cs="Times New Roman"/>
          <w:noProof/>
          <w:color w:val="000000" w:themeColor="text1"/>
          <w:sz w:val="24"/>
          <w:szCs w:val="24"/>
          <w:vertAlign w:val="superscript"/>
        </w:rPr>
        <w:footnoteReference w:id="19"/>
      </w:r>
      <w:r>
        <w:rPr>
          <w:rFonts w:ascii="Times New Roman" w:hAnsi="Times New Roman"/>
          <w:noProof/>
          <w:color w:val="000000" w:themeColor="text1"/>
          <w:sz w:val="24"/>
        </w:rPr>
        <w:t xml:space="preserve"> axate pe sectoarele sezoniere, cu utilizare intensivă a forței de muncă, unde riscurile de exploatare sunt cele mai ridicate.</w:t>
      </w:r>
    </w:p>
    <w:p w14:paraId="217AC764" w14:textId="325CB32F" w:rsidR="00077A20" w:rsidRPr="00A359E1" w:rsidDel="00313BE6"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Marea majoritate a statelor membre solicită inspectorilor să raporteze cazurile identificate autorităților de aplicare a legii și celor din domeniul migrației</w:t>
      </w:r>
      <w:r>
        <w:rPr>
          <w:rFonts w:ascii="Times New Roman" w:eastAsia="Times New Roman" w:hAnsi="Times New Roman" w:cs="Times New Roman"/>
          <w:noProof/>
          <w:color w:val="000000" w:themeColor="text1"/>
          <w:sz w:val="24"/>
          <w:szCs w:val="24"/>
          <w:vertAlign w:val="superscript"/>
        </w:rPr>
        <w:footnoteReference w:id="20"/>
      </w:r>
      <w:r>
        <w:rPr>
          <w:rFonts w:ascii="Times New Roman" w:hAnsi="Times New Roman"/>
          <w:noProof/>
          <w:color w:val="000000" w:themeColor="text1"/>
          <w:sz w:val="24"/>
        </w:rPr>
        <w:t>. În aproape toate statele membre</w:t>
      </w:r>
      <w:r>
        <w:rPr>
          <w:rFonts w:ascii="Times New Roman" w:eastAsia="Times New Roman" w:hAnsi="Times New Roman" w:cs="Times New Roman"/>
          <w:noProof/>
          <w:color w:val="000000" w:themeColor="text1"/>
          <w:sz w:val="24"/>
          <w:szCs w:val="24"/>
          <w:vertAlign w:val="superscript"/>
        </w:rPr>
        <w:footnoteReference w:id="21"/>
      </w:r>
      <w:r>
        <w:rPr>
          <w:rFonts w:ascii="Times New Roman" w:hAnsi="Times New Roman"/>
          <w:noProof/>
          <w:color w:val="000000" w:themeColor="text1"/>
          <w:sz w:val="24"/>
        </w:rPr>
        <w:t>, autoritățile din domeniul imigrației și cele de aplicare a legii participă în mod sistematic la inspecții. Într-o măsură mai mică, dar totuși semnificativă, autoritățile fiscale sunt, de asemenea, implicate în mod regulat în inspecții, la acestea putând participa și alte organisme, inclusiv autoritățile de securitate socială și antifraudă</w:t>
      </w:r>
      <w:r>
        <w:rPr>
          <w:rFonts w:ascii="Times New Roman" w:eastAsiaTheme="minorEastAsia" w:hAnsi="Times New Roman" w:cs="Times New Roman"/>
          <w:noProof/>
          <w:color w:val="000000" w:themeColor="text1"/>
          <w:sz w:val="24"/>
          <w:szCs w:val="24"/>
          <w:vertAlign w:val="superscript"/>
        </w:rPr>
        <w:footnoteReference w:id="22"/>
      </w:r>
      <w:r>
        <w:rPr>
          <w:rFonts w:ascii="Times New Roman" w:hAnsi="Times New Roman"/>
          <w:noProof/>
          <w:color w:val="000000" w:themeColor="text1"/>
          <w:sz w:val="24"/>
        </w:rPr>
        <w:t>, administrațiile vamale</w:t>
      </w:r>
      <w:r>
        <w:rPr>
          <w:rFonts w:ascii="Times New Roman" w:eastAsiaTheme="minorEastAsia" w:hAnsi="Times New Roman" w:cs="Times New Roman"/>
          <w:noProof/>
          <w:color w:val="000000" w:themeColor="text1"/>
          <w:sz w:val="24"/>
          <w:szCs w:val="24"/>
          <w:vertAlign w:val="superscript"/>
        </w:rPr>
        <w:footnoteReference w:id="23"/>
      </w:r>
      <w:r>
        <w:rPr>
          <w:rFonts w:ascii="Times New Roman" w:hAnsi="Times New Roman"/>
          <w:noProof/>
          <w:color w:val="000000" w:themeColor="text1"/>
          <w:sz w:val="24"/>
        </w:rPr>
        <w:t xml:space="preserve"> și instituțiile de asigurări sociale</w:t>
      </w:r>
      <w:r>
        <w:rPr>
          <w:rFonts w:ascii="Times New Roman" w:eastAsiaTheme="minorEastAsia" w:hAnsi="Times New Roman" w:cs="Times New Roman"/>
          <w:noProof/>
          <w:color w:val="000000" w:themeColor="text1"/>
          <w:sz w:val="24"/>
          <w:szCs w:val="24"/>
          <w:vertAlign w:val="superscript"/>
        </w:rPr>
        <w:footnoteReference w:id="24"/>
      </w:r>
      <w:r>
        <w:rPr>
          <w:rFonts w:ascii="Times New Roman" w:hAnsi="Times New Roman"/>
          <w:noProof/>
          <w:color w:val="000000" w:themeColor="text1"/>
          <w:sz w:val="24"/>
        </w:rPr>
        <w:t>.</w:t>
      </w:r>
    </w:p>
    <w:p w14:paraId="7E3FF8B4" w14:textId="6877ED1E"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Statele membre au raportat, de asemenea, date cu privire la inspecțiile comune</w:t>
      </w:r>
      <w:r>
        <w:rPr>
          <w:rFonts w:ascii="Times New Roman" w:eastAsia="Times New Roman" w:hAnsi="Times New Roman" w:cs="Times New Roman"/>
          <w:noProof/>
          <w:color w:val="000000" w:themeColor="text1"/>
          <w:sz w:val="24"/>
          <w:szCs w:val="24"/>
          <w:vertAlign w:val="superscript"/>
        </w:rPr>
        <w:footnoteReference w:id="25"/>
      </w:r>
      <w:r>
        <w:rPr>
          <w:rFonts w:ascii="Times New Roman" w:hAnsi="Times New Roman"/>
          <w:noProof/>
          <w:color w:val="000000" w:themeColor="text1"/>
          <w:sz w:val="24"/>
        </w:rPr>
        <w:t>, inspecțiile neanunțate</w:t>
      </w:r>
      <w:r>
        <w:rPr>
          <w:rFonts w:ascii="Times New Roman" w:eastAsia="Times New Roman" w:hAnsi="Times New Roman" w:cs="Times New Roman"/>
          <w:noProof/>
          <w:color w:val="000000" w:themeColor="text1"/>
          <w:sz w:val="24"/>
          <w:szCs w:val="24"/>
          <w:vertAlign w:val="superscript"/>
        </w:rPr>
        <w:footnoteReference w:id="26"/>
      </w:r>
      <w:r>
        <w:rPr>
          <w:rFonts w:ascii="Times New Roman" w:hAnsi="Times New Roman"/>
          <w:noProof/>
          <w:color w:val="000000" w:themeColor="text1"/>
          <w:sz w:val="24"/>
        </w:rPr>
        <w:t xml:space="preserve"> și coordonarea regională</w:t>
      </w:r>
      <w:r>
        <w:rPr>
          <w:rFonts w:ascii="Times New Roman" w:hAnsi="Times New Roman" w:cs="Times New Roman"/>
          <w:noProof/>
          <w:color w:val="000000" w:themeColor="text1"/>
          <w:sz w:val="24"/>
          <w:szCs w:val="24"/>
          <w:vertAlign w:val="superscript"/>
        </w:rPr>
        <w:footnoteReference w:id="27"/>
      </w:r>
      <w:r>
        <w:rPr>
          <w:rFonts w:ascii="Times New Roman" w:hAnsi="Times New Roman"/>
          <w:noProof/>
          <w:color w:val="000000" w:themeColor="text1"/>
          <w:sz w:val="24"/>
        </w:rPr>
        <w:t xml:space="preserve">. Aceste evoluții fac parte dintr-o tendință mai amplă </w:t>
      </w:r>
      <w:bookmarkStart w:id="11" w:name="_Hlk228201455"/>
      <w:r>
        <w:rPr>
          <w:rFonts w:ascii="Times New Roman" w:hAnsi="Times New Roman"/>
          <w:noProof/>
          <w:color w:val="000000" w:themeColor="text1"/>
          <w:sz w:val="24"/>
        </w:rPr>
        <w:t>de asigurare a respectării legislației mai integrată, bazată pe informații și pe date</w:t>
      </w:r>
      <w:bookmarkEnd w:id="11"/>
      <w:r>
        <w:rPr>
          <w:rFonts w:ascii="Times New Roman" w:hAnsi="Times New Roman"/>
          <w:noProof/>
          <w:color w:val="000000" w:themeColor="text1"/>
          <w:sz w:val="24"/>
        </w:rPr>
        <w:t>.</w:t>
      </w:r>
    </w:p>
    <w:p w14:paraId="77350620" w14:textId="57EBE05F" w:rsidR="00077A20" w:rsidRPr="008D4701" w:rsidRDefault="00077A20" w:rsidP="00077A20">
      <w:pPr>
        <w:pStyle w:val="ListParagraph"/>
        <w:numPr>
          <w:ilvl w:val="0"/>
          <w:numId w:val="3"/>
        </w:numPr>
        <w:spacing w:after="120" w:line="276" w:lineRule="auto"/>
        <w:jc w:val="both"/>
        <w:outlineLvl w:val="2"/>
        <w:rPr>
          <w:rFonts w:ascii="Times New Roman" w:eastAsia="Times New Roman" w:hAnsi="Times New Roman" w:cs="Times New Roman"/>
          <w:b/>
          <w:bCs/>
          <w:noProof/>
          <w:sz w:val="24"/>
          <w:szCs w:val="24"/>
          <w14:ligatures w14:val="none"/>
        </w:rPr>
      </w:pPr>
      <w:bookmarkStart w:id="12" w:name="_Toc210315955"/>
      <w:bookmarkStart w:id="13" w:name="_Toc215743783"/>
      <w:r w:rsidRPr="008D4701">
        <w:rPr>
          <w:rFonts w:ascii="Times New Roman" w:hAnsi="Times New Roman"/>
          <w:b/>
          <w:noProof/>
          <w:sz w:val="24"/>
        </w:rPr>
        <w:t>Inspecțiile efectuate în perioada 2021-2024</w:t>
      </w:r>
      <w:bookmarkEnd w:id="12"/>
      <w:bookmarkEnd w:id="13"/>
    </w:p>
    <w:p w14:paraId="4838F9D4" w14:textId="77A346FE" w:rsidR="00077A20" w:rsidRPr="00A359E1" w:rsidRDefault="00077A20" w:rsidP="00077A20">
      <w:pPr>
        <w:spacing w:after="120" w:line="276" w:lineRule="auto"/>
        <w:jc w:val="both"/>
        <w:rPr>
          <w:noProof/>
          <w:sz w:val="24"/>
          <w:szCs w:val="24"/>
          <w:vertAlign w:val="superscript"/>
          <w14:ligatures w14:val="none"/>
        </w:rPr>
      </w:pPr>
      <w:r>
        <w:rPr>
          <w:rFonts w:ascii="Times New Roman" w:hAnsi="Times New Roman"/>
          <w:noProof/>
          <w:color w:val="000000" w:themeColor="text1"/>
          <w:sz w:val="24"/>
        </w:rPr>
        <w:t xml:space="preserve">În perioada </w:t>
      </w:r>
      <w:r w:rsidRPr="008D4701">
        <w:rPr>
          <w:rFonts w:ascii="Times New Roman" w:hAnsi="Times New Roman"/>
          <w:noProof/>
          <w:color w:val="000000" w:themeColor="text1"/>
          <w:sz w:val="24"/>
        </w:rPr>
        <w:t>2021</w:t>
      </w:r>
      <w:r>
        <w:rPr>
          <w:rFonts w:ascii="Times New Roman" w:hAnsi="Times New Roman"/>
          <w:noProof/>
          <w:color w:val="000000" w:themeColor="text1"/>
          <w:sz w:val="24"/>
        </w:rPr>
        <w:t>-</w:t>
      </w:r>
      <w:r w:rsidRPr="008D4701">
        <w:rPr>
          <w:rFonts w:ascii="Times New Roman" w:hAnsi="Times New Roman"/>
          <w:noProof/>
          <w:color w:val="000000" w:themeColor="text1"/>
          <w:sz w:val="24"/>
        </w:rPr>
        <w:t>2024</w:t>
      </w:r>
      <w:r>
        <w:rPr>
          <w:rFonts w:ascii="Times New Roman" w:hAnsi="Times New Roman"/>
          <w:noProof/>
          <w:color w:val="000000" w:themeColor="text1"/>
          <w:sz w:val="24"/>
        </w:rPr>
        <w:t xml:space="preserve">, statele membre au crescut în mod constant numărul inspecțiilor la locul de muncă în temeiul directivei, ajungând la aproape </w:t>
      </w:r>
      <w:r w:rsidRPr="008D4701">
        <w:rPr>
          <w:rFonts w:ascii="Times New Roman" w:hAnsi="Times New Roman"/>
          <w:noProof/>
          <w:color w:val="000000" w:themeColor="text1"/>
          <w:sz w:val="24"/>
        </w:rPr>
        <w:t>600</w:t>
      </w:r>
      <w:r>
        <w:rPr>
          <w:rFonts w:ascii="Times New Roman" w:hAnsi="Times New Roman"/>
          <w:noProof/>
          <w:color w:val="000000" w:themeColor="text1"/>
          <w:sz w:val="24"/>
        </w:rPr>
        <w:t> </w:t>
      </w:r>
      <w:r w:rsidRPr="008D4701">
        <w:rPr>
          <w:rFonts w:ascii="Times New Roman" w:hAnsi="Times New Roman"/>
          <w:noProof/>
          <w:color w:val="000000" w:themeColor="text1"/>
          <w:sz w:val="24"/>
        </w:rPr>
        <w:t>000</w:t>
      </w:r>
      <w:r>
        <w:rPr>
          <w:rFonts w:ascii="Times New Roman" w:hAnsi="Times New Roman"/>
          <w:noProof/>
          <w:color w:val="000000" w:themeColor="text1"/>
          <w:sz w:val="24"/>
        </w:rPr>
        <w:t xml:space="preserve"> în </w:t>
      </w:r>
      <w:r w:rsidRPr="008D4701">
        <w:rPr>
          <w:rFonts w:ascii="Times New Roman" w:hAnsi="Times New Roman"/>
          <w:noProof/>
          <w:color w:val="000000" w:themeColor="text1"/>
          <w:sz w:val="24"/>
        </w:rPr>
        <w:t>2024</w:t>
      </w:r>
      <w:r>
        <w:rPr>
          <w:rFonts w:ascii="Times New Roman" w:hAnsi="Times New Roman"/>
          <w:noProof/>
          <w:color w:val="000000" w:themeColor="text1"/>
          <w:sz w:val="24"/>
        </w:rPr>
        <w:t xml:space="preserve"> (a se vedea graficul </w:t>
      </w:r>
      <w:r w:rsidRPr="008D4701">
        <w:rPr>
          <w:rFonts w:ascii="Times New Roman" w:hAnsi="Times New Roman"/>
          <w:noProof/>
          <w:color w:val="000000" w:themeColor="text1"/>
          <w:sz w:val="24"/>
        </w:rPr>
        <w:t>1</w:t>
      </w:r>
      <w:r>
        <w:rPr>
          <w:rFonts w:ascii="Times New Roman" w:hAnsi="Times New Roman"/>
          <w:noProof/>
          <w:color w:val="000000" w:themeColor="text1"/>
          <w:sz w:val="24"/>
        </w:rPr>
        <w:t xml:space="preserve"> din anexă). Cu toate acestea, există în continuare diferențe semnificative de la un stat membru la altul.</w:t>
      </w:r>
    </w:p>
    <w:p w14:paraId="4CD50BC3" w14:textId="6946AD11"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Majoritatea statelor membre și-au concentrat inspecțiile asupra unui număr limitat de sectoare, caracterizate printr-o utilizare intensivă a forței de muncă slab calificate, unde locurile de muncă tind să fie ocupate în cea mai mare parte de resortisanți ai țărilor terțe. Toate statele membre au efectuat inspecții în sectorul construcțiilor și al serviciilor de cazare și alimentație publică. </w:t>
      </w:r>
      <w:r w:rsidRPr="008D4701">
        <w:rPr>
          <w:rFonts w:ascii="Times New Roman" w:hAnsi="Times New Roman"/>
          <w:noProof/>
          <w:color w:val="000000" w:themeColor="text1"/>
          <w:sz w:val="24"/>
        </w:rPr>
        <w:t>18</w:t>
      </w:r>
      <w:r>
        <w:rPr>
          <w:rFonts w:ascii="Times New Roman" w:hAnsi="Times New Roman"/>
          <w:noProof/>
          <w:color w:val="000000" w:themeColor="text1"/>
          <w:sz w:val="24"/>
        </w:rPr>
        <w:t xml:space="preserve"> state membre au efectuat cu prioritate inspecții în sectorul agriculturii, </w:t>
      </w:r>
      <w:r w:rsidRPr="008D4701">
        <w:rPr>
          <w:rFonts w:ascii="Times New Roman" w:hAnsi="Times New Roman"/>
          <w:noProof/>
          <w:color w:val="000000" w:themeColor="text1"/>
          <w:sz w:val="24"/>
        </w:rPr>
        <w:t>16</w:t>
      </w:r>
      <w:r>
        <w:rPr>
          <w:rFonts w:ascii="Times New Roman" w:hAnsi="Times New Roman"/>
          <w:noProof/>
          <w:color w:val="000000" w:themeColor="text1"/>
          <w:sz w:val="24"/>
        </w:rPr>
        <w:t xml:space="preserve"> în sectorul transporturilor, </w:t>
      </w:r>
      <w:r w:rsidRPr="008D4701">
        <w:rPr>
          <w:rFonts w:ascii="Times New Roman" w:hAnsi="Times New Roman"/>
          <w:noProof/>
          <w:color w:val="000000" w:themeColor="text1"/>
          <w:sz w:val="24"/>
        </w:rPr>
        <w:t>12</w:t>
      </w:r>
      <w:r>
        <w:rPr>
          <w:rFonts w:ascii="Times New Roman" w:hAnsi="Times New Roman"/>
          <w:noProof/>
          <w:color w:val="000000" w:themeColor="text1"/>
          <w:sz w:val="24"/>
        </w:rPr>
        <w:t xml:space="preserve"> în sectorul activităților de comerț cu ridicata și cu amănuntul și </w:t>
      </w:r>
      <w:r w:rsidRPr="008D4701">
        <w:rPr>
          <w:rFonts w:ascii="Times New Roman" w:hAnsi="Times New Roman"/>
          <w:noProof/>
          <w:color w:val="000000" w:themeColor="text1"/>
          <w:sz w:val="24"/>
        </w:rPr>
        <w:t>11</w:t>
      </w:r>
      <w:r w:rsidR="00501406">
        <w:rPr>
          <w:rFonts w:ascii="Times New Roman" w:hAnsi="Times New Roman"/>
          <w:noProof/>
          <w:color w:val="000000" w:themeColor="text1"/>
          <w:sz w:val="24"/>
        </w:rPr>
        <w:t> </w:t>
      </w:r>
      <w:r>
        <w:rPr>
          <w:rFonts w:ascii="Times New Roman" w:hAnsi="Times New Roman"/>
          <w:noProof/>
          <w:color w:val="000000" w:themeColor="text1"/>
          <w:sz w:val="24"/>
        </w:rPr>
        <w:t xml:space="preserve">în industria prelucrătoare. Acest lucru reflectă accentul tot mai mare pus pe sectoarele cele mai expuse riscului în materie de angajare ilegală. </w:t>
      </w:r>
    </w:p>
    <w:p w14:paraId="24311833" w14:textId="25D48207"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Aceste tendințe sunt confirmate de constatările sondajului realizat în </w:t>
      </w:r>
      <w:r w:rsidRPr="008D4701">
        <w:rPr>
          <w:rFonts w:ascii="Times New Roman" w:hAnsi="Times New Roman"/>
          <w:noProof/>
          <w:color w:val="000000" w:themeColor="text1"/>
          <w:sz w:val="24"/>
        </w:rPr>
        <w:t>2025</w:t>
      </w:r>
      <w:r>
        <w:rPr>
          <w:rFonts w:ascii="Times New Roman" w:hAnsi="Times New Roman"/>
          <w:noProof/>
          <w:color w:val="000000" w:themeColor="text1"/>
          <w:sz w:val="24"/>
        </w:rPr>
        <w:t xml:space="preserve"> de Agenția pentru Drepturi Fundamentale în rândul societății civile și al sindicatelor</w:t>
      </w:r>
      <w:r>
        <w:rPr>
          <w:rFonts w:ascii="Times New Roman" w:eastAsia="Times New Roman" w:hAnsi="Times New Roman" w:cs="Times New Roman"/>
          <w:noProof/>
          <w:color w:val="000000" w:themeColor="text1"/>
          <w:sz w:val="24"/>
          <w:szCs w:val="24"/>
          <w:vertAlign w:val="superscript"/>
        </w:rPr>
        <w:footnoteReference w:id="28"/>
      </w:r>
      <w:r>
        <w:rPr>
          <w:rFonts w:ascii="Times New Roman" w:hAnsi="Times New Roman"/>
          <w:noProof/>
          <w:color w:val="000000" w:themeColor="text1"/>
          <w:sz w:val="24"/>
        </w:rPr>
        <w:t>, în cadrul căruia (i)</w:t>
      </w:r>
      <w:r w:rsidR="00501406">
        <w:rPr>
          <w:rFonts w:ascii="Times New Roman" w:hAnsi="Times New Roman"/>
          <w:noProof/>
          <w:color w:val="000000" w:themeColor="text1"/>
          <w:sz w:val="24"/>
        </w:rPr>
        <w:t> </w:t>
      </w:r>
      <w:r>
        <w:rPr>
          <w:rFonts w:ascii="Times New Roman" w:hAnsi="Times New Roman"/>
          <w:noProof/>
          <w:color w:val="000000" w:themeColor="text1"/>
          <w:sz w:val="24"/>
        </w:rPr>
        <w:t xml:space="preserve">construcțiile, (ii) industria prelucrătoare, (iii) serviciile de cazare și alimentație publică și (iv) transporturile și depozitarea au fost identificate ca fiind sectoarele cu cele mai multe încălcări ale drepturilor lucrătorilor resortisanți ai țărilor terțe, indiferent de statutul lor de imigranți. Sondajul a evidențiat, de asemenea, alte sectoare expuse riscului, </w:t>
      </w:r>
      <w:bookmarkStart w:id="14" w:name="_Hlk228201486"/>
      <w:r>
        <w:rPr>
          <w:rFonts w:ascii="Times New Roman" w:hAnsi="Times New Roman"/>
          <w:noProof/>
          <w:color w:val="000000" w:themeColor="text1"/>
          <w:sz w:val="24"/>
        </w:rPr>
        <w:t xml:space="preserve">cum ar fi activitățile de curățare, industria cărnii, îngrijirea copiilor, munca casnică și agricultura. </w:t>
      </w:r>
      <w:bookmarkEnd w:id="14"/>
    </w:p>
    <w:p w14:paraId="0A7A26A3" w14:textId="51B2872F" w:rsidR="00077A20" w:rsidRPr="008D4701" w:rsidRDefault="00077A20" w:rsidP="00077A20">
      <w:pPr>
        <w:pStyle w:val="ListParagraph"/>
        <w:numPr>
          <w:ilvl w:val="0"/>
          <w:numId w:val="3"/>
        </w:numPr>
        <w:spacing w:after="120" w:line="276" w:lineRule="auto"/>
        <w:jc w:val="both"/>
        <w:outlineLvl w:val="2"/>
        <w:rPr>
          <w:rFonts w:ascii="Times New Roman" w:eastAsia="Times New Roman" w:hAnsi="Times New Roman" w:cs="Times New Roman"/>
          <w:b/>
          <w:bCs/>
          <w:noProof/>
          <w:sz w:val="24"/>
          <w:szCs w:val="24"/>
          <w14:ligatures w14:val="none"/>
        </w:rPr>
      </w:pPr>
      <w:bookmarkStart w:id="15" w:name="_Toc210315958"/>
      <w:bookmarkStart w:id="16" w:name="_Toc215743784"/>
      <w:r w:rsidRPr="008D4701">
        <w:rPr>
          <w:rFonts w:ascii="Times New Roman" w:hAnsi="Times New Roman"/>
          <w:b/>
          <w:noProof/>
          <w:sz w:val="24"/>
        </w:rPr>
        <w:t>Rezultatele inspecțiilor: numărul de cazuri identificate</w:t>
      </w:r>
      <w:bookmarkEnd w:id="15"/>
      <w:bookmarkEnd w:id="16"/>
    </w:p>
    <w:p w14:paraId="0B28E0FB" w14:textId="1ACFBAA7" w:rsidR="00077A20" w:rsidRPr="00A359E1" w:rsidDel="00BA3C7E"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În perioada </w:t>
      </w:r>
      <w:r w:rsidRPr="008D4701">
        <w:rPr>
          <w:rFonts w:ascii="Times New Roman" w:hAnsi="Times New Roman"/>
          <w:noProof/>
          <w:color w:val="000000" w:themeColor="text1"/>
          <w:sz w:val="24"/>
        </w:rPr>
        <w:t>2021</w:t>
      </w:r>
      <w:r>
        <w:rPr>
          <w:rFonts w:ascii="Times New Roman" w:hAnsi="Times New Roman"/>
          <w:noProof/>
          <w:color w:val="000000" w:themeColor="text1"/>
          <w:sz w:val="24"/>
        </w:rPr>
        <w:t>-</w:t>
      </w:r>
      <w:r w:rsidRPr="008D4701">
        <w:rPr>
          <w:rFonts w:ascii="Times New Roman" w:hAnsi="Times New Roman"/>
          <w:noProof/>
          <w:color w:val="000000" w:themeColor="text1"/>
          <w:sz w:val="24"/>
        </w:rPr>
        <w:t>2024</w:t>
      </w:r>
      <w:r>
        <w:rPr>
          <w:rFonts w:ascii="Times New Roman" w:hAnsi="Times New Roman"/>
          <w:noProof/>
          <w:color w:val="000000" w:themeColor="text1"/>
          <w:sz w:val="24"/>
        </w:rPr>
        <w:t xml:space="preserve">, a crescut, de asemenea, procentul inspecțiilor în urma cărora au fost identificați lucrători migranți aflați în situație ilegală. Numărul absolut de inspecții care au condus la identificarea unor astfel de lucrători a crescut semnificativ, de la </w:t>
      </w:r>
      <w:r w:rsidRPr="008D4701">
        <w:rPr>
          <w:rFonts w:ascii="Times New Roman" w:hAnsi="Times New Roman"/>
          <w:noProof/>
          <w:color w:val="000000" w:themeColor="text1"/>
          <w:sz w:val="24"/>
        </w:rPr>
        <w:t>17</w:t>
      </w:r>
      <w:r>
        <w:rPr>
          <w:rFonts w:ascii="Times New Roman" w:hAnsi="Times New Roman"/>
          <w:noProof/>
          <w:color w:val="000000" w:themeColor="text1"/>
          <w:sz w:val="24"/>
        </w:rPr>
        <w:t> </w:t>
      </w:r>
      <w:r w:rsidRPr="008D4701">
        <w:rPr>
          <w:rFonts w:ascii="Times New Roman" w:hAnsi="Times New Roman"/>
          <w:noProof/>
          <w:color w:val="000000" w:themeColor="text1"/>
          <w:sz w:val="24"/>
        </w:rPr>
        <w:t>100</w:t>
      </w:r>
      <w:r>
        <w:rPr>
          <w:rFonts w:ascii="Times New Roman" w:hAnsi="Times New Roman"/>
          <w:noProof/>
          <w:color w:val="000000" w:themeColor="text1"/>
          <w:sz w:val="24"/>
        </w:rPr>
        <w:t xml:space="preserve"> în </w:t>
      </w:r>
      <w:r w:rsidRPr="008D4701">
        <w:rPr>
          <w:rFonts w:ascii="Times New Roman" w:hAnsi="Times New Roman"/>
          <w:noProof/>
          <w:color w:val="000000" w:themeColor="text1"/>
          <w:sz w:val="24"/>
        </w:rPr>
        <w:t>2019</w:t>
      </w:r>
      <w:r>
        <w:rPr>
          <w:rFonts w:ascii="Times New Roman" w:eastAsia="Times New Roman" w:hAnsi="Times New Roman" w:cs="Times New Roman"/>
          <w:noProof/>
          <w:color w:val="000000" w:themeColor="text1"/>
          <w:sz w:val="24"/>
          <w:szCs w:val="24"/>
          <w:vertAlign w:val="superscript"/>
        </w:rPr>
        <w:footnoteReference w:id="29"/>
      </w:r>
      <w:r>
        <w:rPr>
          <w:rFonts w:ascii="Times New Roman" w:hAnsi="Times New Roman"/>
          <w:noProof/>
          <w:color w:val="000000" w:themeColor="text1"/>
          <w:sz w:val="24"/>
        </w:rPr>
        <w:t xml:space="preserve"> la peste </w:t>
      </w:r>
      <w:r w:rsidRPr="008D4701">
        <w:rPr>
          <w:rFonts w:ascii="Times New Roman" w:hAnsi="Times New Roman"/>
          <w:noProof/>
          <w:color w:val="000000" w:themeColor="text1"/>
          <w:sz w:val="24"/>
        </w:rPr>
        <w:t>28</w:t>
      </w:r>
      <w:r>
        <w:rPr>
          <w:rFonts w:ascii="Times New Roman" w:hAnsi="Times New Roman"/>
          <w:noProof/>
          <w:color w:val="000000" w:themeColor="text1"/>
          <w:sz w:val="24"/>
        </w:rPr>
        <w:t> </w:t>
      </w:r>
      <w:r w:rsidRPr="008D4701">
        <w:rPr>
          <w:rFonts w:ascii="Times New Roman" w:hAnsi="Times New Roman"/>
          <w:noProof/>
          <w:color w:val="000000" w:themeColor="text1"/>
          <w:sz w:val="24"/>
        </w:rPr>
        <w:t>000</w:t>
      </w:r>
      <w:r>
        <w:rPr>
          <w:rFonts w:ascii="Times New Roman" w:hAnsi="Times New Roman"/>
          <w:noProof/>
          <w:color w:val="000000" w:themeColor="text1"/>
          <w:sz w:val="24"/>
        </w:rPr>
        <w:t xml:space="preserve"> în </w:t>
      </w:r>
      <w:r w:rsidRPr="008D4701">
        <w:rPr>
          <w:rFonts w:ascii="Times New Roman" w:hAnsi="Times New Roman"/>
          <w:noProof/>
          <w:color w:val="000000" w:themeColor="text1"/>
          <w:sz w:val="24"/>
        </w:rPr>
        <w:t>2023</w:t>
      </w:r>
      <w:r>
        <w:rPr>
          <w:rFonts w:ascii="Times New Roman" w:hAnsi="Times New Roman"/>
          <w:noProof/>
          <w:color w:val="000000" w:themeColor="text1"/>
          <w:sz w:val="24"/>
        </w:rPr>
        <w:t xml:space="preserve"> și </w:t>
      </w:r>
      <w:r w:rsidRPr="008D4701">
        <w:rPr>
          <w:rFonts w:ascii="Times New Roman" w:hAnsi="Times New Roman"/>
          <w:noProof/>
          <w:color w:val="000000" w:themeColor="text1"/>
          <w:sz w:val="24"/>
        </w:rPr>
        <w:t>2024</w:t>
      </w:r>
      <w:r>
        <w:rPr>
          <w:rFonts w:ascii="Times New Roman" w:eastAsia="Times New Roman" w:hAnsi="Times New Roman" w:cs="Times New Roman"/>
          <w:noProof/>
          <w:color w:val="000000" w:themeColor="text1"/>
          <w:sz w:val="24"/>
          <w:szCs w:val="24"/>
          <w:vertAlign w:val="superscript"/>
        </w:rPr>
        <w:footnoteReference w:id="30"/>
      </w:r>
      <w:r>
        <w:rPr>
          <w:rFonts w:ascii="Times New Roman" w:hAnsi="Times New Roman"/>
          <w:noProof/>
          <w:color w:val="000000" w:themeColor="text1"/>
          <w:sz w:val="24"/>
        </w:rPr>
        <w:t xml:space="preserve">. Numărul de </w:t>
      </w:r>
      <w:r>
        <w:rPr>
          <w:rFonts w:ascii="Times New Roman" w:hAnsi="Times New Roman"/>
          <w:noProof/>
          <w:sz w:val="24"/>
        </w:rPr>
        <w:t>cazuri identificate</w:t>
      </w:r>
      <w:r>
        <w:rPr>
          <w:rFonts w:ascii="Times New Roman" w:hAnsi="Times New Roman"/>
          <w:noProof/>
          <w:color w:val="000000" w:themeColor="text1"/>
          <w:sz w:val="24"/>
        </w:rPr>
        <w:t xml:space="preserve"> în timpul inspecțiilor a crescut cu peste </w:t>
      </w:r>
      <w:r w:rsidRPr="008D4701">
        <w:rPr>
          <w:rFonts w:ascii="Times New Roman" w:hAnsi="Times New Roman"/>
          <w:noProof/>
          <w:color w:val="000000" w:themeColor="text1"/>
          <w:sz w:val="24"/>
        </w:rPr>
        <w:t>70</w:t>
      </w:r>
      <w:r>
        <w:rPr>
          <w:rFonts w:ascii="Times New Roman" w:hAnsi="Times New Roman"/>
          <w:noProof/>
          <w:color w:val="000000" w:themeColor="text1"/>
          <w:sz w:val="24"/>
        </w:rPr>
        <w:t xml:space="preserve"> % în perioada </w:t>
      </w:r>
      <w:r w:rsidRPr="008D4701">
        <w:rPr>
          <w:rFonts w:ascii="Times New Roman" w:hAnsi="Times New Roman"/>
          <w:noProof/>
          <w:color w:val="000000" w:themeColor="text1"/>
          <w:sz w:val="24"/>
        </w:rPr>
        <w:t>2021</w:t>
      </w:r>
      <w:r>
        <w:rPr>
          <w:rFonts w:ascii="Times New Roman" w:hAnsi="Times New Roman"/>
          <w:noProof/>
          <w:color w:val="000000" w:themeColor="text1"/>
          <w:sz w:val="24"/>
        </w:rPr>
        <w:t>-</w:t>
      </w:r>
      <w:r w:rsidRPr="008D4701">
        <w:rPr>
          <w:rFonts w:ascii="Times New Roman" w:hAnsi="Times New Roman"/>
          <w:noProof/>
          <w:color w:val="000000" w:themeColor="text1"/>
          <w:sz w:val="24"/>
        </w:rPr>
        <w:t>2024</w:t>
      </w:r>
      <w:r>
        <w:rPr>
          <w:rFonts w:ascii="Times New Roman" w:hAnsi="Times New Roman"/>
          <w:noProof/>
          <w:color w:val="000000" w:themeColor="text1"/>
          <w:sz w:val="24"/>
        </w:rPr>
        <w:t xml:space="preserve"> (a se vedea graficul </w:t>
      </w:r>
      <w:r w:rsidRPr="008D4701">
        <w:rPr>
          <w:rFonts w:ascii="Times New Roman" w:hAnsi="Times New Roman"/>
          <w:noProof/>
          <w:color w:val="000000" w:themeColor="text1"/>
          <w:sz w:val="24"/>
        </w:rPr>
        <w:t>2</w:t>
      </w:r>
      <w:r>
        <w:rPr>
          <w:rFonts w:ascii="Times New Roman" w:hAnsi="Times New Roman"/>
          <w:noProof/>
          <w:color w:val="000000" w:themeColor="text1"/>
          <w:sz w:val="24"/>
        </w:rPr>
        <w:t xml:space="preserve"> din anexă).</w:t>
      </w:r>
    </w:p>
    <w:p w14:paraId="3A4BC5A4" w14:textId="12232E1F" w:rsidR="00077A20" w:rsidRPr="00A359E1" w:rsidDel="000F3D60"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Unele state membre au raportat în mod constant cele mai ridicate rate de identificare, atât în termeni absoluți, cât și în raport cu numărul de angajați din sectoarele-cheie</w:t>
      </w:r>
      <w:r>
        <w:rPr>
          <w:rFonts w:ascii="Times New Roman" w:hAnsi="Times New Roman" w:cs="Times New Roman"/>
          <w:noProof/>
          <w:color w:val="000000" w:themeColor="text1"/>
          <w:sz w:val="24"/>
          <w:szCs w:val="24"/>
          <w:vertAlign w:val="superscript"/>
        </w:rPr>
        <w:footnoteReference w:id="31"/>
      </w:r>
      <w:r>
        <w:rPr>
          <w:rFonts w:ascii="Times New Roman" w:hAnsi="Times New Roman"/>
          <w:noProof/>
          <w:color w:val="000000" w:themeColor="text1"/>
          <w:sz w:val="24"/>
        </w:rPr>
        <w:t>. Aceste tendințe subliniază volumul crescut de inspecții și o mai bună orientare a activităților de asigurare a respectării legislației în sectoarele cu utilizare intensivă a forței de muncă, cum ar fi construcțiile, serviciile de cazare și alimentație publică și comerțul cu amănuntul.</w:t>
      </w:r>
    </w:p>
    <w:bookmarkEnd w:id="8"/>
    <w:p w14:paraId="07E9F0DC" w14:textId="5876A3AD" w:rsidR="00077A20" w:rsidRPr="00A359E1" w:rsidDel="00CD2795"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Datele pentru perioada </w:t>
      </w:r>
      <w:r w:rsidRPr="008D4701">
        <w:rPr>
          <w:rFonts w:ascii="Times New Roman" w:hAnsi="Times New Roman"/>
          <w:noProof/>
          <w:color w:val="000000" w:themeColor="text1"/>
          <w:sz w:val="24"/>
        </w:rPr>
        <w:t>2021</w:t>
      </w:r>
      <w:r>
        <w:rPr>
          <w:rFonts w:ascii="Times New Roman" w:hAnsi="Times New Roman"/>
          <w:noProof/>
          <w:color w:val="000000" w:themeColor="text1"/>
          <w:sz w:val="24"/>
        </w:rPr>
        <w:t>-</w:t>
      </w:r>
      <w:r w:rsidRPr="008D4701">
        <w:rPr>
          <w:rFonts w:ascii="Times New Roman" w:hAnsi="Times New Roman"/>
          <w:noProof/>
          <w:color w:val="000000" w:themeColor="text1"/>
          <w:sz w:val="24"/>
        </w:rPr>
        <w:t>2024</w:t>
      </w:r>
      <w:r>
        <w:rPr>
          <w:rFonts w:ascii="Times New Roman" w:hAnsi="Times New Roman"/>
          <w:noProof/>
          <w:color w:val="000000" w:themeColor="text1"/>
          <w:sz w:val="24"/>
        </w:rPr>
        <w:t xml:space="preserve"> indică o tendință de creștere a numărului de proceduri</w:t>
      </w:r>
      <w:r>
        <w:rPr>
          <w:rFonts w:ascii="Times New Roman" w:eastAsia="Times New Roman" w:hAnsi="Times New Roman" w:cs="Times New Roman"/>
          <w:noProof/>
          <w:color w:val="000000" w:themeColor="text1"/>
          <w:sz w:val="24"/>
          <w:szCs w:val="24"/>
          <w:vertAlign w:val="superscript"/>
        </w:rPr>
        <w:footnoteReference w:id="32"/>
      </w:r>
      <w:r>
        <w:rPr>
          <w:rFonts w:ascii="Times New Roman" w:hAnsi="Times New Roman"/>
          <w:noProof/>
          <w:color w:val="000000" w:themeColor="text1"/>
          <w:sz w:val="24"/>
        </w:rPr>
        <w:t xml:space="preserve"> inițiate în urma inspecțiilor, de la </w:t>
      </w:r>
      <w:r w:rsidRPr="008D4701">
        <w:rPr>
          <w:rFonts w:ascii="Times New Roman" w:hAnsi="Times New Roman"/>
          <w:noProof/>
          <w:color w:val="000000" w:themeColor="text1"/>
          <w:sz w:val="24"/>
        </w:rPr>
        <w:t>30</w:t>
      </w:r>
      <w:r>
        <w:rPr>
          <w:rFonts w:ascii="Times New Roman" w:hAnsi="Times New Roman"/>
          <w:noProof/>
          <w:color w:val="000000" w:themeColor="text1"/>
          <w:sz w:val="24"/>
        </w:rPr>
        <w:t> </w:t>
      </w:r>
      <w:r w:rsidRPr="008D4701">
        <w:rPr>
          <w:rFonts w:ascii="Times New Roman" w:hAnsi="Times New Roman"/>
          <w:noProof/>
          <w:color w:val="000000" w:themeColor="text1"/>
          <w:sz w:val="24"/>
        </w:rPr>
        <w:t>660</w:t>
      </w:r>
      <w:r>
        <w:rPr>
          <w:rFonts w:ascii="Times New Roman" w:hAnsi="Times New Roman"/>
          <w:noProof/>
          <w:color w:val="000000" w:themeColor="text1"/>
          <w:sz w:val="24"/>
        </w:rPr>
        <w:t xml:space="preserve"> în </w:t>
      </w:r>
      <w:r w:rsidRPr="008D4701">
        <w:rPr>
          <w:rFonts w:ascii="Times New Roman" w:hAnsi="Times New Roman"/>
          <w:noProof/>
          <w:color w:val="000000" w:themeColor="text1"/>
          <w:sz w:val="24"/>
        </w:rPr>
        <w:t>2021</w:t>
      </w:r>
      <w:r>
        <w:rPr>
          <w:rFonts w:ascii="Times New Roman" w:hAnsi="Times New Roman"/>
          <w:noProof/>
          <w:color w:val="000000" w:themeColor="text1"/>
          <w:sz w:val="24"/>
        </w:rPr>
        <w:t xml:space="preserve"> la </w:t>
      </w:r>
      <w:r w:rsidRPr="008D4701">
        <w:rPr>
          <w:rFonts w:ascii="Times New Roman" w:hAnsi="Times New Roman"/>
          <w:noProof/>
          <w:color w:val="000000" w:themeColor="text1"/>
          <w:sz w:val="24"/>
        </w:rPr>
        <w:t>40</w:t>
      </w:r>
      <w:r>
        <w:rPr>
          <w:rFonts w:ascii="Times New Roman" w:hAnsi="Times New Roman"/>
          <w:noProof/>
          <w:color w:val="000000" w:themeColor="text1"/>
          <w:sz w:val="24"/>
        </w:rPr>
        <w:t> </w:t>
      </w:r>
      <w:r w:rsidRPr="008D4701">
        <w:rPr>
          <w:rFonts w:ascii="Times New Roman" w:hAnsi="Times New Roman"/>
          <w:noProof/>
          <w:color w:val="000000" w:themeColor="text1"/>
          <w:sz w:val="24"/>
        </w:rPr>
        <w:t>661</w:t>
      </w:r>
      <w:r>
        <w:rPr>
          <w:rFonts w:ascii="Times New Roman" w:hAnsi="Times New Roman"/>
          <w:noProof/>
          <w:color w:val="000000" w:themeColor="text1"/>
          <w:sz w:val="24"/>
        </w:rPr>
        <w:t xml:space="preserve"> în </w:t>
      </w:r>
      <w:r w:rsidRPr="008D4701">
        <w:rPr>
          <w:rFonts w:ascii="Times New Roman" w:hAnsi="Times New Roman"/>
          <w:noProof/>
          <w:color w:val="000000" w:themeColor="text1"/>
          <w:sz w:val="24"/>
        </w:rPr>
        <w:t>2024</w:t>
      </w:r>
      <w:r>
        <w:rPr>
          <w:rFonts w:ascii="Times New Roman" w:hAnsi="Times New Roman"/>
          <w:noProof/>
          <w:color w:val="000000" w:themeColor="text1"/>
          <w:sz w:val="24"/>
        </w:rPr>
        <w:t>, însă o mare parte din această creștere se datorează numărului mare de proceduri inițiate de un număr restrâns de state membre</w:t>
      </w:r>
      <w:r>
        <w:rPr>
          <w:rFonts w:ascii="Times New Roman" w:hAnsi="Times New Roman" w:cs="Times New Roman"/>
          <w:noProof/>
          <w:color w:val="000000" w:themeColor="text1"/>
          <w:sz w:val="24"/>
          <w:szCs w:val="24"/>
          <w:vertAlign w:val="superscript"/>
        </w:rPr>
        <w:footnoteReference w:id="33"/>
      </w:r>
      <w:r>
        <w:rPr>
          <w:rFonts w:ascii="Times New Roman" w:hAnsi="Times New Roman"/>
          <w:noProof/>
          <w:color w:val="000000" w:themeColor="text1"/>
          <w:sz w:val="24"/>
        </w:rPr>
        <w:t xml:space="preserve"> (a se vedea graficul </w:t>
      </w:r>
      <w:r w:rsidRPr="008D4701">
        <w:rPr>
          <w:rFonts w:ascii="Times New Roman" w:hAnsi="Times New Roman"/>
          <w:noProof/>
          <w:color w:val="000000" w:themeColor="text1"/>
          <w:sz w:val="24"/>
        </w:rPr>
        <w:t>3</w:t>
      </w:r>
      <w:r>
        <w:rPr>
          <w:rFonts w:ascii="Times New Roman" w:hAnsi="Times New Roman"/>
          <w:noProof/>
          <w:color w:val="000000" w:themeColor="text1"/>
          <w:sz w:val="24"/>
        </w:rPr>
        <w:t xml:space="preserve"> din anexă).</w:t>
      </w:r>
    </w:p>
    <w:p w14:paraId="34C9D7F4" w14:textId="27874B72" w:rsidR="00077A20" w:rsidRPr="008D4701" w:rsidRDefault="00077A20" w:rsidP="00077A20">
      <w:pPr>
        <w:numPr>
          <w:ilvl w:val="1"/>
          <w:numId w:val="0"/>
        </w:numPr>
        <w:spacing w:after="120" w:line="276" w:lineRule="auto"/>
        <w:ind w:left="792" w:hanging="432"/>
        <w:contextualSpacing/>
        <w:jc w:val="both"/>
        <w:outlineLvl w:val="1"/>
        <w:rPr>
          <w:rFonts w:ascii="Times New Roman" w:eastAsia="Times New Roman" w:hAnsi="Times New Roman" w:cs="Times New Roman"/>
          <w:b/>
          <w:bCs/>
          <w:noProof/>
          <w:sz w:val="24"/>
          <w:szCs w:val="24"/>
          <w14:ligatures w14:val="none"/>
        </w:rPr>
      </w:pPr>
      <w:bookmarkStart w:id="17" w:name="_Toc210315961"/>
      <w:bookmarkStart w:id="18" w:name="_Toc215743785"/>
      <w:r w:rsidRPr="008D4701">
        <w:rPr>
          <w:rFonts w:ascii="Times New Roman" w:hAnsi="Times New Roman"/>
          <w:b/>
          <w:noProof/>
          <w:sz w:val="24"/>
        </w:rPr>
        <w:t xml:space="preserve">2.2 Sancțiuni financiare </w:t>
      </w:r>
      <w:bookmarkEnd w:id="17"/>
      <w:bookmarkEnd w:id="18"/>
    </w:p>
    <w:p w14:paraId="3E6E6FAD" w14:textId="2227E4A7"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În perioada </w:t>
      </w:r>
      <w:r w:rsidRPr="008D4701">
        <w:rPr>
          <w:rFonts w:ascii="Times New Roman" w:hAnsi="Times New Roman"/>
          <w:noProof/>
          <w:color w:val="000000" w:themeColor="text1"/>
          <w:sz w:val="24"/>
        </w:rPr>
        <w:t>2021</w:t>
      </w:r>
      <w:r>
        <w:rPr>
          <w:rFonts w:ascii="Times New Roman" w:hAnsi="Times New Roman"/>
          <w:noProof/>
          <w:color w:val="000000" w:themeColor="text1"/>
          <w:sz w:val="24"/>
        </w:rPr>
        <w:t>-</w:t>
      </w:r>
      <w:r w:rsidRPr="008D4701">
        <w:rPr>
          <w:rFonts w:ascii="Times New Roman" w:hAnsi="Times New Roman"/>
          <w:noProof/>
          <w:color w:val="000000" w:themeColor="text1"/>
          <w:sz w:val="24"/>
        </w:rPr>
        <w:t>2024</w:t>
      </w:r>
      <w:r>
        <w:rPr>
          <w:rFonts w:ascii="Times New Roman" w:hAnsi="Times New Roman"/>
          <w:noProof/>
          <w:color w:val="000000" w:themeColor="text1"/>
          <w:sz w:val="24"/>
        </w:rPr>
        <w:t xml:space="preserve">, </w:t>
      </w:r>
      <w:r w:rsidRPr="008D4701">
        <w:rPr>
          <w:rFonts w:ascii="Times New Roman" w:hAnsi="Times New Roman"/>
          <w:noProof/>
          <w:color w:val="000000" w:themeColor="text1"/>
          <w:sz w:val="24"/>
        </w:rPr>
        <w:t>14</w:t>
      </w:r>
      <w:r>
        <w:rPr>
          <w:rFonts w:ascii="Times New Roman" w:hAnsi="Times New Roman"/>
          <w:noProof/>
          <w:color w:val="000000" w:themeColor="text1"/>
          <w:sz w:val="24"/>
        </w:rPr>
        <w:t xml:space="preserve"> state membre</w:t>
      </w:r>
      <w:r>
        <w:rPr>
          <w:rFonts w:ascii="Times New Roman" w:eastAsia="Times New Roman" w:hAnsi="Times New Roman" w:cs="Times New Roman"/>
          <w:noProof/>
          <w:color w:val="000000" w:themeColor="text1"/>
          <w:sz w:val="24"/>
          <w:szCs w:val="24"/>
          <w:vertAlign w:val="superscript"/>
        </w:rPr>
        <w:footnoteReference w:id="34"/>
      </w:r>
      <w:r>
        <w:rPr>
          <w:rFonts w:ascii="Times New Roman" w:hAnsi="Times New Roman"/>
          <w:noProof/>
          <w:color w:val="000000" w:themeColor="text1"/>
          <w:sz w:val="24"/>
        </w:rPr>
        <w:t xml:space="preserve"> au efectuat modificări legislative relevante în contextul directivei, fie crescând nivelul minim și/sau maxim al sancțiunilor financiare, fie revizuind în sens ascendent cuantumul acestora. Acest lucru indică o tendință către sancțiuni mai disuasive</w:t>
      </w:r>
      <w:r>
        <w:rPr>
          <w:rFonts w:ascii="Times New Roman" w:eastAsiaTheme="minorEastAsia" w:hAnsi="Times New Roman" w:cs="Times New Roman"/>
          <w:noProof/>
          <w:color w:val="000000" w:themeColor="text1"/>
          <w:sz w:val="24"/>
          <w:szCs w:val="24"/>
          <w:vertAlign w:val="superscript"/>
        </w:rPr>
        <w:footnoteReference w:id="35"/>
      </w:r>
      <w:r>
        <w:rPr>
          <w:rFonts w:ascii="Times New Roman" w:hAnsi="Times New Roman"/>
          <w:noProof/>
          <w:color w:val="000000" w:themeColor="text1"/>
          <w:sz w:val="24"/>
        </w:rPr>
        <w:t xml:space="preserve">, deși există în continuare diferențe semnificative între statele membre în ceea ce privește nivelurile amenzilor. </w:t>
      </w:r>
    </w:p>
    <w:p w14:paraId="2DBF16FE" w14:textId="0777DFF0"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Statele membre stabilesc sancțiunile financiare în funcție de salariul minim sau orar</w:t>
      </w:r>
      <w:r>
        <w:rPr>
          <w:rFonts w:ascii="Times New Roman" w:eastAsia="Times New Roman" w:hAnsi="Times New Roman" w:cs="Times New Roman"/>
          <w:noProof/>
          <w:color w:val="000000" w:themeColor="text1"/>
          <w:sz w:val="24"/>
          <w:szCs w:val="24"/>
          <w:vertAlign w:val="superscript"/>
        </w:rPr>
        <w:footnoteReference w:id="36"/>
      </w:r>
      <w:r>
        <w:rPr>
          <w:rFonts w:ascii="Times New Roman" w:hAnsi="Times New Roman"/>
          <w:noProof/>
          <w:color w:val="000000" w:themeColor="text1"/>
          <w:sz w:val="24"/>
        </w:rPr>
        <w:t>, de prețul de bază</w:t>
      </w:r>
      <w:r>
        <w:rPr>
          <w:rFonts w:ascii="Times New Roman" w:eastAsia="Times New Roman" w:hAnsi="Times New Roman" w:cs="Times New Roman"/>
          <w:noProof/>
          <w:color w:val="000000" w:themeColor="text1"/>
          <w:sz w:val="24"/>
          <w:szCs w:val="24"/>
          <w:vertAlign w:val="superscript"/>
        </w:rPr>
        <w:footnoteReference w:id="37"/>
      </w:r>
      <w:r>
        <w:rPr>
          <w:rFonts w:ascii="Times New Roman" w:hAnsi="Times New Roman"/>
          <w:noProof/>
          <w:color w:val="000000" w:themeColor="text1"/>
          <w:sz w:val="24"/>
        </w:rPr>
        <w:t>, stabilesc cuantumuri fixe</w:t>
      </w:r>
      <w:r>
        <w:rPr>
          <w:rFonts w:ascii="Times New Roman" w:eastAsia="Times New Roman" w:hAnsi="Times New Roman" w:cs="Times New Roman"/>
          <w:noProof/>
          <w:color w:val="000000" w:themeColor="text1"/>
          <w:sz w:val="24"/>
          <w:szCs w:val="24"/>
          <w:vertAlign w:val="superscript"/>
        </w:rPr>
        <w:footnoteReference w:id="38"/>
      </w:r>
      <w:r>
        <w:rPr>
          <w:rFonts w:ascii="Times New Roman" w:hAnsi="Times New Roman"/>
          <w:noProof/>
          <w:color w:val="000000" w:themeColor="text1"/>
          <w:sz w:val="24"/>
        </w:rPr>
        <w:t xml:space="preserve"> sau prevăd o aplicare treptată a sancțiunilor bazată pe proporționalitate, pe circumstanțele legate de angajator și pe opțiunea de a nu emite o sancțiune</w:t>
      </w:r>
      <w:r>
        <w:rPr>
          <w:rFonts w:ascii="Times New Roman" w:eastAsia="Times New Roman" w:hAnsi="Times New Roman" w:cs="Times New Roman"/>
          <w:noProof/>
          <w:color w:val="000000" w:themeColor="text1"/>
          <w:sz w:val="24"/>
          <w:szCs w:val="24"/>
          <w:vertAlign w:val="superscript"/>
        </w:rPr>
        <w:footnoteReference w:id="39"/>
      </w:r>
      <w:r>
        <w:rPr>
          <w:rFonts w:ascii="Times New Roman" w:hAnsi="Times New Roman"/>
          <w:noProof/>
          <w:color w:val="000000" w:themeColor="text1"/>
          <w:sz w:val="24"/>
        </w:rPr>
        <w:t xml:space="preserve">. </w:t>
      </w:r>
    </w:p>
    <w:p w14:paraId="16E1CB45" w14:textId="25CAEE57"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Toate statele membre iau în considerare numărul lucrătorilor migranți aflați în situație ilegală angajați și, în majoritatea cazurilor, cresc amenzile pentru încălcări repetate. Aproximativ jumătate dintre ele</w:t>
      </w:r>
      <w:r>
        <w:rPr>
          <w:rFonts w:ascii="Times New Roman" w:eastAsia="Times New Roman" w:hAnsi="Times New Roman" w:cs="Times New Roman"/>
          <w:noProof/>
          <w:color w:val="000000" w:themeColor="text1"/>
          <w:sz w:val="24"/>
          <w:szCs w:val="24"/>
          <w:vertAlign w:val="superscript"/>
        </w:rPr>
        <w:footnoteReference w:id="40"/>
      </w:r>
      <w:r>
        <w:rPr>
          <w:rFonts w:ascii="Times New Roman" w:hAnsi="Times New Roman"/>
          <w:noProof/>
          <w:color w:val="000000" w:themeColor="text1"/>
          <w:sz w:val="24"/>
        </w:rPr>
        <w:t xml:space="preserve"> iau în considerare gravitatea încălcării (de exemplu, numărul de lucrători vizați, prezența lucrătorilor minori). Șapte state membre</w:t>
      </w:r>
      <w:r>
        <w:rPr>
          <w:rFonts w:ascii="Times New Roman" w:eastAsia="Times New Roman" w:hAnsi="Times New Roman" w:cs="Times New Roman"/>
          <w:noProof/>
          <w:color w:val="000000" w:themeColor="text1"/>
          <w:sz w:val="24"/>
          <w:szCs w:val="24"/>
          <w:vertAlign w:val="superscript"/>
        </w:rPr>
        <w:footnoteReference w:id="41"/>
      </w:r>
      <w:r>
        <w:rPr>
          <w:rFonts w:ascii="Times New Roman" w:hAnsi="Times New Roman"/>
          <w:noProof/>
          <w:color w:val="000000" w:themeColor="text1"/>
          <w:sz w:val="24"/>
        </w:rPr>
        <w:t xml:space="preserve"> au raportat că sancțiunea financiară este redusă în cazul în care angajatorul este o persoană fizică și nu se constată condiții de muncă extrem de abuzive.</w:t>
      </w:r>
    </w:p>
    <w:p w14:paraId="6F3FC3FF" w14:textId="6678FCB4" w:rsidR="00077A20" w:rsidRPr="00A359E1" w:rsidDel="00CC152C"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În ceea ce privește amenzile aplicate angajatorilor pentru fiecare migrant aflat în situație ilegală angajat, sancțiunile minime variază de la mai puțin de </w:t>
      </w:r>
      <w:r w:rsidRPr="008D4701">
        <w:rPr>
          <w:rFonts w:ascii="Times New Roman" w:hAnsi="Times New Roman"/>
          <w:noProof/>
          <w:color w:val="000000" w:themeColor="text1"/>
          <w:sz w:val="24"/>
        </w:rPr>
        <w:t>500</w:t>
      </w:r>
      <w:r>
        <w:rPr>
          <w:rFonts w:ascii="Times New Roman" w:hAnsi="Times New Roman"/>
          <w:noProof/>
          <w:color w:val="000000" w:themeColor="text1"/>
          <w:sz w:val="24"/>
        </w:rPr>
        <w:t> EUR</w:t>
      </w:r>
      <w:r>
        <w:rPr>
          <w:rFonts w:ascii="Times New Roman" w:eastAsia="Times New Roman" w:hAnsi="Times New Roman" w:cs="Times New Roman"/>
          <w:noProof/>
          <w:color w:val="000000" w:themeColor="text1"/>
          <w:sz w:val="24"/>
          <w:szCs w:val="24"/>
          <w:vertAlign w:val="superscript"/>
        </w:rPr>
        <w:footnoteReference w:id="42"/>
      </w:r>
      <w:r>
        <w:rPr>
          <w:rFonts w:ascii="Times New Roman" w:hAnsi="Times New Roman"/>
          <w:noProof/>
          <w:color w:val="000000" w:themeColor="text1"/>
          <w:sz w:val="24"/>
        </w:rPr>
        <w:t xml:space="preserve"> la </w:t>
      </w:r>
      <w:r w:rsidRPr="008D4701">
        <w:rPr>
          <w:rFonts w:ascii="Times New Roman" w:hAnsi="Times New Roman"/>
          <w:noProof/>
          <w:color w:val="000000" w:themeColor="text1"/>
          <w:sz w:val="24"/>
        </w:rPr>
        <w:t>1</w:t>
      </w:r>
      <w:r>
        <w:rPr>
          <w:rFonts w:ascii="Times New Roman" w:hAnsi="Times New Roman"/>
          <w:noProof/>
          <w:color w:val="000000" w:themeColor="text1"/>
          <w:sz w:val="24"/>
        </w:rPr>
        <w:t> </w:t>
      </w:r>
      <w:r w:rsidRPr="008D4701">
        <w:rPr>
          <w:rFonts w:ascii="Times New Roman" w:hAnsi="Times New Roman"/>
          <w:noProof/>
          <w:color w:val="000000" w:themeColor="text1"/>
          <w:sz w:val="24"/>
        </w:rPr>
        <w:t>000</w:t>
      </w:r>
      <w:r>
        <w:rPr>
          <w:rFonts w:ascii="Times New Roman" w:hAnsi="Times New Roman"/>
          <w:noProof/>
          <w:color w:val="000000" w:themeColor="text1"/>
          <w:sz w:val="24"/>
        </w:rPr>
        <w:t>-</w:t>
      </w:r>
      <w:r w:rsidRPr="008D4701">
        <w:rPr>
          <w:rFonts w:ascii="Times New Roman" w:hAnsi="Times New Roman"/>
          <w:noProof/>
          <w:color w:val="000000" w:themeColor="text1"/>
          <w:sz w:val="24"/>
        </w:rPr>
        <w:t>2</w:t>
      </w:r>
      <w:r>
        <w:rPr>
          <w:rFonts w:ascii="Times New Roman" w:hAnsi="Times New Roman"/>
          <w:noProof/>
          <w:color w:val="000000" w:themeColor="text1"/>
          <w:sz w:val="24"/>
        </w:rPr>
        <w:t> </w:t>
      </w:r>
      <w:r w:rsidRPr="008D4701">
        <w:rPr>
          <w:rFonts w:ascii="Times New Roman" w:hAnsi="Times New Roman"/>
          <w:noProof/>
          <w:color w:val="000000" w:themeColor="text1"/>
          <w:sz w:val="24"/>
        </w:rPr>
        <w:t>000</w:t>
      </w:r>
      <w:r>
        <w:rPr>
          <w:rFonts w:ascii="Times New Roman" w:hAnsi="Times New Roman"/>
          <w:noProof/>
          <w:color w:val="000000" w:themeColor="text1"/>
          <w:sz w:val="24"/>
        </w:rPr>
        <w:t> EUR</w:t>
      </w:r>
      <w:r>
        <w:rPr>
          <w:rFonts w:ascii="Times New Roman" w:eastAsia="Times New Roman" w:hAnsi="Times New Roman" w:cs="Times New Roman"/>
          <w:noProof/>
          <w:color w:val="000000" w:themeColor="text1"/>
          <w:sz w:val="24"/>
          <w:szCs w:val="24"/>
          <w:vertAlign w:val="superscript"/>
        </w:rPr>
        <w:footnoteReference w:id="43"/>
      </w:r>
      <w:r>
        <w:rPr>
          <w:rFonts w:ascii="Times New Roman" w:hAnsi="Times New Roman"/>
          <w:noProof/>
          <w:color w:val="000000" w:themeColor="text1"/>
          <w:sz w:val="24"/>
        </w:rPr>
        <w:t xml:space="preserve">, putând ajunge chiar la </w:t>
      </w:r>
      <w:r w:rsidRPr="008D4701">
        <w:rPr>
          <w:rFonts w:ascii="Times New Roman" w:hAnsi="Times New Roman"/>
          <w:noProof/>
          <w:color w:val="000000" w:themeColor="text1"/>
          <w:sz w:val="24"/>
        </w:rPr>
        <w:t>5</w:t>
      </w:r>
      <w:r>
        <w:rPr>
          <w:rFonts w:ascii="Times New Roman" w:hAnsi="Times New Roman"/>
          <w:noProof/>
          <w:color w:val="000000" w:themeColor="text1"/>
          <w:sz w:val="24"/>
        </w:rPr>
        <w:t> </w:t>
      </w:r>
      <w:r w:rsidRPr="008D4701">
        <w:rPr>
          <w:rFonts w:ascii="Times New Roman" w:hAnsi="Times New Roman"/>
          <w:noProof/>
          <w:color w:val="000000" w:themeColor="text1"/>
          <w:sz w:val="24"/>
        </w:rPr>
        <w:t>000</w:t>
      </w:r>
      <w:r>
        <w:rPr>
          <w:rFonts w:ascii="Times New Roman" w:hAnsi="Times New Roman"/>
          <w:noProof/>
          <w:color w:val="000000" w:themeColor="text1"/>
          <w:sz w:val="24"/>
        </w:rPr>
        <w:t xml:space="preserve"> EUR și </w:t>
      </w:r>
      <w:r w:rsidRPr="008D4701">
        <w:rPr>
          <w:rFonts w:ascii="Times New Roman" w:hAnsi="Times New Roman"/>
          <w:noProof/>
          <w:color w:val="000000" w:themeColor="text1"/>
          <w:sz w:val="24"/>
        </w:rPr>
        <w:t>10</w:t>
      </w:r>
      <w:r>
        <w:rPr>
          <w:rFonts w:ascii="Times New Roman" w:hAnsi="Times New Roman"/>
          <w:noProof/>
          <w:color w:val="000000" w:themeColor="text1"/>
          <w:sz w:val="24"/>
        </w:rPr>
        <w:t> </w:t>
      </w:r>
      <w:r w:rsidRPr="008D4701">
        <w:rPr>
          <w:rFonts w:ascii="Times New Roman" w:hAnsi="Times New Roman"/>
          <w:noProof/>
          <w:color w:val="000000" w:themeColor="text1"/>
          <w:sz w:val="24"/>
        </w:rPr>
        <w:t>000</w:t>
      </w:r>
      <w:r>
        <w:rPr>
          <w:rFonts w:ascii="Times New Roman" w:hAnsi="Times New Roman"/>
          <w:noProof/>
          <w:color w:val="000000" w:themeColor="text1"/>
          <w:sz w:val="24"/>
        </w:rPr>
        <w:t> EUR</w:t>
      </w:r>
      <w:r>
        <w:rPr>
          <w:rFonts w:ascii="Times New Roman" w:eastAsiaTheme="minorEastAsia" w:hAnsi="Times New Roman" w:cs="Times New Roman"/>
          <w:noProof/>
          <w:sz w:val="24"/>
          <w:szCs w:val="24"/>
          <w:vertAlign w:val="superscript"/>
        </w:rPr>
        <w:footnoteReference w:id="44"/>
      </w:r>
      <w:r>
        <w:rPr>
          <w:rFonts w:ascii="Times New Roman" w:hAnsi="Times New Roman"/>
          <w:noProof/>
          <w:color w:val="000000" w:themeColor="text1"/>
          <w:sz w:val="24"/>
        </w:rPr>
        <w:t>. În schimb, unele state membre nu prevăd o sancțiune minimă</w:t>
      </w:r>
      <w:r>
        <w:rPr>
          <w:rFonts w:ascii="Times New Roman" w:eastAsia="Times New Roman" w:hAnsi="Times New Roman" w:cs="Times New Roman"/>
          <w:noProof/>
          <w:color w:val="000000" w:themeColor="text1"/>
          <w:sz w:val="24"/>
          <w:szCs w:val="24"/>
          <w:vertAlign w:val="superscript"/>
        </w:rPr>
        <w:footnoteReference w:id="45"/>
      </w:r>
      <w:r>
        <w:rPr>
          <w:rFonts w:ascii="Times New Roman" w:hAnsi="Times New Roman"/>
          <w:noProof/>
          <w:color w:val="000000" w:themeColor="text1"/>
          <w:sz w:val="24"/>
        </w:rPr>
        <w:t xml:space="preserve">. Sancțiunile maxime variază de la </w:t>
      </w:r>
      <w:r w:rsidRPr="008D4701">
        <w:rPr>
          <w:rFonts w:ascii="Times New Roman" w:hAnsi="Times New Roman"/>
          <w:noProof/>
          <w:color w:val="000000" w:themeColor="text1"/>
          <w:sz w:val="24"/>
        </w:rPr>
        <w:t>3</w:t>
      </w:r>
      <w:r>
        <w:rPr>
          <w:rFonts w:ascii="Times New Roman" w:hAnsi="Times New Roman"/>
          <w:noProof/>
          <w:color w:val="000000" w:themeColor="text1"/>
          <w:sz w:val="24"/>
        </w:rPr>
        <w:t> </w:t>
      </w:r>
      <w:r w:rsidRPr="008D4701">
        <w:rPr>
          <w:rFonts w:ascii="Times New Roman" w:hAnsi="Times New Roman"/>
          <w:noProof/>
          <w:color w:val="000000" w:themeColor="text1"/>
          <w:sz w:val="24"/>
        </w:rPr>
        <w:t>000</w:t>
      </w:r>
      <w:r>
        <w:rPr>
          <w:rFonts w:ascii="Times New Roman" w:hAnsi="Times New Roman"/>
          <w:noProof/>
          <w:color w:val="000000" w:themeColor="text1"/>
          <w:sz w:val="24"/>
        </w:rPr>
        <w:t> EUR</w:t>
      </w:r>
      <w:r>
        <w:rPr>
          <w:rFonts w:ascii="Times New Roman" w:eastAsia="Times New Roman" w:hAnsi="Times New Roman" w:cs="Times New Roman"/>
          <w:noProof/>
          <w:color w:val="000000" w:themeColor="text1"/>
          <w:sz w:val="24"/>
          <w:szCs w:val="24"/>
          <w:vertAlign w:val="superscript"/>
        </w:rPr>
        <w:footnoteReference w:id="46"/>
      </w:r>
      <w:r>
        <w:rPr>
          <w:rFonts w:ascii="Times New Roman" w:hAnsi="Times New Roman"/>
          <w:noProof/>
          <w:color w:val="000000" w:themeColor="text1"/>
          <w:sz w:val="24"/>
        </w:rPr>
        <w:t xml:space="preserve"> la </w:t>
      </w:r>
      <w:r w:rsidRPr="008D4701">
        <w:rPr>
          <w:rFonts w:ascii="Times New Roman" w:hAnsi="Times New Roman"/>
          <w:noProof/>
          <w:color w:val="000000" w:themeColor="text1"/>
          <w:sz w:val="24"/>
        </w:rPr>
        <w:t>25</w:t>
      </w:r>
      <w:r>
        <w:rPr>
          <w:rFonts w:ascii="Times New Roman" w:hAnsi="Times New Roman"/>
          <w:noProof/>
          <w:color w:val="000000" w:themeColor="text1"/>
          <w:sz w:val="24"/>
        </w:rPr>
        <w:t> </w:t>
      </w:r>
      <w:r w:rsidRPr="008D4701">
        <w:rPr>
          <w:rFonts w:ascii="Times New Roman" w:hAnsi="Times New Roman"/>
          <w:noProof/>
          <w:color w:val="000000" w:themeColor="text1"/>
          <w:sz w:val="24"/>
        </w:rPr>
        <w:t>000</w:t>
      </w:r>
      <w:r>
        <w:rPr>
          <w:rFonts w:ascii="Times New Roman" w:hAnsi="Times New Roman"/>
          <w:noProof/>
          <w:color w:val="000000" w:themeColor="text1"/>
          <w:sz w:val="24"/>
        </w:rPr>
        <w:t>-</w:t>
      </w:r>
      <w:r w:rsidRPr="008D4701">
        <w:rPr>
          <w:rFonts w:ascii="Times New Roman" w:hAnsi="Times New Roman"/>
          <w:noProof/>
          <w:color w:val="000000" w:themeColor="text1"/>
          <w:sz w:val="24"/>
        </w:rPr>
        <w:t>90</w:t>
      </w:r>
      <w:r>
        <w:rPr>
          <w:rFonts w:ascii="Times New Roman" w:hAnsi="Times New Roman"/>
          <w:noProof/>
          <w:color w:val="000000" w:themeColor="text1"/>
          <w:sz w:val="24"/>
        </w:rPr>
        <w:t> </w:t>
      </w:r>
      <w:r w:rsidRPr="008D4701">
        <w:rPr>
          <w:rFonts w:ascii="Times New Roman" w:hAnsi="Times New Roman"/>
          <w:noProof/>
          <w:color w:val="000000" w:themeColor="text1"/>
          <w:sz w:val="24"/>
        </w:rPr>
        <w:t>000</w:t>
      </w:r>
      <w:r>
        <w:rPr>
          <w:rFonts w:ascii="Times New Roman" w:hAnsi="Times New Roman"/>
          <w:noProof/>
          <w:color w:val="000000" w:themeColor="text1"/>
          <w:sz w:val="24"/>
        </w:rPr>
        <w:t> EUR</w:t>
      </w:r>
      <w:r>
        <w:rPr>
          <w:rFonts w:ascii="Times New Roman" w:eastAsia="Times New Roman" w:hAnsi="Times New Roman" w:cs="Times New Roman"/>
          <w:noProof/>
          <w:color w:val="000000" w:themeColor="text1"/>
          <w:sz w:val="24"/>
          <w:szCs w:val="24"/>
          <w:vertAlign w:val="superscript"/>
        </w:rPr>
        <w:footnoteReference w:id="47"/>
      </w:r>
      <w:r>
        <w:rPr>
          <w:rFonts w:ascii="Times New Roman" w:hAnsi="Times New Roman"/>
          <w:noProof/>
          <w:color w:val="000000" w:themeColor="text1"/>
          <w:sz w:val="24"/>
        </w:rPr>
        <w:t xml:space="preserve">, putând ajunge și la </w:t>
      </w:r>
      <w:r w:rsidRPr="008D4701">
        <w:rPr>
          <w:rFonts w:ascii="Times New Roman" w:hAnsi="Times New Roman"/>
          <w:noProof/>
          <w:color w:val="000000" w:themeColor="text1"/>
          <w:sz w:val="24"/>
        </w:rPr>
        <w:t>200</w:t>
      </w:r>
      <w:r>
        <w:rPr>
          <w:rFonts w:ascii="Times New Roman" w:hAnsi="Times New Roman"/>
          <w:noProof/>
          <w:color w:val="000000" w:themeColor="text1"/>
          <w:sz w:val="24"/>
        </w:rPr>
        <w:t> </w:t>
      </w:r>
      <w:r w:rsidRPr="008D4701">
        <w:rPr>
          <w:rFonts w:ascii="Times New Roman" w:hAnsi="Times New Roman"/>
          <w:noProof/>
          <w:color w:val="000000" w:themeColor="text1"/>
          <w:sz w:val="24"/>
        </w:rPr>
        <w:t>000</w:t>
      </w:r>
      <w:r>
        <w:rPr>
          <w:rFonts w:ascii="Times New Roman" w:hAnsi="Times New Roman"/>
          <w:noProof/>
          <w:color w:val="000000" w:themeColor="text1"/>
          <w:sz w:val="24"/>
        </w:rPr>
        <w:t>-</w:t>
      </w:r>
      <w:r w:rsidRPr="008D4701">
        <w:rPr>
          <w:rFonts w:ascii="Times New Roman" w:hAnsi="Times New Roman"/>
          <w:noProof/>
          <w:color w:val="000000" w:themeColor="text1"/>
          <w:sz w:val="24"/>
        </w:rPr>
        <w:t>500</w:t>
      </w:r>
      <w:r>
        <w:rPr>
          <w:rFonts w:ascii="Times New Roman" w:hAnsi="Times New Roman"/>
          <w:noProof/>
          <w:color w:val="000000" w:themeColor="text1"/>
          <w:sz w:val="24"/>
        </w:rPr>
        <w:t> </w:t>
      </w:r>
      <w:r w:rsidRPr="008D4701">
        <w:rPr>
          <w:rFonts w:ascii="Times New Roman" w:hAnsi="Times New Roman"/>
          <w:noProof/>
          <w:color w:val="000000" w:themeColor="text1"/>
          <w:sz w:val="24"/>
        </w:rPr>
        <w:t>000</w:t>
      </w:r>
      <w:r>
        <w:rPr>
          <w:rFonts w:ascii="Times New Roman" w:hAnsi="Times New Roman"/>
          <w:noProof/>
          <w:color w:val="000000" w:themeColor="text1"/>
          <w:sz w:val="24"/>
        </w:rPr>
        <w:t> EUR</w:t>
      </w:r>
      <w:r>
        <w:rPr>
          <w:rFonts w:ascii="Times New Roman" w:eastAsia="Times New Roman" w:hAnsi="Times New Roman" w:cs="Times New Roman"/>
          <w:noProof/>
          <w:color w:val="000000" w:themeColor="text1"/>
          <w:sz w:val="24"/>
          <w:szCs w:val="24"/>
          <w:vertAlign w:val="superscript"/>
        </w:rPr>
        <w:footnoteReference w:id="48"/>
      </w:r>
      <w:r>
        <w:rPr>
          <w:rFonts w:ascii="Times New Roman" w:hAnsi="Times New Roman"/>
          <w:noProof/>
          <w:color w:val="000000" w:themeColor="text1"/>
          <w:sz w:val="24"/>
        </w:rPr>
        <w:t>. Într-un stat membru</w:t>
      </w:r>
      <w:r>
        <w:rPr>
          <w:rFonts w:ascii="Times New Roman" w:eastAsia="Times New Roman" w:hAnsi="Times New Roman" w:cs="Times New Roman"/>
          <w:noProof/>
          <w:color w:val="000000" w:themeColor="text1"/>
          <w:sz w:val="24"/>
          <w:szCs w:val="24"/>
          <w:vertAlign w:val="superscript"/>
        </w:rPr>
        <w:footnoteReference w:id="49"/>
      </w:r>
      <w:r>
        <w:rPr>
          <w:rFonts w:ascii="Times New Roman" w:hAnsi="Times New Roman"/>
          <w:noProof/>
          <w:color w:val="000000" w:themeColor="text1"/>
          <w:sz w:val="24"/>
        </w:rPr>
        <w:t xml:space="preserve">, sancțiunea financiară este de </w:t>
      </w:r>
      <w:r w:rsidRPr="008D4701">
        <w:rPr>
          <w:rFonts w:ascii="Times New Roman" w:hAnsi="Times New Roman"/>
          <w:noProof/>
          <w:color w:val="000000" w:themeColor="text1"/>
          <w:sz w:val="24"/>
        </w:rPr>
        <w:t>5</w:t>
      </w:r>
      <w:r>
        <w:rPr>
          <w:rFonts w:ascii="Times New Roman" w:hAnsi="Times New Roman"/>
          <w:noProof/>
          <w:color w:val="000000" w:themeColor="text1"/>
          <w:sz w:val="24"/>
        </w:rPr>
        <w:t> </w:t>
      </w:r>
      <w:r w:rsidRPr="008D4701">
        <w:rPr>
          <w:rFonts w:ascii="Times New Roman" w:hAnsi="Times New Roman"/>
          <w:noProof/>
          <w:color w:val="000000" w:themeColor="text1"/>
          <w:sz w:val="24"/>
        </w:rPr>
        <w:t>000</w:t>
      </w:r>
      <w:r>
        <w:rPr>
          <w:rFonts w:ascii="Times New Roman" w:hAnsi="Times New Roman"/>
          <w:noProof/>
          <w:color w:val="000000" w:themeColor="text1"/>
          <w:sz w:val="24"/>
        </w:rPr>
        <w:t> EUR, plus pedeapsa cu închisoarea.</w:t>
      </w:r>
    </w:p>
    <w:p w14:paraId="7C4EF4BC" w14:textId="134E8E11"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Cuantumul total al sancțiunilor financiare aplicate efectiv angajatorilor din întreaga UE în perioada de raportare a crescut de la </w:t>
      </w:r>
      <w:r w:rsidRPr="008D4701">
        <w:rPr>
          <w:rFonts w:ascii="Times New Roman" w:hAnsi="Times New Roman"/>
          <w:noProof/>
          <w:color w:val="000000" w:themeColor="text1"/>
          <w:sz w:val="24"/>
        </w:rPr>
        <w:t>126</w:t>
      </w:r>
      <w:r>
        <w:rPr>
          <w:rFonts w:ascii="Times New Roman" w:hAnsi="Times New Roman"/>
          <w:noProof/>
          <w:color w:val="000000" w:themeColor="text1"/>
          <w:sz w:val="24"/>
        </w:rPr>
        <w:t>,</w:t>
      </w:r>
      <w:r w:rsidRPr="008D4701">
        <w:rPr>
          <w:rFonts w:ascii="Times New Roman" w:hAnsi="Times New Roman"/>
          <w:noProof/>
          <w:color w:val="000000" w:themeColor="text1"/>
          <w:sz w:val="24"/>
        </w:rPr>
        <w:t>2</w:t>
      </w:r>
      <w:r>
        <w:rPr>
          <w:rFonts w:ascii="Times New Roman" w:hAnsi="Times New Roman"/>
          <w:noProof/>
          <w:color w:val="000000" w:themeColor="text1"/>
          <w:sz w:val="24"/>
        </w:rPr>
        <w:t xml:space="preserve"> milioane EUR în </w:t>
      </w:r>
      <w:r w:rsidRPr="008D4701">
        <w:rPr>
          <w:rFonts w:ascii="Times New Roman" w:hAnsi="Times New Roman"/>
          <w:noProof/>
          <w:color w:val="000000" w:themeColor="text1"/>
          <w:sz w:val="24"/>
        </w:rPr>
        <w:t>2021</w:t>
      </w:r>
      <w:r>
        <w:rPr>
          <w:rFonts w:ascii="Times New Roman" w:hAnsi="Times New Roman"/>
          <w:noProof/>
          <w:color w:val="000000" w:themeColor="text1"/>
          <w:sz w:val="24"/>
        </w:rPr>
        <w:t xml:space="preserve"> la peste </w:t>
      </w:r>
      <w:r w:rsidRPr="008D4701">
        <w:rPr>
          <w:rFonts w:ascii="Times New Roman" w:hAnsi="Times New Roman"/>
          <w:noProof/>
          <w:color w:val="000000" w:themeColor="text1"/>
          <w:sz w:val="24"/>
        </w:rPr>
        <w:t>170</w:t>
      </w:r>
      <w:r>
        <w:rPr>
          <w:rFonts w:ascii="Times New Roman" w:hAnsi="Times New Roman"/>
          <w:noProof/>
          <w:color w:val="000000" w:themeColor="text1"/>
          <w:sz w:val="24"/>
        </w:rPr>
        <w:t>,</w:t>
      </w:r>
      <w:r w:rsidRPr="008D4701">
        <w:rPr>
          <w:rFonts w:ascii="Times New Roman" w:hAnsi="Times New Roman"/>
          <w:noProof/>
          <w:color w:val="000000" w:themeColor="text1"/>
          <w:sz w:val="24"/>
        </w:rPr>
        <w:t>4</w:t>
      </w:r>
      <w:r>
        <w:rPr>
          <w:rFonts w:ascii="Times New Roman" w:hAnsi="Times New Roman"/>
          <w:noProof/>
          <w:color w:val="000000" w:themeColor="text1"/>
          <w:sz w:val="24"/>
        </w:rPr>
        <w:t xml:space="preserve"> milioane EUR în </w:t>
      </w:r>
      <w:r w:rsidRPr="008D4701">
        <w:rPr>
          <w:rFonts w:ascii="Times New Roman" w:hAnsi="Times New Roman"/>
          <w:noProof/>
          <w:color w:val="000000" w:themeColor="text1"/>
          <w:sz w:val="24"/>
        </w:rPr>
        <w:t>2022</w:t>
      </w:r>
      <w:r>
        <w:rPr>
          <w:rFonts w:ascii="Times New Roman" w:hAnsi="Times New Roman"/>
          <w:noProof/>
          <w:color w:val="000000" w:themeColor="text1"/>
          <w:sz w:val="24"/>
        </w:rPr>
        <w:t xml:space="preserve"> și cu mult peste </w:t>
      </w:r>
      <w:r w:rsidRPr="008D4701">
        <w:rPr>
          <w:rFonts w:ascii="Times New Roman" w:hAnsi="Times New Roman"/>
          <w:noProof/>
          <w:color w:val="000000" w:themeColor="text1"/>
          <w:sz w:val="24"/>
        </w:rPr>
        <w:t>200</w:t>
      </w:r>
      <w:r>
        <w:rPr>
          <w:rFonts w:ascii="Times New Roman" w:hAnsi="Times New Roman"/>
          <w:noProof/>
          <w:color w:val="000000" w:themeColor="text1"/>
          <w:sz w:val="24"/>
        </w:rPr>
        <w:t xml:space="preserve"> de milioane EUR în perioada </w:t>
      </w:r>
      <w:r w:rsidRPr="008D4701">
        <w:rPr>
          <w:rFonts w:ascii="Times New Roman" w:hAnsi="Times New Roman"/>
          <w:noProof/>
          <w:color w:val="000000" w:themeColor="text1"/>
          <w:sz w:val="24"/>
        </w:rPr>
        <w:t>2023</w:t>
      </w:r>
      <w:r>
        <w:rPr>
          <w:rFonts w:ascii="Times New Roman" w:hAnsi="Times New Roman"/>
          <w:noProof/>
          <w:color w:val="000000" w:themeColor="text1"/>
          <w:sz w:val="24"/>
        </w:rPr>
        <w:t>-</w:t>
      </w:r>
      <w:r w:rsidRPr="008D4701">
        <w:rPr>
          <w:rFonts w:ascii="Times New Roman" w:hAnsi="Times New Roman"/>
          <w:noProof/>
          <w:color w:val="000000" w:themeColor="text1"/>
          <w:sz w:val="24"/>
        </w:rPr>
        <w:t>2024</w:t>
      </w:r>
      <w:r>
        <w:rPr>
          <w:rFonts w:ascii="Times New Roman" w:hAnsi="Times New Roman"/>
          <w:noProof/>
          <w:color w:val="000000" w:themeColor="text1"/>
          <w:sz w:val="24"/>
        </w:rPr>
        <w:t xml:space="preserve"> (</w:t>
      </w:r>
      <w:r w:rsidRPr="008D4701">
        <w:rPr>
          <w:rFonts w:ascii="Times New Roman" w:hAnsi="Times New Roman"/>
          <w:noProof/>
          <w:color w:val="000000" w:themeColor="text1"/>
          <w:sz w:val="24"/>
        </w:rPr>
        <w:t>220</w:t>
      </w:r>
      <w:r>
        <w:rPr>
          <w:rFonts w:ascii="Times New Roman" w:hAnsi="Times New Roman"/>
          <w:noProof/>
          <w:color w:val="000000" w:themeColor="text1"/>
          <w:sz w:val="24"/>
        </w:rPr>
        <w:t>,</w:t>
      </w:r>
      <w:r w:rsidRPr="008D4701">
        <w:rPr>
          <w:rFonts w:ascii="Times New Roman" w:hAnsi="Times New Roman"/>
          <w:noProof/>
          <w:color w:val="000000" w:themeColor="text1"/>
          <w:sz w:val="24"/>
        </w:rPr>
        <w:t>8</w:t>
      </w:r>
      <w:r>
        <w:rPr>
          <w:rFonts w:ascii="Times New Roman" w:hAnsi="Times New Roman"/>
          <w:noProof/>
          <w:color w:val="000000" w:themeColor="text1"/>
          <w:sz w:val="24"/>
        </w:rPr>
        <w:t xml:space="preserve"> milioane EUR în </w:t>
      </w:r>
      <w:r w:rsidRPr="008D4701">
        <w:rPr>
          <w:rFonts w:ascii="Times New Roman" w:hAnsi="Times New Roman"/>
          <w:noProof/>
          <w:color w:val="000000" w:themeColor="text1"/>
          <w:sz w:val="24"/>
        </w:rPr>
        <w:t>2023</w:t>
      </w:r>
      <w:r>
        <w:rPr>
          <w:rFonts w:ascii="Times New Roman" w:hAnsi="Times New Roman"/>
          <w:noProof/>
          <w:color w:val="000000" w:themeColor="text1"/>
          <w:sz w:val="24"/>
        </w:rPr>
        <w:t xml:space="preserve"> și aproape </w:t>
      </w:r>
      <w:r w:rsidRPr="008D4701">
        <w:rPr>
          <w:rFonts w:ascii="Times New Roman" w:hAnsi="Times New Roman"/>
          <w:noProof/>
          <w:color w:val="000000" w:themeColor="text1"/>
          <w:sz w:val="24"/>
        </w:rPr>
        <w:t>212</w:t>
      </w:r>
      <w:r>
        <w:rPr>
          <w:rFonts w:ascii="Times New Roman" w:hAnsi="Times New Roman"/>
          <w:noProof/>
          <w:color w:val="000000" w:themeColor="text1"/>
          <w:sz w:val="24"/>
        </w:rPr>
        <w:t xml:space="preserve"> milioane EUR în </w:t>
      </w:r>
      <w:r w:rsidRPr="008D4701">
        <w:rPr>
          <w:rFonts w:ascii="Times New Roman" w:hAnsi="Times New Roman"/>
          <w:noProof/>
          <w:color w:val="000000" w:themeColor="text1"/>
          <w:sz w:val="24"/>
        </w:rPr>
        <w:t>2024</w:t>
      </w:r>
      <w:r>
        <w:rPr>
          <w:rFonts w:ascii="Times New Roman" w:hAnsi="Times New Roman"/>
          <w:noProof/>
          <w:color w:val="000000" w:themeColor="text1"/>
          <w:sz w:val="24"/>
        </w:rPr>
        <w:t xml:space="preserve">; a se vedea graficul </w:t>
      </w:r>
      <w:r w:rsidRPr="008D4701">
        <w:rPr>
          <w:rFonts w:ascii="Times New Roman" w:hAnsi="Times New Roman"/>
          <w:noProof/>
          <w:color w:val="000000" w:themeColor="text1"/>
          <w:sz w:val="24"/>
        </w:rPr>
        <w:t>4</w:t>
      </w:r>
      <w:r>
        <w:rPr>
          <w:rFonts w:ascii="Times New Roman" w:hAnsi="Times New Roman"/>
          <w:noProof/>
          <w:color w:val="000000" w:themeColor="text1"/>
          <w:sz w:val="24"/>
        </w:rPr>
        <w:t xml:space="preserve"> din anexă).</w:t>
      </w:r>
    </w:p>
    <w:p w14:paraId="7C0FCE19" w14:textId="70DC8A5C" w:rsidR="00077A20" w:rsidRPr="00A359E1" w:rsidRDefault="00DD7BAE"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Majoritatea amenzilor au fost aplicate angajatorilor din statele membre cu niveluri mai ridicate ale sancțiunilor financiare prevăzute în legislația națională, însoțite de un număr mare de proceduri inițiate</w:t>
      </w:r>
      <w:r>
        <w:rPr>
          <w:rFonts w:ascii="Times New Roman" w:eastAsia="Times New Roman" w:hAnsi="Times New Roman" w:cs="Times New Roman"/>
          <w:noProof/>
          <w:color w:val="000000" w:themeColor="text1"/>
          <w:sz w:val="24"/>
          <w:szCs w:val="24"/>
          <w:vertAlign w:val="superscript"/>
        </w:rPr>
        <w:footnoteReference w:id="50"/>
      </w:r>
      <w:r>
        <w:rPr>
          <w:rFonts w:ascii="Times New Roman" w:hAnsi="Times New Roman"/>
          <w:noProof/>
          <w:color w:val="000000" w:themeColor="text1"/>
          <w:sz w:val="24"/>
        </w:rPr>
        <w:t>. În paralel, mai multe state membre au raportat un număr mic de amenzi aplicate. Acest număr mic se explică uneori prin nivelurile relativ scăzute ale muncii nedeclarate și ale angajării ilegale de resortisanți ai țărilor terțe, ceea ce a însemnat mai puține cazuri identificate și mai puține proceduri inițiate în urma inspecțiilor</w:t>
      </w:r>
      <w:r>
        <w:rPr>
          <w:rFonts w:ascii="Times New Roman" w:eastAsia="Times New Roman" w:hAnsi="Times New Roman" w:cs="Times New Roman"/>
          <w:noProof/>
          <w:color w:val="000000" w:themeColor="text1"/>
          <w:sz w:val="24"/>
          <w:szCs w:val="24"/>
          <w:vertAlign w:val="superscript"/>
        </w:rPr>
        <w:footnoteReference w:id="51"/>
      </w:r>
      <w:r>
        <w:rPr>
          <w:rFonts w:ascii="Times New Roman" w:hAnsi="Times New Roman"/>
          <w:noProof/>
          <w:color w:val="000000" w:themeColor="text1"/>
          <w:sz w:val="24"/>
        </w:rPr>
        <w:t>.</w:t>
      </w:r>
    </w:p>
    <w:p w14:paraId="05629464" w14:textId="2FFB7455"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Unele state membre au raportat că nu au aplicat sancțiuni financiare sau nu au identificat un număr important de lucrători migranți aflați în situație ilegală</w:t>
      </w:r>
      <w:r>
        <w:rPr>
          <w:rFonts w:ascii="Times New Roman" w:eastAsia="Times New Roman" w:hAnsi="Times New Roman" w:cs="Times New Roman"/>
          <w:noProof/>
          <w:color w:val="000000" w:themeColor="text1"/>
          <w:sz w:val="24"/>
          <w:szCs w:val="24"/>
          <w:vertAlign w:val="superscript"/>
        </w:rPr>
        <w:footnoteReference w:id="52"/>
      </w:r>
      <w:r>
        <w:rPr>
          <w:rFonts w:ascii="Times New Roman" w:hAnsi="Times New Roman"/>
          <w:noProof/>
          <w:color w:val="000000" w:themeColor="text1"/>
          <w:sz w:val="24"/>
        </w:rPr>
        <w:t>, în timp ce altele au acordat prioritate urmăririlor și sancțiunilor penale. Trei state membre au raportat sancțiuni în urma unor proceduri penale fără a furniza detalii cu privire la amenzile administrative aplicate</w:t>
      </w:r>
      <w:r>
        <w:rPr>
          <w:rFonts w:ascii="Times New Roman" w:eastAsia="Times New Roman" w:hAnsi="Times New Roman" w:cs="Times New Roman"/>
          <w:noProof/>
          <w:color w:val="000000" w:themeColor="text1"/>
          <w:sz w:val="24"/>
          <w:szCs w:val="24"/>
          <w:vertAlign w:val="superscript"/>
        </w:rPr>
        <w:footnoteReference w:id="53"/>
      </w:r>
      <w:r>
        <w:rPr>
          <w:rFonts w:ascii="Times New Roman" w:hAnsi="Times New Roman"/>
          <w:noProof/>
          <w:color w:val="000000" w:themeColor="text1"/>
          <w:sz w:val="24"/>
        </w:rPr>
        <w:t>.</w:t>
      </w:r>
    </w:p>
    <w:p w14:paraId="31E364D2" w14:textId="01C17FEC"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În ansamblu, majoritatea statelor membre</w:t>
      </w:r>
      <w:r>
        <w:rPr>
          <w:rFonts w:ascii="Times New Roman" w:eastAsia="Times New Roman" w:hAnsi="Times New Roman" w:cs="Times New Roman"/>
          <w:noProof/>
          <w:color w:val="000000" w:themeColor="text1"/>
          <w:sz w:val="24"/>
          <w:szCs w:val="24"/>
          <w:vertAlign w:val="superscript"/>
        </w:rPr>
        <w:footnoteReference w:id="54"/>
      </w:r>
      <w:r>
        <w:rPr>
          <w:rFonts w:ascii="Times New Roman" w:hAnsi="Times New Roman"/>
          <w:noProof/>
          <w:color w:val="000000" w:themeColor="text1"/>
          <w:sz w:val="24"/>
        </w:rPr>
        <w:t xml:space="preserve"> au crescut atât numărul, cât și cuantumul sancțiunilor la adresa angajatorilor care nu își respectă obligațiile. </w:t>
      </w:r>
    </w:p>
    <w:p w14:paraId="7B9F915F" w14:textId="0B480273" w:rsidR="00077A20" w:rsidRPr="008D4701" w:rsidRDefault="00F14AF3" w:rsidP="00077A20">
      <w:pPr>
        <w:pStyle w:val="ListParagraph"/>
        <w:numPr>
          <w:ilvl w:val="1"/>
          <w:numId w:val="2"/>
        </w:numPr>
        <w:spacing w:after="120" w:line="276" w:lineRule="auto"/>
        <w:jc w:val="both"/>
        <w:outlineLvl w:val="1"/>
        <w:rPr>
          <w:rFonts w:ascii="Times New Roman" w:eastAsia="Times New Roman" w:hAnsi="Times New Roman" w:cs="Times New Roman"/>
          <w:b/>
          <w:bCs/>
          <w:noProof/>
          <w:color w:val="000000" w:themeColor="text1"/>
          <w:sz w:val="24"/>
          <w:szCs w:val="24"/>
          <w14:ligatures w14:val="none"/>
        </w:rPr>
      </w:pPr>
      <w:bookmarkStart w:id="19" w:name="_Toc215743786"/>
      <w:r w:rsidRPr="008D4701">
        <w:rPr>
          <w:rFonts w:ascii="Times New Roman" w:hAnsi="Times New Roman"/>
          <w:b/>
          <w:noProof/>
          <w:sz w:val="24"/>
        </w:rPr>
        <w:t xml:space="preserve"> Sancțiuni penale </w:t>
      </w:r>
      <w:bookmarkEnd w:id="19"/>
    </w:p>
    <w:p w14:paraId="3398D57C" w14:textId="2E72307E"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În conformitate cu articolul </w:t>
      </w:r>
      <w:r w:rsidRPr="008D4701">
        <w:rPr>
          <w:rFonts w:ascii="Times New Roman" w:hAnsi="Times New Roman"/>
          <w:noProof/>
          <w:color w:val="000000" w:themeColor="text1"/>
          <w:sz w:val="24"/>
        </w:rPr>
        <w:t>9</w:t>
      </w:r>
      <w:r>
        <w:rPr>
          <w:rFonts w:ascii="Times New Roman" w:hAnsi="Times New Roman"/>
          <w:noProof/>
          <w:color w:val="000000" w:themeColor="text1"/>
          <w:sz w:val="24"/>
        </w:rPr>
        <w:t xml:space="preserve"> din directivă, se aplică sancțiuni penale în următoarele cazuri: (i)</w:t>
      </w:r>
      <w:r w:rsidR="00915A0E">
        <w:rPr>
          <w:rFonts w:ascii="Times New Roman" w:hAnsi="Times New Roman"/>
          <w:noProof/>
          <w:color w:val="000000" w:themeColor="text1"/>
          <w:sz w:val="24"/>
        </w:rPr>
        <w:t> </w:t>
      </w:r>
      <w:r>
        <w:rPr>
          <w:rFonts w:ascii="Times New Roman" w:hAnsi="Times New Roman"/>
          <w:noProof/>
          <w:color w:val="000000" w:themeColor="text1"/>
          <w:sz w:val="24"/>
        </w:rPr>
        <w:t xml:space="preserve">angajarea ilegală cu încălcări repetate și persistente, (ii) un număr important de migranți aflați în situație ilegală, (iii) condiții de muncă extrem de abuzive, (iv) angajarea în cunoștință de cauză a victimelor traficului de persoane și (v) angajarea minorilor. </w:t>
      </w:r>
    </w:p>
    <w:p w14:paraId="0942C626" w14:textId="1E6E9E50"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Începând din </w:t>
      </w:r>
      <w:r w:rsidRPr="008D4701">
        <w:rPr>
          <w:rFonts w:ascii="Times New Roman" w:hAnsi="Times New Roman"/>
          <w:noProof/>
          <w:color w:val="000000" w:themeColor="text1"/>
          <w:sz w:val="24"/>
        </w:rPr>
        <w:t>2021</w:t>
      </w:r>
      <w:r>
        <w:rPr>
          <w:rFonts w:ascii="Times New Roman" w:hAnsi="Times New Roman"/>
          <w:noProof/>
          <w:color w:val="000000" w:themeColor="text1"/>
          <w:sz w:val="24"/>
        </w:rPr>
        <w:t xml:space="preserve">, unele state membre au informat Comisia cu privire la modificările legislative care măresc sau reduc perioada de detenție și/sau amenzile penale în circumstanțele menționate mai sus. </w:t>
      </w:r>
    </w:p>
    <w:p w14:paraId="61B859F3" w14:textId="469B5B84" w:rsidR="00077A20" w:rsidRPr="00A359E1" w:rsidRDefault="00077A20" w:rsidP="00077A20">
      <w:pPr>
        <w:pBdr>
          <w:top w:val="single" w:sz="4" w:space="1" w:color="000000"/>
          <w:left w:val="single" w:sz="4" w:space="4" w:color="000000"/>
          <w:bottom w:val="single" w:sz="4" w:space="1" w:color="000000"/>
          <w:right w:val="single" w:sz="4" w:space="4" w:color="000000"/>
        </w:pBdr>
        <w:spacing w:after="120" w:line="276" w:lineRule="auto"/>
        <w:jc w:val="both"/>
        <w:rPr>
          <w:rFonts w:ascii="Times New Roman" w:eastAsia="Times New Roman" w:hAnsi="Times New Roman" w:cs="Times New Roman"/>
          <w:noProof/>
          <w:color w:val="000000" w:themeColor="text1"/>
          <w:sz w:val="20"/>
          <w:szCs w:val="20"/>
          <w14:ligatures w14:val="none"/>
        </w:rPr>
      </w:pPr>
      <w:r>
        <w:rPr>
          <w:rFonts w:ascii="Times New Roman" w:hAnsi="Times New Roman"/>
          <w:noProof/>
          <w:color w:val="000000" w:themeColor="text1"/>
          <w:sz w:val="20"/>
        </w:rPr>
        <w:t xml:space="preserve">În Franța, angajarea </w:t>
      </w:r>
      <w:r>
        <w:rPr>
          <w:rFonts w:ascii="Times New Roman" w:hAnsi="Times New Roman"/>
          <w:noProof/>
          <w:color w:val="000000" w:themeColor="text1"/>
          <w:sz w:val="24"/>
        </w:rPr>
        <w:t>–</w:t>
      </w:r>
      <w:r>
        <w:rPr>
          <w:rFonts w:ascii="Times New Roman" w:hAnsi="Times New Roman"/>
          <w:noProof/>
          <w:color w:val="000000" w:themeColor="text1"/>
          <w:sz w:val="20"/>
        </w:rPr>
        <w:t xml:space="preserve"> inclusiv printr-un intermediar </w:t>
      </w:r>
      <w:r>
        <w:rPr>
          <w:rFonts w:ascii="Times New Roman" w:hAnsi="Times New Roman"/>
          <w:noProof/>
          <w:color w:val="000000" w:themeColor="text1"/>
          <w:sz w:val="24"/>
        </w:rPr>
        <w:t>–</w:t>
      </w:r>
      <w:r>
        <w:rPr>
          <w:rFonts w:ascii="Times New Roman" w:hAnsi="Times New Roman"/>
          <w:noProof/>
          <w:color w:val="000000" w:themeColor="text1"/>
          <w:sz w:val="20"/>
        </w:rPr>
        <w:t xml:space="preserve"> a oricărui resortisant al unei țări terțe care nu este autorizat să lucreze constituie o infracțiune. Aceasta include utilizarea în cunoștință de cauză, în mod direct sau indirect, a serviciilor oferite de un angajator al unui străin care nu este autorizat să lucreze. Pe lângă pedeapsa cu închisoarea de cinci ani, o lege din </w:t>
      </w:r>
      <w:r w:rsidRPr="008D4701">
        <w:rPr>
          <w:rFonts w:ascii="Times New Roman" w:hAnsi="Times New Roman"/>
          <w:noProof/>
          <w:color w:val="000000" w:themeColor="text1"/>
          <w:sz w:val="20"/>
        </w:rPr>
        <w:t>2024</w:t>
      </w:r>
      <w:r>
        <w:rPr>
          <w:rFonts w:ascii="Times New Roman" w:hAnsi="Times New Roman"/>
          <w:noProof/>
          <w:color w:val="000000" w:themeColor="text1"/>
          <w:sz w:val="20"/>
        </w:rPr>
        <w:t xml:space="preserve"> a mărit amenzile penale pentru angajatorii persoane fizice de la </w:t>
      </w:r>
      <w:r w:rsidRPr="008D4701">
        <w:rPr>
          <w:rFonts w:ascii="Times New Roman" w:hAnsi="Times New Roman"/>
          <w:noProof/>
          <w:color w:val="000000" w:themeColor="text1"/>
          <w:sz w:val="20"/>
        </w:rPr>
        <w:t>15</w:t>
      </w:r>
      <w:r>
        <w:rPr>
          <w:rFonts w:ascii="Times New Roman" w:hAnsi="Times New Roman"/>
          <w:noProof/>
          <w:color w:val="000000" w:themeColor="text1"/>
          <w:sz w:val="20"/>
        </w:rPr>
        <w:t> </w:t>
      </w:r>
      <w:r w:rsidRPr="008D4701">
        <w:rPr>
          <w:rFonts w:ascii="Times New Roman" w:hAnsi="Times New Roman"/>
          <w:noProof/>
          <w:color w:val="000000" w:themeColor="text1"/>
          <w:sz w:val="20"/>
        </w:rPr>
        <w:t>000</w:t>
      </w:r>
      <w:r>
        <w:rPr>
          <w:rFonts w:ascii="Times New Roman" w:hAnsi="Times New Roman"/>
          <w:noProof/>
          <w:color w:val="000000" w:themeColor="text1"/>
          <w:sz w:val="20"/>
        </w:rPr>
        <w:t xml:space="preserve"> EUR la </w:t>
      </w:r>
      <w:r w:rsidRPr="008D4701">
        <w:rPr>
          <w:rFonts w:ascii="Times New Roman" w:hAnsi="Times New Roman"/>
          <w:noProof/>
          <w:color w:val="000000" w:themeColor="text1"/>
          <w:sz w:val="20"/>
        </w:rPr>
        <w:t>30</w:t>
      </w:r>
      <w:r>
        <w:rPr>
          <w:rFonts w:ascii="Times New Roman" w:hAnsi="Times New Roman"/>
          <w:noProof/>
          <w:color w:val="000000" w:themeColor="text1"/>
          <w:sz w:val="20"/>
        </w:rPr>
        <w:t> </w:t>
      </w:r>
      <w:r w:rsidRPr="008D4701">
        <w:rPr>
          <w:rFonts w:ascii="Times New Roman" w:hAnsi="Times New Roman"/>
          <w:noProof/>
          <w:color w:val="000000" w:themeColor="text1"/>
          <w:sz w:val="20"/>
        </w:rPr>
        <w:t>000</w:t>
      </w:r>
      <w:r>
        <w:rPr>
          <w:rFonts w:ascii="Times New Roman" w:hAnsi="Times New Roman"/>
          <w:noProof/>
          <w:color w:val="000000" w:themeColor="text1"/>
          <w:sz w:val="20"/>
        </w:rPr>
        <w:t xml:space="preserve"> EUR pentru fiecare angajat. În contextul criminalității organizate, pedeapsa crește până la </w:t>
      </w:r>
      <w:r w:rsidRPr="008D4701">
        <w:rPr>
          <w:rFonts w:ascii="Times New Roman" w:hAnsi="Times New Roman"/>
          <w:noProof/>
          <w:color w:val="000000" w:themeColor="text1"/>
          <w:sz w:val="20"/>
        </w:rPr>
        <w:t>10</w:t>
      </w:r>
      <w:r>
        <w:rPr>
          <w:rFonts w:ascii="Times New Roman" w:hAnsi="Times New Roman"/>
          <w:noProof/>
          <w:color w:val="000000" w:themeColor="text1"/>
          <w:sz w:val="20"/>
        </w:rPr>
        <w:t xml:space="preserve"> ani de închisoare, iar amenda penală este mărită de la </w:t>
      </w:r>
      <w:r w:rsidRPr="008D4701">
        <w:rPr>
          <w:rFonts w:ascii="Times New Roman" w:hAnsi="Times New Roman"/>
          <w:noProof/>
          <w:color w:val="000000" w:themeColor="text1"/>
          <w:sz w:val="20"/>
        </w:rPr>
        <w:t>100</w:t>
      </w:r>
      <w:r>
        <w:rPr>
          <w:rFonts w:ascii="Times New Roman" w:hAnsi="Times New Roman"/>
          <w:noProof/>
          <w:color w:val="000000" w:themeColor="text1"/>
          <w:sz w:val="20"/>
        </w:rPr>
        <w:t> </w:t>
      </w:r>
      <w:r w:rsidRPr="008D4701">
        <w:rPr>
          <w:rFonts w:ascii="Times New Roman" w:hAnsi="Times New Roman"/>
          <w:noProof/>
          <w:color w:val="000000" w:themeColor="text1"/>
          <w:sz w:val="20"/>
        </w:rPr>
        <w:t>000</w:t>
      </w:r>
      <w:r>
        <w:rPr>
          <w:rFonts w:ascii="Times New Roman" w:hAnsi="Times New Roman"/>
          <w:noProof/>
          <w:color w:val="000000" w:themeColor="text1"/>
          <w:sz w:val="20"/>
        </w:rPr>
        <w:t xml:space="preserve"> EUR la </w:t>
      </w:r>
      <w:r w:rsidRPr="008D4701">
        <w:rPr>
          <w:rFonts w:ascii="Times New Roman" w:hAnsi="Times New Roman"/>
          <w:noProof/>
          <w:color w:val="000000" w:themeColor="text1"/>
          <w:sz w:val="20"/>
        </w:rPr>
        <w:t>200</w:t>
      </w:r>
      <w:r>
        <w:rPr>
          <w:rFonts w:ascii="Times New Roman" w:hAnsi="Times New Roman"/>
          <w:noProof/>
          <w:color w:val="000000" w:themeColor="text1"/>
          <w:sz w:val="20"/>
        </w:rPr>
        <w:t> </w:t>
      </w:r>
      <w:r w:rsidRPr="008D4701">
        <w:rPr>
          <w:rFonts w:ascii="Times New Roman" w:hAnsi="Times New Roman"/>
          <w:noProof/>
          <w:color w:val="000000" w:themeColor="text1"/>
          <w:sz w:val="20"/>
        </w:rPr>
        <w:t>000</w:t>
      </w:r>
      <w:r>
        <w:rPr>
          <w:rFonts w:ascii="Times New Roman" w:hAnsi="Times New Roman"/>
          <w:noProof/>
          <w:color w:val="000000" w:themeColor="text1"/>
          <w:sz w:val="20"/>
        </w:rPr>
        <w:t xml:space="preserve"> EUR. </w:t>
      </w:r>
    </w:p>
    <w:p w14:paraId="785F9751" w14:textId="287BBA69" w:rsidR="00077A20" w:rsidRPr="00A359E1" w:rsidRDefault="00077A20" w:rsidP="00077A20">
      <w:pPr>
        <w:pBdr>
          <w:top w:val="single" w:sz="4" w:space="1" w:color="000000"/>
          <w:left w:val="single" w:sz="4" w:space="4" w:color="000000"/>
          <w:bottom w:val="single" w:sz="4" w:space="1" w:color="000000"/>
          <w:right w:val="single" w:sz="4" w:space="4" w:color="000000"/>
        </w:pBdr>
        <w:spacing w:after="120" w:line="276" w:lineRule="auto"/>
        <w:jc w:val="both"/>
        <w:rPr>
          <w:rFonts w:ascii="Times New Roman" w:eastAsia="Times New Roman" w:hAnsi="Times New Roman" w:cs="Times New Roman"/>
          <w:noProof/>
          <w:color w:val="000000" w:themeColor="text1"/>
          <w:sz w:val="20"/>
          <w:szCs w:val="20"/>
          <w14:ligatures w14:val="none"/>
        </w:rPr>
      </w:pPr>
      <w:r>
        <w:rPr>
          <w:rFonts w:ascii="Times New Roman" w:hAnsi="Times New Roman"/>
          <w:noProof/>
          <w:color w:val="000000" w:themeColor="text1"/>
          <w:sz w:val="20"/>
        </w:rPr>
        <w:t xml:space="preserve">În </w:t>
      </w:r>
      <w:r w:rsidRPr="008D4701">
        <w:rPr>
          <w:rFonts w:ascii="Times New Roman" w:hAnsi="Times New Roman"/>
          <w:noProof/>
          <w:color w:val="000000" w:themeColor="text1"/>
          <w:sz w:val="20"/>
        </w:rPr>
        <w:t>2024</w:t>
      </w:r>
      <w:r>
        <w:rPr>
          <w:rFonts w:ascii="Times New Roman" w:hAnsi="Times New Roman"/>
          <w:noProof/>
          <w:color w:val="000000" w:themeColor="text1"/>
          <w:sz w:val="20"/>
        </w:rPr>
        <w:t>, Letonia a mărit, de asemenea, sancțiunile pentru încălcarea dispozițiilor prevăzute în dreptul penal</w:t>
      </w:r>
      <w:r>
        <w:rPr>
          <w:rFonts w:ascii="Times New Roman" w:eastAsia="Times New Roman" w:hAnsi="Times New Roman" w:cs="Times New Roman"/>
          <w:noProof/>
          <w:color w:val="000000" w:themeColor="text1"/>
          <w:sz w:val="20"/>
          <w:szCs w:val="20"/>
          <w:vertAlign w:val="superscript"/>
        </w:rPr>
        <w:footnoteReference w:id="55"/>
      </w:r>
      <w:r>
        <w:rPr>
          <w:rFonts w:ascii="Times New Roman" w:hAnsi="Times New Roman"/>
          <w:noProof/>
          <w:color w:val="000000" w:themeColor="text1"/>
          <w:sz w:val="20"/>
        </w:rPr>
        <w:t xml:space="preserve">, crescând până la trei ani limita superioară a pedepsei cu închisoarea, în timp ce sancțiunile alternative existente </w:t>
      </w:r>
      <w:r>
        <w:rPr>
          <w:rFonts w:ascii="Times New Roman" w:hAnsi="Times New Roman"/>
          <w:noProof/>
          <w:color w:val="000000" w:themeColor="text1"/>
          <w:sz w:val="24"/>
        </w:rPr>
        <w:t>–</w:t>
      </w:r>
      <w:r>
        <w:rPr>
          <w:rFonts w:ascii="Times New Roman" w:hAnsi="Times New Roman"/>
          <w:noProof/>
          <w:color w:val="000000" w:themeColor="text1"/>
          <w:sz w:val="20"/>
        </w:rPr>
        <w:t xml:space="preserve"> arestare preventivă, probațiune, munca în folosul comunității și o amendă </w:t>
      </w:r>
      <w:r>
        <w:rPr>
          <w:rFonts w:ascii="Times New Roman" w:hAnsi="Times New Roman"/>
          <w:noProof/>
          <w:color w:val="000000" w:themeColor="text1"/>
          <w:sz w:val="24"/>
        </w:rPr>
        <w:t>–</w:t>
      </w:r>
      <w:r>
        <w:rPr>
          <w:rFonts w:ascii="Times New Roman" w:hAnsi="Times New Roman"/>
          <w:noProof/>
          <w:color w:val="000000" w:themeColor="text1"/>
          <w:sz w:val="20"/>
        </w:rPr>
        <w:t xml:space="preserve"> continuă să se aplice. </w:t>
      </w:r>
    </w:p>
    <w:p w14:paraId="063CE8AE" w14:textId="22B2010D" w:rsidR="00077A20" w:rsidRPr="00A359E1" w:rsidRDefault="0023560E" w:rsidP="00077A20">
      <w:pPr>
        <w:pBdr>
          <w:top w:val="single" w:sz="4" w:space="1" w:color="000000"/>
          <w:left w:val="single" w:sz="4" w:space="4" w:color="000000"/>
          <w:bottom w:val="single" w:sz="4" w:space="1" w:color="000000"/>
          <w:right w:val="single" w:sz="4" w:space="4" w:color="000000"/>
        </w:pBdr>
        <w:spacing w:after="120" w:line="276" w:lineRule="auto"/>
        <w:jc w:val="both"/>
        <w:rPr>
          <w:rFonts w:ascii="Times New Roman" w:eastAsia="Times New Roman" w:hAnsi="Times New Roman" w:cs="Times New Roman"/>
          <w:noProof/>
          <w:color w:val="000000" w:themeColor="text1"/>
          <w:sz w:val="20"/>
          <w:szCs w:val="20"/>
          <w14:ligatures w14:val="none"/>
        </w:rPr>
      </w:pPr>
      <w:r>
        <w:rPr>
          <w:rFonts w:ascii="Times New Roman" w:hAnsi="Times New Roman"/>
          <w:noProof/>
          <w:color w:val="000000" w:themeColor="text1"/>
          <w:sz w:val="20"/>
        </w:rPr>
        <w:t xml:space="preserve">Printr-o modificare din </w:t>
      </w:r>
      <w:r w:rsidRPr="008D4701">
        <w:rPr>
          <w:rFonts w:ascii="Times New Roman" w:hAnsi="Times New Roman"/>
          <w:noProof/>
          <w:color w:val="000000" w:themeColor="text1"/>
          <w:sz w:val="20"/>
        </w:rPr>
        <w:t>2023</w:t>
      </w:r>
      <w:r>
        <w:rPr>
          <w:rFonts w:ascii="Times New Roman" w:hAnsi="Times New Roman"/>
          <w:noProof/>
          <w:color w:val="000000" w:themeColor="text1"/>
          <w:sz w:val="20"/>
        </w:rPr>
        <w:t xml:space="preserve"> a Codului muncii, Luxemburg a majorat pedeapsa cu închisoarea de la opt zile până la maximum un an, în plus față de amenzile cuprinse între </w:t>
      </w:r>
      <w:r w:rsidRPr="008D4701">
        <w:rPr>
          <w:rFonts w:ascii="Times New Roman" w:hAnsi="Times New Roman"/>
          <w:noProof/>
          <w:color w:val="000000" w:themeColor="text1"/>
          <w:sz w:val="20"/>
        </w:rPr>
        <w:t>2</w:t>
      </w:r>
      <w:r>
        <w:rPr>
          <w:rFonts w:ascii="Times New Roman" w:hAnsi="Times New Roman"/>
          <w:noProof/>
          <w:color w:val="000000" w:themeColor="text1"/>
          <w:sz w:val="20"/>
        </w:rPr>
        <w:t> </w:t>
      </w:r>
      <w:r w:rsidRPr="008D4701">
        <w:rPr>
          <w:rFonts w:ascii="Times New Roman" w:hAnsi="Times New Roman"/>
          <w:noProof/>
          <w:color w:val="000000" w:themeColor="text1"/>
          <w:sz w:val="20"/>
        </w:rPr>
        <w:t>501</w:t>
      </w:r>
      <w:r>
        <w:rPr>
          <w:rFonts w:ascii="Times New Roman" w:hAnsi="Times New Roman"/>
          <w:noProof/>
          <w:color w:val="000000" w:themeColor="text1"/>
          <w:sz w:val="20"/>
        </w:rPr>
        <w:t xml:space="preserve"> EUR și </w:t>
      </w:r>
      <w:r w:rsidRPr="008D4701">
        <w:rPr>
          <w:rFonts w:ascii="Times New Roman" w:hAnsi="Times New Roman"/>
          <w:noProof/>
          <w:color w:val="000000" w:themeColor="text1"/>
          <w:sz w:val="20"/>
        </w:rPr>
        <w:t>125</w:t>
      </w:r>
      <w:r>
        <w:rPr>
          <w:rFonts w:ascii="Times New Roman" w:hAnsi="Times New Roman"/>
          <w:noProof/>
          <w:color w:val="000000" w:themeColor="text1"/>
          <w:sz w:val="20"/>
        </w:rPr>
        <w:t> </w:t>
      </w:r>
      <w:r w:rsidRPr="008D4701">
        <w:rPr>
          <w:rFonts w:ascii="Times New Roman" w:hAnsi="Times New Roman"/>
          <w:noProof/>
          <w:color w:val="000000" w:themeColor="text1"/>
          <w:sz w:val="20"/>
        </w:rPr>
        <w:t>000</w:t>
      </w:r>
      <w:r>
        <w:rPr>
          <w:rFonts w:ascii="Times New Roman" w:hAnsi="Times New Roman"/>
          <w:noProof/>
          <w:color w:val="000000" w:themeColor="text1"/>
          <w:sz w:val="20"/>
        </w:rPr>
        <w:t xml:space="preserve"> EUR pentru fiecare lucrător migrant aflat în situație ilegală sau ca alternativă la acestea. </w:t>
      </w:r>
    </w:p>
    <w:p w14:paraId="69B6FE33" w14:textId="329AA994" w:rsidR="00077A20" w:rsidRPr="00A359E1" w:rsidRDefault="00077A20" w:rsidP="00077A20">
      <w:pPr>
        <w:pBdr>
          <w:top w:val="single" w:sz="4" w:space="1" w:color="000000"/>
          <w:left w:val="single" w:sz="4" w:space="4" w:color="000000"/>
          <w:bottom w:val="single" w:sz="4" w:space="1" w:color="000000"/>
          <w:right w:val="single" w:sz="4" w:space="4" w:color="000000"/>
        </w:pBdr>
        <w:spacing w:after="120" w:line="276" w:lineRule="auto"/>
        <w:jc w:val="both"/>
        <w:rPr>
          <w:rFonts w:ascii="Times New Roman" w:eastAsia="Times New Roman" w:hAnsi="Times New Roman" w:cs="Times New Roman"/>
          <w:noProof/>
          <w:color w:val="000000" w:themeColor="text1"/>
          <w:sz w:val="20"/>
          <w:szCs w:val="20"/>
          <w14:ligatures w14:val="none"/>
        </w:rPr>
      </w:pPr>
      <w:r>
        <w:rPr>
          <w:rFonts w:ascii="Times New Roman" w:hAnsi="Times New Roman"/>
          <w:noProof/>
          <w:color w:val="000000" w:themeColor="text1"/>
          <w:sz w:val="20"/>
        </w:rPr>
        <w:t xml:space="preserve">În Slovacia, o modificare din </w:t>
      </w:r>
      <w:r w:rsidRPr="008D4701">
        <w:rPr>
          <w:rFonts w:ascii="Times New Roman" w:hAnsi="Times New Roman"/>
          <w:noProof/>
          <w:color w:val="000000" w:themeColor="text1"/>
          <w:sz w:val="20"/>
        </w:rPr>
        <w:t>2024</w:t>
      </w:r>
      <w:r>
        <w:rPr>
          <w:rFonts w:ascii="Times New Roman" w:hAnsi="Times New Roman"/>
          <w:noProof/>
          <w:color w:val="000000" w:themeColor="text1"/>
          <w:sz w:val="20"/>
        </w:rPr>
        <w:t xml:space="preserve"> a Codului penal a redus sancțiunile penale de la o pedeapsă cu închisoarea de până la doi ani la o pedeapsă cu închisoarea de un an pentru cazurile simple de angajare ilegală. În circumstanțele prevăzute la articolul </w:t>
      </w:r>
      <w:r w:rsidRPr="008D4701">
        <w:rPr>
          <w:rFonts w:ascii="Times New Roman" w:hAnsi="Times New Roman"/>
          <w:noProof/>
          <w:color w:val="000000" w:themeColor="text1"/>
          <w:sz w:val="20"/>
        </w:rPr>
        <w:t>9</w:t>
      </w:r>
      <w:r>
        <w:rPr>
          <w:rFonts w:ascii="Times New Roman" w:hAnsi="Times New Roman"/>
          <w:noProof/>
          <w:color w:val="000000" w:themeColor="text1"/>
          <w:sz w:val="20"/>
        </w:rPr>
        <w:t>, sancțiunile penale au fost reduse de la o pedeapsă cu închisoarea între trei luni și trei ani la o pedeapsă cu închisoarea de până la doi ani.</w:t>
      </w:r>
    </w:p>
    <w:p w14:paraId="2C42E410" w14:textId="2DB2A938"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Cu toate acestea, există în continuare diferențe considerabile între statele membre în ceea ce privește nivelul de severitate al sancțiunilor penale, legat de durata pedepsei cu închisoarea. Aceasta variază de la lipsa unei limite inferioare fixe și o limită superioară de un an în cazurile de angajare ilegală fără circumstanțe agravante la cinci ani de închisoare (</w:t>
      </w:r>
      <w:r w:rsidRPr="008D4701">
        <w:rPr>
          <w:rFonts w:ascii="Times New Roman" w:hAnsi="Times New Roman"/>
          <w:noProof/>
          <w:color w:val="000000" w:themeColor="text1"/>
          <w:sz w:val="24"/>
        </w:rPr>
        <w:t>10</w:t>
      </w:r>
      <w:r>
        <w:rPr>
          <w:rFonts w:ascii="Times New Roman" w:hAnsi="Times New Roman"/>
          <w:noProof/>
          <w:color w:val="000000" w:themeColor="text1"/>
          <w:sz w:val="24"/>
        </w:rPr>
        <w:t xml:space="preserve"> ani pentru circumstanțele prevăzute la articolul </w:t>
      </w:r>
      <w:r w:rsidRPr="008D4701">
        <w:rPr>
          <w:rFonts w:ascii="Times New Roman" w:hAnsi="Times New Roman"/>
          <w:noProof/>
          <w:color w:val="000000" w:themeColor="text1"/>
          <w:sz w:val="24"/>
        </w:rPr>
        <w:t>9</w:t>
      </w:r>
      <w:r>
        <w:rPr>
          <w:rFonts w:ascii="Times New Roman" w:hAnsi="Times New Roman"/>
          <w:noProof/>
          <w:color w:val="000000" w:themeColor="text1"/>
          <w:sz w:val="24"/>
        </w:rPr>
        <w:t>)</w:t>
      </w:r>
      <w:r>
        <w:rPr>
          <w:rFonts w:ascii="Times New Roman" w:eastAsia="Times New Roman" w:hAnsi="Times New Roman" w:cs="Times New Roman"/>
          <w:noProof/>
          <w:color w:val="000000" w:themeColor="text1"/>
          <w:sz w:val="24"/>
          <w:szCs w:val="24"/>
          <w:vertAlign w:val="superscript"/>
        </w:rPr>
        <w:footnoteReference w:id="56"/>
      </w:r>
      <w:r>
        <w:rPr>
          <w:rFonts w:ascii="Times New Roman" w:hAnsi="Times New Roman"/>
          <w:noProof/>
          <w:color w:val="000000" w:themeColor="text1"/>
          <w:sz w:val="24"/>
        </w:rPr>
        <w:t>, pe lângă amenzile penale</w:t>
      </w:r>
      <w:r>
        <w:rPr>
          <w:rFonts w:ascii="Times New Roman" w:eastAsia="Times New Roman" w:hAnsi="Times New Roman" w:cs="Times New Roman"/>
          <w:noProof/>
          <w:color w:val="000000" w:themeColor="text1"/>
          <w:sz w:val="24"/>
          <w:szCs w:val="24"/>
          <w:vertAlign w:val="superscript"/>
        </w:rPr>
        <w:footnoteReference w:id="57"/>
      </w:r>
      <w:r>
        <w:rPr>
          <w:rFonts w:ascii="Times New Roman" w:hAnsi="Times New Roman"/>
          <w:noProof/>
          <w:color w:val="000000" w:themeColor="text1"/>
          <w:sz w:val="24"/>
        </w:rPr>
        <w:t xml:space="preserve">. Cuantumul amenzilor penale variază, de asemenea, foarte mult, de la </w:t>
      </w:r>
      <w:r w:rsidRPr="008D4701">
        <w:rPr>
          <w:rFonts w:ascii="Times New Roman" w:hAnsi="Times New Roman"/>
          <w:noProof/>
          <w:color w:val="000000" w:themeColor="text1"/>
          <w:sz w:val="24"/>
        </w:rPr>
        <w:t>2</w:t>
      </w:r>
      <w:r>
        <w:rPr>
          <w:rFonts w:ascii="Times New Roman" w:hAnsi="Times New Roman"/>
          <w:noProof/>
          <w:color w:val="000000" w:themeColor="text1"/>
          <w:sz w:val="24"/>
        </w:rPr>
        <w:t> </w:t>
      </w:r>
      <w:r w:rsidRPr="008D4701">
        <w:rPr>
          <w:rFonts w:ascii="Times New Roman" w:hAnsi="Times New Roman"/>
          <w:noProof/>
          <w:color w:val="000000" w:themeColor="text1"/>
          <w:sz w:val="24"/>
        </w:rPr>
        <w:t>500</w:t>
      </w:r>
      <w:r>
        <w:rPr>
          <w:rFonts w:ascii="Times New Roman" w:hAnsi="Times New Roman"/>
          <w:noProof/>
          <w:color w:val="000000" w:themeColor="text1"/>
          <w:sz w:val="24"/>
        </w:rPr>
        <w:t xml:space="preserve"> EUR la </w:t>
      </w:r>
      <w:r w:rsidRPr="008D4701">
        <w:rPr>
          <w:rFonts w:ascii="Times New Roman" w:hAnsi="Times New Roman"/>
          <w:noProof/>
          <w:color w:val="000000" w:themeColor="text1"/>
          <w:sz w:val="24"/>
        </w:rPr>
        <w:t>200</w:t>
      </w:r>
      <w:r>
        <w:rPr>
          <w:rFonts w:ascii="Times New Roman" w:hAnsi="Times New Roman"/>
          <w:noProof/>
          <w:color w:val="000000" w:themeColor="text1"/>
          <w:sz w:val="24"/>
        </w:rPr>
        <w:t> </w:t>
      </w:r>
      <w:r w:rsidRPr="008D4701">
        <w:rPr>
          <w:rFonts w:ascii="Times New Roman" w:hAnsi="Times New Roman"/>
          <w:noProof/>
          <w:color w:val="000000" w:themeColor="text1"/>
          <w:sz w:val="24"/>
        </w:rPr>
        <w:t>000</w:t>
      </w:r>
      <w:r>
        <w:rPr>
          <w:rFonts w:ascii="Times New Roman" w:hAnsi="Times New Roman"/>
          <w:noProof/>
          <w:color w:val="000000" w:themeColor="text1"/>
          <w:sz w:val="24"/>
        </w:rPr>
        <w:t xml:space="preserve"> EUR și </w:t>
      </w:r>
      <w:r w:rsidRPr="008D4701">
        <w:rPr>
          <w:rFonts w:ascii="Times New Roman" w:hAnsi="Times New Roman"/>
          <w:noProof/>
          <w:color w:val="000000" w:themeColor="text1"/>
          <w:sz w:val="24"/>
        </w:rPr>
        <w:t>500</w:t>
      </w:r>
      <w:r>
        <w:rPr>
          <w:rFonts w:ascii="Times New Roman" w:hAnsi="Times New Roman"/>
          <w:noProof/>
          <w:color w:val="000000" w:themeColor="text1"/>
          <w:sz w:val="24"/>
        </w:rPr>
        <w:t> </w:t>
      </w:r>
      <w:r w:rsidRPr="008D4701">
        <w:rPr>
          <w:rFonts w:ascii="Times New Roman" w:hAnsi="Times New Roman"/>
          <w:noProof/>
          <w:color w:val="000000" w:themeColor="text1"/>
          <w:sz w:val="24"/>
        </w:rPr>
        <w:t>000</w:t>
      </w:r>
      <w:r>
        <w:rPr>
          <w:rFonts w:ascii="Times New Roman" w:hAnsi="Times New Roman"/>
          <w:noProof/>
          <w:color w:val="000000" w:themeColor="text1"/>
          <w:sz w:val="24"/>
        </w:rPr>
        <w:t> EUR, în funcție de circumstanțe.</w:t>
      </w:r>
    </w:p>
    <w:p w14:paraId="1D34051E" w14:textId="0B74D26B" w:rsidR="00077A20" w:rsidRPr="00A359E1" w:rsidRDefault="003225CA"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În plus, există în continuare lacune semnificative în materie de date în ceea ce privește numărul de proceduri penale și amenzile sau pedepsele cu închisoarea aplicate efectiv. Cu toate acestea, majoritatea statelor membre au raportat fie date exacte, fie cele mai bune estimări ale sancțiunilor penale pentru formele agravate de angajare ilegală prezentate la articolul </w:t>
      </w:r>
      <w:r w:rsidRPr="008D4701">
        <w:rPr>
          <w:rFonts w:ascii="Times New Roman" w:hAnsi="Times New Roman"/>
          <w:noProof/>
          <w:color w:val="000000" w:themeColor="text1"/>
          <w:sz w:val="24"/>
        </w:rPr>
        <w:t>9</w:t>
      </w:r>
      <w:r>
        <w:rPr>
          <w:rFonts w:ascii="Times New Roman" w:eastAsia="Times New Roman" w:hAnsi="Times New Roman" w:cs="Times New Roman"/>
          <w:noProof/>
          <w:color w:val="000000" w:themeColor="text1"/>
          <w:sz w:val="24"/>
          <w:szCs w:val="24"/>
          <w:vertAlign w:val="superscript"/>
        </w:rPr>
        <w:footnoteReference w:id="58"/>
      </w:r>
      <w:r>
        <w:rPr>
          <w:rFonts w:ascii="Times New Roman" w:hAnsi="Times New Roman"/>
          <w:noProof/>
          <w:color w:val="000000" w:themeColor="text1"/>
          <w:sz w:val="24"/>
        </w:rPr>
        <w:t>.</w:t>
      </w:r>
    </w:p>
    <w:p w14:paraId="6FB5186D" w14:textId="030E4A3D" w:rsidR="00077A20" w:rsidRPr="00A359E1" w:rsidDel="005B7935" w:rsidRDefault="00077A20" w:rsidP="00077A20">
      <w:pPr>
        <w:spacing w:after="120" w:line="276" w:lineRule="auto"/>
        <w:jc w:val="both"/>
        <w:rPr>
          <w:noProof/>
          <w14:ligatures w14:val="none"/>
        </w:rPr>
      </w:pPr>
      <w:r>
        <w:rPr>
          <w:rFonts w:ascii="Times New Roman" w:hAnsi="Times New Roman"/>
          <w:noProof/>
          <w:color w:val="000000" w:themeColor="text1"/>
          <w:sz w:val="24"/>
        </w:rPr>
        <w:t xml:space="preserve">În special, în perioada </w:t>
      </w:r>
      <w:r w:rsidRPr="008D4701">
        <w:rPr>
          <w:rFonts w:ascii="Times New Roman" w:hAnsi="Times New Roman"/>
          <w:noProof/>
          <w:color w:val="000000" w:themeColor="text1"/>
          <w:sz w:val="24"/>
        </w:rPr>
        <w:t>2021</w:t>
      </w:r>
      <w:r>
        <w:rPr>
          <w:rFonts w:ascii="Times New Roman" w:hAnsi="Times New Roman"/>
          <w:noProof/>
          <w:color w:val="000000" w:themeColor="text1"/>
          <w:sz w:val="24"/>
        </w:rPr>
        <w:t>-</w:t>
      </w:r>
      <w:r w:rsidRPr="008D4701">
        <w:rPr>
          <w:rFonts w:ascii="Times New Roman" w:hAnsi="Times New Roman"/>
          <w:noProof/>
          <w:color w:val="000000" w:themeColor="text1"/>
          <w:sz w:val="24"/>
        </w:rPr>
        <w:t>2024</w:t>
      </w:r>
      <w:r>
        <w:rPr>
          <w:rFonts w:ascii="Times New Roman" w:hAnsi="Times New Roman"/>
          <w:noProof/>
          <w:color w:val="000000" w:themeColor="text1"/>
          <w:sz w:val="24"/>
        </w:rPr>
        <w:t xml:space="preserve">, au fost inițiate în total </w:t>
      </w:r>
      <w:r w:rsidRPr="008D4701">
        <w:rPr>
          <w:rFonts w:ascii="Times New Roman" w:hAnsi="Times New Roman"/>
          <w:noProof/>
          <w:color w:val="000000" w:themeColor="text1"/>
          <w:sz w:val="24"/>
        </w:rPr>
        <w:t>14</w:t>
      </w:r>
      <w:r>
        <w:rPr>
          <w:rFonts w:ascii="Times New Roman" w:hAnsi="Times New Roman"/>
          <w:noProof/>
          <w:color w:val="000000" w:themeColor="text1"/>
          <w:sz w:val="24"/>
        </w:rPr>
        <w:t> </w:t>
      </w:r>
      <w:r w:rsidRPr="008D4701">
        <w:rPr>
          <w:rFonts w:ascii="Times New Roman" w:hAnsi="Times New Roman"/>
          <w:noProof/>
          <w:color w:val="000000" w:themeColor="text1"/>
          <w:sz w:val="24"/>
        </w:rPr>
        <w:t>798</w:t>
      </w:r>
      <w:r>
        <w:rPr>
          <w:rFonts w:ascii="Times New Roman" w:hAnsi="Times New Roman"/>
          <w:noProof/>
          <w:color w:val="000000" w:themeColor="text1"/>
          <w:sz w:val="24"/>
        </w:rPr>
        <w:t xml:space="preserve"> de proceduri penale, în urma cărora au fost pronunțate </w:t>
      </w:r>
      <w:r w:rsidRPr="008D4701">
        <w:rPr>
          <w:rFonts w:ascii="Times New Roman" w:hAnsi="Times New Roman"/>
          <w:noProof/>
          <w:color w:val="000000" w:themeColor="text1"/>
          <w:sz w:val="24"/>
        </w:rPr>
        <w:t>5</w:t>
      </w:r>
      <w:r>
        <w:rPr>
          <w:rFonts w:ascii="Times New Roman" w:hAnsi="Times New Roman"/>
          <w:noProof/>
          <w:color w:val="000000" w:themeColor="text1"/>
          <w:sz w:val="24"/>
        </w:rPr>
        <w:t> </w:t>
      </w:r>
      <w:r w:rsidRPr="008D4701">
        <w:rPr>
          <w:rFonts w:ascii="Times New Roman" w:hAnsi="Times New Roman"/>
          <w:noProof/>
          <w:color w:val="000000" w:themeColor="text1"/>
          <w:sz w:val="24"/>
        </w:rPr>
        <w:t>951</w:t>
      </w:r>
      <w:r>
        <w:rPr>
          <w:rFonts w:ascii="Times New Roman" w:hAnsi="Times New Roman"/>
          <w:noProof/>
          <w:color w:val="000000" w:themeColor="text1"/>
          <w:sz w:val="24"/>
        </w:rPr>
        <w:t xml:space="preserve"> de hotărâri judecătorești. Două state membre au raportat că au inițiat peste </w:t>
      </w:r>
      <w:r w:rsidRPr="008D4701">
        <w:rPr>
          <w:rFonts w:ascii="Times New Roman" w:hAnsi="Times New Roman"/>
          <w:noProof/>
          <w:color w:val="000000" w:themeColor="text1"/>
          <w:sz w:val="24"/>
        </w:rPr>
        <w:t>1</w:t>
      </w:r>
      <w:r>
        <w:rPr>
          <w:rFonts w:ascii="Times New Roman" w:hAnsi="Times New Roman"/>
          <w:noProof/>
          <w:color w:val="000000" w:themeColor="text1"/>
          <w:sz w:val="24"/>
        </w:rPr>
        <w:t> </w:t>
      </w:r>
      <w:r w:rsidRPr="008D4701">
        <w:rPr>
          <w:rFonts w:ascii="Times New Roman" w:hAnsi="Times New Roman"/>
          <w:noProof/>
          <w:color w:val="000000" w:themeColor="text1"/>
          <w:sz w:val="24"/>
        </w:rPr>
        <w:t>000</w:t>
      </w:r>
      <w:r>
        <w:rPr>
          <w:rFonts w:ascii="Times New Roman" w:hAnsi="Times New Roman"/>
          <w:noProof/>
          <w:color w:val="000000" w:themeColor="text1"/>
          <w:sz w:val="24"/>
        </w:rPr>
        <w:t xml:space="preserve"> de proceduri penale pe an</w:t>
      </w:r>
      <w:r>
        <w:rPr>
          <w:rFonts w:ascii="Times New Roman" w:eastAsia="Times New Roman" w:hAnsi="Times New Roman" w:cs="Times New Roman"/>
          <w:noProof/>
          <w:color w:val="000000" w:themeColor="text1"/>
          <w:sz w:val="24"/>
          <w:szCs w:val="24"/>
          <w:vertAlign w:val="superscript"/>
        </w:rPr>
        <w:footnoteReference w:id="59"/>
      </w:r>
      <w:r>
        <w:rPr>
          <w:rFonts w:ascii="Times New Roman" w:hAnsi="Times New Roman"/>
          <w:noProof/>
          <w:color w:val="000000" w:themeColor="text1"/>
          <w:sz w:val="24"/>
        </w:rPr>
        <w:t xml:space="preserve">, un stat membru peste </w:t>
      </w:r>
      <w:r w:rsidRPr="008D4701">
        <w:rPr>
          <w:rFonts w:ascii="Times New Roman" w:hAnsi="Times New Roman"/>
          <w:noProof/>
          <w:color w:val="000000" w:themeColor="text1"/>
          <w:sz w:val="24"/>
        </w:rPr>
        <w:t>500</w:t>
      </w:r>
      <w:r>
        <w:rPr>
          <w:rFonts w:ascii="Times New Roman" w:hAnsi="Times New Roman"/>
          <w:noProof/>
          <w:color w:val="000000" w:themeColor="text1"/>
          <w:sz w:val="24"/>
        </w:rPr>
        <w:t xml:space="preserve"> de proceduri pe an</w:t>
      </w:r>
      <w:r>
        <w:rPr>
          <w:rFonts w:ascii="Times New Roman" w:eastAsia="Times New Roman" w:hAnsi="Times New Roman" w:cs="Times New Roman"/>
          <w:noProof/>
          <w:color w:val="000000" w:themeColor="text1"/>
          <w:sz w:val="24"/>
          <w:szCs w:val="24"/>
          <w:vertAlign w:val="superscript"/>
        </w:rPr>
        <w:footnoteReference w:id="60"/>
      </w:r>
      <w:r>
        <w:rPr>
          <w:rFonts w:ascii="Times New Roman" w:hAnsi="Times New Roman"/>
          <w:noProof/>
          <w:color w:val="000000" w:themeColor="text1"/>
          <w:sz w:val="24"/>
        </w:rPr>
        <w:t xml:space="preserve"> și trei state membre au înregistrat un număr total de proceduri penale cuprins între </w:t>
      </w:r>
      <w:r w:rsidRPr="008D4701">
        <w:rPr>
          <w:rFonts w:ascii="Times New Roman" w:hAnsi="Times New Roman"/>
          <w:noProof/>
          <w:color w:val="000000" w:themeColor="text1"/>
          <w:sz w:val="24"/>
        </w:rPr>
        <w:t>236</w:t>
      </w:r>
      <w:r>
        <w:rPr>
          <w:rFonts w:ascii="Times New Roman" w:hAnsi="Times New Roman"/>
          <w:noProof/>
          <w:color w:val="000000" w:themeColor="text1"/>
          <w:sz w:val="24"/>
        </w:rPr>
        <w:t xml:space="preserve"> și </w:t>
      </w:r>
      <w:r w:rsidRPr="008D4701">
        <w:rPr>
          <w:rFonts w:ascii="Times New Roman" w:hAnsi="Times New Roman"/>
          <w:noProof/>
          <w:color w:val="000000" w:themeColor="text1"/>
          <w:sz w:val="24"/>
        </w:rPr>
        <w:t>457</w:t>
      </w:r>
      <w:r>
        <w:rPr>
          <w:rFonts w:ascii="Times New Roman" w:eastAsia="Times New Roman" w:hAnsi="Times New Roman" w:cs="Times New Roman"/>
          <w:noProof/>
          <w:color w:val="000000" w:themeColor="text1"/>
          <w:sz w:val="24"/>
          <w:szCs w:val="24"/>
          <w:vertAlign w:val="superscript"/>
        </w:rPr>
        <w:footnoteReference w:id="61"/>
      </w:r>
      <w:r>
        <w:rPr>
          <w:rFonts w:ascii="Times New Roman" w:hAnsi="Times New Roman"/>
          <w:noProof/>
          <w:color w:val="000000" w:themeColor="text1"/>
          <w:sz w:val="24"/>
        </w:rPr>
        <w:t xml:space="preserve">. </w:t>
      </w:r>
    </w:p>
    <w:p w14:paraId="11770736" w14:textId="246C79C4" w:rsidR="00077A20" w:rsidRPr="00A359E1" w:rsidDel="005B7935"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Majoritatea cauzelor penale au fost inițiate pentru infracțiuni repetate și infracțiuni agravate de un număr important de lucrători migranți aflați în situație ilegală, în timp ce urmăririle penale pentru angajarea minorilor par a fi extrem de rare. Trei state membre au informat că nu au fost aplicate sancțiuni penale</w:t>
      </w:r>
      <w:r>
        <w:rPr>
          <w:rFonts w:ascii="Times New Roman" w:eastAsia="Times New Roman" w:hAnsi="Times New Roman" w:cs="Times New Roman"/>
          <w:noProof/>
          <w:color w:val="000000" w:themeColor="text1"/>
          <w:sz w:val="24"/>
          <w:szCs w:val="24"/>
          <w:vertAlign w:val="superscript"/>
        </w:rPr>
        <w:footnoteReference w:id="62"/>
      </w:r>
      <w:r>
        <w:rPr>
          <w:rFonts w:ascii="Times New Roman" w:hAnsi="Times New Roman"/>
          <w:noProof/>
          <w:color w:val="000000" w:themeColor="text1"/>
          <w:sz w:val="24"/>
        </w:rPr>
        <w:t>, iar alte trei</w:t>
      </w:r>
      <w:r>
        <w:rPr>
          <w:rFonts w:ascii="Times New Roman" w:eastAsia="Times New Roman" w:hAnsi="Times New Roman" w:cs="Times New Roman"/>
          <w:noProof/>
          <w:color w:val="000000" w:themeColor="text1"/>
          <w:sz w:val="24"/>
          <w:szCs w:val="24"/>
          <w:vertAlign w:val="superscript"/>
        </w:rPr>
        <w:footnoteReference w:id="63"/>
      </w:r>
      <w:r>
        <w:rPr>
          <w:rFonts w:ascii="Times New Roman" w:hAnsi="Times New Roman"/>
          <w:noProof/>
          <w:color w:val="000000" w:themeColor="text1"/>
          <w:sz w:val="24"/>
        </w:rPr>
        <w:t xml:space="preserve"> au raportat că nu sunt disponibile informații.  </w:t>
      </w:r>
    </w:p>
    <w:p w14:paraId="1E5C4E9A" w14:textId="3AB00BE6"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Majoritatea sancțiunilor financiare (administrative și penale), a urmăririlor penale și a condamnărilor din ultimii patru ani au fost aplicate în mai puțin de jumătate dintre statele membre</w:t>
      </w:r>
      <w:r>
        <w:rPr>
          <w:rFonts w:ascii="Times New Roman" w:eastAsia="Times New Roman" w:hAnsi="Times New Roman" w:cs="Times New Roman"/>
          <w:noProof/>
          <w:color w:val="000000" w:themeColor="text1"/>
          <w:sz w:val="24"/>
          <w:szCs w:val="24"/>
          <w:vertAlign w:val="superscript"/>
        </w:rPr>
        <w:footnoteReference w:id="64"/>
      </w:r>
      <w:r>
        <w:rPr>
          <w:rFonts w:ascii="Times New Roman" w:hAnsi="Times New Roman"/>
          <w:noProof/>
          <w:color w:val="000000" w:themeColor="text1"/>
          <w:sz w:val="24"/>
        </w:rPr>
        <w:t>.</w:t>
      </w:r>
    </w:p>
    <w:p w14:paraId="56403552" w14:textId="1A5E050A" w:rsidR="00077A20" w:rsidRPr="008D4701" w:rsidRDefault="003225CA" w:rsidP="00077A20">
      <w:pPr>
        <w:pStyle w:val="ListParagraph"/>
        <w:numPr>
          <w:ilvl w:val="1"/>
          <w:numId w:val="2"/>
        </w:numPr>
        <w:spacing w:after="120" w:line="276" w:lineRule="auto"/>
        <w:jc w:val="both"/>
        <w:outlineLvl w:val="1"/>
        <w:rPr>
          <w:rFonts w:ascii="Times New Roman" w:eastAsia="Times New Roman" w:hAnsi="Times New Roman" w:cs="Times New Roman"/>
          <w:b/>
          <w:bCs/>
          <w:noProof/>
          <w:sz w:val="24"/>
          <w:szCs w:val="24"/>
          <w14:ligatures w14:val="none"/>
        </w:rPr>
      </w:pPr>
      <w:bookmarkStart w:id="20" w:name="_Toc210315964"/>
      <w:bookmarkStart w:id="21" w:name="_Toc215743787"/>
      <w:r w:rsidRPr="008D4701">
        <w:rPr>
          <w:rFonts w:ascii="Times New Roman" w:hAnsi="Times New Roman"/>
          <w:b/>
          <w:noProof/>
          <w:sz w:val="24"/>
        </w:rPr>
        <w:t xml:space="preserve"> Alte măsuri administrative </w:t>
      </w:r>
      <w:bookmarkEnd w:id="20"/>
      <w:bookmarkEnd w:id="21"/>
    </w:p>
    <w:p w14:paraId="784A80A6" w14:textId="4156B2CE"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8D4701">
        <w:rPr>
          <w:rFonts w:ascii="Times New Roman" w:hAnsi="Times New Roman"/>
          <w:noProof/>
          <w:color w:val="000000" w:themeColor="text1"/>
          <w:sz w:val="24"/>
        </w:rPr>
        <w:t>19</w:t>
      </w:r>
      <w:r>
        <w:rPr>
          <w:rFonts w:ascii="Times New Roman" w:hAnsi="Times New Roman"/>
          <w:noProof/>
          <w:color w:val="000000" w:themeColor="text1"/>
          <w:sz w:val="24"/>
        </w:rPr>
        <w:t xml:space="preserve"> state membre</w:t>
      </w:r>
      <w:r>
        <w:rPr>
          <w:rFonts w:ascii="Times New Roman" w:eastAsia="Times New Roman" w:hAnsi="Times New Roman" w:cs="Times New Roman"/>
          <w:noProof/>
          <w:color w:val="000000" w:themeColor="text1"/>
          <w:sz w:val="24"/>
          <w:szCs w:val="24"/>
          <w:vertAlign w:val="superscript"/>
        </w:rPr>
        <w:footnoteReference w:id="65"/>
      </w:r>
      <w:r>
        <w:rPr>
          <w:rFonts w:ascii="Times New Roman" w:hAnsi="Times New Roman"/>
          <w:noProof/>
          <w:color w:val="000000" w:themeColor="text1"/>
          <w:sz w:val="24"/>
        </w:rPr>
        <w:t xml:space="preserve"> au confirmat că, în perioada </w:t>
      </w:r>
      <w:r w:rsidRPr="008D4701">
        <w:rPr>
          <w:rFonts w:ascii="Times New Roman" w:hAnsi="Times New Roman"/>
          <w:noProof/>
          <w:color w:val="000000" w:themeColor="text1"/>
          <w:sz w:val="24"/>
        </w:rPr>
        <w:t>2021</w:t>
      </w:r>
      <w:r>
        <w:rPr>
          <w:rFonts w:ascii="Times New Roman" w:hAnsi="Times New Roman"/>
          <w:noProof/>
          <w:color w:val="000000" w:themeColor="text1"/>
          <w:sz w:val="24"/>
        </w:rPr>
        <w:t>-</w:t>
      </w:r>
      <w:r w:rsidRPr="008D4701">
        <w:rPr>
          <w:rFonts w:ascii="Times New Roman" w:hAnsi="Times New Roman"/>
          <w:noProof/>
          <w:color w:val="000000" w:themeColor="text1"/>
          <w:sz w:val="24"/>
        </w:rPr>
        <w:t>2024</w:t>
      </w:r>
      <w:r>
        <w:rPr>
          <w:rFonts w:ascii="Times New Roman" w:hAnsi="Times New Roman"/>
          <w:noProof/>
          <w:color w:val="000000" w:themeColor="text1"/>
          <w:sz w:val="24"/>
        </w:rPr>
        <w:t xml:space="preserve">, au aplicat alte măsuri, cum ar fi excluderea totală sau parțială de la prestațiile, ajutoarele sau subvențiile publice sau recuperarea unor astfel de fonduri de-a lungul unei perioade de până la </w:t>
      </w:r>
      <w:r w:rsidRPr="008D4701">
        <w:rPr>
          <w:rFonts w:ascii="Times New Roman" w:hAnsi="Times New Roman"/>
          <w:noProof/>
          <w:color w:val="000000" w:themeColor="text1"/>
          <w:sz w:val="24"/>
        </w:rPr>
        <w:t>12</w:t>
      </w:r>
      <w:r>
        <w:rPr>
          <w:rFonts w:ascii="Times New Roman" w:hAnsi="Times New Roman"/>
          <w:noProof/>
          <w:color w:val="000000" w:themeColor="text1"/>
          <w:sz w:val="24"/>
        </w:rPr>
        <w:t xml:space="preserve"> luni înainte de constatarea angajării ilegale</w:t>
      </w:r>
      <w:r>
        <w:rPr>
          <w:rFonts w:ascii="Times New Roman" w:eastAsiaTheme="minorEastAsia" w:hAnsi="Times New Roman" w:cs="Times New Roman"/>
          <w:noProof/>
          <w:color w:val="000000" w:themeColor="text1"/>
          <w:sz w:val="24"/>
          <w:szCs w:val="24"/>
          <w:vertAlign w:val="superscript"/>
        </w:rPr>
        <w:footnoteReference w:id="66"/>
      </w:r>
      <w:r>
        <w:rPr>
          <w:rFonts w:ascii="Times New Roman" w:hAnsi="Times New Roman"/>
          <w:noProof/>
          <w:color w:val="000000" w:themeColor="text1"/>
          <w:sz w:val="24"/>
        </w:rPr>
        <w:t>. Alte state membre au interzis, de asemenea, participarea angajatorilor la licitații și contracte publice</w:t>
      </w:r>
      <w:r>
        <w:rPr>
          <w:rFonts w:ascii="Times New Roman" w:eastAsia="Times New Roman" w:hAnsi="Times New Roman" w:cs="Times New Roman"/>
          <w:noProof/>
          <w:color w:val="000000" w:themeColor="text1"/>
          <w:sz w:val="24"/>
          <w:szCs w:val="24"/>
          <w:vertAlign w:val="superscript"/>
        </w:rPr>
        <w:footnoteReference w:id="67"/>
      </w:r>
      <w:r>
        <w:rPr>
          <w:rFonts w:ascii="Times New Roman" w:hAnsi="Times New Roman"/>
          <w:noProof/>
          <w:color w:val="000000" w:themeColor="text1"/>
          <w:sz w:val="24"/>
        </w:rPr>
        <w:t>, le-au închis temporar sau permanent unitățile</w:t>
      </w:r>
      <w:r>
        <w:rPr>
          <w:rFonts w:ascii="Times New Roman" w:eastAsia="Times New Roman" w:hAnsi="Times New Roman" w:cs="Times New Roman"/>
          <w:noProof/>
          <w:color w:val="000000" w:themeColor="text1"/>
          <w:sz w:val="24"/>
          <w:szCs w:val="24"/>
          <w:vertAlign w:val="superscript"/>
        </w:rPr>
        <w:footnoteReference w:id="68"/>
      </w:r>
      <w:r>
        <w:rPr>
          <w:rFonts w:ascii="Times New Roman" w:hAnsi="Times New Roman"/>
          <w:noProof/>
          <w:color w:val="000000" w:themeColor="text1"/>
          <w:sz w:val="24"/>
        </w:rPr>
        <w:t xml:space="preserve"> sau au impus măsuri suplimentare, cum ar fi: (i) revocarea autorizațiilor</w:t>
      </w:r>
      <w:r>
        <w:rPr>
          <w:rFonts w:ascii="Times New Roman" w:eastAsia="Times New Roman" w:hAnsi="Times New Roman" w:cs="Times New Roman"/>
          <w:noProof/>
          <w:color w:val="000000" w:themeColor="text1"/>
          <w:sz w:val="24"/>
          <w:szCs w:val="24"/>
          <w:vertAlign w:val="superscript"/>
        </w:rPr>
        <w:footnoteReference w:id="69"/>
      </w:r>
      <w:r>
        <w:rPr>
          <w:rFonts w:ascii="Times New Roman" w:hAnsi="Times New Roman"/>
          <w:noProof/>
          <w:color w:val="000000" w:themeColor="text1"/>
          <w:sz w:val="24"/>
        </w:rPr>
        <w:t>, (ii) neeliberarea permiselor de muncă sau excluderea din programele de ocupare a forței de muncă</w:t>
      </w:r>
      <w:r>
        <w:rPr>
          <w:rFonts w:ascii="Times New Roman" w:eastAsia="Times New Roman" w:hAnsi="Times New Roman" w:cs="Times New Roman"/>
          <w:noProof/>
          <w:color w:val="000000" w:themeColor="text1"/>
          <w:sz w:val="24"/>
          <w:szCs w:val="24"/>
          <w:vertAlign w:val="superscript"/>
        </w:rPr>
        <w:footnoteReference w:id="70"/>
      </w:r>
      <w:r>
        <w:rPr>
          <w:rFonts w:ascii="Times New Roman" w:hAnsi="Times New Roman"/>
          <w:noProof/>
          <w:color w:val="000000" w:themeColor="text1"/>
          <w:sz w:val="24"/>
        </w:rPr>
        <w:t>, (iii) aplicarea de amenzi suplimentare pentru angajarea ilegală de resortisanți ai țărilor terțe în proiecte publice de construcții</w:t>
      </w:r>
      <w:r>
        <w:rPr>
          <w:rFonts w:ascii="Times New Roman" w:eastAsia="Times New Roman" w:hAnsi="Times New Roman" w:cs="Times New Roman"/>
          <w:noProof/>
          <w:color w:val="000000" w:themeColor="text1"/>
          <w:sz w:val="24"/>
          <w:szCs w:val="24"/>
          <w:vertAlign w:val="superscript"/>
        </w:rPr>
        <w:footnoteReference w:id="71"/>
      </w:r>
      <w:r>
        <w:rPr>
          <w:rFonts w:ascii="Times New Roman" w:hAnsi="Times New Roman"/>
          <w:noProof/>
          <w:color w:val="000000" w:themeColor="text1"/>
          <w:sz w:val="24"/>
        </w:rPr>
        <w:t>, (iv) excluderea de la procedurile de admisie pe piața forței de muncă pentru o perioadă de până la cinci ani</w:t>
      </w:r>
      <w:r>
        <w:rPr>
          <w:rFonts w:ascii="Times New Roman" w:eastAsia="Times New Roman" w:hAnsi="Times New Roman" w:cs="Times New Roman"/>
          <w:noProof/>
          <w:color w:val="000000" w:themeColor="text1"/>
          <w:sz w:val="24"/>
          <w:szCs w:val="24"/>
          <w:vertAlign w:val="superscript"/>
        </w:rPr>
        <w:footnoteReference w:id="72"/>
      </w:r>
      <w:r>
        <w:rPr>
          <w:rFonts w:ascii="Times New Roman" w:hAnsi="Times New Roman"/>
          <w:noProof/>
          <w:color w:val="000000" w:themeColor="text1"/>
          <w:sz w:val="24"/>
        </w:rPr>
        <w:t>, (v) interdicția de a angaja resortisanți ai țărilor terțe pentru o perioadă de până la cinci ani</w:t>
      </w:r>
      <w:r>
        <w:rPr>
          <w:rFonts w:ascii="Times New Roman" w:eastAsia="Times New Roman" w:hAnsi="Times New Roman" w:cs="Times New Roman"/>
          <w:noProof/>
          <w:color w:val="000000" w:themeColor="text1"/>
          <w:sz w:val="24"/>
          <w:szCs w:val="24"/>
          <w:vertAlign w:val="superscript"/>
        </w:rPr>
        <w:footnoteReference w:id="73"/>
      </w:r>
      <w:r>
        <w:rPr>
          <w:rFonts w:ascii="Times New Roman" w:hAnsi="Times New Roman"/>
          <w:noProof/>
          <w:color w:val="000000" w:themeColor="text1"/>
          <w:sz w:val="24"/>
        </w:rPr>
        <w:t xml:space="preserve"> și (vi) interdicția de a exercita, pentru o perioadă de până la trei ani, activitatea profesională sau socială care a servit direct sau indirect la săvârșirea infracțiunii</w:t>
      </w:r>
      <w:r>
        <w:rPr>
          <w:rFonts w:ascii="Times New Roman" w:eastAsia="Times New Roman" w:hAnsi="Times New Roman" w:cs="Times New Roman"/>
          <w:noProof/>
          <w:color w:val="000000" w:themeColor="text1"/>
          <w:sz w:val="24"/>
          <w:szCs w:val="24"/>
          <w:vertAlign w:val="superscript"/>
        </w:rPr>
        <w:footnoteReference w:id="74"/>
      </w:r>
      <w:r>
        <w:rPr>
          <w:rFonts w:ascii="Times New Roman" w:hAnsi="Times New Roman"/>
          <w:noProof/>
          <w:color w:val="000000" w:themeColor="text1"/>
          <w:sz w:val="24"/>
        </w:rPr>
        <w:t>.</w:t>
      </w:r>
    </w:p>
    <w:p w14:paraId="5D3655CA" w14:textId="23439054" w:rsidR="00077A20" w:rsidRPr="00A359E1" w:rsidRDefault="00077A20" w:rsidP="00077A20">
      <w:pPr>
        <w:pBdr>
          <w:top w:val="single" w:sz="4" w:space="4" w:color="000000"/>
          <w:left w:val="single" w:sz="4" w:space="4" w:color="000000"/>
          <w:bottom w:val="single" w:sz="4" w:space="4" w:color="000000"/>
          <w:right w:val="single" w:sz="4" w:space="4" w:color="000000"/>
        </w:pBdr>
        <w:spacing w:after="120" w:line="276" w:lineRule="auto"/>
        <w:jc w:val="both"/>
        <w:rPr>
          <w:rFonts w:ascii="Times New Roman" w:eastAsia="Times New Roman" w:hAnsi="Times New Roman" w:cs="Times New Roman"/>
          <w:noProof/>
          <w:color w:val="000000" w:themeColor="text1"/>
          <w:sz w:val="20"/>
          <w:szCs w:val="20"/>
          <w14:ligatures w14:val="none"/>
        </w:rPr>
      </w:pPr>
      <w:r>
        <w:rPr>
          <w:rFonts w:ascii="Times New Roman" w:hAnsi="Times New Roman"/>
          <w:noProof/>
          <w:color w:val="000000" w:themeColor="text1"/>
          <w:sz w:val="20"/>
        </w:rPr>
        <w:t xml:space="preserve">În Croația, angajatorilor care angajează migranți aflați în situație ilegală pentru a treia și următoarele dăți într-un interval de șase luni li se poate interzice, cu efect imediat, să desfășoare activități în spațiile în cauză. Decizia este revocată în termen de trei zile de la data plății unei amenzi după expirarea unei perioade de </w:t>
      </w:r>
      <w:r w:rsidRPr="008D4701">
        <w:rPr>
          <w:rFonts w:ascii="Times New Roman" w:hAnsi="Times New Roman"/>
          <w:noProof/>
          <w:color w:val="000000" w:themeColor="text1"/>
          <w:sz w:val="20"/>
        </w:rPr>
        <w:t>30</w:t>
      </w:r>
      <w:r>
        <w:rPr>
          <w:rFonts w:ascii="Times New Roman" w:hAnsi="Times New Roman"/>
          <w:noProof/>
          <w:color w:val="000000" w:themeColor="text1"/>
          <w:sz w:val="20"/>
        </w:rPr>
        <w:t xml:space="preserve"> de zile. În plus, informațiile despre angajatorii care angajează ilegal resortisanți din țări terțe sunt puse la dispoziția publicului. </w:t>
      </w:r>
    </w:p>
    <w:p w14:paraId="08861F65" w14:textId="08D002C6" w:rsidR="00077A20" w:rsidRPr="00A359E1" w:rsidRDefault="00077A20" w:rsidP="00077A20">
      <w:pPr>
        <w:pBdr>
          <w:top w:val="single" w:sz="4" w:space="4" w:color="000000"/>
          <w:left w:val="single" w:sz="4" w:space="4" w:color="000000"/>
          <w:bottom w:val="single" w:sz="4" w:space="4" w:color="000000"/>
          <w:right w:val="single" w:sz="4" w:space="4" w:color="000000"/>
        </w:pBdr>
        <w:spacing w:after="120" w:line="276" w:lineRule="auto"/>
        <w:jc w:val="both"/>
        <w:rPr>
          <w:rFonts w:ascii="Times New Roman" w:eastAsia="Times New Roman" w:hAnsi="Times New Roman" w:cs="Times New Roman"/>
          <w:noProof/>
          <w:color w:val="000000" w:themeColor="text1"/>
          <w:sz w:val="20"/>
          <w:szCs w:val="20"/>
          <w14:ligatures w14:val="none"/>
        </w:rPr>
      </w:pPr>
      <w:r>
        <w:rPr>
          <w:rFonts w:ascii="Times New Roman" w:hAnsi="Times New Roman"/>
          <w:noProof/>
          <w:color w:val="000000" w:themeColor="text1"/>
          <w:sz w:val="20"/>
        </w:rPr>
        <w:t>În Germania, în cazul în care există dovezi că angajatorii nu sunt de încredere, aceștia pot fi excluși, pentru o perioadă de până la cinci ani, de la procedura de admisie pe piața muncii desfășurată de Agenția Federală pentru Ocuparea Forței de Muncă. O interdicție comercială și retragerea autorizațiilor pot fi aplicate, de asemenea, angajatorilor care au angajat ilegal resortisanți din țări terțe.</w:t>
      </w:r>
    </w:p>
    <w:p w14:paraId="1C6F2695" w14:textId="69B34D56"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Cu toate acestea, având în vedere lacunele semnificative în materie de date din majoritatea statelor membre, informațiile disponibile indică, în general, o aplicare relativ rară a altor măsuri</w:t>
      </w:r>
      <w:r>
        <w:rPr>
          <w:rFonts w:ascii="Times New Roman" w:eastAsiaTheme="minorEastAsia" w:hAnsi="Times New Roman" w:cs="Times New Roman"/>
          <w:noProof/>
          <w:color w:val="000000" w:themeColor="text1"/>
          <w:sz w:val="24"/>
          <w:szCs w:val="24"/>
          <w:vertAlign w:val="superscript"/>
        </w:rPr>
        <w:footnoteReference w:id="75"/>
      </w:r>
      <w:r>
        <w:rPr>
          <w:rFonts w:ascii="Times New Roman" w:hAnsi="Times New Roman"/>
          <w:noProof/>
          <w:color w:val="000000" w:themeColor="text1"/>
          <w:sz w:val="24"/>
        </w:rPr>
        <w:t xml:space="preserve">.  </w:t>
      </w:r>
    </w:p>
    <w:p w14:paraId="6F27E124" w14:textId="6BA09A30" w:rsidR="00077A20" w:rsidRPr="008D4701" w:rsidRDefault="00F14AF3" w:rsidP="00077A20">
      <w:pPr>
        <w:pStyle w:val="ListParagraph"/>
        <w:numPr>
          <w:ilvl w:val="1"/>
          <w:numId w:val="2"/>
        </w:numPr>
        <w:spacing w:after="120" w:line="276" w:lineRule="auto"/>
        <w:jc w:val="both"/>
        <w:outlineLvl w:val="1"/>
        <w:rPr>
          <w:rFonts w:ascii="Times New Roman" w:eastAsia="Times New Roman" w:hAnsi="Times New Roman" w:cs="Times New Roman"/>
          <w:b/>
          <w:bCs/>
          <w:noProof/>
          <w:sz w:val="24"/>
          <w:szCs w:val="24"/>
          <w14:ligatures w14:val="none"/>
        </w:rPr>
      </w:pPr>
      <w:bookmarkStart w:id="22" w:name="_Toc210315965"/>
      <w:bookmarkStart w:id="23" w:name="_Toc215743788"/>
      <w:r w:rsidRPr="008D4701">
        <w:rPr>
          <w:rFonts w:ascii="Times New Roman" w:hAnsi="Times New Roman"/>
          <w:b/>
          <w:noProof/>
          <w:sz w:val="24"/>
        </w:rPr>
        <w:t xml:space="preserve"> Subcontractare – intermediari </w:t>
      </w:r>
      <w:bookmarkEnd w:id="22"/>
      <w:bookmarkEnd w:id="23"/>
    </w:p>
    <w:p w14:paraId="67F51910" w14:textId="479E66B9"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În unele cazuri, lucrătorii migranți aflați în situație ilegală pot fi angajați în cadrul unor raporturi de muncă care implică acorduri de subcontractare și prin intermediari, recrutori, agenți de muncă temporară și, din ce în ce mai mult, prin intermediul platformelor online. Acest lucru îngreunează identificarea angajatorilor și tragerea lor la răspundere, astfel cum au confirmat sindicatele, reprezentanții angajatorilor și organizațiile societății civile</w:t>
      </w:r>
      <w:r>
        <w:rPr>
          <w:rFonts w:ascii="Times New Roman" w:eastAsia="Times New Roman" w:hAnsi="Times New Roman" w:cs="Times New Roman"/>
          <w:noProof/>
          <w:color w:val="000000" w:themeColor="text1"/>
          <w:sz w:val="24"/>
          <w:szCs w:val="24"/>
          <w:vertAlign w:val="superscript"/>
        </w:rPr>
        <w:footnoteReference w:id="76"/>
      </w:r>
      <w:r>
        <w:rPr>
          <w:rFonts w:ascii="Times New Roman" w:hAnsi="Times New Roman"/>
          <w:noProof/>
          <w:color w:val="000000" w:themeColor="text1"/>
          <w:sz w:val="24"/>
        </w:rPr>
        <w:t xml:space="preserve">. </w:t>
      </w:r>
    </w:p>
    <w:p w14:paraId="40CF65BC" w14:textId="4EF6ABBB" w:rsidR="00077A20" w:rsidRPr="00A359E1" w:rsidDel="00363A22"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Articolul </w:t>
      </w:r>
      <w:r w:rsidRPr="008D4701">
        <w:rPr>
          <w:rFonts w:ascii="Times New Roman" w:hAnsi="Times New Roman"/>
          <w:noProof/>
          <w:color w:val="000000" w:themeColor="text1"/>
          <w:sz w:val="24"/>
        </w:rPr>
        <w:t>8</w:t>
      </w:r>
      <w:r>
        <w:rPr>
          <w:rFonts w:ascii="Times New Roman" w:hAnsi="Times New Roman"/>
          <w:noProof/>
          <w:color w:val="000000" w:themeColor="text1"/>
          <w:sz w:val="24"/>
        </w:rPr>
        <w:t xml:space="preserve"> din directivă extinde răspunderea la orice angajator intermediar, în cazul în care contractantul principal sau subcontractantul direct știa că angajatorul subcontractant angaja lucrători migranți aflați în situație ilegală</w:t>
      </w:r>
      <w:r>
        <w:rPr>
          <w:rFonts w:ascii="Times New Roman" w:eastAsia="Times New Roman" w:hAnsi="Times New Roman" w:cs="Times New Roman"/>
          <w:noProof/>
          <w:color w:val="000000" w:themeColor="text1"/>
          <w:sz w:val="24"/>
          <w:szCs w:val="24"/>
          <w:vertAlign w:val="superscript"/>
        </w:rPr>
        <w:footnoteReference w:id="77"/>
      </w:r>
      <w:r>
        <w:rPr>
          <w:rFonts w:ascii="Times New Roman" w:hAnsi="Times New Roman"/>
          <w:noProof/>
          <w:color w:val="000000" w:themeColor="text1"/>
          <w:sz w:val="24"/>
        </w:rPr>
        <w:t xml:space="preserve">. Începând din </w:t>
      </w:r>
      <w:r w:rsidRPr="008D4701">
        <w:rPr>
          <w:rFonts w:ascii="Times New Roman" w:hAnsi="Times New Roman"/>
          <w:noProof/>
          <w:color w:val="000000" w:themeColor="text1"/>
          <w:sz w:val="24"/>
        </w:rPr>
        <w:t>2021</w:t>
      </w:r>
      <w:r>
        <w:rPr>
          <w:rFonts w:ascii="Times New Roman" w:hAnsi="Times New Roman"/>
          <w:noProof/>
          <w:color w:val="000000" w:themeColor="text1"/>
          <w:sz w:val="24"/>
        </w:rPr>
        <w:t>, unele state membre au introdus noi acte legislative care consolidează protecția lucrătorilor angajați de subcontractanți în cadrul contractelor de achiziții publice de lucrări. Aceste măsuri includ: (i) extinderea răspunderii pentru sancțiunile financiare aplicate în lanțurile de subcontractare</w:t>
      </w:r>
      <w:r>
        <w:rPr>
          <w:rFonts w:ascii="Times New Roman" w:eastAsia="Times New Roman" w:hAnsi="Times New Roman" w:cs="Times New Roman"/>
          <w:noProof/>
          <w:color w:val="000000" w:themeColor="text1"/>
          <w:sz w:val="24"/>
          <w:szCs w:val="24"/>
          <w:vertAlign w:val="superscript"/>
        </w:rPr>
        <w:footnoteReference w:id="78"/>
      </w:r>
      <w:r>
        <w:rPr>
          <w:rFonts w:ascii="Times New Roman" w:hAnsi="Times New Roman"/>
          <w:noProof/>
          <w:color w:val="000000" w:themeColor="text1"/>
          <w:sz w:val="24"/>
        </w:rPr>
        <w:t>, (ii) detalierea răspunderii solidare pentru salariile neplătite</w:t>
      </w:r>
      <w:r>
        <w:rPr>
          <w:rFonts w:ascii="Times New Roman" w:eastAsia="Times New Roman" w:hAnsi="Times New Roman" w:cs="Times New Roman"/>
          <w:noProof/>
          <w:color w:val="000000" w:themeColor="text1"/>
          <w:sz w:val="24"/>
          <w:szCs w:val="24"/>
          <w:vertAlign w:val="superscript"/>
        </w:rPr>
        <w:footnoteReference w:id="79"/>
      </w:r>
      <w:r>
        <w:rPr>
          <w:rFonts w:ascii="Times New Roman" w:hAnsi="Times New Roman"/>
          <w:noProof/>
          <w:color w:val="000000" w:themeColor="text1"/>
          <w:sz w:val="24"/>
        </w:rPr>
        <w:t>, (iii) emiterea de avertismente administrative pentru creanțele financiare care angajează răspunderea solidară a contractanților și a subcontractanților</w:t>
      </w:r>
      <w:r>
        <w:rPr>
          <w:rFonts w:ascii="Times New Roman" w:eastAsia="Times New Roman" w:hAnsi="Times New Roman" w:cs="Times New Roman"/>
          <w:noProof/>
          <w:color w:val="000000" w:themeColor="text1"/>
          <w:sz w:val="24"/>
          <w:szCs w:val="24"/>
          <w:vertAlign w:val="superscript"/>
        </w:rPr>
        <w:footnoteReference w:id="80"/>
      </w:r>
      <w:r>
        <w:rPr>
          <w:rFonts w:ascii="Times New Roman" w:hAnsi="Times New Roman"/>
          <w:noProof/>
          <w:color w:val="000000" w:themeColor="text1"/>
          <w:sz w:val="24"/>
        </w:rPr>
        <w:t xml:space="preserve"> și (iv) clarificarea dispozițiilor legale privind răspunderea solidară a subcontractanților direcți</w:t>
      </w:r>
      <w:r>
        <w:rPr>
          <w:rFonts w:ascii="Times New Roman" w:eastAsia="Times New Roman" w:hAnsi="Times New Roman" w:cs="Times New Roman"/>
          <w:noProof/>
          <w:color w:val="000000" w:themeColor="text1"/>
          <w:sz w:val="24"/>
          <w:szCs w:val="24"/>
          <w:vertAlign w:val="superscript"/>
        </w:rPr>
        <w:footnoteReference w:id="81"/>
      </w:r>
      <w:r>
        <w:rPr>
          <w:rFonts w:ascii="Times New Roman" w:hAnsi="Times New Roman"/>
          <w:noProof/>
          <w:color w:val="000000" w:themeColor="text1"/>
          <w:sz w:val="24"/>
        </w:rPr>
        <w:t xml:space="preserve">.  </w:t>
      </w:r>
    </w:p>
    <w:p w14:paraId="6F7EBEDA" w14:textId="26373C09" w:rsidR="00077A20" w:rsidRPr="00A359E1" w:rsidRDefault="00077A20" w:rsidP="00077A20">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cs="Times New Roman"/>
          <w:noProof/>
          <w:color w:val="000000" w:themeColor="text1"/>
          <w:sz w:val="20"/>
          <w:szCs w:val="20"/>
          <w14:ligatures w14:val="none"/>
        </w:rPr>
      </w:pPr>
      <w:r>
        <w:rPr>
          <w:rFonts w:ascii="Times New Roman" w:hAnsi="Times New Roman"/>
          <w:noProof/>
          <w:color w:val="000000" w:themeColor="text1"/>
          <w:sz w:val="20"/>
        </w:rPr>
        <w:t>Belgia a introdus o dispoziție legală care exonerează contractantul de răspunderea pentru angajarea de lucrători migranți aflați în situație ilegală de către subcontractantul său direct</w:t>
      </w:r>
      <w:r>
        <w:rPr>
          <w:rFonts w:ascii="Times New Roman" w:hAnsi="Times New Roman" w:cs="Times New Roman"/>
          <w:noProof/>
          <w:color w:val="000000" w:themeColor="text1"/>
          <w:sz w:val="20"/>
          <w:szCs w:val="20"/>
          <w:vertAlign w:val="superscript"/>
        </w:rPr>
        <w:footnoteReference w:id="82"/>
      </w:r>
      <w:r>
        <w:rPr>
          <w:rFonts w:ascii="Times New Roman" w:hAnsi="Times New Roman"/>
          <w:noProof/>
          <w:color w:val="000000" w:themeColor="text1"/>
          <w:sz w:val="20"/>
        </w:rPr>
        <w:t>. Noile dispoziții prevăd obligația contractantului de a verifica, de asemenea, dacă subcontractantul deține anumite documente, în cazul în care acesta din urmă activează într-unul dintre sectoarele cu risc ridicat</w:t>
      </w:r>
      <w:r>
        <w:rPr>
          <w:rFonts w:ascii="Times New Roman" w:hAnsi="Times New Roman" w:cs="Times New Roman"/>
          <w:noProof/>
          <w:color w:val="000000" w:themeColor="text1"/>
          <w:sz w:val="20"/>
          <w:szCs w:val="20"/>
          <w:vertAlign w:val="superscript"/>
        </w:rPr>
        <w:footnoteReference w:id="83"/>
      </w:r>
      <w:r>
        <w:rPr>
          <w:rFonts w:ascii="Times New Roman" w:hAnsi="Times New Roman"/>
          <w:noProof/>
          <w:color w:val="000000" w:themeColor="text1"/>
          <w:sz w:val="20"/>
        </w:rPr>
        <w:t xml:space="preserve">. </w:t>
      </w:r>
    </w:p>
    <w:p w14:paraId="6C6C9E10" w14:textId="08DF879D"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Alte state membre au menționat că nu au introdus noi măsuri referitoare la subcontractare</w:t>
      </w:r>
      <w:r>
        <w:rPr>
          <w:rFonts w:ascii="Times New Roman" w:eastAsia="Times New Roman" w:hAnsi="Times New Roman" w:cs="Times New Roman"/>
          <w:noProof/>
          <w:color w:val="000000" w:themeColor="text1"/>
          <w:sz w:val="24"/>
          <w:szCs w:val="24"/>
          <w:vertAlign w:val="superscript"/>
        </w:rPr>
        <w:footnoteReference w:id="84"/>
      </w:r>
      <w:r>
        <w:rPr>
          <w:rFonts w:ascii="Times New Roman" w:hAnsi="Times New Roman"/>
          <w:noProof/>
          <w:color w:val="000000" w:themeColor="text1"/>
          <w:sz w:val="24"/>
        </w:rPr>
        <w:t>, dar au evidențiat dispozițiile existente care asigură respectarea normelor directivei referitoare la subcontractare</w:t>
      </w:r>
      <w:r>
        <w:rPr>
          <w:rFonts w:ascii="Times New Roman" w:eastAsia="Times New Roman" w:hAnsi="Times New Roman" w:cs="Times New Roman"/>
          <w:noProof/>
          <w:color w:val="000000" w:themeColor="text1"/>
          <w:sz w:val="24"/>
          <w:szCs w:val="24"/>
          <w:vertAlign w:val="superscript"/>
        </w:rPr>
        <w:footnoteReference w:id="85"/>
      </w:r>
      <w:r>
        <w:rPr>
          <w:rFonts w:ascii="Times New Roman" w:hAnsi="Times New Roman"/>
          <w:noProof/>
          <w:color w:val="000000" w:themeColor="text1"/>
          <w:sz w:val="24"/>
        </w:rPr>
        <w:t>. Un stat membru</w:t>
      </w:r>
      <w:r>
        <w:rPr>
          <w:rFonts w:ascii="Times New Roman" w:eastAsia="Times New Roman" w:hAnsi="Times New Roman" w:cs="Times New Roman"/>
          <w:noProof/>
          <w:color w:val="000000" w:themeColor="text1"/>
          <w:sz w:val="24"/>
          <w:szCs w:val="24"/>
          <w:vertAlign w:val="superscript"/>
        </w:rPr>
        <w:footnoteReference w:id="86"/>
      </w:r>
      <w:r>
        <w:rPr>
          <w:rFonts w:ascii="Times New Roman" w:hAnsi="Times New Roman"/>
          <w:noProof/>
          <w:color w:val="000000" w:themeColor="text1"/>
          <w:sz w:val="24"/>
        </w:rPr>
        <w:t xml:space="preserve"> a raportat că informațiile privind răspunderea subcontractanților sunt diseminate prin intermediul organizațiilor patronale.</w:t>
      </w:r>
    </w:p>
    <w:p w14:paraId="1DF8C92C" w14:textId="68076B7F" w:rsidR="00077A20" w:rsidRPr="00A359E1" w:rsidRDefault="00D755F4"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Mai multe state membre au indicat, în cadrul mai multor consultări, că lanțurile extinse de subcontractare, inclusiv în contexte transfrontaliere și cele care implică detașarea lucrătorilor resortisanți ai țărilor terțe, îngreunează stabilirea efectivă a răspunderii pentru angajarea ilegală. </w:t>
      </w:r>
    </w:p>
    <w:p w14:paraId="411E8C4A" w14:textId="66B58619" w:rsidR="007E05A4" w:rsidRPr="00A359E1" w:rsidRDefault="00077A20" w:rsidP="007E05A4">
      <w:pPr>
        <w:spacing w:after="120"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Sindicatele și societatea civilă au menționat, de asemenea, că rolul agențiilor de recrutare și al intermediarilor în angajarea ilegală nu este abordat în mod corespunzător, iar lanțurile lungi de subcontractare din anumite sectoare, precum sectorul construcțiilor, împiedică punerea în aplicare, în special a articolului </w:t>
      </w:r>
      <w:r w:rsidRPr="008D4701">
        <w:rPr>
          <w:rFonts w:ascii="Times New Roman" w:hAnsi="Times New Roman"/>
          <w:noProof/>
          <w:color w:val="000000" w:themeColor="text1"/>
          <w:sz w:val="24"/>
        </w:rPr>
        <w:t>8</w:t>
      </w:r>
      <w:r>
        <w:rPr>
          <w:rFonts w:ascii="Times New Roman" w:hAnsi="Times New Roman"/>
          <w:noProof/>
          <w:color w:val="000000" w:themeColor="text1"/>
          <w:sz w:val="24"/>
        </w:rPr>
        <w:t xml:space="preserve">. </w:t>
      </w:r>
    </w:p>
    <w:p w14:paraId="7956D809" w14:textId="568EC9C9" w:rsidR="00077A20" w:rsidRPr="008D4701" w:rsidRDefault="00F14AF3" w:rsidP="007E05A4">
      <w:pPr>
        <w:spacing w:after="120" w:line="276" w:lineRule="auto"/>
        <w:jc w:val="both"/>
        <w:rPr>
          <w:rFonts w:ascii="Times New Roman" w:eastAsia="Times New Roman" w:hAnsi="Times New Roman" w:cs="Times New Roman"/>
          <w:b/>
          <w:bCs/>
          <w:noProof/>
          <w:sz w:val="24"/>
          <w:szCs w:val="24"/>
          <w14:ligatures w14:val="none"/>
        </w:rPr>
      </w:pPr>
      <w:bookmarkStart w:id="24" w:name="_Toc210315967"/>
      <w:bookmarkStart w:id="25" w:name="_Toc215743789"/>
      <w:r w:rsidRPr="008D4701">
        <w:rPr>
          <w:rFonts w:ascii="Times New Roman" w:hAnsi="Times New Roman"/>
          <w:b/>
          <w:noProof/>
          <w:sz w:val="24"/>
        </w:rPr>
        <w:t xml:space="preserve">    2.6 Măsuri de protecție</w:t>
      </w:r>
      <w:bookmarkEnd w:id="24"/>
      <w:bookmarkEnd w:id="25"/>
    </w:p>
    <w:p w14:paraId="13AAD9DE" w14:textId="268DD43D" w:rsidR="00077A20" w:rsidRPr="008D4701" w:rsidRDefault="00077A20" w:rsidP="00077A20">
      <w:pPr>
        <w:pStyle w:val="ListParagraph"/>
        <w:numPr>
          <w:ilvl w:val="0"/>
          <w:numId w:val="4"/>
        </w:numPr>
        <w:spacing w:after="120" w:line="276" w:lineRule="auto"/>
        <w:jc w:val="both"/>
        <w:outlineLvl w:val="2"/>
        <w:rPr>
          <w:rFonts w:ascii="Times New Roman" w:eastAsia="Times New Roman" w:hAnsi="Times New Roman" w:cs="Times New Roman"/>
          <w:b/>
          <w:bCs/>
          <w:noProof/>
          <w:sz w:val="24"/>
          <w:szCs w:val="24"/>
          <w14:ligatures w14:val="none"/>
        </w:rPr>
      </w:pPr>
      <w:bookmarkStart w:id="26" w:name="_Toc215743790"/>
      <w:bookmarkStart w:id="27" w:name="_Toc210315968"/>
      <w:bookmarkStart w:id="28" w:name="_Hlk215129842"/>
      <w:r w:rsidRPr="008D4701">
        <w:rPr>
          <w:rFonts w:ascii="Times New Roman" w:hAnsi="Times New Roman"/>
          <w:b/>
          <w:noProof/>
          <w:sz w:val="24"/>
        </w:rPr>
        <w:t>Accesul la justiție și la informații</w:t>
      </w:r>
      <w:bookmarkEnd w:id="26"/>
      <w:r w:rsidRPr="008D4701">
        <w:rPr>
          <w:rFonts w:ascii="Times New Roman" w:hAnsi="Times New Roman"/>
          <w:b/>
          <w:noProof/>
          <w:sz w:val="24"/>
        </w:rPr>
        <w:t xml:space="preserve"> </w:t>
      </w:r>
      <w:bookmarkEnd w:id="27"/>
    </w:p>
    <w:p w14:paraId="1C74D239" w14:textId="1D98978B" w:rsidR="00077A20" w:rsidRPr="00A359E1" w:rsidRDefault="00077A20" w:rsidP="00077A20">
      <w:pPr>
        <w:spacing w:line="276" w:lineRule="auto"/>
        <w:jc w:val="both"/>
        <w:rPr>
          <w:rFonts w:ascii="Times New Roman" w:eastAsia="Times New Roman" w:hAnsi="Times New Roman" w:cs="Times New Roman"/>
          <w:noProof/>
          <w:color w:val="D13438"/>
          <w:sz w:val="24"/>
          <w:szCs w:val="24"/>
          <w14:ligatures w14:val="none"/>
        </w:rPr>
      </w:pPr>
      <w:r>
        <w:rPr>
          <w:rFonts w:ascii="Times New Roman" w:hAnsi="Times New Roman"/>
          <w:noProof/>
          <w:sz w:val="24"/>
        </w:rPr>
        <w:t xml:space="preserve">În perioada </w:t>
      </w:r>
      <w:r w:rsidRPr="008D4701">
        <w:rPr>
          <w:rFonts w:ascii="Times New Roman" w:hAnsi="Times New Roman"/>
          <w:noProof/>
          <w:sz w:val="24"/>
        </w:rPr>
        <w:t>2021</w:t>
      </w:r>
      <w:r>
        <w:rPr>
          <w:rFonts w:ascii="Times New Roman" w:hAnsi="Times New Roman"/>
          <w:noProof/>
          <w:sz w:val="24"/>
        </w:rPr>
        <w:t>-</w:t>
      </w:r>
      <w:r w:rsidRPr="008D4701">
        <w:rPr>
          <w:rFonts w:ascii="Times New Roman" w:hAnsi="Times New Roman"/>
          <w:noProof/>
          <w:sz w:val="24"/>
        </w:rPr>
        <w:t>2024</w:t>
      </w:r>
      <w:r>
        <w:rPr>
          <w:rFonts w:ascii="Times New Roman" w:hAnsi="Times New Roman"/>
          <w:noProof/>
          <w:sz w:val="24"/>
        </w:rPr>
        <w:t>, mai mult de jumătate dintre statele membre au raportat că au adoptat măsuri de sensibilizare și de informare a angajatorilor cu privire la obligațiile lor legale</w:t>
      </w:r>
      <w:r>
        <w:rPr>
          <w:rFonts w:ascii="Times New Roman" w:eastAsia="Times New Roman" w:hAnsi="Times New Roman" w:cs="Times New Roman"/>
          <w:noProof/>
          <w:sz w:val="24"/>
          <w:szCs w:val="24"/>
          <w:vertAlign w:val="superscript"/>
        </w:rPr>
        <w:footnoteReference w:id="87"/>
      </w:r>
      <w:r>
        <w:rPr>
          <w:rFonts w:ascii="Times New Roman" w:hAnsi="Times New Roman"/>
          <w:noProof/>
          <w:sz w:val="24"/>
        </w:rPr>
        <w:t>. Aproximativ o treime au desfășurat campanii mai ample de informare cu privire la sancțiunile financiare și penale și la alte măsuri prevăzute în directivă - vizând în principal angajatorii, inspectorii de muncă și autoritățile de aplicare a legii</w:t>
      </w:r>
      <w:r>
        <w:rPr>
          <w:rFonts w:ascii="Times New Roman" w:eastAsia="Times New Roman" w:hAnsi="Times New Roman" w:cs="Times New Roman"/>
          <w:noProof/>
          <w:color w:val="000000" w:themeColor="text1"/>
          <w:sz w:val="24"/>
          <w:szCs w:val="24"/>
          <w:vertAlign w:val="superscript"/>
        </w:rPr>
        <w:footnoteReference w:id="88"/>
      </w:r>
      <w:r>
        <w:rPr>
          <w:rFonts w:ascii="Times New Roman" w:hAnsi="Times New Roman"/>
          <w:noProof/>
          <w:color w:val="000000" w:themeColor="text1"/>
          <w:sz w:val="24"/>
        </w:rPr>
        <w:t>.</w:t>
      </w:r>
    </w:p>
    <w:p w14:paraId="48B18D81" w14:textId="01BC69B5"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sz w:val="24"/>
        </w:rPr>
        <w:t>Majoritatea statelor membre au raportat, de asemenea, că furnizează informații</w:t>
      </w:r>
      <w:r>
        <w:rPr>
          <w:rFonts w:ascii="Times New Roman" w:hAnsi="Times New Roman"/>
          <w:noProof/>
          <w:color w:val="000000" w:themeColor="text1"/>
          <w:sz w:val="24"/>
        </w:rPr>
        <w:t xml:space="preserve"> lucrătorilor migranți aflați în situație ilegală</w:t>
      </w:r>
      <w:r>
        <w:rPr>
          <w:rFonts w:ascii="Times New Roman" w:hAnsi="Times New Roman"/>
          <w:noProof/>
          <w:sz w:val="24"/>
        </w:rPr>
        <w:t xml:space="preserve"> cu privire la dreptul lor de a depune plângeri,</w:t>
      </w:r>
      <w:r>
        <w:rPr>
          <w:rFonts w:ascii="Times New Roman" w:hAnsi="Times New Roman"/>
          <w:noProof/>
          <w:color w:val="000000" w:themeColor="text1"/>
          <w:sz w:val="24"/>
        </w:rPr>
        <w:t xml:space="preserve"> </w:t>
      </w:r>
      <w:r>
        <w:rPr>
          <w:rFonts w:ascii="Times New Roman" w:hAnsi="Times New Roman"/>
          <w:noProof/>
          <w:sz w:val="24"/>
        </w:rPr>
        <w:t>de obicei pe site-urile instituțiilor. Și inspectorii de muncă sau alți funcționari publici pot furniza informații la birourile locale, prin telefon sau în timpul inspecțiilor la locul de muncă. În unele cazuri, informațiile sunt furnizate de poliție sau de autoritățile de frontieră în timpul interacțiunilor cu resortisanții țărilor terțe</w:t>
      </w:r>
      <w:r>
        <w:rPr>
          <w:rFonts w:ascii="Times New Roman" w:eastAsia="Times New Roman" w:hAnsi="Times New Roman" w:cs="Times New Roman"/>
          <w:noProof/>
          <w:sz w:val="24"/>
          <w:szCs w:val="24"/>
          <w:vertAlign w:val="superscript"/>
        </w:rPr>
        <w:footnoteReference w:id="89"/>
      </w:r>
      <w:r>
        <w:rPr>
          <w:rFonts w:ascii="Times New Roman" w:hAnsi="Times New Roman"/>
          <w:noProof/>
          <w:sz w:val="24"/>
        </w:rPr>
        <w:t xml:space="preserve">. </w:t>
      </w:r>
      <w:r>
        <w:rPr>
          <w:rFonts w:ascii="Times New Roman" w:hAnsi="Times New Roman"/>
          <w:noProof/>
          <w:color w:val="000000" w:themeColor="text1"/>
          <w:sz w:val="24"/>
        </w:rPr>
        <w:t xml:space="preserve">Mai multe state membre au instituit servicii specifice, cum ar fi linii de asistență telefonică, centre de informare </w:t>
      </w:r>
      <w:r>
        <w:rPr>
          <w:rFonts w:ascii="Times New Roman" w:hAnsi="Times New Roman"/>
          <w:noProof/>
          <w:sz w:val="24"/>
        </w:rPr>
        <w:t>sau consultanță juridică pentru informarea lucrătorilor aflați în situație ilegală cu privire la drepturile lor</w:t>
      </w:r>
      <w:r>
        <w:rPr>
          <w:rFonts w:ascii="Times New Roman" w:eastAsia="Times New Roman" w:hAnsi="Times New Roman" w:cs="Times New Roman"/>
          <w:noProof/>
          <w:color w:val="000000" w:themeColor="text1"/>
          <w:sz w:val="24"/>
          <w:szCs w:val="24"/>
          <w:vertAlign w:val="superscript"/>
        </w:rPr>
        <w:footnoteReference w:id="90"/>
      </w:r>
      <w:r>
        <w:rPr>
          <w:rFonts w:ascii="Times New Roman" w:hAnsi="Times New Roman"/>
          <w:noProof/>
          <w:color w:val="000000" w:themeColor="text1"/>
          <w:sz w:val="24"/>
        </w:rPr>
        <w:t xml:space="preserve">. </w:t>
      </w:r>
      <w:r>
        <w:rPr>
          <w:rFonts w:ascii="Times New Roman" w:hAnsi="Times New Roman"/>
          <w:noProof/>
          <w:sz w:val="24"/>
        </w:rPr>
        <w:t>În unele state membre, informațiile sunt diseminate de către părți terțe</w:t>
      </w:r>
      <w:r>
        <w:rPr>
          <w:rFonts w:ascii="Times New Roman" w:eastAsia="Times New Roman" w:hAnsi="Times New Roman" w:cs="Times New Roman"/>
          <w:noProof/>
          <w:sz w:val="24"/>
          <w:szCs w:val="24"/>
          <w:vertAlign w:val="superscript"/>
        </w:rPr>
        <w:footnoteReference w:id="91"/>
      </w:r>
      <w:r>
        <w:rPr>
          <w:rFonts w:ascii="Times New Roman" w:hAnsi="Times New Roman"/>
          <w:noProof/>
          <w:color w:val="000000" w:themeColor="text1"/>
          <w:sz w:val="24"/>
        </w:rPr>
        <w:t xml:space="preserve">. </w:t>
      </w:r>
      <w:r>
        <w:rPr>
          <w:rFonts w:ascii="Times New Roman" w:hAnsi="Times New Roman"/>
          <w:noProof/>
          <w:sz w:val="24"/>
        </w:rPr>
        <w:t>Un număr mic de state membre desfășoară campanii de informare care vizează în mod specific lucrătorii migranți aflați în situație ilegală</w:t>
      </w:r>
      <w:r>
        <w:rPr>
          <w:rFonts w:ascii="Times New Roman" w:eastAsia="Times New Roman" w:hAnsi="Times New Roman" w:cs="Times New Roman"/>
          <w:noProof/>
          <w:sz w:val="24"/>
          <w:szCs w:val="24"/>
          <w:vertAlign w:val="superscript"/>
        </w:rPr>
        <w:footnoteReference w:id="92"/>
      </w:r>
      <w:r>
        <w:rPr>
          <w:rFonts w:ascii="Times New Roman" w:hAnsi="Times New Roman"/>
          <w:noProof/>
          <w:sz w:val="24"/>
        </w:rPr>
        <w:t>, dar mai multe state membre oferă servicii multilingve</w:t>
      </w:r>
      <w:r>
        <w:rPr>
          <w:rFonts w:ascii="Times New Roman" w:eastAsia="Times New Roman" w:hAnsi="Times New Roman" w:cs="Times New Roman"/>
          <w:noProof/>
          <w:sz w:val="24"/>
          <w:szCs w:val="24"/>
          <w:vertAlign w:val="superscript"/>
        </w:rPr>
        <w:footnoteReference w:id="93"/>
      </w:r>
      <w:r>
        <w:rPr>
          <w:rFonts w:ascii="Times New Roman" w:hAnsi="Times New Roman"/>
          <w:noProof/>
          <w:sz w:val="24"/>
        </w:rPr>
        <w:t>.</w:t>
      </w:r>
    </w:p>
    <w:p w14:paraId="5E8E5B90" w14:textId="01714A88" w:rsidR="00077A20" w:rsidRPr="00A359E1" w:rsidRDefault="00077A20" w:rsidP="00077A20">
      <w:pPr>
        <w:spacing w:line="276" w:lineRule="auto"/>
        <w:jc w:val="both"/>
        <w:rPr>
          <w:rFonts w:ascii="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Jumătate din statele membre au raportat </w:t>
      </w:r>
      <w:r>
        <w:rPr>
          <w:rFonts w:ascii="Times New Roman" w:hAnsi="Times New Roman"/>
          <w:noProof/>
          <w:sz w:val="24"/>
        </w:rPr>
        <w:t>că au instituit o procedură specifică pentru a se asigura că lucrătorii migranți aflați în situație ilegală sunt informați în mod sistematic și obiectiv cu privire la drepturile lor (privind plățile restante și plângerile) înainte de executarea oricărei decizii de returnare</w:t>
      </w:r>
      <w:r>
        <w:rPr>
          <w:rFonts w:ascii="Times New Roman" w:eastAsia="Times New Roman" w:hAnsi="Times New Roman" w:cs="Times New Roman"/>
          <w:noProof/>
          <w:sz w:val="24"/>
          <w:szCs w:val="24"/>
          <w:vertAlign w:val="superscript"/>
        </w:rPr>
        <w:footnoteReference w:id="94"/>
      </w:r>
      <w:r>
        <w:rPr>
          <w:rFonts w:ascii="Times New Roman" w:hAnsi="Times New Roman"/>
          <w:noProof/>
          <w:color w:val="000000" w:themeColor="text1"/>
          <w:sz w:val="24"/>
        </w:rPr>
        <w:t>.</w:t>
      </w:r>
      <w:r>
        <w:rPr>
          <w:rFonts w:ascii="Times New Roman" w:hAnsi="Times New Roman"/>
          <w:noProof/>
          <w:color w:val="FF0000"/>
          <w:sz w:val="24"/>
        </w:rPr>
        <w:t xml:space="preserve"> </w:t>
      </w:r>
      <w:r>
        <w:rPr>
          <w:rFonts w:ascii="Times New Roman" w:hAnsi="Times New Roman"/>
          <w:noProof/>
          <w:sz w:val="24"/>
        </w:rPr>
        <w:t xml:space="preserve">Cu toate acestea, în majoritatea cazurilor, aceste informații </w:t>
      </w:r>
      <w:r>
        <w:rPr>
          <w:rFonts w:ascii="Times New Roman" w:hAnsi="Times New Roman"/>
          <w:noProof/>
          <w:color w:val="000000" w:themeColor="text1"/>
          <w:sz w:val="24"/>
        </w:rPr>
        <w:t>nu sunt</w:t>
      </w:r>
      <w:r>
        <w:rPr>
          <w:rFonts w:ascii="Times New Roman" w:hAnsi="Times New Roman"/>
          <w:noProof/>
          <w:sz w:val="24"/>
        </w:rPr>
        <w:t xml:space="preserve"> furnizate în cadrul procedurii de returnare</w:t>
      </w:r>
      <w:r>
        <w:rPr>
          <w:rFonts w:ascii="Times New Roman" w:eastAsia="Times New Roman" w:hAnsi="Times New Roman" w:cs="Times New Roman"/>
          <w:noProof/>
          <w:sz w:val="24"/>
          <w:szCs w:val="24"/>
          <w:vertAlign w:val="superscript"/>
        </w:rPr>
        <w:footnoteReference w:id="95"/>
      </w:r>
      <w:r>
        <w:rPr>
          <w:rFonts w:ascii="Times New Roman" w:hAnsi="Times New Roman"/>
          <w:noProof/>
          <w:sz w:val="24"/>
        </w:rPr>
        <w:t>.</w:t>
      </w:r>
      <w:r>
        <w:rPr>
          <w:rFonts w:ascii="Times New Roman" w:hAnsi="Times New Roman"/>
          <w:noProof/>
          <w:color w:val="000000" w:themeColor="text1"/>
          <w:sz w:val="24"/>
        </w:rPr>
        <w:t xml:space="preserve"> </w:t>
      </w:r>
      <w:r>
        <w:rPr>
          <w:rFonts w:ascii="Times New Roman" w:hAnsi="Times New Roman"/>
          <w:noProof/>
          <w:sz w:val="24"/>
        </w:rPr>
        <w:t xml:space="preserve">Celelalte state membre fie </w:t>
      </w:r>
      <w:r>
        <w:rPr>
          <w:rFonts w:ascii="Times New Roman" w:hAnsi="Times New Roman"/>
          <w:noProof/>
          <w:color w:val="000000" w:themeColor="text1"/>
          <w:sz w:val="24"/>
        </w:rPr>
        <w:t xml:space="preserve">nu dispun </w:t>
      </w:r>
      <w:r>
        <w:rPr>
          <w:rFonts w:ascii="Times New Roman" w:hAnsi="Times New Roman"/>
          <w:noProof/>
          <w:sz w:val="24"/>
        </w:rPr>
        <w:t xml:space="preserve">de o astfel de procedură de informare a lucrătorilor migranți aflați în situație ilegală cu privire la drepturile lor, fie nu au raportat </w:t>
      </w:r>
      <w:r>
        <w:rPr>
          <w:rFonts w:ascii="Times New Roman" w:hAnsi="Times New Roman"/>
          <w:noProof/>
          <w:color w:val="000000" w:themeColor="text1"/>
          <w:sz w:val="24"/>
        </w:rPr>
        <w:t>acest lucru</w:t>
      </w:r>
      <w:r>
        <w:rPr>
          <w:rFonts w:ascii="Times New Roman" w:eastAsia="Times New Roman" w:hAnsi="Times New Roman" w:cs="Times New Roman"/>
          <w:noProof/>
          <w:sz w:val="24"/>
          <w:szCs w:val="24"/>
          <w:vertAlign w:val="superscript"/>
        </w:rPr>
        <w:footnoteReference w:id="96"/>
      </w:r>
      <w:r>
        <w:rPr>
          <w:rFonts w:ascii="Times New Roman" w:hAnsi="Times New Roman"/>
          <w:noProof/>
          <w:color w:val="000000" w:themeColor="text1"/>
          <w:sz w:val="24"/>
        </w:rPr>
        <w:t>,</w:t>
      </w:r>
      <w:r>
        <w:rPr>
          <w:rFonts w:ascii="Times New Roman" w:hAnsi="Times New Roman"/>
          <w:noProof/>
          <w:sz w:val="24"/>
        </w:rPr>
        <w:t xml:space="preserve"> </w:t>
      </w:r>
      <w:r>
        <w:rPr>
          <w:rFonts w:ascii="Times New Roman" w:hAnsi="Times New Roman"/>
          <w:noProof/>
          <w:color w:val="000000" w:themeColor="text1"/>
          <w:sz w:val="24"/>
        </w:rPr>
        <w:t xml:space="preserve">deși peste </w:t>
      </w:r>
      <w:r>
        <w:rPr>
          <w:rFonts w:ascii="Times New Roman" w:hAnsi="Times New Roman"/>
          <w:noProof/>
          <w:sz w:val="24"/>
        </w:rPr>
        <w:t>jumătate dintre ele permit ca informațiile să fie furnizate independent de procedura de returnare</w:t>
      </w:r>
      <w:r>
        <w:rPr>
          <w:rFonts w:ascii="Times New Roman" w:eastAsia="Times New Roman" w:hAnsi="Times New Roman" w:cs="Times New Roman"/>
          <w:noProof/>
          <w:sz w:val="24"/>
          <w:szCs w:val="24"/>
          <w:vertAlign w:val="superscript"/>
        </w:rPr>
        <w:footnoteReference w:id="97"/>
      </w:r>
      <w:r>
        <w:rPr>
          <w:rFonts w:ascii="Times New Roman" w:hAnsi="Times New Roman"/>
          <w:noProof/>
          <w:sz w:val="24"/>
        </w:rPr>
        <w:t xml:space="preserve">. </w:t>
      </w:r>
    </w:p>
    <w:p w14:paraId="165B8B04" w14:textId="66FB1BA7"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Potrivit Confederației Europene a Sindicatelor (CES) </w:t>
      </w:r>
      <w:r>
        <w:rPr>
          <w:rFonts w:ascii="Times New Roman" w:hAnsi="Times New Roman"/>
          <w:noProof/>
          <w:sz w:val="24"/>
        </w:rPr>
        <w:t>și</w:t>
      </w:r>
      <w:r>
        <w:rPr>
          <w:rFonts w:ascii="Times New Roman" w:hAnsi="Times New Roman"/>
          <w:noProof/>
          <w:color w:val="000000" w:themeColor="text1"/>
          <w:sz w:val="24"/>
        </w:rPr>
        <w:t xml:space="preserve"> societății civile, există tendința ca lucrătorii migranți aflați în situație ilegală să nu fie informați în mod adecvat de către autoritățile statelor membre cu privire la drepturile lor fundamentale și, atunci când sunt informați, aceste informații sunt furnizate de obicei de către părți terțe, cum ar fi sindicatele și </w:t>
      </w:r>
      <w:bookmarkEnd w:id="28"/>
      <w:r>
        <w:rPr>
          <w:rFonts w:ascii="Times New Roman" w:hAnsi="Times New Roman"/>
          <w:noProof/>
          <w:color w:val="000000" w:themeColor="text1"/>
          <w:sz w:val="24"/>
        </w:rPr>
        <w:t>ONG-urile</w:t>
      </w:r>
      <w:r>
        <w:rPr>
          <w:rFonts w:ascii="Times New Roman" w:hAnsi="Times New Roman" w:cs="Times New Roman"/>
          <w:noProof/>
          <w:color w:val="000000" w:themeColor="text1"/>
          <w:sz w:val="24"/>
          <w:szCs w:val="24"/>
          <w:vertAlign w:val="superscript"/>
        </w:rPr>
        <w:footnoteReference w:id="98"/>
      </w:r>
      <w:r>
        <w:rPr>
          <w:rFonts w:ascii="Times New Roman" w:hAnsi="Times New Roman"/>
          <w:noProof/>
          <w:color w:val="000000" w:themeColor="text1"/>
          <w:sz w:val="24"/>
        </w:rPr>
        <w:t xml:space="preserve">. </w:t>
      </w:r>
    </w:p>
    <w:p w14:paraId="50F0DAEA" w14:textId="54913541" w:rsidR="00077A20" w:rsidRPr="008D4701" w:rsidRDefault="00077A20" w:rsidP="00077A20">
      <w:pPr>
        <w:pStyle w:val="ListParagraph"/>
        <w:numPr>
          <w:ilvl w:val="0"/>
          <w:numId w:val="4"/>
        </w:numPr>
        <w:spacing w:after="120" w:line="276" w:lineRule="auto"/>
        <w:jc w:val="both"/>
        <w:outlineLvl w:val="2"/>
        <w:rPr>
          <w:rFonts w:ascii="Times New Roman" w:eastAsia="Times New Roman" w:hAnsi="Times New Roman" w:cs="Times New Roman"/>
          <w:b/>
          <w:bCs/>
          <w:noProof/>
          <w:sz w:val="24"/>
          <w:szCs w:val="24"/>
          <w14:ligatures w14:val="none"/>
        </w:rPr>
      </w:pPr>
      <w:bookmarkStart w:id="29" w:name="_Toc215743791"/>
      <w:bookmarkStart w:id="30" w:name="_Toc210315969"/>
      <w:r w:rsidRPr="008D4701">
        <w:rPr>
          <w:rFonts w:ascii="Times New Roman" w:hAnsi="Times New Roman"/>
          <w:b/>
          <w:noProof/>
          <w:sz w:val="24"/>
        </w:rPr>
        <w:t>Depunerea plângerilor</w:t>
      </w:r>
      <w:bookmarkEnd w:id="29"/>
      <w:r w:rsidRPr="008D4701">
        <w:rPr>
          <w:rFonts w:ascii="Times New Roman" w:hAnsi="Times New Roman"/>
          <w:b/>
          <w:noProof/>
          <w:sz w:val="24"/>
        </w:rPr>
        <w:t xml:space="preserve"> </w:t>
      </w:r>
      <w:bookmarkEnd w:id="30"/>
    </w:p>
    <w:p w14:paraId="430B2145" w14:textId="51AA7887" w:rsidR="00077A20" w:rsidRPr="00A359E1" w:rsidRDefault="002A5B16"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O cerință esențială prevăzută la articolul </w:t>
      </w:r>
      <w:r w:rsidRPr="008D4701">
        <w:rPr>
          <w:rFonts w:ascii="Times New Roman" w:hAnsi="Times New Roman"/>
          <w:noProof/>
          <w:color w:val="000000" w:themeColor="text1"/>
          <w:sz w:val="24"/>
        </w:rPr>
        <w:t>13</w:t>
      </w:r>
      <w:r>
        <w:rPr>
          <w:rFonts w:ascii="Times New Roman" w:hAnsi="Times New Roman"/>
          <w:noProof/>
          <w:color w:val="000000" w:themeColor="text1"/>
          <w:sz w:val="24"/>
        </w:rPr>
        <w:t xml:space="preserve"> din directivă este crearea unor mecanisme specifice pentru a facilita depunerea plângerilor la autoritatea competentă a statului membru sau prin intermediul unor părți terțe (cum ar fi sindicatele, asociațiile lucrătorilor sau ONG-urile), inclusiv atunci când lucrătorul nu mai este prezent pe teritoriul statului membru. </w:t>
      </w:r>
    </w:p>
    <w:p w14:paraId="1D081AE0" w14:textId="4A452EFF" w:rsidR="00077A20" w:rsidRPr="00A359E1" w:rsidRDefault="00077A20" w:rsidP="00077A20">
      <w:pPr>
        <w:spacing w:line="276" w:lineRule="auto"/>
        <w:jc w:val="both"/>
        <w:rPr>
          <w:rFonts w:ascii="Times New Roman" w:eastAsia="Times New Roman" w:hAnsi="Times New Roman" w:cs="Times New Roman"/>
          <w:noProof/>
          <w:sz w:val="24"/>
          <w:szCs w:val="24"/>
          <w14:ligatures w14:val="none"/>
        </w:rPr>
      </w:pPr>
      <w:r>
        <w:rPr>
          <w:rFonts w:ascii="Times New Roman" w:hAnsi="Times New Roman"/>
          <w:noProof/>
          <w:sz w:val="24"/>
        </w:rPr>
        <w:t>În general, toate statele mele au pus la dispoziția lucrătorilor mecanisme de depunere a plângerilor, însă acestea nu sunt adaptate în mod specific pentru lucrătorii aflați în situație de ședere ilegală. Zece state membre au introdus noi măsuri pentru a îmbunătăți accesul la mecanismele de depunere a plângerilor</w:t>
      </w:r>
      <w:r>
        <w:rPr>
          <w:rFonts w:ascii="Times New Roman" w:eastAsia="Times New Roman" w:hAnsi="Times New Roman" w:cs="Times New Roman"/>
          <w:noProof/>
          <w:color w:val="000000" w:themeColor="text1"/>
          <w:sz w:val="24"/>
          <w:szCs w:val="24"/>
          <w:vertAlign w:val="superscript"/>
        </w:rPr>
        <w:footnoteReference w:id="99"/>
      </w:r>
      <w:r>
        <w:rPr>
          <w:rFonts w:ascii="Times New Roman" w:hAnsi="Times New Roman"/>
          <w:noProof/>
          <w:color w:val="000000" w:themeColor="text1"/>
          <w:sz w:val="24"/>
        </w:rPr>
        <w:t xml:space="preserve">. </w:t>
      </w:r>
      <w:r>
        <w:rPr>
          <w:rFonts w:ascii="Times New Roman" w:hAnsi="Times New Roman"/>
          <w:noProof/>
          <w:sz w:val="24"/>
        </w:rPr>
        <w:t>Cinci state membre au comunicat, de asemenea, noi măsuri de raportare sigure pentru ca lucrătorii migranți aflați în situație ilegală să colaboreze cu autoritățile de aplicare a legii fără ca statutul lor de migranți să afecteze exercitarea drepturilor lor</w:t>
      </w:r>
      <w:r>
        <w:rPr>
          <w:rFonts w:ascii="Times New Roman" w:eastAsia="Times New Roman" w:hAnsi="Times New Roman" w:cs="Times New Roman"/>
          <w:noProof/>
          <w:sz w:val="24"/>
          <w:szCs w:val="24"/>
          <w:vertAlign w:val="superscript"/>
        </w:rPr>
        <w:footnoteReference w:id="100"/>
      </w:r>
      <w:r>
        <w:rPr>
          <w:rFonts w:ascii="Times New Roman" w:hAnsi="Times New Roman"/>
          <w:noProof/>
          <w:sz w:val="24"/>
        </w:rPr>
        <w:t>.</w:t>
      </w:r>
    </w:p>
    <w:p w14:paraId="5AFBCFCD" w14:textId="7FAE2C97"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sz w:val="24"/>
        </w:rPr>
        <w:t xml:space="preserve">În pofida progreselor înregistrate în mai multe state membre în ceea ce privește informarea acestor lucrători cu privire la drepturile lor, FRA, CES și societatea civilă au remarcat că lucrătorii au fost în continuare descurajați să depună plângeri împotriva angajatorilor lor în perioada de raportare. Acest lucru este cauzat de temerile legate de pierderea veniturilor, luarea în custodie publică, ordinele de returnare și frica de represalii, inclusiv raportarea de către angajatori a statutului lor de imigranți ilegali pentru a evita plata salariilor. </w:t>
      </w:r>
    </w:p>
    <w:p w14:paraId="095FCFCE" w14:textId="666D912D"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sz w:val="24"/>
        </w:rPr>
        <w:t>În peste jumătate dintre statele membre, plângerile pot fi depuse atât prin intermediul entităților de stat, cât și al unor părți terțe</w:t>
      </w:r>
      <w:r>
        <w:rPr>
          <w:rFonts w:ascii="Times New Roman" w:eastAsia="Times New Roman" w:hAnsi="Times New Roman" w:cs="Times New Roman"/>
          <w:noProof/>
          <w:sz w:val="24"/>
          <w:szCs w:val="24"/>
          <w:vertAlign w:val="superscript"/>
        </w:rPr>
        <w:footnoteReference w:id="101"/>
      </w:r>
      <w:r>
        <w:rPr>
          <w:rFonts w:ascii="Times New Roman" w:hAnsi="Times New Roman"/>
          <w:noProof/>
          <w:sz w:val="24"/>
        </w:rPr>
        <w:t>;</w:t>
      </w:r>
      <w:r>
        <w:rPr>
          <w:rFonts w:ascii="Times New Roman" w:hAnsi="Times New Roman"/>
          <w:noProof/>
          <w:color w:val="000000" w:themeColor="text1"/>
          <w:sz w:val="24"/>
        </w:rPr>
        <w:t xml:space="preserve"> </w:t>
      </w:r>
      <w:r>
        <w:rPr>
          <w:rFonts w:ascii="Times New Roman" w:hAnsi="Times New Roman"/>
          <w:noProof/>
          <w:sz w:val="24"/>
        </w:rPr>
        <w:t>într-un stat membru exclusiv prin intermediul unor părți terțe</w:t>
      </w:r>
      <w:r>
        <w:rPr>
          <w:rFonts w:ascii="Times New Roman" w:eastAsia="Times New Roman" w:hAnsi="Times New Roman" w:cs="Times New Roman"/>
          <w:noProof/>
          <w:sz w:val="24"/>
          <w:szCs w:val="24"/>
          <w:vertAlign w:val="superscript"/>
        </w:rPr>
        <w:footnoteReference w:id="102"/>
      </w:r>
      <w:r>
        <w:rPr>
          <w:rFonts w:ascii="Times New Roman" w:hAnsi="Times New Roman"/>
          <w:noProof/>
          <w:sz w:val="24"/>
        </w:rPr>
        <w:t>, iar în celelalte state membre exclusiv prin intermediul entităților de stat</w:t>
      </w:r>
      <w:r>
        <w:rPr>
          <w:rFonts w:ascii="Times New Roman" w:eastAsia="Times New Roman" w:hAnsi="Times New Roman" w:cs="Times New Roman"/>
          <w:noProof/>
          <w:sz w:val="24"/>
          <w:szCs w:val="24"/>
          <w:vertAlign w:val="superscript"/>
        </w:rPr>
        <w:footnoteReference w:id="103"/>
      </w:r>
      <w:r>
        <w:rPr>
          <w:rFonts w:ascii="Times New Roman" w:hAnsi="Times New Roman"/>
          <w:noProof/>
          <w:sz w:val="24"/>
        </w:rPr>
        <w:t xml:space="preserve">. </w:t>
      </w:r>
    </w:p>
    <w:p w14:paraId="3BB3CDA1" w14:textId="125CD7BF"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sz w:val="24"/>
        </w:rPr>
        <w:t>Majoritatea statelor membre permit sindicatelor să depună plângeri în numele lucrătorilor migranți aflați în situație ilegală</w:t>
      </w:r>
      <w:r>
        <w:rPr>
          <w:rFonts w:ascii="Times New Roman" w:eastAsia="Times New Roman" w:hAnsi="Times New Roman" w:cs="Times New Roman"/>
          <w:noProof/>
          <w:sz w:val="24"/>
          <w:szCs w:val="24"/>
          <w:vertAlign w:val="superscript"/>
        </w:rPr>
        <w:footnoteReference w:id="104"/>
      </w:r>
      <w:r>
        <w:rPr>
          <w:rFonts w:ascii="Times New Roman" w:hAnsi="Times New Roman"/>
          <w:noProof/>
          <w:sz w:val="24"/>
        </w:rPr>
        <w:t xml:space="preserve"> și</w:t>
      </w:r>
      <w:r>
        <w:rPr>
          <w:rFonts w:ascii="Times New Roman" w:hAnsi="Times New Roman"/>
          <w:noProof/>
          <w:color w:val="000000" w:themeColor="text1"/>
          <w:sz w:val="24"/>
        </w:rPr>
        <w:t xml:space="preserve"> </w:t>
      </w:r>
      <w:r>
        <w:rPr>
          <w:rFonts w:ascii="Times New Roman" w:hAnsi="Times New Roman"/>
          <w:noProof/>
          <w:sz w:val="24"/>
        </w:rPr>
        <w:t>mai mult de jumătate permit altor asociații cu un interes legitim să facă acest lucru</w:t>
      </w:r>
      <w:r>
        <w:rPr>
          <w:rFonts w:ascii="Times New Roman" w:eastAsia="Times New Roman" w:hAnsi="Times New Roman" w:cs="Times New Roman"/>
          <w:noProof/>
          <w:color w:val="000000" w:themeColor="text1"/>
          <w:sz w:val="24"/>
          <w:szCs w:val="24"/>
          <w:vertAlign w:val="superscript"/>
        </w:rPr>
        <w:footnoteReference w:id="105"/>
      </w:r>
      <w:r>
        <w:rPr>
          <w:rFonts w:ascii="Times New Roman" w:hAnsi="Times New Roman"/>
          <w:noProof/>
          <w:color w:val="000000" w:themeColor="text1"/>
          <w:sz w:val="24"/>
        </w:rPr>
        <w:t xml:space="preserve">. Toate statele membre permit lucrătorilor să solicite plata salariilor neplătite, chiar și atunci </w:t>
      </w:r>
      <w:r>
        <w:rPr>
          <w:rFonts w:ascii="Times New Roman" w:hAnsi="Times New Roman"/>
          <w:noProof/>
          <w:sz w:val="24"/>
        </w:rPr>
        <w:t>când</w:t>
      </w:r>
      <w:r>
        <w:rPr>
          <w:rFonts w:ascii="Times New Roman" w:hAnsi="Times New Roman"/>
          <w:noProof/>
          <w:color w:val="000000" w:themeColor="text1"/>
          <w:sz w:val="24"/>
        </w:rPr>
        <w:t xml:space="preserve"> nu mai sunt prezenți pe teritoriul UE, în conformitate cu articolul</w:t>
      </w:r>
      <w:r w:rsidR="00501406">
        <w:rPr>
          <w:rFonts w:ascii="Times New Roman" w:hAnsi="Times New Roman"/>
          <w:noProof/>
          <w:color w:val="000000" w:themeColor="text1"/>
          <w:sz w:val="24"/>
        </w:rPr>
        <w:t> </w:t>
      </w:r>
      <w:r w:rsidRPr="008D4701">
        <w:rPr>
          <w:rFonts w:ascii="Times New Roman" w:hAnsi="Times New Roman"/>
          <w:noProof/>
          <w:color w:val="000000" w:themeColor="text1"/>
          <w:sz w:val="24"/>
        </w:rPr>
        <w:t>6</w:t>
      </w:r>
      <w:r>
        <w:rPr>
          <w:rFonts w:ascii="Times New Roman" w:hAnsi="Times New Roman"/>
          <w:noProof/>
          <w:color w:val="000000" w:themeColor="text1"/>
          <w:sz w:val="24"/>
        </w:rPr>
        <w:t xml:space="preserve"> din directivă.</w:t>
      </w:r>
    </w:p>
    <w:p w14:paraId="7BE47160" w14:textId="047D8A90" w:rsidR="00077A20" w:rsidRPr="00A359E1" w:rsidRDefault="00D16361" w:rsidP="00077A20">
      <w:pPr>
        <w:spacing w:line="276" w:lineRule="auto"/>
        <w:jc w:val="both"/>
        <w:rPr>
          <w:rFonts w:ascii="Times New Roman" w:eastAsia="Times New Roman" w:hAnsi="Times New Roman" w:cs="Times New Roman"/>
          <w:noProof/>
          <w:color w:val="D13438"/>
          <w:sz w:val="24"/>
          <w:szCs w:val="24"/>
          <w14:ligatures w14:val="none"/>
        </w:rPr>
      </w:pPr>
      <w:r>
        <w:rPr>
          <w:rFonts w:ascii="Times New Roman" w:hAnsi="Times New Roman"/>
          <w:noProof/>
          <w:sz w:val="24"/>
        </w:rPr>
        <w:t>Majoritatea statelor membre oferă opțiuni de depunere online a plângerilor</w:t>
      </w:r>
      <w:r>
        <w:rPr>
          <w:rFonts w:ascii="Times New Roman" w:eastAsia="Times New Roman" w:hAnsi="Times New Roman" w:cs="Times New Roman"/>
          <w:noProof/>
          <w:sz w:val="24"/>
          <w:szCs w:val="24"/>
          <w:vertAlign w:val="superscript"/>
        </w:rPr>
        <w:footnoteReference w:id="106"/>
      </w:r>
      <w:r>
        <w:rPr>
          <w:rFonts w:ascii="Times New Roman" w:hAnsi="Times New Roman"/>
          <w:noProof/>
          <w:sz w:val="24"/>
        </w:rPr>
        <w:t>,</w:t>
      </w:r>
      <w:r>
        <w:rPr>
          <w:rFonts w:ascii="Times New Roman" w:hAnsi="Times New Roman"/>
          <w:noProof/>
          <w:color w:val="000000" w:themeColor="text1"/>
          <w:sz w:val="24"/>
        </w:rPr>
        <w:t xml:space="preserve"> </w:t>
      </w:r>
      <w:r>
        <w:rPr>
          <w:rFonts w:ascii="Times New Roman" w:hAnsi="Times New Roman"/>
          <w:noProof/>
          <w:sz w:val="24"/>
        </w:rPr>
        <w:t>acceptă plângeri scrise</w:t>
      </w:r>
      <w:r>
        <w:rPr>
          <w:rFonts w:ascii="Times New Roman" w:eastAsia="Times New Roman" w:hAnsi="Times New Roman" w:cs="Times New Roman"/>
          <w:noProof/>
          <w:sz w:val="24"/>
          <w:szCs w:val="24"/>
          <w:vertAlign w:val="superscript"/>
        </w:rPr>
        <w:footnoteReference w:id="107"/>
      </w:r>
      <w:r>
        <w:rPr>
          <w:rFonts w:ascii="Times New Roman" w:hAnsi="Times New Roman"/>
          <w:noProof/>
          <w:sz w:val="24"/>
        </w:rPr>
        <w:t xml:space="preserve"> și permit depunerea personală a plângerilor</w:t>
      </w:r>
      <w:r>
        <w:rPr>
          <w:rFonts w:ascii="Times New Roman" w:eastAsia="Times New Roman" w:hAnsi="Times New Roman" w:cs="Times New Roman"/>
          <w:noProof/>
          <w:sz w:val="24"/>
          <w:szCs w:val="24"/>
          <w:vertAlign w:val="superscript"/>
        </w:rPr>
        <w:footnoteReference w:id="108"/>
      </w:r>
      <w:r>
        <w:rPr>
          <w:rFonts w:ascii="Times New Roman" w:hAnsi="Times New Roman"/>
          <w:noProof/>
          <w:sz w:val="24"/>
        </w:rPr>
        <w:t>. Aproape o treime acceptă plângeri în limbi străine</w:t>
      </w:r>
      <w:r>
        <w:rPr>
          <w:rFonts w:ascii="Times New Roman" w:eastAsia="Times New Roman" w:hAnsi="Times New Roman" w:cs="Times New Roman"/>
          <w:noProof/>
          <w:color w:val="000000" w:themeColor="text1"/>
          <w:sz w:val="24"/>
          <w:szCs w:val="24"/>
          <w:vertAlign w:val="superscript"/>
        </w:rPr>
        <w:footnoteReference w:id="109"/>
      </w:r>
      <w:r>
        <w:rPr>
          <w:rFonts w:ascii="Times New Roman" w:hAnsi="Times New Roman"/>
          <w:noProof/>
          <w:sz w:val="24"/>
        </w:rPr>
        <w:t xml:space="preserve">. </w:t>
      </w:r>
    </w:p>
    <w:p w14:paraId="1679B77C" w14:textId="77777777" w:rsidR="00D16361" w:rsidRPr="00A359E1" w:rsidRDefault="00077A20" w:rsidP="00077A20">
      <w:pPr>
        <w:spacing w:line="276" w:lineRule="auto"/>
        <w:jc w:val="both"/>
        <w:rPr>
          <w:rFonts w:ascii="Times New Roman" w:eastAsia="Times New Roman" w:hAnsi="Times New Roman" w:cs="Times New Roman"/>
          <w:noProof/>
          <w:sz w:val="24"/>
          <w:szCs w:val="24"/>
          <w14:ligatures w14:val="none"/>
        </w:rPr>
      </w:pPr>
      <w:r>
        <w:rPr>
          <w:rFonts w:ascii="Times New Roman" w:hAnsi="Times New Roman"/>
          <w:noProof/>
          <w:sz w:val="24"/>
        </w:rPr>
        <w:t>În majoritatea statelor membre, plângerile pot fi depuse personal la inspectoratele de muncă, la serviciile sociale sau la autoritățile conexe</w:t>
      </w:r>
      <w:r>
        <w:rPr>
          <w:rFonts w:ascii="Times New Roman" w:eastAsia="Times New Roman" w:hAnsi="Times New Roman" w:cs="Times New Roman"/>
          <w:noProof/>
          <w:sz w:val="24"/>
          <w:szCs w:val="24"/>
          <w:vertAlign w:val="superscript"/>
        </w:rPr>
        <w:footnoteReference w:id="110"/>
      </w:r>
      <w:r>
        <w:rPr>
          <w:rFonts w:ascii="Times New Roman" w:hAnsi="Times New Roman"/>
          <w:noProof/>
          <w:sz w:val="24"/>
        </w:rPr>
        <w:t>.</w:t>
      </w:r>
      <w:r>
        <w:rPr>
          <w:rFonts w:ascii="Times New Roman" w:hAnsi="Times New Roman"/>
          <w:noProof/>
          <w:color w:val="000000" w:themeColor="text1"/>
          <w:sz w:val="24"/>
        </w:rPr>
        <w:t xml:space="preserve"> </w:t>
      </w:r>
      <w:r>
        <w:rPr>
          <w:rFonts w:ascii="Times New Roman" w:hAnsi="Times New Roman"/>
          <w:noProof/>
          <w:sz w:val="24"/>
        </w:rPr>
        <w:t>Unele state membre permit depunerea plângerilor la:</w:t>
      </w:r>
    </w:p>
    <w:p w14:paraId="69EBD96E" w14:textId="27C0EDB0" w:rsidR="00D16361" w:rsidRPr="00A359E1" w:rsidRDefault="00077A20" w:rsidP="00D16361">
      <w:pPr>
        <w:pStyle w:val="ListParagraph"/>
        <w:numPr>
          <w:ilvl w:val="0"/>
          <w:numId w:val="5"/>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sz w:val="24"/>
        </w:rPr>
        <w:t>poliție sau serviciile de imigrare la frontieră</w:t>
      </w:r>
      <w:r>
        <w:rPr>
          <w:noProof/>
          <w:vertAlign w:val="superscript"/>
        </w:rPr>
        <w:footnoteReference w:id="111"/>
      </w:r>
      <w:r>
        <w:rPr>
          <w:rFonts w:ascii="Times New Roman" w:hAnsi="Times New Roman"/>
          <w:noProof/>
          <w:sz w:val="24"/>
        </w:rPr>
        <w:t>;</w:t>
      </w:r>
    </w:p>
    <w:p w14:paraId="7B937C8B" w14:textId="40D60408" w:rsidR="00D16361" w:rsidRPr="00A359E1" w:rsidRDefault="00077A20" w:rsidP="00D16361">
      <w:pPr>
        <w:pStyle w:val="ListParagraph"/>
        <w:numPr>
          <w:ilvl w:val="0"/>
          <w:numId w:val="5"/>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sz w:val="24"/>
        </w:rPr>
        <w:t>instanțele judecătorești sau parchet</w:t>
      </w:r>
      <w:r>
        <w:rPr>
          <w:noProof/>
          <w:vertAlign w:val="superscript"/>
        </w:rPr>
        <w:footnoteReference w:id="112"/>
      </w:r>
      <w:r>
        <w:rPr>
          <w:rFonts w:ascii="Times New Roman" w:hAnsi="Times New Roman"/>
          <w:noProof/>
          <w:sz w:val="24"/>
        </w:rPr>
        <w:t xml:space="preserve">; </w:t>
      </w:r>
    </w:p>
    <w:p w14:paraId="4E971E52" w14:textId="71A86F55" w:rsidR="00D16361" w:rsidRPr="00A359E1" w:rsidRDefault="00077A20" w:rsidP="00D16361">
      <w:pPr>
        <w:pStyle w:val="ListParagraph"/>
        <w:numPr>
          <w:ilvl w:val="0"/>
          <w:numId w:val="5"/>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sz w:val="24"/>
        </w:rPr>
        <w:t>birourile vamale</w:t>
      </w:r>
      <w:r>
        <w:rPr>
          <w:noProof/>
          <w:vertAlign w:val="superscript"/>
        </w:rPr>
        <w:footnoteReference w:id="113"/>
      </w:r>
      <w:r>
        <w:rPr>
          <w:rFonts w:ascii="Times New Roman" w:hAnsi="Times New Roman"/>
          <w:noProof/>
          <w:sz w:val="24"/>
        </w:rPr>
        <w:t xml:space="preserve">; </w:t>
      </w:r>
    </w:p>
    <w:p w14:paraId="5D1B1FAC" w14:textId="11695D5A" w:rsidR="00D16361" w:rsidRPr="00A359E1" w:rsidRDefault="00077A20" w:rsidP="00D16361">
      <w:pPr>
        <w:pStyle w:val="ListParagraph"/>
        <w:numPr>
          <w:ilvl w:val="0"/>
          <w:numId w:val="5"/>
        </w:numPr>
        <w:spacing w:line="276" w:lineRule="auto"/>
        <w:jc w:val="both"/>
        <w:rPr>
          <w:rFonts w:ascii="Times New Roman" w:eastAsia="Times New Roman" w:hAnsi="Times New Roman" w:cs="Times New Roman"/>
          <w:noProof/>
          <w:color w:val="000000" w:themeColor="text1"/>
          <w:sz w:val="24"/>
          <w:szCs w:val="24"/>
          <w14:ligatures w14:val="none"/>
        </w:rPr>
      </w:pPr>
      <w:r>
        <w:rPr>
          <w:noProof/>
          <w:vertAlign w:val="superscript"/>
        </w:rPr>
        <w:footnoteReference w:id="114"/>
      </w:r>
      <w:r>
        <w:rPr>
          <w:rFonts w:ascii="Times New Roman" w:hAnsi="Times New Roman"/>
          <w:noProof/>
          <w:sz w:val="24"/>
        </w:rPr>
        <w:t>autoritățile de securitate și sănătate în muncă;</w:t>
      </w:r>
    </w:p>
    <w:p w14:paraId="1BCF0AAE" w14:textId="30476EE0" w:rsidR="00D16361" w:rsidRPr="00A359E1" w:rsidRDefault="00077A20" w:rsidP="00D16361">
      <w:pPr>
        <w:pStyle w:val="ListParagraph"/>
        <w:numPr>
          <w:ilvl w:val="0"/>
          <w:numId w:val="5"/>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sz w:val="24"/>
        </w:rPr>
        <w:t>autoritățile de aplicare a legii</w:t>
      </w:r>
      <w:r>
        <w:rPr>
          <w:noProof/>
          <w:vertAlign w:val="superscript"/>
        </w:rPr>
        <w:footnoteReference w:id="115"/>
      </w:r>
      <w:r>
        <w:rPr>
          <w:rFonts w:ascii="Times New Roman" w:hAnsi="Times New Roman"/>
          <w:noProof/>
          <w:sz w:val="24"/>
        </w:rPr>
        <w:t xml:space="preserve">; </w:t>
      </w:r>
    </w:p>
    <w:p w14:paraId="3B3CB387" w14:textId="48091470" w:rsidR="00D16361" w:rsidRPr="00A359E1" w:rsidRDefault="00077A20" w:rsidP="00D16361">
      <w:pPr>
        <w:pStyle w:val="ListParagraph"/>
        <w:numPr>
          <w:ilvl w:val="0"/>
          <w:numId w:val="5"/>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sz w:val="24"/>
        </w:rPr>
        <w:t>comitetul de întreprindere</w:t>
      </w:r>
      <w:r>
        <w:rPr>
          <w:noProof/>
          <w:vertAlign w:val="superscript"/>
        </w:rPr>
        <w:footnoteReference w:id="116"/>
      </w:r>
      <w:r>
        <w:rPr>
          <w:rFonts w:ascii="Times New Roman" w:hAnsi="Times New Roman"/>
          <w:noProof/>
          <w:sz w:val="24"/>
        </w:rPr>
        <w:t xml:space="preserve"> sau </w:t>
      </w:r>
    </w:p>
    <w:p w14:paraId="499A0A00" w14:textId="77777777" w:rsidR="00D16361" w:rsidRPr="00A359E1" w:rsidRDefault="00077A20" w:rsidP="00D16361">
      <w:pPr>
        <w:pStyle w:val="ListParagraph"/>
        <w:numPr>
          <w:ilvl w:val="0"/>
          <w:numId w:val="5"/>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sz w:val="24"/>
        </w:rPr>
        <w:t>departamentele de resurse umane</w:t>
      </w:r>
      <w:r>
        <w:rPr>
          <w:noProof/>
          <w:vertAlign w:val="superscript"/>
        </w:rPr>
        <w:footnoteReference w:id="117"/>
      </w:r>
      <w:r>
        <w:rPr>
          <w:rFonts w:ascii="Times New Roman" w:hAnsi="Times New Roman"/>
          <w:noProof/>
          <w:sz w:val="24"/>
        </w:rPr>
        <w:t xml:space="preserve">. </w:t>
      </w:r>
    </w:p>
    <w:p w14:paraId="05DE728E" w14:textId="7C4A4DDD" w:rsidR="00077A20" w:rsidRPr="00A359E1" w:rsidRDefault="00077A20" w:rsidP="00D16361">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sz w:val="24"/>
        </w:rPr>
        <w:t>Un stat membru permite depunerea plângerilor la orice instituție de stat</w:t>
      </w:r>
      <w:r>
        <w:rPr>
          <w:rFonts w:ascii="Times New Roman" w:hAnsi="Times New Roman" w:cs="Times New Roman"/>
          <w:noProof/>
          <w:vertAlign w:val="superscript"/>
        </w:rPr>
        <w:footnoteReference w:id="118"/>
      </w:r>
      <w:r>
        <w:rPr>
          <w:rFonts w:ascii="Times New Roman" w:hAnsi="Times New Roman"/>
          <w:noProof/>
          <w:sz w:val="24"/>
        </w:rPr>
        <w:t>.</w:t>
      </w:r>
      <w:r>
        <w:rPr>
          <w:rFonts w:ascii="Times New Roman" w:hAnsi="Times New Roman"/>
          <w:noProof/>
          <w:color w:val="000000" w:themeColor="text1"/>
          <w:sz w:val="24"/>
        </w:rPr>
        <w:t xml:space="preserve"> </w:t>
      </w:r>
    </w:p>
    <w:p w14:paraId="41DD5CAC" w14:textId="338704AA"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Aproape toate statele membre au raportat că asigură formarea inspectorilor de muncă cu privire la drepturile lucrătorilor migranți aflați în situație ilegală în temeiul directivei și la identificarea cazurilor de exploatare prin muncă și trafic de persoane</w:t>
      </w:r>
      <w:r>
        <w:rPr>
          <w:rFonts w:ascii="Times New Roman" w:eastAsia="Times New Roman" w:hAnsi="Times New Roman" w:cs="Times New Roman"/>
          <w:noProof/>
          <w:color w:val="000000" w:themeColor="text1"/>
          <w:sz w:val="24"/>
          <w:szCs w:val="24"/>
          <w:vertAlign w:val="superscript"/>
        </w:rPr>
        <w:footnoteReference w:id="119"/>
      </w:r>
      <w:r>
        <w:rPr>
          <w:rFonts w:ascii="Times New Roman" w:hAnsi="Times New Roman"/>
          <w:noProof/>
          <w:color w:val="000000" w:themeColor="text1"/>
          <w:sz w:val="24"/>
        </w:rPr>
        <w:t xml:space="preserve">. </w:t>
      </w:r>
    </w:p>
    <w:p w14:paraId="6438F6F8" w14:textId="3A5B2E79" w:rsidR="00077A20" w:rsidRPr="00A359E1" w:rsidDel="00E9655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Majoritatea statelor membre aplică un termen de prescripție pentru depunerea cererilor de recuperare a plăților restante, care variază de la patru luni</w:t>
      </w:r>
      <w:r>
        <w:rPr>
          <w:rFonts w:ascii="Times New Roman" w:eastAsiaTheme="minorEastAsia" w:hAnsi="Times New Roman" w:cs="Times New Roman"/>
          <w:noProof/>
          <w:color w:val="000000" w:themeColor="text1"/>
          <w:sz w:val="24"/>
          <w:szCs w:val="24"/>
          <w:vertAlign w:val="superscript"/>
        </w:rPr>
        <w:footnoteReference w:id="120"/>
      </w:r>
      <w:r>
        <w:rPr>
          <w:rFonts w:ascii="Times New Roman" w:hAnsi="Times New Roman"/>
          <w:noProof/>
          <w:color w:val="000000" w:themeColor="text1"/>
          <w:sz w:val="24"/>
        </w:rPr>
        <w:t xml:space="preserve"> până la </w:t>
      </w:r>
      <w:r w:rsidRPr="008D4701">
        <w:rPr>
          <w:rFonts w:ascii="Times New Roman" w:hAnsi="Times New Roman"/>
          <w:noProof/>
          <w:color w:val="000000" w:themeColor="text1"/>
          <w:sz w:val="24"/>
        </w:rPr>
        <w:t>2</w:t>
      </w:r>
      <w:r>
        <w:rPr>
          <w:rFonts w:ascii="Times New Roman" w:hAnsi="Times New Roman"/>
          <w:noProof/>
          <w:color w:val="000000" w:themeColor="text1"/>
          <w:sz w:val="24"/>
        </w:rPr>
        <w:t>-</w:t>
      </w:r>
      <w:r w:rsidRPr="008D4701">
        <w:rPr>
          <w:rFonts w:ascii="Times New Roman" w:hAnsi="Times New Roman"/>
          <w:noProof/>
          <w:color w:val="000000" w:themeColor="text1"/>
          <w:sz w:val="24"/>
        </w:rPr>
        <w:t>6</w:t>
      </w:r>
      <w:r>
        <w:rPr>
          <w:rFonts w:ascii="Times New Roman" w:hAnsi="Times New Roman"/>
          <w:noProof/>
          <w:color w:val="000000" w:themeColor="text1"/>
          <w:sz w:val="24"/>
        </w:rPr>
        <w:t xml:space="preserve"> ani</w:t>
      </w:r>
      <w:r>
        <w:rPr>
          <w:rFonts w:ascii="Times New Roman" w:eastAsiaTheme="minorEastAsia" w:hAnsi="Times New Roman" w:cs="Times New Roman"/>
          <w:noProof/>
          <w:color w:val="000000" w:themeColor="text1"/>
          <w:sz w:val="24"/>
          <w:szCs w:val="24"/>
          <w:vertAlign w:val="superscript"/>
        </w:rPr>
        <w:footnoteReference w:id="121"/>
      </w:r>
      <w:r>
        <w:rPr>
          <w:rFonts w:ascii="Times New Roman" w:hAnsi="Times New Roman"/>
          <w:noProof/>
          <w:color w:val="000000" w:themeColor="text1"/>
          <w:sz w:val="24"/>
        </w:rPr>
        <w:t>. Câteva state membre au raportat că nu aplică un termen de prescripție</w:t>
      </w:r>
      <w:r>
        <w:rPr>
          <w:rFonts w:ascii="Times New Roman" w:eastAsia="Times New Roman" w:hAnsi="Times New Roman" w:cs="Times New Roman"/>
          <w:noProof/>
          <w:color w:val="000000" w:themeColor="text1"/>
          <w:sz w:val="24"/>
          <w:szCs w:val="24"/>
          <w:vertAlign w:val="superscript"/>
        </w:rPr>
        <w:footnoteReference w:id="122"/>
      </w:r>
      <w:r>
        <w:rPr>
          <w:rFonts w:ascii="Times New Roman" w:hAnsi="Times New Roman"/>
          <w:noProof/>
          <w:color w:val="000000" w:themeColor="text1"/>
          <w:sz w:val="24"/>
        </w:rPr>
        <w:t>. Aproximativ jumătate dintre statele membre permit depunerea de plângeri anonime, deși unele dintre ele impun restricții cu privire la această opțiune – de exemplu, numai din motive de sănătate și siguranță, nu și pentru conflictele de muncă</w:t>
      </w:r>
      <w:r>
        <w:rPr>
          <w:rFonts w:ascii="Times New Roman" w:eastAsia="Times New Roman" w:hAnsi="Times New Roman" w:cs="Times New Roman"/>
          <w:noProof/>
          <w:color w:val="000000" w:themeColor="text1"/>
          <w:sz w:val="24"/>
          <w:szCs w:val="24"/>
          <w:vertAlign w:val="superscript"/>
        </w:rPr>
        <w:footnoteReference w:id="123"/>
      </w:r>
      <w:r>
        <w:rPr>
          <w:rFonts w:ascii="Times New Roman" w:hAnsi="Times New Roman"/>
          <w:noProof/>
          <w:color w:val="000000" w:themeColor="text1"/>
          <w:sz w:val="24"/>
        </w:rPr>
        <w:t xml:space="preserve">. </w:t>
      </w:r>
    </w:p>
    <w:p w14:paraId="786762AE" w14:textId="3FDF7ED2" w:rsidR="00077A20" w:rsidRPr="00A359E1" w:rsidRDefault="00576338"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În același timp, marea majoritate a statelor membre nu au putut furniza date defalcate privind plângerile depuse în mod specific de lucrătorii migranți aflați în situație ilegală</w:t>
      </w:r>
      <w:r>
        <w:rPr>
          <w:rFonts w:ascii="Times New Roman" w:eastAsia="Times New Roman" w:hAnsi="Times New Roman" w:cs="Times New Roman"/>
          <w:noProof/>
          <w:color w:val="000000" w:themeColor="text1"/>
          <w:sz w:val="24"/>
          <w:szCs w:val="24"/>
          <w:vertAlign w:val="superscript"/>
        </w:rPr>
        <w:footnoteReference w:id="124"/>
      </w:r>
      <w:r>
        <w:rPr>
          <w:rFonts w:ascii="Times New Roman" w:hAnsi="Times New Roman"/>
          <w:noProof/>
          <w:color w:val="000000" w:themeColor="text1"/>
          <w:sz w:val="24"/>
        </w:rPr>
        <w:t>. Unele state membre au raportat doar statistici globale privind plângerile pentru întreaga populație</w:t>
      </w:r>
      <w:r>
        <w:rPr>
          <w:rFonts w:ascii="Times New Roman" w:eastAsia="Times New Roman" w:hAnsi="Times New Roman" w:cs="Times New Roman"/>
          <w:noProof/>
          <w:color w:val="000000" w:themeColor="text1"/>
          <w:sz w:val="24"/>
          <w:szCs w:val="24"/>
          <w:vertAlign w:val="superscript"/>
        </w:rPr>
        <w:footnoteReference w:id="125"/>
      </w:r>
      <w:r>
        <w:rPr>
          <w:rFonts w:ascii="Times New Roman" w:hAnsi="Times New Roman"/>
          <w:noProof/>
          <w:color w:val="000000" w:themeColor="text1"/>
          <w:sz w:val="24"/>
        </w:rPr>
        <w:t>. Trei state membre au furnizat date defalcate care vizează în mod specific acești lucrători</w:t>
      </w:r>
      <w:r>
        <w:rPr>
          <w:rFonts w:ascii="Times New Roman" w:eastAsia="Times New Roman" w:hAnsi="Times New Roman" w:cs="Times New Roman"/>
          <w:noProof/>
          <w:color w:val="000000" w:themeColor="text1"/>
          <w:sz w:val="24"/>
          <w:szCs w:val="24"/>
          <w:vertAlign w:val="superscript"/>
        </w:rPr>
        <w:footnoteReference w:id="126"/>
      </w:r>
      <w:r>
        <w:rPr>
          <w:rFonts w:ascii="Times New Roman" w:hAnsi="Times New Roman"/>
          <w:noProof/>
          <w:color w:val="000000" w:themeColor="text1"/>
          <w:sz w:val="24"/>
        </w:rPr>
        <w:t xml:space="preserve">. </w:t>
      </w:r>
    </w:p>
    <w:p w14:paraId="31419E34" w14:textId="1D047472"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Cifrele orientative pentru perioada </w:t>
      </w:r>
      <w:r w:rsidRPr="008D4701">
        <w:rPr>
          <w:rFonts w:ascii="Times New Roman" w:hAnsi="Times New Roman"/>
          <w:noProof/>
          <w:color w:val="000000" w:themeColor="text1"/>
          <w:sz w:val="24"/>
        </w:rPr>
        <w:t>2021</w:t>
      </w:r>
      <w:r>
        <w:rPr>
          <w:rFonts w:ascii="Times New Roman" w:hAnsi="Times New Roman"/>
          <w:noProof/>
          <w:color w:val="000000" w:themeColor="text1"/>
          <w:sz w:val="24"/>
        </w:rPr>
        <w:t>-</w:t>
      </w:r>
      <w:r w:rsidRPr="008D4701">
        <w:rPr>
          <w:rFonts w:ascii="Times New Roman" w:hAnsi="Times New Roman"/>
          <w:noProof/>
          <w:color w:val="000000" w:themeColor="text1"/>
          <w:sz w:val="24"/>
        </w:rPr>
        <w:t>2024</w:t>
      </w:r>
      <w:r>
        <w:rPr>
          <w:rFonts w:ascii="Times New Roman" w:hAnsi="Times New Roman"/>
          <w:noProof/>
          <w:color w:val="000000" w:themeColor="text1"/>
          <w:sz w:val="24"/>
        </w:rPr>
        <w:t xml:space="preserve"> variază de la peste </w:t>
      </w:r>
      <w:r w:rsidRPr="008D4701">
        <w:rPr>
          <w:rFonts w:ascii="Times New Roman" w:hAnsi="Times New Roman"/>
          <w:noProof/>
          <w:color w:val="000000" w:themeColor="text1"/>
          <w:sz w:val="24"/>
        </w:rPr>
        <w:t>50</w:t>
      </w:r>
      <w:r>
        <w:rPr>
          <w:rFonts w:ascii="Times New Roman" w:hAnsi="Times New Roman"/>
          <w:noProof/>
          <w:color w:val="000000" w:themeColor="text1"/>
          <w:sz w:val="24"/>
        </w:rPr>
        <w:t xml:space="preserve"> și, respectiv, </w:t>
      </w:r>
      <w:r w:rsidRPr="008D4701">
        <w:rPr>
          <w:rFonts w:ascii="Times New Roman" w:hAnsi="Times New Roman"/>
          <w:noProof/>
          <w:color w:val="000000" w:themeColor="text1"/>
          <w:sz w:val="24"/>
        </w:rPr>
        <w:t>100</w:t>
      </w:r>
      <w:r>
        <w:rPr>
          <w:rFonts w:ascii="Times New Roman" w:hAnsi="Times New Roman"/>
          <w:noProof/>
          <w:color w:val="000000" w:themeColor="text1"/>
          <w:sz w:val="24"/>
        </w:rPr>
        <w:t xml:space="preserve"> de cazuri în două state membre</w:t>
      </w:r>
      <w:r>
        <w:rPr>
          <w:rFonts w:ascii="Times New Roman" w:eastAsia="Times New Roman" w:hAnsi="Times New Roman" w:cs="Times New Roman"/>
          <w:noProof/>
          <w:color w:val="000000" w:themeColor="text1"/>
          <w:sz w:val="24"/>
          <w:szCs w:val="24"/>
          <w:vertAlign w:val="superscript"/>
        </w:rPr>
        <w:footnoteReference w:id="127"/>
      </w:r>
      <w:r>
        <w:rPr>
          <w:rFonts w:ascii="Times New Roman" w:hAnsi="Times New Roman"/>
          <w:noProof/>
          <w:color w:val="000000" w:themeColor="text1"/>
          <w:sz w:val="24"/>
        </w:rPr>
        <w:t xml:space="preserve">, la </w:t>
      </w:r>
      <w:r w:rsidRPr="008D4701">
        <w:rPr>
          <w:rFonts w:ascii="Times New Roman" w:hAnsi="Times New Roman"/>
          <w:noProof/>
          <w:color w:val="000000" w:themeColor="text1"/>
          <w:sz w:val="24"/>
        </w:rPr>
        <w:t>20</w:t>
      </w:r>
      <w:r>
        <w:rPr>
          <w:rFonts w:ascii="Times New Roman" w:hAnsi="Times New Roman"/>
          <w:noProof/>
          <w:color w:val="000000" w:themeColor="text1"/>
          <w:sz w:val="24"/>
        </w:rPr>
        <w:t>-</w:t>
      </w:r>
      <w:r w:rsidRPr="008D4701">
        <w:rPr>
          <w:rFonts w:ascii="Times New Roman" w:hAnsi="Times New Roman"/>
          <w:noProof/>
          <w:color w:val="000000" w:themeColor="text1"/>
          <w:sz w:val="24"/>
        </w:rPr>
        <w:t>50</w:t>
      </w:r>
      <w:r>
        <w:rPr>
          <w:rFonts w:ascii="Times New Roman" w:hAnsi="Times New Roman"/>
          <w:noProof/>
          <w:color w:val="000000" w:themeColor="text1"/>
          <w:sz w:val="24"/>
        </w:rPr>
        <w:t xml:space="preserve"> de plângeri în trei state membre</w:t>
      </w:r>
      <w:r>
        <w:rPr>
          <w:rFonts w:ascii="Times New Roman" w:eastAsia="Times New Roman" w:hAnsi="Times New Roman" w:cs="Times New Roman"/>
          <w:noProof/>
          <w:color w:val="000000" w:themeColor="text1"/>
          <w:sz w:val="24"/>
          <w:szCs w:val="24"/>
          <w:vertAlign w:val="superscript"/>
        </w:rPr>
        <w:footnoteReference w:id="128"/>
      </w:r>
      <w:r>
        <w:rPr>
          <w:rFonts w:ascii="Times New Roman" w:hAnsi="Times New Roman"/>
          <w:noProof/>
          <w:color w:val="000000" w:themeColor="text1"/>
          <w:sz w:val="24"/>
        </w:rPr>
        <w:t xml:space="preserve"> și mai puțin de </w:t>
      </w:r>
      <w:r w:rsidRPr="008D4701">
        <w:rPr>
          <w:rFonts w:ascii="Times New Roman" w:hAnsi="Times New Roman"/>
          <w:noProof/>
          <w:color w:val="000000" w:themeColor="text1"/>
          <w:sz w:val="24"/>
        </w:rPr>
        <w:t>20</w:t>
      </w:r>
      <w:r>
        <w:rPr>
          <w:rFonts w:ascii="Times New Roman" w:hAnsi="Times New Roman"/>
          <w:noProof/>
          <w:color w:val="000000" w:themeColor="text1"/>
          <w:sz w:val="24"/>
        </w:rPr>
        <w:t xml:space="preserve"> sau </w:t>
      </w:r>
      <w:r w:rsidRPr="008D4701">
        <w:rPr>
          <w:rFonts w:ascii="Times New Roman" w:hAnsi="Times New Roman"/>
          <w:noProof/>
          <w:color w:val="000000" w:themeColor="text1"/>
          <w:sz w:val="24"/>
        </w:rPr>
        <w:t>10</w:t>
      </w:r>
      <w:r>
        <w:rPr>
          <w:rFonts w:ascii="Times New Roman" w:hAnsi="Times New Roman"/>
          <w:noProof/>
          <w:color w:val="000000" w:themeColor="text1"/>
          <w:sz w:val="24"/>
        </w:rPr>
        <w:t xml:space="preserve"> pe an în alte state membre</w:t>
      </w:r>
      <w:r>
        <w:rPr>
          <w:rFonts w:ascii="Times New Roman" w:eastAsiaTheme="minorEastAsia" w:hAnsi="Times New Roman" w:cs="Times New Roman"/>
          <w:noProof/>
          <w:color w:val="000000" w:themeColor="text1"/>
          <w:sz w:val="24"/>
          <w:szCs w:val="24"/>
          <w:vertAlign w:val="superscript"/>
        </w:rPr>
        <w:footnoteReference w:id="129"/>
      </w:r>
      <w:r>
        <w:rPr>
          <w:rFonts w:ascii="Times New Roman" w:hAnsi="Times New Roman"/>
          <w:noProof/>
          <w:color w:val="000000" w:themeColor="text1"/>
          <w:sz w:val="24"/>
        </w:rPr>
        <w:t>. Doar trei state membre au raportat monitorizarea numărului exact de plângeri depuse de acești lucrători</w:t>
      </w:r>
      <w:r>
        <w:rPr>
          <w:rFonts w:ascii="Times New Roman" w:eastAsia="Times New Roman" w:hAnsi="Times New Roman" w:cs="Times New Roman"/>
          <w:noProof/>
          <w:color w:val="000000" w:themeColor="text1"/>
          <w:sz w:val="24"/>
          <w:szCs w:val="24"/>
          <w:vertAlign w:val="superscript"/>
        </w:rPr>
        <w:footnoteReference w:id="130"/>
      </w:r>
      <w:r>
        <w:rPr>
          <w:rFonts w:ascii="Times New Roman" w:hAnsi="Times New Roman"/>
          <w:noProof/>
          <w:color w:val="000000" w:themeColor="text1"/>
          <w:sz w:val="24"/>
        </w:rPr>
        <w:t>, în timp ce aproximativ jumătate au furnizat informații cu privire la acțiunile subsecvente întreprinse</w:t>
      </w:r>
      <w:r>
        <w:rPr>
          <w:rFonts w:ascii="Times New Roman" w:eastAsia="Times New Roman" w:hAnsi="Times New Roman" w:cs="Times New Roman"/>
          <w:noProof/>
          <w:color w:val="000000" w:themeColor="text1"/>
          <w:sz w:val="24"/>
          <w:szCs w:val="24"/>
          <w:vertAlign w:val="superscript"/>
        </w:rPr>
        <w:footnoteReference w:id="131"/>
      </w:r>
      <w:r>
        <w:rPr>
          <w:rFonts w:ascii="Times New Roman" w:hAnsi="Times New Roman"/>
          <w:noProof/>
          <w:color w:val="000000" w:themeColor="text1"/>
          <w:sz w:val="24"/>
        </w:rPr>
        <w:t>.</w:t>
      </w:r>
    </w:p>
    <w:p w14:paraId="3D5F076F" w14:textId="48DF5CBA"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vertAlign w:val="superscript"/>
          <w14:ligatures w14:val="none"/>
        </w:rPr>
      </w:pPr>
      <w:r>
        <w:rPr>
          <w:rFonts w:ascii="Times New Roman" w:hAnsi="Times New Roman"/>
          <w:noProof/>
          <w:color w:val="000000" w:themeColor="text1"/>
          <w:sz w:val="24"/>
        </w:rPr>
        <w:t xml:space="preserve">Pentru perioada </w:t>
      </w:r>
      <w:r w:rsidRPr="008D4701">
        <w:rPr>
          <w:rFonts w:ascii="Times New Roman" w:hAnsi="Times New Roman"/>
          <w:noProof/>
          <w:color w:val="000000" w:themeColor="text1"/>
          <w:sz w:val="24"/>
        </w:rPr>
        <w:t>2021</w:t>
      </w:r>
      <w:r>
        <w:rPr>
          <w:rFonts w:ascii="Times New Roman" w:hAnsi="Times New Roman"/>
          <w:noProof/>
          <w:color w:val="000000" w:themeColor="text1"/>
          <w:sz w:val="24"/>
        </w:rPr>
        <w:t>-</w:t>
      </w:r>
      <w:r w:rsidRPr="008D4701">
        <w:rPr>
          <w:rFonts w:ascii="Times New Roman" w:hAnsi="Times New Roman"/>
          <w:noProof/>
          <w:color w:val="000000" w:themeColor="text1"/>
          <w:sz w:val="24"/>
        </w:rPr>
        <w:t>2024</w:t>
      </w:r>
      <w:r>
        <w:rPr>
          <w:rFonts w:ascii="Times New Roman" w:hAnsi="Times New Roman"/>
          <w:noProof/>
          <w:color w:val="000000" w:themeColor="text1"/>
          <w:sz w:val="24"/>
        </w:rPr>
        <w:t xml:space="preserve">, </w:t>
      </w:r>
      <w:r w:rsidRPr="008D4701">
        <w:rPr>
          <w:rFonts w:ascii="Times New Roman" w:hAnsi="Times New Roman"/>
          <w:noProof/>
          <w:color w:val="000000" w:themeColor="text1"/>
          <w:sz w:val="24"/>
        </w:rPr>
        <w:t>13</w:t>
      </w:r>
      <w:r>
        <w:rPr>
          <w:rFonts w:ascii="Times New Roman" w:hAnsi="Times New Roman"/>
          <w:noProof/>
          <w:color w:val="000000" w:themeColor="text1"/>
          <w:sz w:val="24"/>
        </w:rPr>
        <w:t xml:space="preserve"> state membre au raportat măsuri care permit lucrătorilor migranți aflați în situație ilegală să beneficieze de consultanță juridică din partea entităților de stat</w:t>
      </w:r>
      <w:r>
        <w:rPr>
          <w:rFonts w:ascii="Times New Roman" w:eastAsia="Times New Roman" w:hAnsi="Times New Roman" w:cs="Times New Roman"/>
          <w:noProof/>
          <w:color w:val="000000" w:themeColor="text1"/>
          <w:sz w:val="24"/>
          <w:szCs w:val="24"/>
          <w:vertAlign w:val="superscript"/>
        </w:rPr>
        <w:footnoteReference w:id="132"/>
      </w:r>
      <w:r>
        <w:rPr>
          <w:rFonts w:ascii="Times New Roman" w:hAnsi="Times New Roman"/>
          <w:noProof/>
          <w:color w:val="000000" w:themeColor="text1"/>
          <w:sz w:val="24"/>
        </w:rPr>
        <w:t>, cu o scutire de la plata cheltuielilor de judecată/taxelor de stat sau o reducere a acestora</w:t>
      </w:r>
      <w:r>
        <w:rPr>
          <w:rFonts w:ascii="Times New Roman" w:eastAsia="Times New Roman" w:hAnsi="Times New Roman" w:cs="Times New Roman"/>
          <w:noProof/>
          <w:color w:val="000000" w:themeColor="text1"/>
          <w:sz w:val="24"/>
          <w:szCs w:val="24"/>
          <w:vertAlign w:val="superscript"/>
        </w:rPr>
        <w:footnoteReference w:id="133"/>
      </w:r>
      <w:r>
        <w:rPr>
          <w:rFonts w:ascii="Times New Roman" w:hAnsi="Times New Roman"/>
          <w:noProof/>
          <w:color w:val="000000" w:themeColor="text1"/>
          <w:sz w:val="24"/>
        </w:rPr>
        <w:t>. Aproximativ jumătate</w:t>
      </w:r>
      <w:r>
        <w:rPr>
          <w:rFonts w:ascii="Times New Roman" w:eastAsia="Times New Roman" w:hAnsi="Times New Roman" w:cs="Times New Roman"/>
          <w:noProof/>
          <w:color w:val="000000" w:themeColor="text1"/>
          <w:sz w:val="24"/>
          <w:szCs w:val="24"/>
          <w:vertAlign w:val="superscript"/>
        </w:rPr>
        <w:footnoteReference w:id="134"/>
      </w:r>
      <w:r>
        <w:rPr>
          <w:rFonts w:ascii="Times New Roman" w:hAnsi="Times New Roman"/>
          <w:noProof/>
          <w:color w:val="000000" w:themeColor="text1"/>
          <w:sz w:val="24"/>
        </w:rPr>
        <w:t xml:space="preserve"> oferă reprezentare juridică gratuită și servicii gratuite de interpretare.</w:t>
      </w:r>
    </w:p>
    <w:p w14:paraId="01ACFF4D" w14:textId="113A6C8E" w:rsidR="00077A20" w:rsidRPr="00A359E1" w:rsidRDefault="00077A20" w:rsidP="00077A20">
      <w:pPr>
        <w:pBdr>
          <w:top w:val="single" w:sz="4" w:space="4" w:color="000000"/>
          <w:left w:val="single" w:sz="4" w:space="4" w:color="000000"/>
          <w:bottom w:val="single" w:sz="4" w:space="4" w:color="000000"/>
          <w:right w:val="single" w:sz="4" w:space="4" w:color="000000"/>
        </w:pBdr>
        <w:spacing w:line="276" w:lineRule="auto"/>
        <w:jc w:val="both"/>
        <w:rPr>
          <w:rFonts w:ascii="Times New Roman" w:eastAsia="Times New Roman" w:hAnsi="Times New Roman" w:cs="Times New Roman"/>
          <w:noProof/>
          <w:color w:val="D13438"/>
          <w:sz w:val="20"/>
          <w:szCs w:val="20"/>
          <w14:ligatures w14:val="none"/>
        </w:rPr>
      </w:pPr>
      <w:r>
        <w:rPr>
          <w:rFonts w:ascii="Times New Roman" w:hAnsi="Times New Roman"/>
          <w:noProof/>
          <w:color w:val="000000" w:themeColor="text1"/>
          <w:sz w:val="20"/>
        </w:rPr>
        <w:t>Franța oferă lucrătorilor migranți aflați în situație ilegală asistență juridică în anumite condiții, de exemplu în ceea ce privește domiciliul în Franța, sub rezerva testării mijloacelor. Cererile de asistență judiciară pot fi depuse online. Victimele infracțiunilor, indiferent de naționalitatea sau de statutul lor de rezident, au dreptul la sprijin gratuit, personalizat și multidisciplinar, inclusiv la asistență juridică, psihologică și socială, din partea organizațiilor de sprijinire a victimelor. Sprijinul include informații privind procedurile judiciare și asistență pentru a îndeplini formalitățile.</w:t>
      </w:r>
    </w:p>
    <w:p w14:paraId="64CAD582" w14:textId="323EFE92"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8D4701">
        <w:rPr>
          <w:rFonts w:ascii="Times New Roman" w:hAnsi="Times New Roman"/>
          <w:noProof/>
          <w:color w:val="000000" w:themeColor="text1"/>
          <w:sz w:val="24"/>
        </w:rPr>
        <w:t>13</w:t>
      </w:r>
      <w:r>
        <w:rPr>
          <w:rFonts w:ascii="Times New Roman" w:hAnsi="Times New Roman"/>
          <w:noProof/>
          <w:color w:val="000000" w:themeColor="text1"/>
          <w:sz w:val="24"/>
        </w:rPr>
        <w:t xml:space="preserve"> state membre au raportat că lucrătorii migranți aflați în situație ilegală pot beneficia de asistență juridică sau socială oferită de ONG-uri sau sindicate</w:t>
      </w:r>
      <w:r>
        <w:rPr>
          <w:rFonts w:ascii="Times New Roman" w:eastAsia="Times New Roman" w:hAnsi="Times New Roman" w:cs="Times New Roman"/>
          <w:noProof/>
          <w:color w:val="000000" w:themeColor="text1"/>
          <w:sz w:val="24"/>
          <w:szCs w:val="24"/>
          <w:vertAlign w:val="superscript"/>
        </w:rPr>
        <w:footnoteReference w:id="135"/>
      </w:r>
      <w:r>
        <w:rPr>
          <w:rFonts w:ascii="Times New Roman" w:hAnsi="Times New Roman"/>
          <w:noProof/>
          <w:color w:val="000000" w:themeColor="text1"/>
          <w:sz w:val="24"/>
        </w:rPr>
        <w:t xml:space="preserve">. </w:t>
      </w:r>
      <w:r w:rsidRPr="008D4701">
        <w:rPr>
          <w:rFonts w:ascii="Times New Roman" w:hAnsi="Times New Roman"/>
          <w:noProof/>
          <w:color w:val="000000" w:themeColor="text1"/>
          <w:sz w:val="24"/>
        </w:rPr>
        <w:t>10</w:t>
      </w:r>
      <w:r>
        <w:rPr>
          <w:rFonts w:ascii="Times New Roman" w:hAnsi="Times New Roman"/>
          <w:noProof/>
          <w:color w:val="000000" w:themeColor="text1"/>
          <w:sz w:val="24"/>
        </w:rPr>
        <w:t xml:space="preserve"> state membre au sprijinit părțile terțe în furnizarea de informații, asistență juridică și alte servicii pentru acești lucrători</w:t>
      </w:r>
      <w:r>
        <w:rPr>
          <w:rFonts w:ascii="Times New Roman" w:eastAsia="Times New Roman" w:hAnsi="Times New Roman" w:cs="Times New Roman"/>
          <w:noProof/>
          <w:color w:val="000000" w:themeColor="text1"/>
          <w:sz w:val="24"/>
          <w:szCs w:val="24"/>
          <w:vertAlign w:val="superscript"/>
        </w:rPr>
        <w:footnoteReference w:id="136"/>
      </w:r>
      <w:r>
        <w:rPr>
          <w:rFonts w:ascii="Times New Roman" w:hAnsi="Times New Roman"/>
          <w:noProof/>
          <w:color w:val="000000" w:themeColor="text1"/>
          <w:sz w:val="24"/>
        </w:rPr>
        <w:t>.</w:t>
      </w:r>
    </w:p>
    <w:p w14:paraId="546DC055" w14:textId="5AF4691E"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sz w:val="24"/>
        </w:rPr>
        <w:t>Potrivit Platformei pentru cooperare internațională privind migranții fără forme legale (PICUM) și altor organizații ale societății civile, accesul la justiție al lucrătorilor migranți aflați în situație ilegală este încă limitat în multe state membre, în special în ceea ce privește procedurile judiciare. Acest lucru se datorează, de exemplu, taxelor judiciare ridicate sau procedurilor complexe.</w:t>
      </w:r>
      <w:r>
        <w:rPr>
          <w:rFonts w:ascii="Times New Roman" w:hAnsi="Times New Roman"/>
          <w:noProof/>
          <w:color w:val="000000" w:themeColor="text1"/>
          <w:sz w:val="24"/>
        </w:rPr>
        <w:t xml:space="preserve"> Constatările sondajului FRA susțin existența unor bariere structurale în calea lucrătorilor migranți aflați în situație ilegală care depun plângeri, cum ar fi recunoașterea insuficientă a dovezilor sau absența garanțiilor împotriva returnării</w:t>
      </w:r>
      <w:r>
        <w:rPr>
          <w:rFonts w:ascii="Times New Roman" w:eastAsia="Times New Roman" w:hAnsi="Times New Roman" w:cs="Times New Roman"/>
          <w:noProof/>
          <w:color w:val="000000" w:themeColor="text1"/>
          <w:sz w:val="24"/>
          <w:szCs w:val="24"/>
          <w:vertAlign w:val="superscript"/>
        </w:rPr>
        <w:footnoteReference w:id="137"/>
      </w:r>
      <w:r>
        <w:rPr>
          <w:rFonts w:ascii="Times New Roman" w:hAnsi="Times New Roman"/>
          <w:noProof/>
          <w:color w:val="000000" w:themeColor="text1"/>
          <w:sz w:val="24"/>
        </w:rPr>
        <w:t>.</w:t>
      </w:r>
    </w:p>
    <w:p w14:paraId="11786123" w14:textId="6BF79A91" w:rsidR="00077A20" w:rsidRPr="008D4701" w:rsidRDefault="00077A20" w:rsidP="00077A20">
      <w:pPr>
        <w:pStyle w:val="ListParagraph"/>
        <w:numPr>
          <w:ilvl w:val="0"/>
          <w:numId w:val="4"/>
        </w:numPr>
        <w:spacing w:after="120" w:line="276" w:lineRule="auto"/>
        <w:jc w:val="both"/>
        <w:outlineLvl w:val="2"/>
        <w:rPr>
          <w:rFonts w:ascii="Times New Roman" w:eastAsia="Times New Roman" w:hAnsi="Times New Roman" w:cs="Times New Roman"/>
          <w:b/>
          <w:bCs/>
          <w:noProof/>
          <w:sz w:val="24"/>
          <w:szCs w:val="24"/>
          <w14:ligatures w14:val="none"/>
        </w:rPr>
      </w:pPr>
      <w:bookmarkStart w:id="31" w:name="_Toc215743792"/>
      <w:bookmarkStart w:id="32" w:name="_Toc210315974"/>
      <w:r w:rsidRPr="008D4701">
        <w:rPr>
          <w:rFonts w:ascii="Times New Roman" w:hAnsi="Times New Roman"/>
          <w:b/>
          <w:noProof/>
          <w:sz w:val="24"/>
        </w:rPr>
        <w:t>Accesul la remunerație: plata salariilor</w:t>
      </w:r>
      <w:bookmarkEnd w:id="31"/>
      <w:r>
        <w:rPr>
          <w:noProof/>
        </w:rPr>
        <w:t xml:space="preserve"> </w:t>
      </w:r>
      <w:r w:rsidRPr="008D4701">
        <w:rPr>
          <w:rFonts w:ascii="Times New Roman" w:hAnsi="Times New Roman"/>
          <w:b/>
          <w:noProof/>
          <w:sz w:val="24"/>
        </w:rPr>
        <w:t xml:space="preserve">restante </w:t>
      </w:r>
      <w:bookmarkEnd w:id="32"/>
    </w:p>
    <w:p w14:paraId="5233308A" w14:textId="1F664C6E"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În temeiul directivei, statele membre trebuie să se asigure că lucrătorii migranți aflați în situație ilegală au posibilitatea de a-și recupera salariile neplătite (articolul </w:t>
      </w:r>
      <w:r w:rsidRPr="008D4701">
        <w:rPr>
          <w:rFonts w:ascii="Times New Roman" w:hAnsi="Times New Roman"/>
          <w:noProof/>
          <w:color w:val="000000" w:themeColor="text1"/>
          <w:sz w:val="24"/>
        </w:rPr>
        <w:t>6</w:t>
      </w:r>
      <w:r>
        <w:rPr>
          <w:rFonts w:ascii="Times New Roman" w:hAnsi="Times New Roman"/>
          <w:noProof/>
          <w:color w:val="000000" w:themeColor="text1"/>
          <w:sz w:val="24"/>
        </w:rPr>
        <w:t xml:space="preserve">) și că părțile terțe care au un interes legitim, cum ar fi ONG-urile și sindicatele, au posibilitatea de a sprijini sau reprezenta lucrătorii în cadrul procedurilor conexe [articolul </w:t>
      </w:r>
      <w:r w:rsidRPr="008D4701">
        <w:rPr>
          <w:rFonts w:ascii="Times New Roman" w:hAnsi="Times New Roman"/>
          <w:noProof/>
          <w:color w:val="000000" w:themeColor="text1"/>
          <w:sz w:val="24"/>
        </w:rPr>
        <w:t>13</w:t>
      </w:r>
      <w:r>
        <w:rPr>
          <w:rFonts w:ascii="Times New Roman" w:hAnsi="Times New Roman"/>
          <w:noProof/>
          <w:color w:val="000000" w:themeColor="text1"/>
          <w:sz w:val="24"/>
        </w:rPr>
        <w:t xml:space="preserve"> alineatul (</w:t>
      </w:r>
      <w:r w:rsidRPr="008D4701">
        <w:rPr>
          <w:rFonts w:ascii="Times New Roman" w:hAnsi="Times New Roman"/>
          <w:noProof/>
          <w:color w:val="000000" w:themeColor="text1"/>
          <w:sz w:val="24"/>
        </w:rPr>
        <w:t>2</w:t>
      </w:r>
      <w:r>
        <w:rPr>
          <w:rFonts w:ascii="Times New Roman" w:hAnsi="Times New Roman"/>
          <w:noProof/>
          <w:color w:val="000000" w:themeColor="text1"/>
          <w:sz w:val="24"/>
        </w:rPr>
        <w:t xml:space="preserve">)]. Articolul </w:t>
      </w:r>
      <w:r w:rsidRPr="008D4701">
        <w:rPr>
          <w:rFonts w:ascii="Times New Roman" w:hAnsi="Times New Roman"/>
          <w:noProof/>
          <w:color w:val="000000" w:themeColor="text1"/>
          <w:sz w:val="24"/>
        </w:rPr>
        <w:t>6</w:t>
      </w:r>
      <w:r>
        <w:rPr>
          <w:rFonts w:ascii="Times New Roman" w:hAnsi="Times New Roman"/>
          <w:noProof/>
          <w:color w:val="000000" w:themeColor="text1"/>
          <w:sz w:val="24"/>
        </w:rPr>
        <w:t xml:space="preserve"> alineatul (</w:t>
      </w:r>
      <w:r w:rsidRPr="008D4701">
        <w:rPr>
          <w:rFonts w:ascii="Times New Roman" w:hAnsi="Times New Roman"/>
          <w:noProof/>
          <w:color w:val="000000" w:themeColor="text1"/>
          <w:sz w:val="24"/>
        </w:rPr>
        <w:t>3</w:t>
      </w:r>
      <w:r>
        <w:rPr>
          <w:rFonts w:ascii="Times New Roman" w:hAnsi="Times New Roman"/>
          <w:noProof/>
          <w:color w:val="000000" w:themeColor="text1"/>
          <w:sz w:val="24"/>
        </w:rPr>
        <w:t xml:space="preserve">) prevede, de asemenea, o </w:t>
      </w:r>
      <w:r w:rsidRPr="008D4701">
        <w:rPr>
          <w:rFonts w:ascii="Times New Roman" w:hAnsi="Times New Roman"/>
          <w:b/>
          <w:noProof/>
          <w:color w:val="000000" w:themeColor="text1"/>
          <w:sz w:val="24"/>
        </w:rPr>
        <w:t>prezumție conform căreia un raport de muncă a durat cel puțin trei luni</w:t>
      </w:r>
      <w:r>
        <w:rPr>
          <w:rFonts w:ascii="Times New Roman" w:hAnsi="Times New Roman"/>
          <w:noProof/>
          <w:sz w:val="24"/>
        </w:rPr>
        <w:t>, cu excepția cazului în care angajatorul sau angajatul, printre altele, poate dovedi contrariul.</w:t>
      </w:r>
    </w:p>
    <w:p w14:paraId="10D9FA26" w14:textId="6A26C96B" w:rsidR="00077A20" w:rsidRPr="00A359E1" w:rsidRDefault="00077A20" w:rsidP="00077A20">
      <w:pPr>
        <w:spacing w:line="276" w:lineRule="auto"/>
        <w:jc w:val="both"/>
        <w:rPr>
          <w:rFonts w:ascii="Times New Roman" w:eastAsia="Times New Roman" w:hAnsi="Times New Roman" w:cs="Times New Roman"/>
          <w:noProof/>
          <w:sz w:val="24"/>
          <w:szCs w:val="24"/>
          <w14:ligatures w14:val="none"/>
        </w:rPr>
      </w:pPr>
      <w:r>
        <w:rPr>
          <w:rFonts w:ascii="Times New Roman" w:hAnsi="Times New Roman"/>
          <w:noProof/>
          <w:color w:val="000000" w:themeColor="text1"/>
          <w:sz w:val="24"/>
        </w:rPr>
        <w:t xml:space="preserve">În perioada </w:t>
      </w:r>
      <w:r w:rsidRPr="008D4701">
        <w:rPr>
          <w:rFonts w:ascii="Times New Roman" w:hAnsi="Times New Roman"/>
          <w:noProof/>
          <w:color w:val="000000" w:themeColor="text1"/>
          <w:sz w:val="24"/>
        </w:rPr>
        <w:t>2021</w:t>
      </w:r>
      <w:r>
        <w:rPr>
          <w:rFonts w:ascii="Times New Roman" w:hAnsi="Times New Roman"/>
          <w:noProof/>
          <w:color w:val="000000" w:themeColor="text1"/>
          <w:sz w:val="24"/>
        </w:rPr>
        <w:t>-</w:t>
      </w:r>
      <w:r w:rsidRPr="008D4701">
        <w:rPr>
          <w:rFonts w:ascii="Times New Roman" w:hAnsi="Times New Roman"/>
          <w:noProof/>
          <w:color w:val="000000" w:themeColor="text1"/>
          <w:sz w:val="24"/>
        </w:rPr>
        <w:t>2024</w:t>
      </w:r>
      <w:r>
        <w:rPr>
          <w:rFonts w:ascii="Times New Roman" w:hAnsi="Times New Roman"/>
          <w:noProof/>
          <w:color w:val="000000" w:themeColor="text1"/>
          <w:sz w:val="24"/>
        </w:rPr>
        <w:t xml:space="preserve">, niciun stat membru nu a raportat date sistematice privind procedurile lansate de lucrătorii migranți aflați în situație ilegală pentru recuperarea salariilor neplătite. Foarte puține state membre </w:t>
      </w:r>
      <w:r>
        <w:rPr>
          <w:rFonts w:ascii="Times New Roman" w:hAnsi="Times New Roman"/>
          <w:noProof/>
          <w:sz w:val="24"/>
        </w:rPr>
        <w:t>au raportat date privind procedurile de recuperare inițiate după returnarea resortisantului țării terțe, confirmând numărul foarte mic de cazuri</w:t>
      </w:r>
      <w:r>
        <w:rPr>
          <w:rFonts w:ascii="Times New Roman" w:eastAsia="Times New Roman" w:hAnsi="Times New Roman" w:cs="Times New Roman"/>
          <w:noProof/>
          <w:sz w:val="24"/>
          <w:szCs w:val="24"/>
          <w:vertAlign w:val="superscript"/>
        </w:rPr>
        <w:footnoteReference w:id="138"/>
      </w:r>
      <w:r>
        <w:rPr>
          <w:rFonts w:ascii="Times New Roman" w:hAnsi="Times New Roman"/>
          <w:noProof/>
          <w:sz w:val="24"/>
        </w:rPr>
        <w:t xml:space="preserve"> și numărul și mai mic de proceduri încheiate cu succes</w:t>
      </w:r>
      <w:r>
        <w:rPr>
          <w:rFonts w:ascii="Times New Roman" w:eastAsia="Times New Roman" w:hAnsi="Times New Roman" w:cs="Times New Roman"/>
          <w:noProof/>
          <w:sz w:val="24"/>
          <w:szCs w:val="24"/>
          <w:vertAlign w:val="superscript"/>
        </w:rPr>
        <w:footnoteReference w:id="139"/>
      </w:r>
      <w:r>
        <w:rPr>
          <w:rFonts w:ascii="Times New Roman" w:hAnsi="Times New Roman"/>
          <w:noProof/>
          <w:sz w:val="24"/>
        </w:rPr>
        <w:t xml:space="preserve">. </w:t>
      </w:r>
    </w:p>
    <w:p w14:paraId="155E3962" w14:textId="46DD315E"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Sondajul FRA confirmă insuficiența datelor colectate de organizațiile care sprijină lucrătorii resortisanți ai țărilor terțe să solicite primirea salariilor restante. Foarte puține organizații</w:t>
      </w:r>
      <w:r>
        <w:rPr>
          <w:rFonts w:ascii="Times New Roman" w:eastAsia="Times New Roman" w:hAnsi="Times New Roman" w:cs="Times New Roman"/>
          <w:noProof/>
          <w:color w:val="000000" w:themeColor="text1"/>
          <w:sz w:val="24"/>
          <w:szCs w:val="24"/>
          <w:vertAlign w:val="superscript"/>
        </w:rPr>
        <w:footnoteReference w:id="140"/>
      </w:r>
      <w:r>
        <w:rPr>
          <w:rFonts w:ascii="Times New Roman" w:hAnsi="Times New Roman"/>
          <w:noProof/>
          <w:color w:val="000000" w:themeColor="text1"/>
          <w:sz w:val="24"/>
        </w:rPr>
        <w:t xml:space="preserve"> colectează statistici privind plângerile și chiar mai puține raportează în mod specific cu privire la plângerile din partea migranților aflați în situație ilegală sau la plata efectivă a restanțelor</w:t>
      </w:r>
      <w:r>
        <w:rPr>
          <w:rFonts w:ascii="Times New Roman" w:eastAsia="Times New Roman" w:hAnsi="Times New Roman" w:cs="Times New Roman"/>
          <w:noProof/>
          <w:color w:val="000000" w:themeColor="text1"/>
          <w:sz w:val="24"/>
          <w:szCs w:val="24"/>
          <w:vertAlign w:val="superscript"/>
        </w:rPr>
        <w:footnoteReference w:id="141"/>
      </w:r>
      <w:r>
        <w:rPr>
          <w:rFonts w:ascii="Times New Roman" w:hAnsi="Times New Roman"/>
          <w:noProof/>
          <w:color w:val="000000" w:themeColor="text1"/>
          <w:sz w:val="24"/>
        </w:rPr>
        <w:t xml:space="preserve">. În timp ce solicitările de primire a salariilor restante sunt relativ rare, chiar și în rândul lucrătorilor resortisanți ai țărilor terțe aflați în situație de ședere legală, acestea sunt și mai rare pentru cei cu statut ilegal, numărul plângerilor variind de la </w:t>
      </w:r>
      <w:r w:rsidRPr="008D4701">
        <w:rPr>
          <w:rFonts w:ascii="Times New Roman" w:hAnsi="Times New Roman"/>
          <w:noProof/>
          <w:color w:val="000000" w:themeColor="text1"/>
          <w:sz w:val="24"/>
        </w:rPr>
        <w:t>236</w:t>
      </w:r>
      <w:r>
        <w:rPr>
          <w:rFonts w:ascii="Times New Roman" w:hAnsi="Times New Roman"/>
          <w:noProof/>
          <w:color w:val="000000" w:themeColor="text1"/>
          <w:sz w:val="24"/>
        </w:rPr>
        <w:t xml:space="preserve"> și </w:t>
      </w:r>
      <w:r w:rsidRPr="008D4701">
        <w:rPr>
          <w:rFonts w:ascii="Times New Roman" w:hAnsi="Times New Roman"/>
          <w:noProof/>
          <w:color w:val="000000" w:themeColor="text1"/>
          <w:sz w:val="24"/>
        </w:rPr>
        <w:t>229</w:t>
      </w:r>
      <w:r>
        <w:rPr>
          <w:rFonts w:ascii="Times New Roman" w:eastAsia="Times New Roman" w:hAnsi="Times New Roman" w:cs="Times New Roman"/>
          <w:noProof/>
          <w:color w:val="000000" w:themeColor="text1"/>
          <w:sz w:val="24"/>
          <w:szCs w:val="24"/>
          <w:vertAlign w:val="superscript"/>
        </w:rPr>
        <w:footnoteReference w:id="142"/>
      </w:r>
      <w:r>
        <w:rPr>
          <w:rFonts w:ascii="Times New Roman" w:hAnsi="Times New Roman"/>
          <w:noProof/>
          <w:color w:val="000000" w:themeColor="text1"/>
          <w:sz w:val="24"/>
        </w:rPr>
        <w:t xml:space="preserve"> la doar </w:t>
      </w:r>
      <w:r w:rsidRPr="008D4701">
        <w:rPr>
          <w:rFonts w:ascii="Times New Roman" w:hAnsi="Times New Roman"/>
          <w:noProof/>
          <w:color w:val="000000" w:themeColor="text1"/>
          <w:sz w:val="24"/>
        </w:rPr>
        <w:t>12</w:t>
      </w:r>
      <w:r>
        <w:rPr>
          <w:rFonts w:ascii="Times New Roman" w:hAnsi="Times New Roman"/>
          <w:noProof/>
          <w:color w:val="000000" w:themeColor="text1"/>
          <w:sz w:val="24"/>
        </w:rPr>
        <w:t xml:space="preserve"> și, respectiv, </w:t>
      </w:r>
      <w:r w:rsidRPr="008D4701">
        <w:rPr>
          <w:rFonts w:ascii="Times New Roman" w:hAnsi="Times New Roman"/>
          <w:noProof/>
          <w:color w:val="000000" w:themeColor="text1"/>
          <w:sz w:val="24"/>
        </w:rPr>
        <w:t>7</w:t>
      </w:r>
      <w:r>
        <w:rPr>
          <w:rFonts w:ascii="Times New Roman" w:hAnsi="Times New Roman"/>
          <w:noProof/>
          <w:color w:val="000000" w:themeColor="text1"/>
          <w:sz w:val="24"/>
        </w:rPr>
        <w:t xml:space="preserve"> în aceleași state membre</w:t>
      </w:r>
      <w:r>
        <w:rPr>
          <w:rFonts w:ascii="Times New Roman" w:eastAsia="Times New Roman" w:hAnsi="Times New Roman" w:cs="Times New Roman"/>
          <w:noProof/>
          <w:color w:val="000000" w:themeColor="text1"/>
          <w:sz w:val="24"/>
          <w:szCs w:val="24"/>
          <w:vertAlign w:val="superscript"/>
        </w:rPr>
        <w:footnoteReference w:id="143"/>
      </w:r>
      <w:r>
        <w:rPr>
          <w:rFonts w:ascii="Times New Roman" w:hAnsi="Times New Roman"/>
          <w:noProof/>
          <w:color w:val="000000" w:themeColor="text1"/>
          <w:sz w:val="24"/>
        </w:rPr>
        <w:t>.</w:t>
      </w:r>
    </w:p>
    <w:p w14:paraId="5ACC1335" w14:textId="47754A06"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Majoritatea statelor membre calculează plățile restante pe baza salariilor neplătite</w:t>
      </w:r>
      <w:r>
        <w:rPr>
          <w:rFonts w:ascii="Times New Roman" w:eastAsia="Times New Roman" w:hAnsi="Times New Roman" w:cs="Times New Roman"/>
          <w:noProof/>
          <w:color w:val="000000" w:themeColor="text1"/>
          <w:sz w:val="24"/>
          <w:szCs w:val="24"/>
          <w:vertAlign w:val="superscript"/>
        </w:rPr>
        <w:footnoteReference w:id="144"/>
      </w:r>
      <w:r>
        <w:rPr>
          <w:rFonts w:ascii="Times New Roman" w:hAnsi="Times New Roman"/>
          <w:noProof/>
          <w:color w:val="000000" w:themeColor="text1"/>
          <w:sz w:val="24"/>
        </w:rPr>
        <w:t xml:space="preserve">, </w:t>
      </w:r>
      <w:r>
        <w:rPr>
          <w:rFonts w:ascii="Times New Roman" w:hAnsi="Times New Roman"/>
          <w:noProof/>
          <w:sz w:val="24"/>
        </w:rPr>
        <w:t>luând în considerare impozitele și contribuțiile de asigurări sociale</w:t>
      </w:r>
      <w:r>
        <w:rPr>
          <w:rFonts w:ascii="Times New Roman" w:eastAsia="Times New Roman" w:hAnsi="Times New Roman" w:cs="Times New Roman"/>
          <w:noProof/>
          <w:sz w:val="24"/>
          <w:szCs w:val="24"/>
          <w:vertAlign w:val="superscript"/>
        </w:rPr>
        <w:footnoteReference w:id="145"/>
      </w:r>
      <w:r>
        <w:rPr>
          <w:rFonts w:ascii="Times New Roman" w:hAnsi="Times New Roman"/>
          <w:noProof/>
          <w:color w:val="000000" w:themeColor="text1"/>
          <w:sz w:val="24"/>
        </w:rPr>
        <w:t>. Peste jumătate dintre statele membre iau în considerare costurile de transfer al plăților restante către țara terță în care resortisantul s-a întors sau a fost returnat</w:t>
      </w:r>
      <w:r>
        <w:rPr>
          <w:rFonts w:ascii="Times New Roman" w:eastAsia="Times New Roman" w:hAnsi="Times New Roman" w:cs="Times New Roman"/>
          <w:noProof/>
          <w:color w:val="000000" w:themeColor="text1"/>
          <w:sz w:val="24"/>
          <w:szCs w:val="24"/>
          <w:vertAlign w:val="superscript"/>
        </w:rPr>
        <w:footnoteReference w:id="146"/>
      </w:r>
      <w:r>
        <w:rPr>
          <w:rFonts w:ascii="Times New Roman" w:hAnsi="Times New Roman"/>
          <w:noProof/>
          <w:color w:val="000000" w:themeColor="text1"/>
          <w:sz w:val="24"/>
        </w:rPr>
        <w:t xml:space="preserve">. </w:t>
      </w:r>
    </w:p>
    <w:p w14:paraId="6209B158" w14:textId="7D52DAE0"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În cazul în care angajatul nu poate dovedi durata raportului de muncă, majoritatea statelor membre aplică prezumția unui raport de muncă de cel puțin trei luni, cu o remunerație bazată pe salariul minim legal, pe contractele colective de muncă sau pe practici echivalente. </w:t>
      </w:r>
    </w:p>
    <w:p w14:paraId="28E555B0" w14:textId="085ACF8A"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În majoritatea statelor membre, instanțele, în special instanțele civile, au competența de a pronunța hotărâri privind recuperarea salariilor restante</w:t>
      </w:r>
      <w:r>
        <w:rPr>
          <w:rFonts w:ascii="Times New Roman" w:eastAsiaTheme="minorEastAsia" w:hAnsi="Times New Roman" w:cs="Times New Roman"/>
          <w:noProof/>
          <w:sz w:val="24"/>
          <w:szCs w:val="24"/>
          <w:vertAlign w:val="superscript"/>
        </w:rPr>
        <w:footnoteReference w:id="147"/>
      </w:r>
      <w:r>
        <w:rPr>
          <w:rFonts w:ascii="Times New Roman" w:hAnsi="Times New Roman"/>
          <w:noProof/>
          <w:color w:val="000000" w:themeColor="text1"/>
          <w:sz w:val="24"/>
        </w:rPr>
        <w:t>. Inspectoratele de muncă îndeplinesc acest rol în aproximativ o treime din statele membre</w:t>
      </w:r>
      <w:r>
        <w:rPr>
          <w:rFonts w:ascii="Times New Roman" w:hAnsi="Times New Roman" w:cs="Times New Roman"/>
          <w:noProof/>
          <w:sz w:val="24"/>
          <w:szCs w:val="24"/>
          <w:vertAlign w:val="superscript"/>
        </w:rPr>
        <w:footnoteReference w:id="148"/>
      </w:r>
      <w:r>
        <w:rPr>
          <w:rFonts w:ascii="Times New Roman" w:hAnsi="Times New Roman"/>
          <w:noProof/>
          <w:color w:val="000000" w:themeColor="text1"/>
          <w:sz w:val="24"/>
        </w:rPr>
        <w:t>, iar câteva state membre se bazează pe organisme specializate în acest sens</w:t>
      </w:r>
      <w:r>
        <w:rPr>
          <w:rFonts w:ascii="Times New Roman" w:hAnsi="Times New Roman" w:cs="Times New Roman"/>
          <w:noProof/>
          <w:color w:val="000000" w:themeColor="text1"/>
          <w:sz w:val="24"/>
          <w:szCs w:val="24"/>
          <w:vertAlign w:val="superscript"/>
        </w:rPr>
        <w:footnoteReference w:id="149"/>
      </w:r>
      <w:r>
        <w:rPr>
          <w:rFonts w:ascii="Times New Roman" w:hAnsi="Times New Roman"/>
          <w:noProof/>
          <w:color w:val="000000" w:themeColor="text1"/>
          <w:sz w:val="24"/>
        </w:rPr>
        <w:t>.</w:t>
      </w:r>
    </w:p>
    <w:p w14:paraId="0114F6D1" w14:textId="0D05F67D" w:rsidR="00077A20" w:rsidRPr="00A359E1" w:rsidRDefault="00E30F86"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În </w:t>
      </w:r>
      <w:r w:rsidRPr="008D4701">
        <w:rPr>
          <w:rFonts w:ascii="Times New Roman" w:hAnsi="Times New Roman"/>
          <w:noProof/>
          <w:color w:val="000000" w:themeColor="text1"/>
          <w:sz w:val="24"/>
        </w:rPr>
        <w:t>19</w:t>
      </w:r>
      <w:r>
        <w:rPr>
          <w:rFonts w:ascii="Times New Roman" w:hAnsi="Times New Roman"/>
          <w:noProof/>
          <w:color w:val="000000" w:themeColor="text1"/>
          <w:sz w:val="24"/>
        </w:rPr>
        <w:t xml:space="preserve"> din cele </w:t>
      </w:r>
      <w:r w:rsidRPr="008D4701">
        <w:rPr>
          <w:rFonts w:ascii="Times New Roman" w:hAnsi="Times New Roman"/>
          <w:noProof/>
          <w:color w:val="000000" w:themeColor="text1"/>
          <w:sz w:val="24"/>
        </w:rPr>
        <w:t>25</w:t>
      </w:r>
      <w:r>
        <w:rPr>
          <w:rFonts w:ascii="Times New Roman" w:hAnsi="Times New Roman"/>
          <w:noProof/>
          <w:color w:val="000000" w:themeColor="text1"/>
          <w:sz w:val="24"/>
        </w:rPr>
        <w:t xml:space="preserve"> de state membre, lucrătorii migranți aflați în situație ilegală pot fi reprezentați în cursul acestor proceduri în principal de către (i) sindicate, ONG-uri sau avocați</w:t>
      </w:r>
      <w:r>
        <w:rPr>
          <w:rFonts w:ascii="Times New Roman" w:eastAsia="Times New Roman" w:hAnsi="Times New Roman" w:cs="Times New Roman"/>
          <w:noProof/>
          <w:color w:val="000000" w:themeColor="text1"/>
          <w:sz w:val="24"/>
          <w:szCs w:val="24"/>
          <w:vertAlign w:val="superscript"/>
        </w:rPr>
        <w:footnoteReference w:id="150"/>
      </w:r>
      <w:r>
        <w:rPr>
          <w:rFonts w:ascii="Times New Roman" w:hAnsi="Times New Roman"/>
          <w:noProof/>
          <w:color w:val="000000" w:themeColor="text1"/>
          <w:sz w:val="24"/>
        </w:rPr>
        <w:t>, (ii) Camera de Muncă</w:t>
      </w:r>
      <w:r>
        <w:rPr>
          <w:rFonts w:ascii="Times New Roman" w:eastAsia="Times New Roman" w:hAnsi="Times New Roman" w:cs="Times New Roman"/>
          <w:noProof/>
          <w:color w:val="000000" w:themeColor="text1"/>
          <w:sz w:val="24"/>
          <w:szCs w:val="24"/>
          <w:vertAlign w:val="superscript"/>
        </w:rPr>
        <w:footnoteReference w:id="151"/>
      </w:r>
      <w:r>
        <w:rPr>
          <w:rFonts w:ascii="Times New Roman" w:hAnsi="Times New Roman"/>
          <w:noProof/>
          <w:color w:val="000000" w:themeColor="text1"/>
          <w:sz w:val="24"/>
        </w:rPr>
        <w:t>, (iii) Centrul Federal pentru Migrație</w:t>
      </w:r>
      <w:r>
        <w:rPr>
          <w:rFonts w:ascii="Times New Roman" w:eastAsia="Times New Roman" w:hAnsi="Times New Roman" w:cs="Times New Roman"/>
          <w:noProof/>
          <w:color w:val="000000" w:themeColor="text1"/>
          <w:sz w:val="24"/>
          <w:szCs w:val="24"/>
          <w:vertAlign w:val="superscript"/>
        </w:rPr>
        <w:footnoteReference w:id="152"/>
      </w:r>
      <w:r>
        <w:rPr>
          <w:rFonts w:ascii="Times New Roman" w:hAnsi="Times New Roman"/>
          <w:noProof/>
          <w:color w:val="000000" w:themeColor="text1"/>
          <w:sz w:val="24"/>
        </w:rPr>
        <w:t>, (iv) organisme de interes public, (v) membri ai familiei</w:t>
      </w:r>
      <w:r>
        <w:rPr>
          <w:rFonts w:ascii="Times New Roman" w:eastAsia="Times New Roman" w:hAnsi="Times New Roman" w:cs="Times New Roman"/>
          <w:noProof/>
          <w:color w:val="000000" w:themeColor="text1"/>
          <w:sz w:val="24"/>
          <w:szCs w:val="24"/>
          <w:vertAlign w:val="superscript"/>
        </w:rPr>
        <w:footnoteReference w:id="153"/>
      </w:r>
      <w:r>
        <w:rPr>
          <w:rFonts w:ascii="Times New Roman" w:hAnsi="Times New Roman"/>
          <w:noProof/>
          <w:color w:val="000000" w:themeColor="text1"/>
          <w:sz w:val="24"/>
        </w:rPr>
        <w:t xml:space="preserve"> sau (vi) Ombudsmanul pentru egalitate de șanse</w:t>
      </w:r>
      <w:r>
        <w:rPr>
          <w:rFonts w:ascii="Times New Roman" w:eastAsia="Times New Roman" w:hAnsi="Times New Roman" w:cs="Times New Roman"/>
          <w:noProof/>
          <w:color w:val="000000" w:themeColor="text1"/>
          <w:sz w:val="24"/>
          <w:szCs w:val="24"/>
          <w:vertAlign w:val="superscript"/>
        </w:rPr>
        <w:footnoteReference w:id="154"/>
      </w:r>
      <w:r>
        <w:rPr>
          <w:rFonts w:ascii="Times New Roman" w:hAnsi="Times New Roman"/>
          <w:noProof/>
          <w:color w:val="000000" w:themeColor="text1"/>
          <w:sz w:val="24"/>
        </w:rPr>
        <w:t>.</w:t>
      </w:r>
    </w:p>
    <w:p w14:paraId="1C4D540B" w14:textId="181F7832"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Pentru a facilita primirea salariilor restante, </w:t>
      </w:r>
      <w:r w:rsidRPr="008D4701">
        <w:rPr>
          <w:rFonts w:ascii="Times New Roman" w:hAnsi="Times New Roman"/>
          <w:noProof/>
          <w:color w:val="000000" w:themeColor="text1"/>
          <w:sz w:val="24"/>
        </w:rPr>
        <w:t>10</w:t>
      </w:r>
      <w:r>
        <w:rPr>
          <w:rFonts w:ascii="Times New Roman" w:hAnsi="Times New Roman"/>
          <w:noProof/>
          <w:color w:val="000000" w:themeColor="text1"/>
          <w:sz w:val="24"/>
        </w:rPr>
        <w:t xml:space="preserve"> state membre permit lucrătorilor migranți aflați în situație ilegală să solicite recuperarea acestora fără a depune o cerere oficială</w:t>
      </w:r>
      <w:r>
        <w:rPr>
          <w:rFonts w:ascii="Times New Roman" w:eastAsia="Times New Roman" w:hAnsi="Times New Roman" w:cs="Times New Roman"/>
          <w:noProof/>
          <w:color w:val="000000" w:themeColor="text1"/>
          <w:sz w:val="24"/>
          <w:szCs w:val="24"/>
          <w:vertAlign w:val="superscript"/>
        </w:rPr>
        <w:footnoteReference w:id="155"/>
      </w:r>
      <w:r>
        <w:rPr>
          <w:rFonts w:ascii="Times New Roman" w:hAnsi="Times New Roman"/>
          <w:noProof/>
          <w:color w:val="000000" w:themeColor="text1"/>
          <w:sz w:val="24"/>
        </w:rPr>
        <w:t xml:space="preserve"> și, în peste jumătate dintre statele membre, permisele de ședere temporară pot fi acordate sau prelungite până la primirea salariilor restante sau până la încheierea procedurilor</w:t>
      </w:r>
      <w:r>
        <w:rPr>
          <w:rFonts w:ascii="Times New Roman" w:eastAsia="Times New Roman" w:hAnsi="Times New Roman" w:cs="Times New Roman"/>
          <w:noProof/>
          <w:color w:val="000000" w:themeColor="text1"/>
          <w:sz w:val="24"/>
          <w:szCs w:val="24"/>
          <w:vertAlign w:val="superscript"/>
        </w:rPr>
        <w:footnoteReference w:id="156"/>
      </w:r>
      <w:r>
        <w:rPr>
          <w:rFonts w:ascii="Times New Roman" w:hAnsi="Times New Roman"/>
          <w:noProof/>
          <w:color w:val="000000" w:themeColor="text1"/>
          <w:sz w:val="24"/>
        </w:rPr>
        <w:t>. Aproximativ jumătate dintre statele membre permit, de asemenea, trimiterea salariilor restante în străinătate prin (i) fonduri de depozit</w:t>
      </w:r>
      <w:r>
        <w:rPr>
          <w:rFonts w:ascii="Times New Roman" w:eastAsia="Times New Roman" w:hAnsi="Times New Roman" w:cs="Times New Roman"/>
          <w:noProof/>
          <w:color w:val="000000" w:themeColor="text1"/>
          <w:sz w:val="24"/>
          <w:szCs w:val="24"/>
          <w:vertAlign w:val="superscript"/>
        </w:rPr>
        <w:footnoteReference w:id="157"/>
      </w:r>
      <w:r>
        <w:rPr>
          <w:rFonts w:ascii="Times New Roman" w:hAnsi="Times New Roman"/>
          <w:noProof/>
          <w:color w:val="000000" w:themeColor="text1"/>
          <w:sz w:val="24"/>
        </w:rPr>
        <w:t>, (ii) transferuri gestionate de stat</w:t>
      </w:r>
      <w:r>
        <w:rPr>
          <w:rFonts w:ascii="Times New Roman" w:eastAsia="Times New Roman" w:hAnsi="Times New Roman" w:cs="Times New Roman"/>
          <w:noProof/>
          <w:color w:val="000000" w:themeColor="text1"/>
          <w:sz w:val="24"/>
          <w:szCs w:val="24"/>
          <w:vertAlign w:val="superscript"/>
        </w:rPr>
        <w:footnoteReference w:id="158"/>
      </w:r>
      <w:r>
        <w:rPr>
          <w:rFonts w:ascii="Times New Roman" w:hAnsi="Times New Roman"/>
          <w:noProof/>
          <w:color w:val="000000" w:themeColor="text1"/>
          <w:sz w:val="24"/>
        </w:rPr>
        <w:t>, (iii) proceduri la distanță</w:t>
      </w:r>
      <w:r>
        <w:rPr>
          <w:rFonts w:ascii="Times New Roman" w:eastAsia="Times New Roman" w:hAnsi="Times New Roman" w:cs="Times New Roman"/>
          <w:noProof/>
          <w:color w:val="000000" w:themeColor="text1"/>
          <w:sz w:val="24"/>
          <w:szCs w:val="24"/>
          <w:vertAlign w:val="superscript"/>
        </w:rPr>
        <w:footnoteReference w:id="159"/>
      </w:r>
      <w:r>
        <w:rPr>
          <w:rFonts w:ascii="Times New Roman" w:hAnsi="Times New Roman"/>
          <w:noProof/>
          <w:color w:val="000000" w:themeColor="text1"/>
          <w:sz w:val="24"/>
        </w:rPr>
        <w:t>, (iv) monitorizarea de către autorități</w:t>
      </w:r>
      <w:r>
        <w:rPr>
          <w:rFonts w:ascii="Times New Roman" w:eastAsia="Times New Roman" w:hAnsi="Times New Roman" w:cs="Times New Roman"/>
          <w:noProof/>
          <w:color w:val="000000" w:themeColor="text1"/>
          <w:sz w:val="24"/>
          <w:szCs w:val="24"/>
          <w:vertAlign w:val="superscript"/>
        </w:rPr>
        <w:footnoteReference w:id="160"/>
      </w:r>
      <w:r>
        <w:rPr>
          <w:rFonts w:ascii="Times New Roman" w:hAnsi="Times New Roman"/>
          <w:noProof/>
          <w:color w:val="000000" w:themeColor="text1"/>
          <w:sz w:val="24"/>
        </w:rPr>
        <w:t xml:space="preserve"> sau (v) reprezentare juridică</w:t>
      </w:r>
      <w:r>
        <w:rPr>
          <w:rFonts w:ascii="Times New Roman" w:eastAsia="Times New Roman" w:hAnsi="Times New Roman" w:cs="Times New Roman"/>
          <w:noProof/>
          <w:color w:val="000000" w:themeColor="text1"/>
          <w:sz w:val="24"/>
          <w:szCs w:val="24"/>
          <w:vertAlign w:val="superscript"/>
        </w:rPr>
        <w:footnoteReference w:id="161"/>
      </w:r>
      <w:r>
        <w:rPr>
          <w:rFonts w:ascii="Times New Roman" w:hAnsi="Times New Roman"/>
          <w:noProof/>
          <w:color w:val="000000" w:themeColor="text1"/>
          <w:sz w:val="24"/>
        </w:rPr>
        <w:t>.</w:t>
      </w:r>
    </w:p>
    <w:p w14:paraId="12F1AAA9" w14:textId="6E376135" w:rsidR="00C8393B"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În plus, </w:t>
      </w:r>
      <w:r w:rsidRPr="008D4701">
        <w:rPr>
          <w:rFonts w:ascii="Times New Roman" w:hAnsi="Times New Roman"/>
          <w:noProof/>
          <w:color w:val="000000" w:themeColor="text1"/>
          <w:sz w:val="24"/>
        </w:rPr>
        <w:t>11</w:t>
      </w:r>
      <w:r>
        <w:rPr>
          <w:rFonts w:ascii="Times New Roman" w:hAnsi="Times New Roman"/>
          <w:noProof/>
          <w:color w:val="000000" w:themeColor="text1"/>
          <w:sz w:val="24"/>
        </w:rPr>
        <w:t xml:space="preserve"> state membre au adoptat diverse măsuri pentru a descuraja reținerea salariilor și pentru a îmbunătăți accesul la plățile restante, inclusiv:</w:t>
      </w:r>
    </w:p>
    <w:p w14:paraId="6E33E715" w14:textId="23A07B40"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restricții privind angajarea de personal nou de către angajatori; </w:t>
      </w:r>
    </w:p>
    <w:p w14:paraId="62A139DD" w14:textId="77777777"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înghețarea activelor; </w:t>
      </w:r>
    </w:p>
    <w:p w14:paraId="70F52097" w14:textId="77777777"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mecanisme de compensare din partea statului; </w:t>
      </w:r>
    </w:p>
    <w:p w14:paraId="6049BF7D" w14:textId="77777777"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proceduri de recuperare inițiate de stat; </w:t>
      </w:r>
    </w:p>
    <w:p w14:paraId="7A360748" w14:textId="77777777"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liste publice cu angajatorii neconformi; </w:t>
      </w:r>
    </w:p>
    <w:p w14:paraId="490652A6" w14:textId="38B99459"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respingerea cererilor de eliberare a permiselor de ședere și de muncă; </w:t>
      </w:r>
    </w:p>
    <w:p w14:paraId="33B6C47E" w14:textId="77777777"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răspunderea în solidar; excluderea de la procedurile de achiziții publice, de la contractele publice și de la fondurile publice; </w:t>
      </w:r>
    </w:p>
    <w:p w14:paraId="63FB71F8" w14:textId="77777777"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interzicerea angajării de resortisanți străini; </w:t>
      </w:r>
    </w:p>
    <w:p w14:paraId="3C6D481E" w14:textId="77777777"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descalificarea din funcțiile de conducere ale întreprinderii; </w:t>
      </w:r>
    </w:p>
    <w:p w14:paraId="2A0093C8" w14:textId="77777777"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limite privind îndeplinirea altor obligații și </w:t>
      </w:r>
    </w:p>
    <w:p w14:paraId="5D9DF29A" w14:textId="0BDF413B" w:rsidR="00077A20" w:rsidRPr="00A359E1" w:rsidDel="0093737D" w:rsidRDefault="00077A20" w:rsidP="00A03F7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transferul responsabilităților de plată a salariilor către o altă entitate</w:t>
      </w:r>
      <w:r>
        <w:rPr>
          <w:rFonts w:ascii="Times New Roman" w:eastAsia="Times New Roman" w:hAnsi="Times New Roman" w:cs="Times New Roman"/>
          <w:noProof/>
          <w:color w:val="000000" w:themeColor="text1"/>
          <w:sz w:val="24"/>
          <w:szCs w:val="24"/>
          <w:vertAlign w:val="superscript"/>
        </w:rPr>
        <w:footnoteReference w:id="162"/>
      </w:r>
      <w:r>
        <w:rPr>
          <w:rFonts w:ascii="Times New Roman" w:hAnsi="Times New Roman"/>
          <w:noProof/>
          <w:color w:val="000000" w:themeColor="text1"/>
          <w:sz w:val="24"/>
        </w:rPr>
        <w:t xml:space="preserve">. </w:t>
      </w:r>
    </w:p>
    <w:p w14:paraId="0F70E3AA" w14:textId="10617C10"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În pofida măsurilor luate de statele membre pentru a facilita recuperarea salariilor restante, FRA, CES, PICUM și alte organizații raportează o capacitate limitată, costuri juridice ridicate și obstacole în calea reprezentării lucrătorilor în instanță în multe state membre. Potrivit mențiunilor CES, prezumția unui raport de muncă de trei luni nu este aplicată în mod consecvent în toate statele membre și colectarea dovezilor este dificilă în mai multe state membre, în special în cazul în care sunt implicați mai mulți subcontractanți</w:t>
      </w:r>
      <w:r>
        <w:rPr>
          <w:rFonts w:ascii="Times New Roman" w:eastAsia="Times New Roman" w:hAnsi="Times New Roman" w:cs="Times New Roman"/>
          <w:noProof/>
          <w:color w:val="000000" w:themeColor="text1"/>
          <w:sz w:val="24"/>
          <w:szCs w:val="24"/>
          <w:vertAlign w:val="superscript"/>
        </w:rPr>
        <w:footnoteReference w:id="163"/>
      </w:r>
      <w:r>
        <w:rPr>
          <w:rFonts w:ascii="Times New Roman" w:hAnsi="Times New Roman"/>
          <w:noProof/>
          <w:color w:val="000000" w:themeColor="text1"/>
          <w:sz w:val="24"/>
        </w:rPr>
        <w:t xml:space="preserve">. </w:t>
      </w:r>
    </w:p>
    <w:p w14:paraId="78DAA727" w14:textId="5A3F894A"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Centrele de consiliere raportează, de asemenea, că solicitarea plății salariilor restante din afara UE este împiedicată de barierele lingvistice, de lipsa accesului la informații și de asistența juridică limitată</w:t>
      </w:r>
      <w:r>
        <w:rPr>
          <w:rFonts w:ascii="Times New Roman" w:eastAsia="Times New Roman" w:hAnsi="Times New Roman" w:cs="Times New Roman"/>
          <w:noProof/>
          <w:color w:val="000000" w:themeColor="text1"/>
          <w:sz w:val="24"/>
          <w:szCs w:val="24"/>
          <w:vertAlign w:val="superscript"/>
        </w:rPr>
        <w:footnoteReference w:id="164"/>
      </w:r>
      <w:r>
        <w:rPr>
          <w:rFonts w:ascii="Times New Roman" w:hAnsi="Times New Roman"/>
          <w:noProof/>
          <w:color w:val="000000" w:themeColor="text1"/>
          <w:sz w:val="24"/>
        </w:rPr>
        <w:t xml:space="preserve">. </w:t>
      </w:r>
    </w:p>
    <w:p w14:paraId="774B7E6C" w14:textId="20CFCA11"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Chiar și atunci când se emite o decizie de efectuare a plăților restante, există în continuare deficiențe în ceea ce privește executarea acesteia. Potrivit FRA, PICUM și CES, angajatorii evită adesea plățile prin demararea procedurii de insolvență, transferuri de active sau societăți de tip „cutie poștală”. Mulți lucrători renunță, de asemenea, la solicitările lor din cauza: (i) procedurilor lungi, (ii) costurilor ridicate, (iii) lipsei de reprezentare, (iv) necunoașterii mecanismelor de compensare ale statului sau (v) incapacității de a deschide conturi bancare.</w:t>
      </w:r>
    </w:p>
    <w:p w14:paraId="263DEDCC" w14:textId="70571580" w:rsidR="00077A20" w:rsidRPr="008D4701" w:rsidRDefault="00077A20" w:rsidP="00077A20">
      <w:pPr>
        <w:pStyle w:val="ListParagraph"/>
        <w:numPr>
          <w:ilvl w:val="0"/>
          <w:numId w:val="4"/>
        </w:numPr>
        <w:spacing w:after="120" w:line="276" w:lineRule="auto"/>
        <w:jc w:val="both"/>
        <w:outlineLvl w:val="2"/>
        <w:rPr>
          <w:rFonts w:ascii="Times New Roman" w:eastAsia="Times New Roman" w:hAnsi="Times New Roman" w:cs="Times New Roman"/>
          <w:b/>
          <w:bCs/>
          <w:noProof/>
          <w:sz w:val="24"/>
          <w:szCs w:val="24"/>
          <w14:ligatures w14:val="none"/>
        </w:rPr>
      </w:pPr>
      <w:bookmarkStart w:id="33" w:name="_Toc210315978"/>
      <w:bookmarkStart w:id="34" w:name="_Toc215743793"/>
      <w:r w:rsidRPr="008D4701">
        <w:rPr>
          <w:rFonts w:ascii="Times New Roman" w:hAnsi="Times New Roman"/>
          <w:b/>
          <w:noProof/>
          <w:sz w:val="24"/>
        </w:rPr>
        <w:t xml:space="preserve">Eliberarea permiselor de ședere temporară </w:t>
      </w:r>
      <w:bookmarkEnd w:id="33"/>
      <w:bookmarkEnd w:id="34"/>
    </w:p>
    <w:p w14:paraId="30D868A0" w14:textId="5946E782"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Articolul </w:t>
      </w:r>
      <w:r w:rsidRPr="008D4701">
        <w:rPr>
          <w:rFonts w:ascii="Times New Roman" w:hAnsi="Times New Roman"/>
          <w:noProof/>
          <w:color w:val="000000" w:themeColor="text1"/>
          <w:sz w:val="24"/>
        </w:rPr>
        <w:t>13</w:t>
      </w:r>
      <w:r>
        <w:rPr>
          <w:rFonts w:ascii="Times New Roman" w:hAnsi="Times New Roman"/>
          <w:noProof/>
          <w:color w:val="000000" w:themeColor="text1"/>
          <w:sz w:val="24"/>
        </w:rPr>
        <w:t xml:space="preserve"> alineatul (</w:t>
      </w:r>
      <w:r w:rsidRPr="008D4701">
        <w:rPr>
          <w:rFonts w:ascii="Times New Roman" w:hAnsi="Times New Roman"/>
          <w:noProof/>
          <w:color w:val="000000" w:themeColor="text1"/>
          <w:sz w:val="24"/>
        </w:rPr>
        <w:t>4</w:t>
      </w:r>
      <w:r>
        <w:rPr>
          <w:rFonts w:ascii="Times New Roman" w:hAnsi="Times New Roman"/>
          <w:noProof/>
          <w:color w:val="000000" w:themeColor="text1"/>
          <w:sz w:val="24"/>
        </w:rPr>
        <w:t xml:space="preserve">) din directivă prevede obligația statelor membre de a defini în legislația națională condițiile în care pot atribui resortisanților țărilor terțe, de la caz la caz, permise de ședere pe durată limitată în funcție de durata procedurilor naționale corespunzătoare. Perioada de valabilitate a acestor permise poate fi prelungită până la primirea restanțelor salariale, în conformitate cu articolul </w:t>
      </w:r>
      <w:r w:rsidRPr="008D4701">
        <w:rPr>
          <w:rFonts w:ascii="Times New Roman" w:hAnsi="Times New Roman"/>
          <w:noProof/>
          <w:color w:val="000000" w:themeColor="text1"/>
          <w:sz w:val="24"/>
        </w:rPr>
        <w:t>6</w:t>
      </w:r>
      <w:r>
        <w:rPr>
          <w:rFonts w:ascii="Times New Roman" w:hAnsi="Times New Roman"/>
          <w:noProof/>
          <w:color w:val="000000" w:themeColor="text1"/>
          <w:sz w:val="24"/>
        </w:rPr>
        <w:t xml:space="preserve"> alineatul (</w:t>
      </w:r>
      <w:r w:rsidRPr="008D4701">
        <w:rPr>
          <w:rFonts w:ascii="Times New Roman" w:hAnsi="Times New Roman"/>
          <w:noProof/>
          <w:color w:val="000000" w:themeColor="text1"/>
          <w:sz w:val="24"/>
        </w:rPr>
        <w:t>5</w:t>
      </w:r>
      <w:r>
        <w:rPr>
          <w:rFonts w:ascii="Times New Roman" w:hAnsi="Times New Roman"/>
          <w:noProof/>
          <w:color w:val="000000" w:themeColor="text1"/>
          <w:sz w:val="24"/>
        </w:rPr>
        <w:t xml:space="preserve">) din directivă. </w:t>
      </w:r>
    </w:p>
    <w:p w14:paraId="7932A0D5" w14:textId="2CF4E1E2"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Majoritatea statelor membre nu fac o distincție sistematică între permisele de ședere temporară acordate resortisanților țărilor terțe în contextul condițiilor de muncă extrem de abuzive și al angajării ilegale a minorilor în temeiul articolului </w:t>
      </w:r>
      <w:r w:rsidRPr="008D4701">
        <w:rPr>
          <w:rFonts w:ascii="Times New Roman" w:hAnsi="Times New Roman"/>
          <w:noProof/>
          <w:color w:val="000000" w:themeColor="text1"/>
          <w:sz w:val="24"/>
        </w:rPr>
        <w:t>13</w:t>
      </w:r>
      <w:r>
        <w:rPr>
          <w:rFonts w:ascii="Times New Roman" w:hAnsi="Times New Roman"/>
          <w:noProof/>
          <w:color w:val="000000" w:themeColor="text1"/>
          <w:sz w:val="24"/>
        </w:rPr>
        <w:t xml:space="preserve"> alineatul (</w:t>
      </w:r>
      <w:r w:rsidRPr="008D4701">
        <w:rPr>
          <w:rFonts w:ascii="Times New Roman" w:hAnsi="Times New Roman"/>
          <w:noProof/>
          <w:color w:val="000000" w:themeColor="text1"/>
          <w:sz w:val="24"/>
        </w:rPr>
        <w:t>4</w:t>
      </w:r>
      <w:r>
        <w:rPr>
          <w:rFonts w:ascii="Times New Roman" w:hAnsi="Times New Roman"/>
          <w:noProof/>
          <w:color w:val="000000" w:themeColor="text1"/>
          <w:sz w:val="24"/>
        </w:rPr>
        <w:t xml:space="preserve">) din directivă și cele acordate victimelor traficului de persoane în temeiul Directivei </w:t>
      </w:r>
      <w:r w:rsidRPr="008D4701">
        <w:rPr>
          <w:rFonts w:ascii="Times New Roman" w:hAnsi="Times New Roman"/>
          <w:noProof/>
          <w:color w:val="000000" w:themeColor="text1"/>
          <w:sz w:val="24"/>
        </w:rPr>
        <w:t>2004</w:t>
      </w:r>
      <w:r>
        <w:rPr>
          <w:rFonts w:ascii="Times New Roman" w:hAnsi="Times New Roman"/>
          <w:noProof/>
          <w:color w:val="000000" w:themeColor="text1"/>
          <w:sz w:val="24"/>
        </w:rPr>
        <w:t>/</w:t>
      </w:r>
      <w:r w:rsidRPr="008D4701">
        <w:rPr>
          <w:rFonts w:ascii="Times New Roman" w:hAnsi="Times New Roman"/>
          <w:noProof/>
          <w:color w:val="000000" w:themeColor="text1"/>
          <w:sz w:val="24"/>
        </w:rPr>
        <w:t>81</w:t>
      </w:r>
      <w:r>
        <w:rPr>
          <w:rFonts w:ascii="Times New Roman" w:hAnsi="Times New Roman"/>
          <w:noProof/>
          <w:color w:val="000000" w:themeColor="text1"/>
          <w:sz w:val="24"/>
        </w:rPr>
        <w:t xml:space="preserve">/CE a Consiliului. Acest lucru complică eforturile de colectare a datelor și de monitorizare. </w:t>
      </w:r>
    </w:p>
    <w:p w14:paraId="2650FBFF" w14:textId="5A22D810"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În unele state membre, victimele condițiilor de muncă extrem de abuzive și victimele traficului de persoane pot obține permise de ședere în temeiul aceleiași dispoziții legale, fără o procedură sau o distincție separată</w:t>
      </w:r>
      <w:r>
        <w:rPr>
          <w:rFonts w:ascii="Times New Roman" w:eastAsia="Times New Roman" w:hAnsi="Times New Roman" w:cs="Times New Roman"/>
          <w:noProof/>
          <w:color w:val="000000" w:themeColor="text1"/>
          <w:sz w:val="24"/>
          <w:szCs w:val="24"/>
          <w:vertAlign w:val="superscript"/>
        </w:rPr>
        <w:footnoteReference w:id="165"/>
      </w:r>
      <w:r>
        <w:rPr>
          <w:rFonts w:ascii="Times New Roman" w:hAnsi="Times New Roman"/>
          <w:noProof/>
          <w:color w:val="000000" w:themeColor="text1"/>
          <w:sz w:val="24"/>
        </w:rPr>
        <w:t>. În alte state membre, protecția victimelor traficului de persoane poate acoperi și exploatarea prin muncă, însă permisele eliberate în temeiul directivei nu sunt clar diferențiate</w:t>
      </w:r>
      <w:r>
        <w:rPr>
          <w:rFonts w:ascii="Times New Roman" w:eastAsia="Times New Roman" w:hAnsi="Times New Roman" w:cs="Times New Roman"/>
          <w:noProof/>
          <w:color w:val="000000" w:themeColor="text1"/>
          <w:sz w:val="24"/>
          <w:szCs w:val="24"/>
          <w:vertAlign w:val="superscript"/>
        </w:rPr>
        <w:footnoteReference w:id="166"/>
      </w:r>
      <w:r>
        <w:rPr>
          <w:rFonts w:ascii="Times New Roman" w:hAnsi="Times New Roman"/>
          <w:noProof/>
          <w:color w:val="000000" w:themeColor="text1"/>
          <w:sz w:val="24"/>
        </w:rPr>
        <w:t xml:space="preserve">.  </w:t>
      </w:r>
    </w:p>
    <w:p w14:paraId="0BE03FC7" w14:textId="657ACDF0" w:rsidR="00077A20" w:rsidRPr="00A359E1" w:rsidRDefault="00FE13B8"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Absența unui temei juridic specific în mai multe state membre determină gestionarea cazurilor legate de condiții de muncă abuzive în cadre sau sisteme de migrație mai ample, concepute adesea în principal pentru victimele traficului de persoane</w:t>
      </w:r>
      <w:r>
        <w:rPr>
          <w:rFonts w:ascii="Times New Roman" w:eastAsia="Times New Roman" w:hAnsi="Times New Roman" w:cs="Times New Roman"/>
          <w:noProof/>
          <w:color w:val="000000" w:themeColor="text1"/>
          <w:sz w:val="24"/>
          <w:szCs w:val="24"/>
          <w:vertAlign w:val="superscript"/>
        </w:rPr>
        <w:footnoteReference w:id="167"/>
      </w:r>
      <w:r>
        <w:rPr>
          <w:rFonts w:ascii="Times New Roman" w:hAnsi="Times New Roman"/>
          <w:noProof/>
          <w:color w:val="000000" w:themeColor="text1"/>
          <w:sz w:val="24"/>
        </w:rPr>
        <w:t xml:space="preserve">. </w:t>
      </w:r>
    </w:p>
    <w:p w14:paraId="34FB7C7A" w14:textId="2690F229" w:rsidR="00077A20" w:rsidRPr="00A359E1" w:rsidRDefault="00077A20" w:rsidP="00077A20">
      <w:pPr>
        <w:pBdr>
          <w:top w:val="single" w:sz="4" w:space="4" w:color="000000"/>
          <w:left w:val="single" w:sz="4" w:space="4" w:color="000000"/>
          <w:bottom w:val="single" w:sz="4" w:space="4" w:color="000000"/>
          <w:right w:val="single" w:sz="4" w:space="4" w:color="000000"/>
        </w:pBdr>
        <w:spacing w:line="276" w:lineRule="auto"/>
        <w:jc w:val="both"/>
        <w:rPr>
          <w:rFonts w:ascii="Times New Roman" w:eastAsia="Times New Roman" w:hAnsi="Times New Roman" w:cs="Times New Roman"/>
          <w:noProof/>
          <w:color w:val="000000" w:themeColor="text1"/>
          <w:sz w:val="20"/>
          <w:szCs w:val="20"/>
          <w14:ligatures w14:val="none"/>
        </w:rPr>
      </w:pPr>
      <w:r>
        <w:rPr>
          <w:rFonts w:ascii="Times New Roman" w:hAnsi="Times New Roman"/>
          <w:noProof/>
          <w:color w:val="000000" w:themeColor="text1"/>
          <w:sz w:val="20"/>
        </w:rPr>
        <w:t xml:space="preserve">În </w:t>
      </w:r>
      <w:r w:rsidRPr="008D4701">
        <w:rPr>
          <w:rFonts w:ascii="Times New Roman" w:hAnsi="Times New Roman"/>
          <w:noProof/>
          <w:color w:val="000000" w:themeColor="text1"/>
          <w:sz w:val="20"/>
        </w:rPr>
        <w:t>2024</w:t>
      </w:r>
      <w:r>
        <w:rPr>
          <w:rFonts w:ascii="Times New Roman" w:hAnsi="Times New Roman"/>
          <w:noProof/>
          <w:color w:val="000000" w:themeColor="text1"/>
          <w:sz w:val="20"/>
        </w:rPr>
        <w:t xml:space="preserve">, Italia a adoptat acte legislative pentru a consolida protecția resortisanților țărilor terțe care sunt victime ale exploatării prin muncă, inclusiv garanții sporite și un permis de ședere specific pentru lucrătorii străini care sunt victime ale violenței, ale abuzurilor sau ale exploatării prin muncă. Permisul, eliberat de poliție la cererea instanțelor, se acordă pentru un an, poate fi reînnoit pentru o perioadă de până la un an sau mai mare și poate fi transformat ulterior într-un permis de muncă sau de studiu. Confirmarea exploatării și cooperarea lucrătorului reprezintă condiții de eligibilitate în acest sens. Inspectoratul de Muncă identifică cazurile, le trimite către instituțiile competente și emite un aviz cu privire la eliberarea permisului.  </w:t>
      </w:r>
    </w:p>
    <w:p w14:paraId="2EE31D3A" w14:textId="176F5584"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În perioada </w:t>
      </w:r>
      <w:r w:rsidRPr="008D4701">
        <w:rPr>
          <w:rFonts w:ascii="Times New Roman" w:hAnsi="Times New Roman"/>
          <w:noProof/>
          <w:color w:val="000000" w:themeColor="text1"/>
          <w:sz w:val="24"/>
        </w:rPr>
        <w:t>2021</w:t>
      </w:r>
      <w:r>
        <w:rPr>
          <w:rFonts w:ascii="Times New Roman" w:hAnsi="Times New Roman"/>
          <w:noProof/>
          <w:color w:val="000000" w:themeColor="text1"/>
          <w:sz w:val="24"/>
        </w:rPr>
        <w:t>-</w:t>
      </w:r>
      <w:r w:rsidRPr="008D4701">
        <w:rPr>
          <w:rFonts w:ascii="Times New Roman" w:hAnsi="Times New Roman"/>
          <w:noProof/>
          <w:color w:val="000000" w:themeColor="text1"/>
          <w:sz w:val="24"/>
        </w:rPr>
        <w:t>2024</w:t>
      </w:r>
      <w:r>
        <w:rPr>
          <w:rFonts w:ascii="Times New Roman" w:hAnsi="Times New Roman"/>
          <w:noProof/>
          <w:color w:val="000000" w:themeColor="text1"/>
          <w:sz w:val="24"/>
        </w:rPr>
        <w:t xml:space="preserve">, </w:t>
      </w:r>
      <w:r w:rsidRPr="008D4701">
        <w:rPr>
          <w:rFonts w:ascii="Times New Roman" w:hAnsi="Times New Roman"/>
          <w:noProof/>
          <w:color w:val="000000" w:themeColor="text1"/>
          <w:sz w:val="24"/>
        </w:rPr>
        <w:t>13</w:t>
      </w:r>
      <w:r>
        <w:rPr>
          <w:rFonts w:ascii="Times New Roman" w:hAnsi="Times New Roman"/>
          <w:noProof/>
          <w:color w:val="000000" w:themeColor="text1"/>
          <w:sz w:val="24"/>
        </w:rPr>
        <w:t xml:space="preserve"> state membre</w:t>
      </w:r>
      <w:r>
        <w:rPr>
          <w:rFonts w:ascii="Times New Roman" w:eastAsia="Times New Roman" w:hAnsi="Times New Roman" w:cs="Times New Roman"/>
          <w:noProof/>
          <w:color w:val="000000" w:themeColor="text1"/>
          <w:sz w:val="24"/>
          <w:szCs w:val="24"/>
          <w:vertAlign w:val="superscript"/>
        </w:rPr>
        <w:footnoteReference w:id="168"/>
      </w:r>
      <w:r>
        <w:rPr>
          <w:rFonts w:ascii="Times New Roman" w:hAnsi="Times New Roman"/>
          <w:noProof/>
          <w:color w:val="000000" w:themeColor="text1"/>
          <w:sz w:val="24"/>
        </w:rPr>
        <w:t xml:space="preserve"> au raportat că au eliberat permise temporare în temeiul articolului </w:t>
      </w:r>
      <w:r w:rsidRPr="008D4701">
        <w:rPr>
          <w:rFonts w:ascii="Times New Roman" w:hAnsi="Times New Roman"/>
          <w:noProof/>
          <w:color w:val="000000" w:themeColor="text1"/>
          <w:sz w:val="24"/>
        </w:rPr>
        <w:t>13</w:t>
      </w:r>
      <w:r>
        <w:rPr>
          <w:rFonts w:ascii="Times New Roman" w:hAnsi="Times New Roman"/>
          <w:noProof/>
          <w:color w:val="000000" w:themeColor="text1"/>
          <w:sz w:val="24"/>
        </w:rPr>
        <w:t xml:space="preserve"> alineatul (</w:t>
      </w:r>
      <w:r w:rsidRPr="008D4701">
        <w:rPr>
          <w:rFonts w:ascii="Times New Roman" w:hAnsi="Times New Roman"/>
          <w:noProof/>
          <w:color w:val="000000" w:themeColor="text1"/>
          <w:sz w:val="24"/>
        </w:rPr>
        <w:t>4</w:t>
      </w:r>
      <w:r>
        <w:rPr>
          <w:rFonts w:ascii="Times New Roman" w:hAnsi="Times New Roman"/>
          <w:noProof/>
          <w:color w:val="000000" w:themeColor="text1"/>
          <w:sz w:val="24"/>
        </w:rPr>
        <w:t xml:space="preserve">) din directivă, reflectând o creștere treptată a utilizării acestei măsuri de protecție. </w:t>
      </w:r>
      <w:r w:rsidRPr="008D4701">
        <w:rPr>
          <w:rFonts w:ascii="Times New Roman" w:hAnsi="Times New Roman"/>
          <w:noProof/>
          <w:color w:val="000000" w:themeColor="text1"/>
          <w:sz w:val="24"/>
        </w:rPr>
        <w:t>11</w:t>
      </w:r>
      <w:r>
        <w:rPr>
          <w:rFonts w:ascii="Times New Roman" w:hAnsi="Times New Roman"/>
          <w:noProof/>
          <w:color w:val="000000" w:themeColor="text1"/>
          <w:sz w:val="24"/>
        </w:rPr>
        <w:t xml:space="preserve"> state membre</w:t>
      </w:r>
      <w:r>
        <w:rPr>
          <w:rFonts w:ascii="Times New Roman" w:eastAsia="Times New Roman" w:hAnsi="Times New Roman" w:cs="Times New Roman"/>
          <w:noProof/>
          <w:color w:val="000000" w:themeColor="text1"/>
          <w:sz w:val="24"/>
          <w:szCs w:val="24"/>
          <w:vertAlign w:val="superscript"/>
        </w:rPr>
        <w:footnoteReference w:id="169"/>
      </w:r>
      <w:r>
        <w:rPr>
          <w:rFonts w:ascii="Times New Roman" w:hAnsi="Times New Roman"/>
          <w:noProof/>
          <w:color w:val="000000" w:themeColor="text1"/>
          <w:sz w:val="24"/>
        </w:rPr>
        <w:t xml:space="preserve"> au menționat că nu au eliberat astfel de permise în cursul perioadei de raportare. La nivelul UE, în perioada </w:t>
      </w:r>
      <w:r w:rsidRPr="008D4701">
        <w:rPr>
          <w:rFonts w:ascii="Times New Roman" w:hAnsi="Times New Roman"/>
          <w:noProof/>
          <w:color w:val="000000" w:themeColor="text1"/>
          <w:sz w:val="24"/>
        </w:rPr>
        <w:t>2021</w:t>
      </w:r>
      <w:r>
        <w:rPr>
          <w:rFonts w:ascii="Times New Roman" w:hAnsi="Times New Roman"/>
          <w:noProof/>
          <w:color w:val="000000" w:themeColor="text1"/>
          <w:sz w:val="24"/>
        </w:rPr>
        <w:t>-</w:t>
      </w:r>
      <w:r w:rsidRPr="008D4701">
        <w:rPr>
          <w:rFonts w:ascii="Times New Roman" w:hAnsi="Times New Roman"/>
          <w:noProof/>
          <w:color w:val="000000" w:themeColor="text1"/>
          <w:sz w:val="24"/>
        </w:rPr>
        <w:t>2024</w:t>
      </w:r>
      <w:r>
        <w:rPr>
          <w:rFonts w:ascii="Times New Roman" w:hAnsi="Times New Roman"/>
          <w:noProof/>
          <w:color w:val="000000" w:themeColor="text1"/>
          <w:sz w:val="24"/>
        </w:rPr>
        <w:t xml:space="preserve">, au fost eliberate în total aproximativ </w:t>
      </w:r>
      <w:r w:rsidRPr="008D4701">
        <w:rPr>
          <w:rFonts w:ascii="Times New Roman" w:hAnsi="Times New Roman"/>
          <w:noProof/>
          <w:color w:val="000000" w:themeColor="text1"/>
          <w:sz w:val="24"/>
        </w:rPr>
        <w:t>5</w:t>
      </w:r>
      <w:r>
        <w:rPr>
          <w:rFonts w:ascii="Times New Roman" w:hAnsi="Times New Roman"/>
          <w:noProof/>
          <w:color w:val="000000" w:themeColor="text1"/>
          <w:sz w:val="24"/>
        </w:rPr>
        <w:t> </w:t>
      </w:r>
      <w:r w:rsidRPr="008D4701">
        <w:rPr>
          <w:rFonts w:ascii="Times New Roman" w:hAnsi="Times New Roman"/>
          <w:noProof/>
          <w:color w:val="000000" w:themeColor="text1"/>
          <w:sz w:val="24"/>
        </w:rPr>
        <w:t>000</w:t>
      </w:r>
      <w:r>
        <w:rPr>
          <w:rFonts w:ascii="Times New Roman" w:hAnsi="Times New Roman"/>
          <w:noProof/>
          <w:color w:val="000000" w:themeColor="text1"/>
          <w:sz w:val="24"/>
        </w:rPr>
        <w:t xml:space="preserve"> de permise, concentrate în principal în cinci state membre</w:t>
      </w:r>
      <w:r>
        <w:rPr>
          <w:rFonts w:ascii="Times New Roman" w:hAnsi="Times New Roman" w:cs="Times New Roman"/>
          <w:noProof/>
          <w:sz w:val="24"/>
          <w:szCs w:val="24"/>
          <w:vertAlign w:val="superscript"/>
        </w:rPr>
        <w:footnoteReference w:id="170"/>
      </w:r>
      <w:r>
        <w:rPr>
          <w:rFonts w:ascii="Times New Roman" w:hAnsi="Times New Roman"/>
          <w:noProof/>
          <w:color w:val="000000" w:themeColor="text1"/>
          <w:sz w:val="24"/>
        </w:rPr>
        <w:t xml:space="preserve">. Mai multe state membre au eliberat mai puțin de </w:t>
      </w:r>
      <w:r w:rsidRPr="008D4701">
        <w:rPr>
          <w:rFonts w:ascii="Times New Roman" w:hAnsi="Times New Roman"/>
          <w:noProof/>
          <w:color w:val="000000" w:themeColor="text1"/>
          <w:sz w:val="24"/>
        </w:rPr>
        <w:t>10</w:t>
      </w:r>
      <w:r>
        <w:rPr>
          <w:rFonts w:ascii="Times New Roman" w:hAnsi="Times New Roman"/>
          <w:noProof/>
          <w:color w:val="000000" w:themeColor="text1"/>
          <w:sz w:val="24"/>
        </w:rPr>
        <w:t xml:space="preserve"> permise</w:t>
      </w:r>
      <w:r>
        <w:rPr>
          <w:rFonts w:ascii="Segoe UI" w:hAnsi="Segoe UI"/>
          <w:noProof/>
          <w:color w:val="242424"/>
          <w:sz w:val="21"/>
        </w:rPr>
        <w:t xml:space="preserve"> </w:t>
      </w:r>
      <w:r>
        <w:rPr>
          <w:rFonts w:ascii="Times New Roman" w:hAnsi="Times New Roman"/>
          <w:noProof/>
          <w:color w:val="000000" w:themeColor="text1"/>
          <w:sz w:val="24"/>
        </w:rPr>
        <w:t>pe an</w:t>
      </w:r>
      <w:r>
        <w:rPr>
          <w:rFonts w:ascii="Times New Roman" w:eastAsia="Times New Roman" w:hAnsi="Times New Roman" w:cs="Times New Roman"/>
          <w:noProof/>
          <w:color w:val="000000" w:themeColor="text1"/>
          <w:sz w:val="24"/>
          <w:szCs w:val="24"/>
          <w:vertAlign w:val="superscript"/>
        </w:rPr>
        <w:footnoteReference w:id="171"/>
      </w:r>
      <w:r>
        <w:rPr>
          <w:rFonts w:ascii="Times New Roman" w:hAnsi="Times New Roman"/>
          <w:noProof/>
          <w:color w:val="000000" w:themeColor="text1"/>
          <w:sz w:val="24"/>
        </w:rPr>
        <w:t>.</w:t>
      </w:r>
    </w:p>
    <w:p w14:paraId="59E509CB" w14:textId="77CA923C"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Pr>
          <w:rFonts w:ascii="Times New Roman" w:hAnsi="Times New Roman"/>
          <w:noProof/>
          <w:color w:val="000000" w:themeColor="text1"/>
          <w:sz w:val="24"/>
        </w:rPr>
        <w:t xml:space="preserve">Potrivit sondajului FRA, doar </w:t>
      </w:r>
      <w:r w:rsidRPr="008D4701">
        <w:rPr>
          <w:rFonts w:ascii="Times New Roman" w:hAnsi="Times New Roman"/>
          <w:noProof/>
          <w:color w:val="000000" w:themeColor="text1"/>
          <w:sz w:val="24"/>
        </w:rPr>
        <w:t>3</w:t>
      </w:r>
      <w:r>
        <w:rPr>
          <w:rFonts w:ascii="Times New Roman" w:hAnsi="Times New Roman"/>
          <w:noProof/>
          <w:color w:val="000000" w:themeColor="text1"/>
          <w:sz w:val="24"/>
        </w:rPr>
        <w:t xml:space="preserve"> din cele </w:t>
      </w:r>
      <w:r w:rsidRPr="008D4701">
        <w:rPr>
          <w:rFonts w:ascii="Times New Roman" w:hAnsi="Times New Roman"/>
          <w:noProof/>
          <w:color w:val="000000" w:themeColor="text1"/>
          <w:sz w:val="24"/>
        </w:rPr>
        <w:t>76</w:t>
      </w:r>
      <w:r>
        <w:rPr>
          <w:rFonts w:ascii="Times New Roman" w:hAnsi="Times New Roman"/>
          <w:noProof/>
          <w:color w:val="000000" w:themeColor="text1"/>
          <w:sz w:val="24"/>
        </w:rPr>
        <w:t xml:space="preserve"> de organizații consultate au menționat eliberarea în multe sau foarte multe cazuri a unor permise de ședere lucrătorilor migranți aflați în situație ilegală care au fost victime ale unor condiții de muncă extrem de abuzive</w:t>
      </w:r>
      <w:r>
        <w:rPr>
          <w:rFonts w:ascii="Times New Roman" w:eastAsia="Times New Roman" w:hAnsi="Times New Roman" w:cs="Times New Roman"/>
          <w:noProof/>
          <w:color w:val="000000" w:themeColor="text1"/>
          <w:sz w:val="24"/>
          <w:szCs w:val="24"/>
          <w:vertAlign w:val="superscript"/>
        </w:rPr>
        <w:footnoteReference w:id="172"/>
      </w:r>
      <w:r>
        <w:rPr>
          <w:rFonts w:ascii="Times New Roman" w:hAnsi="Times New Roman"/>
          <w:noProof/>
          <w:color w:val="000000" w:themeColor="text1"/>
          <w:sz w:val="24"/>
        </w:rPr>
        <w:t>. Organizațiile membre ale CES au raportat că permisele de ședere sunt rareori eliberate în scopul recuperării salariilor neplătite prin intermediul instanțelor pentru litigii de muncă. În practică, aceste permise sunt eliberate, în general, atunci când lucrătorul cooperează în cadrul procedurilor penale și obține o certificare din partea organelor de urmărire penală, o cerință care poate descuraja lucrătorii să depună o cerere</w:t>
      </w:r>
      <w:r>
        <w:rPr>
          <w:rFonts w:ascii="Times New Roman" w:eastAsia="Times New Roman" w:hAnsi="Times New Roman" w:cs="Times New Roman"/>
          <w:noProof/>
          <w:color w:val="000000" w:themeColor="text1"/>
          <w:sz w:val="24"/>
          <w:szCs w:val="24"/>
          <w:vertAlign w:val="superscript"/>
        </w:rPr>
        <w:footnoteReference w:id="173"/>
      </w:r>
      <w:r>
        <w:rPr>
          <w:rFonts w:ascii="Times New Roman" w:hAnsi="Times New Roman"/>
          <w:noProof/>
          <w:color w:val="000000" w:themeColor="text1"/>
          <w:sz w:val="24"/>
        </w:rPr>
        <w:t>.</w:t>
      </w:r>
    </w:p>
    <w:p w14:paraId="42B594C7" w14:textId="15B2AF79" w:rsidR="00077A20" w:rsidRPr="008D4701" w:rsidRDefault="00077A20" w:rsidP="00077A20">
      <w:pPr>
        <w:pStyle w:val="ListParagraph"/>
        <w:numPr>
          <w:ilvl w:val="0"/>
          <w:numId w:val="2"/>
        </w:numPr>
        <w:spacing w:after="120" w:line="276" w:lineRule="auto"/>
        <w:jc w:val="both"/>
        <w:outlineLvl w:val="0"/>
        <w:rPr>
          <w:rFonts w:ascii="Times New Roman" w:eastAsia="Times New Roman" w:hAnsi="Times New Roman" w:cs="Times New Roman"/>
          <w:b/>
          <w:bCs/>
          <w:noProof/>
          <w:sz w:val="24"/>
          <w:szCs w:val="24"/>
          <w14:ligatures w14:val="none"/>
        </w:rPr>
      </w:pPr>
      <w:bookmarkStart w:id="35" w:name="_Toc210315992"/>
      <w:r w:rsidRPr="008D4701">
        <w:rPr>
          <w:rFonts w:ascii="Times New Roman" w:hAnsi="Times New Roman"/>
          <w:b/>
          <w:noProof/>
          <w:sz w:val="24"/>
        </w:rPr>
        <w:t>Principalele constatări și etapele următoare</w:t>
      </w:r>
    </w:p>
    <w:p w14:paraId="4B195C93" w14:textId="159610A6" w:rsidR="00077A20" w:rsidRPr="00A359E1" w:rsidRDefault="00077A20" w:rsidP="00077A20">
      <w:pPr>
        <w:spacing w:line="276" w:lineRule="auto"/>
        <w:jc w:val="both"/>
        <w:rPr>
          <w:rFonts w:ascii="Times New Roman" w:eastAsia="Times New Roman" w:hAnsi="Times New Roman" w:cs="Times New Roman"/>
          <w:noProof/>
          <w:sz w:val="24"/>
          <w:szCs w:val="24"/>
          <w14:ligatures w14:val="none"/>
        </w:rPr>
      </w:pPr>
      <w:bookmarkStart w:id="36" w:name="_Toc210315998"/>
      <w:bookmarkStart w:id="37" w:name="_Toc215743796"/>
      <w:bookmarkEnd w:id="35"/>
      <w:r>
        <w:rPr>
          <w:rFonts w:ascii="Times New Roman" w:hAnsi="Times New Roman"/>
          <w:noProof/>
          <w:sz w:val="24"/>
        </w:rPr>
        <w:t xml:space="preserve">În general, s-au înregistrat progrese în ceea ce privește punerea în aplicare a directivei de la ultimul raport prezentat în </w:t>
      </w:r>
      <w:r w:rsidRPr="008D4701">
        <w:rPr>
          <w:rFonts w:ascii="Times New Roman" w:hAnsi="Times New Roman"/>
          <w:noProof/>
          <w:sz w:val="24"/>
        </w:rPr>
        <w:t>2021</w:t>
      </w:r>
      <w:r>
        <w:rPr>
          <w:rFonts w:ascii="Times New Roman" w:hAnsi="Times New Roman"/>
          <w:noProof/>
          <w:sz w:val="24"/>
        </w:rPr>
        <w:t>. În comparație cu perioadele de raportare anterioare, statele membre au consolidat metodologiile de evaluare a riscurilor în planificarea inspecțiilor, deși în grade diferite. Acest lucru a condus la inspecții mai orientate în sectoarele cu risc ridicat și la creșterea numărului de proceduri inițiate împotriva angajatorilor care încalcă normele și de sancțiuni financiare aplicate acestora. De asemenea, calitatea și disponibilitatea datelor s-au îmbunătățit în general, în comparație cu perioada de raportare anterioară.</w:t>
      </w:r>
    </w:p>
    <w:bookmarkEnd w:id="36"/>
    <w:bookmarkEnd w:id="37"/>
    <w:p w14:paraId="1A84C7F2" w14:textId="77777777" w:rsidR="007A5913" w:rsidRPr="00A359E1" w:rsidRDefault="00DB7524" w:rsidP="00DB7524">
      <w:pPr>
        <w:spacing w:line="276" w:lineRule="auto"/>
        <w:jc w:val="both"/>
        <w:rPr>
          <w:rFonts w:ascii="Times New Roman" w:eastAsia="Times New Roman" w:hAnsi="Times New Roman" w:cs="Times New Roman"/>
          <w:noProof/>
          <w:sz w:val="24"/>
          <w:szCs w:val="24"/>
          <w14:ligatures w14:val="none"/>
        </w:rPr>
      </w:pPr>
      <w:r>
        <w:rPr>
          <w:rFonts w:ascii="Times New Roman" w:hAnsi="Times New Roman"/>
          <w:noProof/>
          <w:sz w:val="24"/>
        </w:rPr>
        <w:t xml:space="preserve">Cu toate acestea, persistă unele deficiențe importante. Există discrepanțe mari în ceea ce privește modul în care legislația este aplicată în cele </w:t>
      </w:r>
      <w:r w:rsidRPr="008D4701">
        <w:rPr>
          <w:rFonts w:ascii="Times New Roman" w:hAnsi="Times New Roman"/>
          <w:noProof/>
          <w:sz w:val="24"/>
        </w:rPr>
        <w:t>25</w:t>
      </w:r>
      <w:r>
        <w:rPr>
          <w:rFonts w:ascii="Times New Roman" w:hAnsi="Times New Roman"/>
          <w:noProof/>
          <w:sz w:val="24"/>
        </w:rPr>
        <w:t xml:space="preserve"> de state membre, inclusiv în ceea ce privește sancțiunile administrative și penale. Referitor la inspecții, informațiile disponibile cu privire la acoperirea principalelor sectoare cu risc mai ridicat nu permit să se stabilească dacă există un nivel suficient de aplicare a directivei în toate statele membre. </w:t>
      </w:r>
    </w:p>
    <w:p w14:paraId="2B800267" w14:textId="41768821" w:rsidR="00DB7524" w:rsidRPr="00A359E1" w:rsidRDefault="00DB7524" w:rsidP="00DB7524">
      <w:pPr>
        <w:spacing w:line="276" w:lineRule="auto"/>
        <w:jc w:val="both"/>
        <w:rPr>
          <w:rFonts w:ascii="Times New Roman" w:eastAsia="Times New Roman" w:hAnsi="Times New Roman" w:cs="Times New Roman"/>
          <w:noProof/>
          <w:sz w:val="24"/>
          <w:szCs w:val="24"/>
          <w14:ligatures w14:val="none"/>
        </w:rPr>
      </w:pPr>
      <w:r>
        <w:rPr>
          <w:rFonts w:ascii="Times New Roman" w:hAnsi="Times New Roman"/>
          <w:noProof/>
          <w:sz w:val="24"/>
        </w:rPr>
        <w:t>Cel mai important, nu se poate spune cu siguranță dacă diferitele inspecții și sancțiuni aplicate în statele membre descurajează în mod eficace angajarea de lucrători migranți aflați în situație ilegală. În acest sens, persistă lacune semnificative în materie de date în ceea ce privește: (i)</w:t>
      </w:r>
      <w:r w:rsidR="008D4701">
        <w:rPr>
          <w:rFonts w:ascii="Times New Roman" w:hAnsi="Times New Roman"/>
          <w:noProof/>
          <w:sz w:val="24"/>
        </w:rPr>
        <w:t> </w:t>
      </w:r>
      <w:r>
        <w:rPr>
          <w:rFonts w:ascii="Times New Roman" w:hAnsi="Times New Roman"/>
          <w:noProof/>
          <w:sz w:val="24"/>
        </w:rPr>
        <w:t>sancțiunile penale, (ii) numărul de plângeri depuse de lucrătorii migranți, (iii) eliberarea permiselor de ședere temporară și (iv) numărul de plăți restante recuperate efectiv. Migranții aflați în situație ilegală vulnerabili sunt adesea insuficient informați cu privire la drepturile lor, în timp ce accesul efectiv la mecanismele de depunere a plângerilor și utilizarea acestora rămân limitate. Prin urmare, sunt necesare o analiză și o evaluare suplimentare, bazate, de asemenea, pe date mai bune, cu privire la eficacitatea directivei în ceea ce privește reducerea stimulentelor generale ale angajatorilor de a angaja lucrători migranți aflați în situație ilegală.</w:t>
      </w:r>
    </w:p>
    <w:p w14:paraId="68E8FF35" w14:textId="0E9789C4" w:rsidR="00DB7524" w:rsidRPr="00A359E1" w:rsidRDefault="002C1240" w:rsidP="00DB7524">
      <w:pPr>
        <w:spacing w:after="120" w:line="276" w:lineRule="auto"/>
        <w:jc w:val="both"/>
        <w:rPr>
          <w:rFonts w:ascii="Times New Roman" w:eastAsia="Times New Roman" w:hAnsi="Times New Roman" w:cs="Times New Roman"/>
          <w:noProof/>
          <w:sz w:val="24"/>
          <w:szCs w:val="24"/>
          <w14:ligatures w14:val="none"/>
        </w:rPr>
      </w:pPr>
      <w:r>
        <w:rPr>
          <w:rFonts w:ascii="Times New Roman" w:hAnsi="Times New Roman"/>
          <w:noProof/>
          <w:sz w:val="24"/>
        </w:rPr>
        <w:t xml:space="preserve">Pe baza acestor constatări, </w:t>
      </w:r>
      <w:r w:rsidRPr="008D4701">
        <w:rPr>
          <w:rFonts w:ascii="Times New Roman" w:hAnsi="Times New Roman"/>
          <w:b/>
          <w:noProof/>
          <w:sz w:val="24"/>
        </w:rPr>
        <w:t xml:space="preserve">Comisia va lansa o evaluare a directivei </w:t>
      </w:r>
      <w:r>
        <w:rPr>
          <w:rFonts w:ascii="Times New Roman" w:hAnsi="Times New Roman"/>
          <w:noProof/>
          <w:sz w:val="24"/>
        </w:rPr>
        <w:t xml:space="preserve">în </w:t>
      </w:r>
      <w:r w:rsidRPr="008D4701">
        <w:rPr>
          <w:rFonts w:ascii="Times New Roman" w:hAnsi="Times New Roman"/>
          <w:noProof/>
          <w:sz w:val="24"/>
        </w:rPr>
        <w:t>2026</w:t>
      </w:r>
      <w:r>
        <w:rPr>
          <w:rFonts w:ascii="Times New Roman" w:hAnsi="Times New Roman"/>
          <w:noProof/>
          <w:sz w:val="24"/>
        </w:rPr>
        <w:t>. Aceasta va permite o evaluare mai amplă, aprofundată și bazată pe date concrete, pentru a stabili dacă directiva rămâne adecvată scopului și ce învățăminte pot fi desprinse pentru a-i spori eficacitatea. Aceasta include întrebarea dacă ar putea fi necesară revizuirea sau clarificarea normelor existente pentru a elimina anumite lacune juridice, în materie de politică și de punere în aplicare. Evaluarea va aborda, de asemenea, eforturile de simplificare ale Comisiei, analizând eficiența și eficacitatea directivei și efectuând teste de rezistență pentru a se asigura că aceasta rămâne relevantă și adecvată scopului. Evaluarea va analiza și alte aspecte, cum ar fi schimbul de informații și cooperarea dintre statele membre, precum și aspecte transfrontaliere în ceea ce privește asigurarea respectării legii și aplicarea sancțiunilor, inclusiv în ceea ce privește fraudarea documentelor. Pe baza rezultatelor evaluării, Comisia va analiza dacă este necesară modificarea cadrului juridic actual.</w:t>
      </w:r>
    </w:p>
    <w:p w14:paraId="4D9393A2" w14:textId="77777777" w:rsidR="00DB7524" w:rsidRPr="00A359E1" w:rsidRDefault="00DB7524" w:rsidP="00DB7524">
      <w:pPr>
        <w:spacing w:after="120" w:line="276" w:lineRule="auto"/>
        <w:jc w:val="both"/>
        <w:rPr>
          <w:rFonts w:ascii="Times New Roman" w:eastAsia="Times New Roman" w:hAnsi="Times New Roman" w:cs="Times New Roman"/>
          <w:noProof/>
          <w:sz w:val="24"/>
          <w:szCs w:val="24"/>
          <w14:ligatures w14:val="none"/>
        </w:rPr>
      </w:pPr>
      <w:r>
        <w:rPr>
          <w:rFonts w:ascii="Times New Roman" w:hAnsi="Times New Roman"/>
          <w:noProof/>
          <w:sz w:val="24"/>
        </w:rPr>
        <w:t xml:space="preserve">În același timp, </w:t>
      </w:r>
      <w:r w:rsidRPr="008D4701">
        <w:rPr>
          <w:rFonts w:ascii="Times New Roman" w:hAnsi="Times New Roman"/>
          <w:b/>
          <w:noProof/>
          <w:sz w:val="24"/>
        </w:rPr>
        <w:t>Comisia va colabora cu statele membre pentru a asigura o mai bună aplicare a standardelor și cerințelor juridice stabilite de directivă</w:t>
      </w:r>
      <w:r>
        <w:rPr>
          <w:rFonts w:ascii="Times New Roman" w:hAnsi="Times New Roman"/>
          <w:noProof/>
          <w:sz w:val="24"/>
        </w:rPr>
        <w:t xml:space="preserve"> cu scopul de a:</w:t>
      </w:r>
    </w:p>
    <w:p w14:paraId="31937F99" w14:textId="7682EF12" w:rsidR="00DB7524" w:rsidRPr="00A359E1" w:rsidRDefault="00613BAD" w:rsidP="00DB7524">
      <w:pPr>
        <w:numPr>
          <w:ilvl w:val="0"/>
          <w:numId w:val="1"/>
        </w:numPr>
        <w:spacing w:after="120" w:line="276" w:lineRule="auto"/>
        <w:contextualSpacing/>
        <w:jc w:val="both"/>
        <w:rPr>
          <w:rFonts w:ascii="Times New Roman" w:eastAsia="Times New Roman" w:hAnsi="Times New Roman" w:cs="Times New Roman"/>
          <w:noProof/>
          <w:sz w:val="24"/>
          <w:szCs w:val="24"/>
          <w14:ligatures w14:val="none"/>
        </w:rPr>
      </w:pPr>
      <w:r w:rsidRPr="008D4701">
        <w:rPr>
          <w:rFonts w:ascii="Times New Roman" w:hAnsi="Times New Roman"/>
          <w:b/>
          <w:noProof/>
          <w:sz w:val="24"/>
        </w:rPr>
        <w:t>Îmbunătăți prevenirea și identificarea cazurilor de angajare ilegală</w:t>
      </w:r>
      <w:r>
        <w:rPr>
          <w:rFonts w:ascii="Times New Roman" w:hAnsi="Times New Roman"/>
          <w:noProof/>
          <w:sz w:val="24"/>
        </w:rPr>
        <w:t xml:space="preserve"> prin (i)</w:t>
      </w:r>
      <w:r w:rsidR="008D4701">
        <w:rPr>
          <w:rFonts w:ascii="Times New Roman" w:hAnsi="Times New Roman"/>
          <w:noProof/>
          <w:sz w:val="24"/>
        </w:rPr>
        <w:t> </w:t>
      </w:r>
      <w:r>
        <w:rPr>
          <w:rFonts w:ascii="Times New Roman" w:hAnsi="Times New Roman"/>
          <w:noProof/>
          <w:sz w:val="24"/>
        </w:rPr>
        <w:t>intensificarea eforturilor de sensibilizare a angajatorilor, (ii) îmbunătățirea accesului lucrătorilor migranți la informații și justiție și (iii) consolidarea inspecțiilor orientate în sectoarele și zonele geografice cu risc ridicat, susținute de o cooperare eficace între agenții și, după caz, de coordonarea și sprijinul ELA.</w:t>
      </w:r>
    </w:p>
    <w:p w14:paraId="0292F0F2" w14:textId="4BAF2599" w:rsidR="00DB7524" w:rsidRPr="00A359E1" w:rsidRDefault="00613BAD" w:rsidP="00DB7524">
      <w:pPr>
        <w:numPr>
          <w:ilvl w:val="0"/>
          <w:numId w:val="1"/>
        </w:numPr>
        <w:spacing w:after="120" w:line="276" w:lineRule="auto"/>
        <w:contextualSpacing/>
        <w:jc w:val="both"/>
        <w:rPr>
          <w:rFonts w:ascii="Times New Roman" w:eastAsia="Times New Roman" w:hAnsi="Times New Roman" w:cs="Times New Roman"/>
          <w:noProof/>
          <w:sz w:val="24"/>
          <w:szCs w:val="24"/>
          <w14:ligatures w14:val="none"/>
        </w:rPr>
      </w:pPr>
      <w:r w:rsidRPr="008D4701">
        <w:rPr>
          <w:rFonts w:ascii="Times New Roman" w:hAnsi="Times New Roman"/>
          <w:b/>
          <w:noProof/>
          <w:sz w:val="24"/>
        </w:rPr>
        <w:t xml:space="preserve">Consolida guvernanța, coordonarea și supravegherea punerii în aplicare </w:t>
      </w:r>
      <w:r>
        <w:rPr>
          <w:rFonts w:ascii="Times New Roman" w:hAnsi="Times New Roman"/>
          <w:noProof/>
          <w:sz w:val="24"/>
        </w:rPr>
        <w:t>a directivei printre altele prin (i) consolidarea cooperării interinstituționale, (ii)</w:t>
      </w:r>
      <w:r w:rsidR="008D4701">
        <w:rPr>
          <w:rFonts w:ascii="Times New Roman" w:hAnsi="Times New Roman"/>
          <w:noProof/>
          <w:sz w:val="24"/>
        </w:rPr>
        <w:t> </w:t>
      </w:r>
      <w:r>
        <w:rPr>
          <w:rFonts w:ascii="Times New Roman" w:hAnsi="Times New Roman"/>
          <w:noProof/>
          <w:sz w:val="24"/>
        </w:rPr>
        <w:t xml:space="preserve">îmbunătățirea mecanismelor de raportare și de monitorizare și (iii) asigurarea unei colectări mai sistematice și defalcate a datelor. </w:t>
      </w:r>
    </w:p>
    <w:p w14:paraId="5A3217A7" w14:textId="667B9D62" w:rsidR="00DB7524" w:rsidRPr="008D4701" w:rsidRDefault="00DB7524" w:rsidP="00DB7524">
      <w:pPr>
        <w:spacing w:after="120" w:line="276" w:lineRule="auto"/>
        <w:jc w:val="both"/>
        <w:rPr>
          <w:rFonts w:ascii="Times New Roman" w:eastAsia="Times New Roman" w:hAnsi="Times New Roman" w:cs="Times New Roman"/>
          <w:b/>
          <w:bCs/>
          <w:noProof/>
          <w:sz w:val="24"/>
          <w:szCs w:val="24"/>
          <w14:ligatures w14:val="none"/>
        </w:rPr>
      </w:pPr>
      <w:r>
        <w:rPr>
          <w:rFonts w:ascii="Times New Roman" w:hAnsi="Times New Roman"/>
          <w:noProof/>
          <w:sz w:val="24"/>
        </w:rPr>
        <w:t xml:space="preserve">În paralel, Comisia va </w:t>
      </w:r>
      <w:r w:rsidRPr="008D4701">
        <w:rPr>
          <w:rFonts w:ascii="Times New Roman" w:hAnsi="Times New Roman"/>
          <w:b/>
          <w:noProof/>
          <w:sz w:val="24"/>
        </w:rPr>
        <w:t>sprijini statele membre prin acțiuni specifice pentru a:</w:t>
      </w:r>
    </w:p>
    <w:p w14:paraId="4EC25429" w14:textId="5400EFE9" w:rsidR="00DB7524" w:rsidRPr="00A359E1" w:rsidRDefault="00DB7524" w:rsidP="00DB7524">
      <w:pPr>
        <w:numPr>
          <w:ilvl w:val="0"/>
          <w:numId w:val="1"/>
        </w:numPr>
        <w:spacing w:after="120" w:line="276" w:lineRule="auto"/>
        <w:contextualSpacing/>
        <w:jc w:val="both"/>
        <w:rPr>
          <w:rFonts w:ascii="Times New Roman" w:eastAsia="Times New Roman" w:hAnsi="Times New Roman" w:cs="Times New Roman"/>
          <w:noProof/>
          <w:sz w:val="24"/>
          <w:szCs w:val="24"/>
          <w14:ligatures w14:val="none"/>
        </w:rPr>
      </w:pPr>
      <w:r w:rsidRPr="008D4701">
        <w:rPr>
          <w:rFonts w:ascii="Times New Roman" w:hAnsi="Times New Roman"/>
          <w:b/>
          <w:noProof/>
          <w:sz w:val="24"/>
        </w:rPr>
        <w:t>Promova în mod sistematic cooperarea, schimbul de date și învățarea reciprocă între statele membre</w:t>
      </w:r>
      <w:r>
        <w:rPr>
          <w:rFonts w:ascii="Times New Roman" w:hAnsi="Times New Roman"/>
          <w:noProof/>
          <w:sz w:val="24"/>
        </w:rPr>
        <w:t xml:space="preserve">, inclusiv prin intermediul Grupului de experți în materie de migrație ilegală, al platformei europene de combatere a muncii nedeclarate și al altor foruri relevante ale UE. Cooperarea dintre ELA și FRA va contribui suplimentar la punerea în aplicare eficace a directivei, inclusiv prin sistematizarea și diseminarea bunelor practici. Comisia va urmări să elimine lacunele în materie de date prin sprijin tehnic și financiar specific, inclusiv prin sprijin din Fondul pentru azil, migrație și integrare (FAMI), menționat la punctul </w:t>
      </w:r>
      <w:r w:rsidRPr="008D4701">
        <w:rPr>
          <w:rFonts w:ascii="Times New Roman" w:hAnsi="Times New Roman"/>
          <w:noProof/>
          <w:sz w:val="24"/>
        </w:rPr>
        <w:t>6</w:t>
      </w:r>
      <w:r>
        <w:rPr>
          <w:rFonts w:ascii="Times New Roman" w:hAnsi="Times New Roman"/>
          <w:noProof/>
          <w:sz w:val="24"/>
        </w:rPr>
        <w:t xml:space="preserve"> de mai jos.</w:t>
      </w:r>
    </w:p>
    <w:p w14:paraId="1023885B" w14:textId="77777777" w:rsidR="00DB7524" w:rsidRPr="00A359E1" w:rsidRDefault="00DB7524" w:rsidP="00A86589">
      <w:pPr>
        <w:spacing w:after="120" w:line="276" w:lineRule="auto"/>
        <w:contextualSpacing/>
        <w:jc w:val="both"/>
        <w:rPr>
          <w:rFonts w:ascii="Times New Roman" w:eastAsia="Times New Roman" w:hAnsi="Times New Roman" w:cs="Times New Roman"/>
          <w:noProof/>
          <w:sz w:val="24"/>
          <w:szCs w:val="24"/>
          <w14:ligatures w14:val="none"/>
        </w:rPr>
      </w:pPr>
    </w:p>
    <w:p w14:paraId="3E32CE45" w14:textId="64B1F23E" w:rsidR="00DB7524" w:rsidRPr="00A359E1" w:rsidRDefault="00C53BE2" w:rsidP="00DB7524">
      <w:pPr>
        <w:numPr>
          <w:ilvl w:val="0"/>
          <w:numId w:val="1"/>
        </w:numPr>
        <w:spacing w:after="120" w:line="276" w:lineRule="auto"/>
        <w:contextualSpacing/>
        <w:jc w:val="both"/>
        <w:rPr>
          <w:rFonts w:ascii="Times New Roman" w:eastAsia="Times New Roman" w:hAnsi="Times New Roman" w:cs="Times New Roman"/>
          <w:noProof/>
          <w:sz w:val="24"/>
          <w:szCs w:val="24"/>
          <w14:ligatures w14:val="none"/>
        </w:rPr>
      </w:pPr>
      <w:r w:rsidRPr="008D4701">
        <w:rPr>
          <w:rFonts w:ascii="Times New Roman" w:hAnsi="Times New Roman"/>
          <w:b/>
          <w:noProof/>
          <w:sz w:val="24"/>
        </w:rPr>
        <w:t>Intensifica acțiunile de sensibilizare și de asigurare a respectării legislației</w:t>
      </w:r>
      <w:r>
        <w:rPr>
          <w:rFonts w:ascii="Times New Roman" w:hAnsi="Times New Roman"/>
          <w:noProof/>
          <w:sz w:val="24"/>
        </w:rPr>
        <w:t xml:space="preserve">, pe baza activității desfășurate de ELA, inclusiv, dacă este fezabil și adecvat, promovând accesul mai ușor la informații pentru lucrători și angajatori, orientări, consolidarea capacităților și formare, precum și utilizarea manualului de formare pentru inspectoratele de muncă elaborat de FRA în </w:t>
      </w:r>
      <w:r w:rsidRPr="008D4701">
        <w:rPr>
          <w:rFonts w:ascii="Times New Roman" w:hAnsi="Times New Roman"/>
          <w:noProof/>
          <w:sz w:val="24"/>
        </w:rPr>
        <w:t>2024</w:t>
      </w:r>
      <w:r>
        <w:rPr>
          <w:rFonts w:ascii="Times New Roman" w:hAnsi="Times New Roman"/>
          <w:noProof/>
          <w:sz w:val="24"/>
        </w:rPr>
        <w:t>. Se urmărește acordarea unei atenții deosebite sectoarelor cu risc mai ridicat, situațiilor transfrontaliere, lanțurilor de subcontractare și, după caz, lucrătorilor resortisanți ai țărilor terțe detașați, în cooperare cu acțiunile Europol de combatere a exploatării prin muncă. Ca parte a revizuirii mandatului ELA, Comisia va analiza modul în care Autoritatea ar putea aborda mai bine provocările legate de abuzurile asociate condițiilor de muncă ale resortisanților țărilor terțe, inclusiv modul în care aceasta ar putea sprijini mai bine dispozițiile legate de muncă ale directivei.</w:t>
      </w:r>
    </w:p>
    <w:p w14:paraId="3E200449" w14:textId="77777777" w:rsidR="00DB7524" w:rsidRPr="00A359E1" w:rsidRDefault="00DB7524" w:rsidP="00DB7524">
      <w:pPr>
        <w:ind w:left="720"/>
        <w:contextualSpacing/>
        <w:rPr>
          <w:rFonts w:ascii="Times New Roman" w:eastAsia="Times New Roman" w:hAnsi="Times New Roman" w:cs="Times New Roman"/>
          <w:noProof/>
          <w:sz w:val="24"/>
          <w:szCs w:val="24"/>
          <w14:ligatures w14:val="none"/>
        </w:rPr>
      </w:pPr>
    </w:p>
    <w:p w14:paraId="6D51287A" w14:textId="640AE071" w:rsidR="00DB7524" w:rsidRPr="00A359E1" w:rsidRDefault="00DB7524" w:rsidP="00DB7524">
      <w:pPr>
        <w:numPr>
          <w:ilvl w:val="0"/>
          <w:numId w:val="1"/>
        </w:numPr>
        <w:spacing w:after="120" w:line="276" w:lineRule="auto"/>
        <w:contextualSpacing/>
        <w:jc w:val="both"/>
        <w:rPr>
          <w:rFonts w:ascii="Times New Roman" w:eastAsia="Times New Roman" w:hAnsi="Times New Roman" w:cs="Times New Roman"/>
          <w:noProof/>
          <w:sz w:val="24"/>
          <w:szCs w:val="24"/>
          <w14:ligatures w14:val="none"/>
        </w:rPr>
      </w:pPr>
      <w:r w:rsidRPr="008D4701">
        <w:rPr>
          <w:rFonts w:ascii="Times New Roman" w:hAnsi="Times New Roman"/>
          <w:b/>
          <w:noProof/>
          <w:sz w:val="24"/>
        </w:rPr>
        <w:t>Sprijini statele membre în consolidarea asigurării respectării directivei</w:t>
      </w:r>
      <w:r>
        <w:rPr>
          <w:rFonts w:ascii="Times New Roman" w:hAnsi="Times New Roman"/>
          <w:noProof/>
          <w:sz w:val="24"/>
        </w:rPr>
        <w:t xml:space="preserve"> și în aplicarea mai eficace a acesteia, inclusiv pentru a proteja drepturile lucrătorilor migranți prin finanțare și sprijin tehnic și prin consolidarea mandatului ELA. După caz, Comisia va lua în considerare, de asemenea, inițierea unor proceduri de constatare a neîndeplinirii obligațiilor.</w:t>
      </w:r>
    </w:p>
    <w:p w14:paraId="07F3BCAA" w14:textId="77777777" w:rsidR="00077A20" w:rsidRPr="00A359E1" w:rsidRDefault="00077A20" w:rsidP="00077A20">
      <w:pPr>
        <w:spacing w:after="120" w:line="276" w:lineRule="auto"/>
        <w:ind w:left="720"/>
        <w:contextualSpacing/>
        <w:jc w:val="both"/>
        <w:rPr>
          <w:rFonts w:ascii="Times New Roman" w:eastAsia="Times New Roman" w:hAnsi="Times New Roman" w:cs="Times New Roman"/>
          <w:noProof/>
          <w:sz w:val="24"/>
          <w:szCs w:val="24"/>
          <w14:ligatures w14:val="none"/>
        </w:rPr>
      </w:pPr>
    </w:p>
    <w:p w14:paraId="2C9972DE" w14:textId="12171E28" w:rsidR="00077A20" w:rsidRPr="00A359E1" w:rsidRDefault="00077A20" w:rsidP="00077A20">
      <w:pPr>
        <w:numPr>
          <w:ilvl w:val="0"/>
          <w:numId w:val="1"/>
        </w:numPr>
        <w:spacing w:after="120" w:line="276" w:lineRule="auto"/>
        <w:contextualSpacing/>
        <w:jc w:val="both"/>
        <w:rPr>
          <w:rFonts w:ascii="Times New Roman" w:eastAsia="Times New Roman" w:hAnsi="Times New Roman" w:cs="Times New Roman"/>
          <w:noProof/>
          <w:sz w:val="24"/>
          <w:szCs w:val="24"/>
          <w14:ligatures w14:val="none"/>
        </w:rPr>
      </w:pPr>
      <w:r w:rsidRPr="008D4701">
        <w:rPr>
          <w:rFonts w:ascii="Times New Roman" w:hAnsi="Times New Roman"/>
          <w:b/>
          <w:noProof/>
          <w:sz w:val="24"/>
        </w:rPr>
        <w:t>Mobiliza finanțarea UE pentru a consolida conformitatea și asumarea răspunderii de către angajatori și parteneriatele multipartite</w:t>
      </w:r>
      <w:r>
        <w:rPr>
          <w:rFonts w:ascii="Times New Roman" w:hAnsi="Times New Roman"/>
          <w:noProof/>
          <w:sz w:val="24"/>
        </w:rPr>
        <w:t xml:space="preserve"> cu scopul de a îmbunătăți furnizarea de informații și mecanismele de depunere a plângerilor pentru lucrătorii resortisanți ai țărilor terțe. În </w:t>
      </w:r>
      <w:r w:rsidRPr="008D4701">
        <w:rPr>
          <w:rFonts w:ascii="Times New Roman" w:hAnsi="Times New Roman"/>
          <w:noProof/>
          <w:sz w:val="24"/>
        </w:rPr>
        <w:t>2026</w:t>
      </w:r>
      <w:r>
        <w:rPr>
          <w:rFonts w:ascii="Times New Roman" w:hAnsi="Times New Roman"/>
          <w:noProof/>
          <w:sz w:val="24"/>
        </w:rPr>
        <w:t xml:space="preserve"> va fi lansată o cerere de propuneri în cadrul FAMI pentru a sprijini statele membre în protejarea drepturilor lucrătorilor din țările terțe, combătând în același timp angajarea ilegală a resortisanților țărilor terțe aflați în situație de ședere ilegală. După caz, Comisia va stimula statele membre să elaboreze planuri de parteneriat naționale și regionale pentru a aborda provocările relevante în cadrul financiar multianual ulterior anului </w:t>
      </w:r>
      <w:r w:rsidRPr="008D4701">
        <w:rPr>
          <w:rFonts w:ascii="Times New Roman" w:hAnsi="Times New Roman"/>
          <w:noProof/>
          <w:sz w:val="24"/>
        </w:rPr>
        <w:t>2027</w:t>
      </w:r>
      <w:r>
        <w:rPr>
          <w:rFonts w:ascii="Times New Roman" w:eastAsia="Times New Roman" w:hAnsi="Times New Roman" w:cs="Times New Roman"/>
          <w:noProof/>
          <w:sz w:val="24"/>
          <w:szCs w:val="24"/>
          <w:vertAlign w:val="superscript"/>
        </w:rPr>
        <w:footnoteReference w:id="174"/>
      </w:r>
      <w:r>
        <w:rPr>
          <w:rFonts w:ascii="Times New Roman" w:hAnsi="Times New Roman"/>
          <w:noProof/>
          <w:sz w:val="24"/>
        </w:rPr>
        <w:t>.</w:t>
      </w:r>
    </w:p>
    <w:p w14:paraId="15D86F77" w14:textId="77777777" w:rsidR="00077A20" w:rsidRPr="00A359E1" w:rsidRDefault="00077A20" w:rsidP="00077A20">
      <w:pPr>
        <w:spacing w:after="120" w:line="276" w:lineRule="auto"/>
        <w:ind w:left="720"/>
        <w:contextualSpacing/>
        <w:jc w:val="both"/>
        <w:rPr>
          <w:rFonts w:ascii="Times New Roman" w:eastAsia="Times New Roman" w:hAnsi="Times New Roman" w:cs="Times New Roman"/>
          <w:noProof/>
          <w:sz w:val="24"/>
          <w:szCs w:val="24"/>
          <w14:ligatures w14:val="none"/>
        </w:rPr>
      </w:pPr>
    </w:p>
    <w:bookmarkEnd w:id="3"/>
    <w:p w14:paraId="126A6525" w14:textId="77777777" w:rsidR="00077A20" w:rsidRPr="00077A20" w:rsidRDefault="00077A20" w:rsidP="00077A20">
      <w:pPr>
        <w:rPr>
          <w:noProof/>
        </w:rPr>
      </w:pPr>
    </w:p>
    <w:sectPr w:rsidR="00077A20" w:rsidRPr="00077A20">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D966AF" w14:textId="77777777" w:rsidR="007D2DF8" w:rsidRPr="00A359E1" w:rsidRDefault="007D2DF8" w:rsidP="00CC4683">
      <w:pPr>
        <w:spacing w:after="0" w:line="240" w:lineRule="auto"/>
      </w:pPr>
      <w:r>
        <w:separator/>
      </w:r>
    </w:p>
  </w:endnote>
  <w:endnote w:type="continuationSeparator" w:id="0">
    <w:p w14:paraId="7FA49944" w14:textId="77777777" w:rsidR="007D2DF8" w:rsidRPr="00A359E1" w:rsidRDefault="007D2DF8" w:rsidP="00CC4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947FF" w14:textId="734CB557" w:rsidR="00953535" w:rsidRPr="00953535" w:rsidRDefault="00953535" w:rsidP="00953535">
    <w:pPr>
      <w:pStyle w:val="FooterCoverPage"/>
      <w:rPr>
        <w:rFonts w:ascii="Arial" w:hAnsi="Arial" w:cs="Arial"/>
        <w:b/>
        <w:sz w:val="48"/>
      </w:rPr>
    </w:pPr>
    <w:r w:rsidRPr="00953535">
      <w:rPr>
        <w:rFonts w:ascii="Arial" w:hAnsi="Arial" w:cs="Arial"/>
        <w:b/>
        <w:sz w:val="48"/>
      </w:rPr>
      <w:t>RO</w:t>
    </w:r>
    <w:r w:rsidRPr="00953535">
      <w:rPr>
        <w:rFonts w:ascii="Arial" w:hAnsi="Arial" w:cs="Arial"/>
        <w:b/>
        <w:sz w:val="48"/>
      </w:rPr>
      <w:tab/>
    </w:r>
    <w:r w:rsidRPr="00953535">
      <w:rPr>
        <w:rFonts w:ascii="Arial" w:hAnsi="Arial" w:cs="Arial"/>
        <w:b/>
        <w:sz w:val="48"/>
      </w:rPr>
      <w:tab/>
    </w:r>
    <w:r w:rsidRPr="00953535">
      <w:tab/>
    </w:r>
    <w:r w:rsidRPr="0095353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C258E" w14:textId="21E8D316" w:rsidR="00953535" w:rsidRPr="00953535" w:rsidRDefault="00953535" w:rsidP="00953535">
    <w:pPr>
      <w:pStyle w:val="FooterCoverPage"/>
      <w:rPr>
        <w:rFonts w:ascii="Arial" w:hAnsi="Arial" w:cs="Arial"/>
        <w:b/>
        <w:sz w:val="48"/>
      </w:rPr>
    </w:pPr>
    <w:r w:rsidRPr="00953535">
      <w:rPr>
        <w:rFonts w:ascii="Arial" w:hAnsi="Arial" w:cs="Arial"/>
        <w:b/>
        <w:sz w:val="48"/>
      </w:rPr>
      <w:t>RO</w:t>
    </w:r>
    <w:r w:rsidRPr="00953535">
      <w:rPr>
        <w:rFonts w:ascii="Arial" w:hAnsi="Arial" w:cs="Arial"/>
        <w:b/>
        <w:sz w:val="48"/>
      </w:rPr>
      <w:tab/>
    </w:r>
    <w:r w:rsidRPr="00953535">
      <w:rPr>
        <w:rFonts w:ascii="Arial" w:hAnsi="Arial" w:cs="Arial"/>
        <w:b/>
        <w:sz w:val="48"/>
      </w:rPr>
      <w:tab/>
    </w:r>
    <w:r w:rsidRPr="00953535">
      <w:tab/>
    </w:r>
    <w:r w:rsidRPr="0095353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501A1" w14:textId="77777777" w:rsidR="00953535" w:rsidRPr="00953535" w:rsidRDefault="00953535" w:rsidP="0095353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B0F80" w14:textId="77777777" w:rsidR="00CC4683" w:rsidRPr="00A359E1" w:rsidRDefault="00CC4683" w:rsidP="00663704">
    <w:pPr>
      <w:pStyle w:val="Footer"/>
      <w:rPr>
        <w:rFonts w:ascii="Arial" w:hAnsi="Arial" w:cs="Arial"/>
        <w:b/>
        <w:sz w:val="48"/>
      </w:rPr>
    </w:pPr>
    <w:r>
      <w:rPr>
        <w:rFonts w:ascii="Arial" w:hAnsi="Arial"/>
        <w:b/>
        <w:sz w:val="48"/>
      </w:rPr>
      <w:t>RO</w:t>
    </w:r>
    <w:r>
      <w:tab/>
    </w:r>
    <w:r>
      <w:tab/>
    </w:r>
    <w:r>
      <w:tab/>
    </w:r>
    <w:r>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3014343"/>
      <w:docPartObj>
        <w:docPartGallery w:val="Page Numbers (Bottom of Page)"/>
        <w:docPartUnique/>
      </w:docPartObj>
    </w:sdtPr>
    <w:sdtEndPr/>
    <w:sdtContent>
      <w:p w14:paraId="3C9D635D" w14:textId="2C73DEF4" w:rsidR="00CC4683" w:rsidRPr="00A359E1" w:rsidRDefault="00CC4683">
        <w:pPr>
          <w:pStyle w:val="Footer"/>
          <w:jc w:val="right"/>
        </w:pPr>
        <w:r>
          <w:fldChar w:fldCharType="begin"/>
        </w:r>
        <w:r>
          <w:instrText xml:space="preserve"> PAGE   \* MERGEFORMAT </w:instrText>
        </w:r>
        <w:r>
          <w:fldChar w:fldCharType="separate"/>
        </w:r>
        <w:r w:rsidR="00953535">
          <w:rPr>
            <w:noProof/>
          </w:rPr>
          <w:t>1</w:t>
        </w:r>
        <w:r>
          <w:fldChar w:fldCharType="end"/>
        </w:r>
      </w:p>
    </w:sdtContent>
  </w:sdt>
  <w:p w14:paraId="7CF9C6EA" w14:textId="77777777" w:rsidR="00CC4683" w:rsidRPr="00A359E1" w:rsidRDefault="00CC4683" w:rsidP="00663704">
    <w:pPr>
      <w:pStyle w:val="Footer"/>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8D061" w14:textId="77777777" w:rsidR="00CC4683" w:rsidRPr="00A359E1" w:rsidRDefault="00CC46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72D3E8" w14:textId="77777777" w:rsidR="007D2DF8" w:rsidRPr="00A359E1" w:rsidRDefault="007D2DF8" w:rsidP="00CC4683">
      <w:pPr>
        <w:spacing w:after="0" w:line="240" w:lineRule="auto"/>
      </w:pPr>
      <w:r>
        <w:separator/>
      </w:r>
    </w:p>
  </w:footnote>
  <w:footnote w:type="continuationSeparator" w:id="0">
    <w:p w14:paraId="7F47A1DA" w14:textId="77777777" w:rsidR="007D2DF8" w:rsidRPr="00A359E1" w:rsidRDefault="007D2DF8" w:rsidP="00CC4683">
      <w:pPr>
        <w:spacing w:after="0" w:line="240" w:lineRule="auto"/>
      </w:pPr>
      <w:r>
        <w:continuationSeparator/>
      </w:r>
    </w:p>
  </w:footnote>
  <w:footnote w:id="1">
    <w:p w14:paraId="2B38E047"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w:t>
      </w:r>
      <w:r w:rsidRPr="008D4701">
        <w:rPr>
          <w:rFonts w:ascii="Times New Roman" w:hAnsi="Times New Roman"/>
        </w:rPr>
        <w:t>2009</w:t>
      </w:r>
      <w:r>
        <w:rPr>
          <w:rFonts w:ascii="Times New Roman" w:hAnsi="Times New Roman"/>
        </w:rPr>
        <w:t>/</w:t>
      </w:r>
      <w:r w:rsidRPr="008D4701">
        <w:rPr>
          <w:rFonts w:ascii="Times New Roman" w:hAnsi="Times New Roman"/>
        </w:rPr>
        <w:t>52</w:t>
      </w:r>
      <w:r>
        <w:rPr>
          <w:rFonts w:ascii="Times New Roman" w:hAnsi="Times New Roman"/>
        </w:rPr>
        <w:t xml:space="preserve">/CE a Parlamentului European și a Consiliului din </w:t>
      </w:r>
      <w:r w:rsidRPr="008D4701">
        <w:rPr>
          <w:rFonts w:ascii="Times New Roman" w:hAnsi="Times New Roman"/>
        </w:rPr>
        <w:t>18</w:t>
      </w:r>
      <w:r>
        <w:rPr>
          <w:rFonts w:ascii="Times New Roman" w:hAnsi="Times New Roman"/>
        </w:rPr>
        <w:t xml:space="preserve"> iunie </w:t>
      </w:r>
      <w:r w:rsidRPr="008D4701">
        <w:rPr>
          <w:rFonts w:ascii="Times New Roman" w:hAnsi="Times New Roman"/>
        </w:rPr>
        <w:t>2009</w:t>
      </w:r>
      <w:r>
        <w:rPr>
          <w:rFonts w:ascii="Times New Roman" w:hAnsi="Times New Roman"/>
        </w:rPr>
        <w:t xml:space="preserve"> de stabilire a standardelor minime privind sancțiunile și măsurile la adresa angajatorilor de resortisanți din țări terțe aflați în situație de ședere ilegală, JO L </w:t>
      </w:r>
      <w:r w:rsidRPr="008D4701">
        <w:rPr>
          <w:rFonts w:ascii="Times New Roman" w:hAnsi="Times New Roman"/>
        </w:rPr>
        <w:t>168</w:t>
      </w:r>
      <w:r>
        <w:rPr>
          <w:rFonts w:ascii="Times New Roman" w:hAnsi="Times New Roman"/>
        </w:rPr>
        <w:t xml:space="preserve">, </w:t>
      </w:r>
      <w:r w:rsidRPr="008D4701">
        <w:rPr>
          <w:rFonts w:ascii="Times New Roman" w:hAnsi="Times New Roman"/>
        </w:rPr>
        <w:t>30</w:t>
      </w:r>
      <w:r>
        <w:rPr>
          <w:rFonts w:ascii="Times New Roman" w:hAnsi="Times New Roman"/>
        </w:rPr>
        <w:t>.</w:t>
      </w:r>
      <w:r w:rsidRPr="008D4701">
        <w:rPr>
          <w:rFonts w:ascii="Times New Roman" w:hAnsi="Times New Roman"/>
        </w:rPr>
        <w:t>6</w:t>
      </w:r>
      <w:r>
        <w:rPr>
          <w:rFonts w:ascii="Times New Roman" w:hAnsi="Times New Roman"/>
        </w:rPr>
        <w:t>.</w:t>
      </w:r>
      <w:r w:rsidRPr="008D4701">
        <w:rPr>
          <w:rFonts w:ascii="Times New Roman" w:hAnsi="Times New Roman"/>
        </w:rPr>
        <w:t>2009</w:t>
      </w:r>
      <w:r>
        <w:rPr>
          <w:rFonts w:ascii="Times New Roman" w:hAnsi="Times New Roman"/>
        </w:rPr>
        <w:t>, p. </w:t>
      </w:r>
      <w:r w:rsidRPr="008D4701">
        <w:rPr>
          <w:rFonts w:ascii="Times New Roman" w:hAnsi="Times New Roman"/>
        </w:rPr>
        <w:t>24</w:t>
      </w:r>
      <w:r>
        <w:rPr>
          <w:rFonts w:ascii="Times New Roman" w:hAnsi="Times New Roman"/>
        </w:rPr>
        <w:t>.</w:t>
      </w:r>
    </w:p>
  </w:footnote>
  <w:footnote w:id="2">
    <w:p w14:paraId="4000D88A" w14:textId="1474D3A6" w:rsidR="00077A20" w:rsidRPr="00A359E1" w:rsidRDefault="00077A20" w:rsidP="0046653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interzice angajarea „lucrătorilor resortisanți ai țărilor terțe aflați în situație de ședere ilegală”. În plus, directiva definește „angajarea ilegală” ca fiind angajarea unui resortisant dintr-o țară terță aflat în situație de ședere ilegală pe teritoriul unui stat membru [articolul </w:t>
      </w:r>
      <w:r w:rsidRPr="008D4701">
        <w:rPr>
          <w:rFonts w:ascii="Times New Roman" w:hAnsi="Times New Roman"/>
        </w:rPr>
        <w:t>2</w:t>
      </w:r>
      <w:r>
        <w:rPr>
          <w:rFonts w:ascii="Times New Roman" w:hAnsi="Times New Roman"/>
        </w:rPr>
        <w:t xml:space="preserve"> litera d)]. Prin urmare, formularea „angajare ilegală” va fi utilizată cu această conotație în întregul document, dar, din motive de concizie și claritate, textul se va referi la „lucrătorii migranți aflați în situație ilegală”.</w:t>
      </w:r>
    </w:p>
  </w:footnote>
  <w:footnote w:id="3">
    <w:p w14:paraId="7B7FEA50"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sidRPr="008D4701">
          <w:rPr>
            <w:rStyle w:val="Hyperlink"/>
            <w:rFonts w:ascii="Times New Roman" w:hAnsi="Times New Roman"/>
          </w:rPr>
          <w:t>Strategia europeană de gestionare a azilului și a migrației - Migrație și Afaceri Interne</w:t>
        </w:r>
      </w:hyperlink>
      <w:r>
        <w:rPr>
          <w:rFonts w:ascii="Times New Roman" w:hAnsi="Times New Roman"/>
        </w:rPr>
        <w:t>.</w:t>
      </w:r>
    </w:p>
  </w:footnote>
  <w:footnote w:id="4">
    <w:p w14:paraId="754D0A80" w14:textId="0DCE28AA" w:rsidR="00077A20" w:rsidRPr="00A359E1" w:rsidRDefault="00077A20" w:rsidP="00077A20">
      <w:pPr>
        <w:pStyle w:val="FootnoteText"/>
        <w:jc w:val="both"/>
        <w:rPr>
          <w:rFonts w:ascii="Times New Roman" w:hAnsi="Times New Roman" w:cs="Times New Roman"/>
          <w:highlight w:val="yellow"/>
        </w:rPr>
      </w:pPr>
      <w:r>
        <w:rPr>
          <w:rStyle w:val="FootnoteReference"/>
          <w:rFonts w:ascii="Times New Roman" w:hAnsi="Times New Roman" w:cs="Times New Roman"/>
        </w:rPr>
        <w:footnoteRef/>
      </w:r>
      <w:r>
        <w:rPr>
          <w:rFonts w:ascii="Times New Roman" w:hAnsi="Times New Roman"/>
        </w:rPr>
        <w:t xml:space="preserve"> </w:t>
      </w:r>
      <w:r w:rsidRPr="008D4701">
        <w:rPr>
          <w:rFonts w:ascii="Times New Roman" w:hAnsi="Times New Roman"/>
        </w:rPr>
        <w:t>14</w:t>
      </w:r>
      <w:r>
        <w:rPr>
          <w:rFonts w:ascii="Times New Roman" w:hAnsi="Times New Roman"/>
        </w:rPr>
        <w:t xml:space="preserve"> state membre, care au prezentat Comisiei strategiile naționale de gestionare a azilului și a migrației, și-au detaliat măsurile de combatere a angajării ilegale și de accelerare a punerii în aplicare a directivei (Bulgaria, Cipru, Croația, Cehia, Franța, Germania, Italia, Lituania, Letonia, Luxemburg, Țările de Jos, Slovenia, Suedia, Slovacia). Alte cinci state membre (Grecia, Polonia, Portugalia, România, Spania) au făcut referire, în strategiile lor naționale, la planurile lor de combatere a exploatării prin muncă, în special în ceea ce privește traficul de persoane în scopul exploatării prin muncă.</w:t>
      </w:r>
    </w:p>
  </w:footnote>
  <w:footnote w:id="5">
    <w:p w14:paraId="2798D20E" w14:textId="77777777" w:rsidR="00077A20" w:rsidRPr="00A359E1" w:rsidRDefault="00077A20" w:rsidP="00077A2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w:t>
      </w:r>
      <w:r w:rsidRPr="008D4701">
        <w:rPr>
          <w:rFonts w:ascii="Times New Roman" w:hAnsi="Times New Roman"/>
        </w:rPr>
        <w:t>2025</w:t>
      </w:r>
      <w:r>
        <w:rPr>
          <w:rFonts w:ascii="Times New Roman" w:hAnsi="Times New Roman"/>
        </w:rPr>
        <w:t xml:space="preserve">) </w:t>
      </w:r>
      <w:r w:rsidRPr="008D4701">
        <w:rPr>
          <w:rFonts w:ascii="Times New Roman" w:hAnsi="Times New Roman"/>
        </w:rPr>
        <w:t>944</w:t>
      </w:r>
      <w:r>
        <w:rPr>
          <w:rFonts w:ascii="Times New Roman" w:hAnsi="Times New Roman"/>
        </w:rPr>
        <w:t xml:space="preserve"> final.</w:t>
      </w:r>
    </w:p>
  </w:footnote>
  <w:footnote w:id="6">
    <w:p w14:paraId="2CBF18D0" w14:textId="77777777" w:rsidR="00077A20" w:rsidRPr="00A359E1" w:rsidRDefault="00077A20" w:rsidP="00077A20">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rPr>
        <w:t xml:space="preserve">Kierans, D. &amp; Kraler, A. (eds.). </w:t>
      </w:r>
      <w:r w:rsidRPr="008D4701">
        <w:rPr>
          <w:rFonts w:ascii="Times New Roman" w:hAnsi="Times New Roman"/>
          <w:i/>
          <w:iCs/>
        </w:rPr>
        <w:t>Handbook on Irregular Migration Data</w:t>
      </w:r>
      <w:r>
        <w:rPr>
          <w:rFonts w:ascii="Times New Roman" w:hAnsi="Times New Roman"/>
        </w:rPr>
        <w:t xml:space="preserve">. </w:t>
      </w:r>
      <w:r w:rsidRPr="008D4701">
        <w:rPr>
          <w:rFonts w:ascii="Times New Roman" w:hAnsi="Times New Roman"/>
          <w:i/>
          <w:iCs/>
        </w:rPr>
        <w:t>Concepts, Methods and Practices</w:t>
      </w:r>
      <w:r>
        <w:rPr>
          <w:rFonts w:ascii="Times New Roman" w:hAnsi="Times New Roman"/>
        </w:rPr>
        <w:t xml:space="preserve"> (Manual privind datele referitoare la migrația ilegală. Concepte, metode și practici). Krems: University of Krems Press, </w:t>
      </w:r>
      <w:r w:rsidRPr="008D4701">
        <w:rPr>
          <w:rFonts w:ascii="Times New Roman" w:hAnsi="Times New Roman"/>
        </w:rPr>
        <w:t>2025</w:t>
      </w:r>
      <w:r>
        <w:rPr>
          <w:rFonts w:ascii="Times New Roman" w:hAnsi="Times New Roman"/>
        </w:rPr>
        <w:t xml:space="preserve">. </w:t>
      </w:r>
      <w:hyperlink r:id="rId2" w:history="1">
        <w:r w:rsidRPr="008D4701">
          <w:rPr>
            <w:rStyle w:val="Hyperlink"/>
            <w:rFonts w:ascii="Times New Roman" w:hAnsi="Times New Roman"/>
          </w:rPr>
          <w:t>https://doi.org/10.48341/g31s-vq79</w:t>
        </w:r>
      </w:hyperlink>
      <w:r>
        <w:t>.</w:t>
      </w:r>
      <w:r>
        <w:rPr>
          <w:rFonts w:ascii="Times New Roman" w:hAnsi="Times New Roman"/>
        </w:rPr>
        <w:t xml:space="preserve"> </w:t>
      </w:r>
    </w:p>
  </w:footnote>
  <w:footnote w:id="7">
    <w:p w14:paraId="3B2A927F" w14:textId="77777777" w:rsidR="00077A20" w:rsidRPr="00A359E1" w:rsidRDefault="00077A20" w:rsidP="00077A2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w:t>
      </w:r>
      <w:r w:rsidRPr="008D4701">
        <w:rPr>
          <w:rFonts w:ascii="Times New Roman" w:hAnsi="Times New Roman"/>
        </w:rPr>
        <w:t>2021</w:t>
      </w:r>
      <w:r>
        <w:rPr>
          <w:rFonts w:ascii="Times New Roman" w:hAnsi="Times New Roman"/>
        </w:rPr>
        <w:t xml:space="preserve">) </w:t>
      </w:r>
      <w:r w:rsidRPr="008D4701">
        <w:rPr>
          <w:rFonts w:ascii="Times New Roman" w:hAnsi="Times New Roman"/>
        </w:rPr>
        <w:t>592</w:t>
      </w:r>
      <w:r>
        <w:rPr>
          <w:rFonts w:ascii="Times New Roman" w:hAnsi="Times New Roman"/>
        </w:rPr>
        <w:t xml:space="preserve"> final.</w:t>
      </w:r>
    </w:p>
  </w:footnote>
  <w:footnote w:id="8">
    <w:p w14:paraId="4795D15F" w14:textId="413FAB9E" w:rsidR="00F72956" w:rsidRPr="00A359E1" w:rsidRDefault="00F72956" w:rsidP="00A3754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w:t>
      </w:r>
      <w:hyperlink r:id="rId3" w:history="1">
        <w:r w:rsidRPr="008D4701">
          <w:rPr>
            <w:rStyle w:val="Hyperlink"/>
            <w:rFonts w:ascii="Times New Roman" w:hAnsi="Times New Roman"/>
          </w:rPr>
          <w:t>Platforma privind migrația forței de muncă - Migrație și Afaceri Interne</w:t>
        </w:r>
      </w:hyperlink>
      <w:r>
        <w:rPr>
          <w:rFonts w:ascii="Times New Roman" w:hAnsi="Times New Roman"/>
        </w:rPr>
        <w:t xml:space="preserve">. Grupul de experți se reunește de două ori pe an începând din </w:t>
      </w:r>
      <w:r w:rsidRPr="008D4701">
        <w:rPr>
          <w:rFonts w:ascii="Times New Roman" w:hAnsi="Times New Roman"/>
        </w:rPr>
        <w:t>2021</w:t>
      </w:r>
      <w:r>
        <w:rPr>
          <w:rFonts w:ascii="Times New Roman" w:hAnsi="Times New Roman"/>
        </w:rPr>
        <w:t xml:space="preserve">. </w:t>
      </w:r>
    </w:p>
  </w:footnote>
  <w:footnote w:id="9">
    <w:p w14:paraId="320FC0F1" w14:textId="3778199E" w:rsidR="00077A20" w:rsidRPr="00C03886" w:rsidRDefault="003758FB" w:rsidP="00077A20">
      <w:pPr>
        <w:pStyle w:val="FootnoteText"/>
        <w:rPr>
          <w:rFonts w:ascii="Times New Roman" w:hAnsi="Times New Roman" w:cs="Times New Roman"/>
        </w:rPr>
      </w:pPr>
      <w:r>
        <w:rPr>
          <w:rFonts w:ascii="Times New Roman" w:hAnsi="Times New Roman"/>
        </w:rPr>
        <w:t xml:space="preserve"> </w:t>
      </w:r>
      <w:r w:rsidR="00077A20">
        <w:rPr>
          <w:rStyle w:val="FootnoteReference"/>
          <w:rFonts w:ascii="Times New Roman" w:hAnsi="Times New Roman" w:cs="Times New Roman"/>
        </w:rPr>
        <w:footnoteRef/>
      </w:r>
      <w:r w:rsidR="00077A20">
        <w:rPr>
          <w:rFonts w:ascii="Times New Roman" w:hAnsi="Times New Roman"/>
        </w:rPr>
        <w:t xml:space="preserve"> Datele pentru </w:t>
      </w:r>
      <w:r w:rsidR="00077A20" w:rsidRPr="008D4701">
        <w:rPr>
          <w:rFonts w:ascii="Times New Roman" w:hAnsi="Times New Roman"/>
        </w:rPr>
        <w:t>2025</w:t>
      </w:r>
      <w:r w:rsidR="00077A20">
        <w:rPr>
          <w:rFonts w:ascii="Times New Roman" w:hAnsi="Times New Roman"/>
        </w:rPr>
        <w:t xml:space="preserve"> vor fi disponibile numai după jumătatea anului </w:t>
      </w:r>
      <w:r w:rsidR="00077A20" w:rsidRPr="008D4701">
        <w:rPr>
          <w:rFonts w:ascii="Times New Roman" w:hAnsi="Times New Roman"/>
        </w:rPr>
        <w:t>2026</w:t>
      </w:r>
      <w:r w:rsidR="00077A20">
        <w:rPr>
          <w:rFonts w:ascii="Times New Roman" w:hAnsi="Times New Roman"/>
        </w:rPr>
        <w:t>.</w:t>
      </w:r>
    </w:p>
  </w:footnote>
  <w:footnote w:id="10">
    <w:p w14:paraId="2169BAEA" w14:textId="65295F04" w:rsidR="00077A20" w:rsidRPr="00C03886" w:rsidRDefault="00077A20" w:rsidP="00077A2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w:t>
      </w:r>
      <w:r w:rsidRPr="008D4701">
        <w:rPr>
          <w:rFonts w:ascii="Times New Roman" w:hAnsi="Times New Roman"/>
        </w:rPr>
        <w:t>2026</w:t>
      </w:r>
      <w:r>
        <w:rPr>
          <w:rFonts w:ascii="Times New Roman" w:hAnsi="Times New Roman"/>
        </w:rPr>
        <w:t xml:space="preserve">) </w:t>
      </w:r>
      <w:r w:rsidRPr="008D4701">
        <w:rPr>
          <w:rFonts w:ascii="Times New Roman" w:hAnsi="Times New Roman"/>
        </w:rPr>
        <w:t>261</w:t>
      </w:r>
      <w:r>
        <w:rPr>
          <w:rFonts w:ascii="Times New Roman" w:hAnsi="Times New Roman"/>
        </w:rPr>
        <w:t xml:space="preserve"> final.</w:t>
      </w:r>
    </w:p>
  </w:footnote>
  <w:footnote w:id="11">
    <w:p w14:paraId="0734E7C4" w14:textId="01911FA8" w:rsidR="00C03886" w:rsidRPr="00C03886" w:rsidRDefault="00C03886">
      <w:pPr>
        <w:pStyle w:val="FootnoteText"/>
      </w:pPr>
      <w:r>
        <w:rPr>
          <w:rStyle w:val="FootnoteReference"/>
          <w:rFonts w:ascii="Times New Roman" w:hAnsi="Times New Roman" w:cs="Times New Roman"/>
        </w:rPr>
        <w:footnoteRef/>
      </w:r>
      <w:r w:rsidR="003758FB">
        <w:rPr>
          <w:rFonts w:ascii="Times New Roman" w:hAnsi="Times New Roman"/>
        </w:rPr>
        <w:t xml:space="preserve"> </w:t>
      </w:r>
      <w:r>
        <w:rPr>
          <w:rFonts w:ascii="Times New Roman" w:hAnsi="Times New Roman"/>
        </w:rPr>
        <w:t>Danemarca și Irlanda au ales să nu participe.</w:t>
      </w:r>
    </w:p>
  </w:footnote>
  <w:footnote w:id="12">
    <w:p w14:paraId="70346E6C" w14:textId="6DAC4867" w:rsidR="00077A20" w:rsidRPr="00A359E1" w:rsidRDefault="00077A20" w:rsidP="00077A20">
      <w:pPr>
        <w:pStyle w:val="FootnoteText"/>
        <w:jc w:val="both"/>
        <w:rPr>
          <w:rFonts w:ascii="Times New Roman" w:eastAsia="Times New Roman" w:hAnsi="Times New Roman" w:cs="Times New Roman"/>
        </w:rPr>
      </w:pPr>
      <w:r>
        <w:rPr>
          <w:rFonts w:ascii="Times New Roman" w:hAnsi="Times New Roman" w:cs="Times New Roman"/>
          <w:vertAlign w:val="superscript"/>
        </w:rPr>
        <w:footnoteRef/>
      </w:r>
      <w:r>
        <w:rPr>
          <w:rFonts w:ascii="Times New Roman" w:hAnsi="Times New Roman"/>
        </w:rPr>
        <w:t xml:space="preserve"> De exemplu, Letonia, Țările de Jos și Suedia.</w:t>
      </w:r>
    </w:p>
  </w:footnote>
  <w:footnote w:id="13">
    <w:p w14:paraId="267D0B67" w14:textId="61AD8441" w:rsidR="00077A20" w:rsidRPr="00A359E1" w:rsidRDefault="00077A20" w:rsidP="00077A20">
      <w:pPr>
        <w:pStyle w:val="FootnoteText"/>
        <w:jc w:val="both"/>
        <w:rPr>
          <w:rFonts w:ascii="Times New Roman" w:eastAsia="Times New Roman" w:hAnsi="Times New Roman" w:cs="Times New Roman"/>
        </w:rPr>
      </w:pPr>
      <w:r>
        <w:rPr>
          <w:rFonts w:ascii="Times New Roman" w:hAnsi="Times New Roman" w:cs="Times New Roman"/>
          <w:vertAlign w:val="superscript"/>
        </w:rPr>
        <w:footnoteRef/>
      </w:r>
      <w:r>
        <w:rPr>
          <w:rFonts w:ascii="Times New Roman" w:hAnsi="Times New Roman"/>
        </w:rPr>
        <w:t xml:space="preserve"> De exemplu, Belgia, Ungaria și Slovenia.</w:t>
      </w:r>
    </w:p>
  </w:footnote>
  <w:footnote w:id="14">
    <w:p w14:paraId="262B2857" w14:textId="790D4B0F" w:rsidR="00077A20" w:rsidRPr="00A359E1" w:rsidRDefault="00077A20" w:rsidP="00077A20">
      <w:pPr>
        <w:pStyle w:val="FootnoteText"/>
        <w:jc w:val="both"/>
        <w:rPr>
          <w:rFonts w:ascii="Times New Roman" w:eastAsia="Aptos" w:hAnsi="Times New Roman" w:cs="Times New Roman"/>
        </w:rPr>
      </w:pPr>
      <w:r w:rsidRPr="008D4701">
        <w:rPr>
          <w:rFonts w:ascii="Times New Roman" w:hAnsi="Times New Roman"/>
          <w:vertAlign w:val="superscript"/>
        </w:rPr>
        <w:t>14</w:t>
      </w:r>
      <w:r>
        <w:rPr>
          <w:rFonts w:ascii="Times New Roman" w:hAnsi="Times New Roman"/>
          <w:color w:val="000000" w:themeColor="text1"/>
        </w:rPr>
        <w:t xml:space="preserve"> De exemplu, </w:t>
      </w:r>
      <w:r>
        <w:rPr>
          <w:rFonts w:ascii="Times New Roman" w:hAnsi="Times New Roman"/>
        </w:rPr>
        <w:t>Belgia</w:t>
      </w:r>
      <w:r>
        <w:rPr>
          <w:rFonts w:ascii="Times New Roman" w:hAnsi="Times New Roman"/>
          <w:color w:val="000000" w:themeColor="text1"/>
        </w:rPr>
        <w:t xml:space="preserve">, Bulgaria, Croația, Grecia, Țările de Jos și Suedia. </w:t>
      </w:r>
      <w:r>
        <w:rPr>
          <w:rFonts w:ascii="Times New Roman" w:hAnsi="Times New Roman"/>
        </w:rPr>
        <w:t xml:space="preserve"> </w:t>
      </w:r>
    </w:p>
  </w:footnote>
  <w:footnote w:id="15">
    <w:p w14:paraId="60B754BD" w14:textId="77777777" w:rsidR="00077A20" w:rsidRPr="00A359E1" w:rsidRDefault="00077A20" w:rsidP="00077A20">
      <w:pPr>
        <w:pStyle w:val="FootnoteText"/>
        <w:jc w:val="both"/>
        <w:rPr>
          <w:rFonts w:ascii="Times New Roman" w:eastAsia="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 xml:space="preserve">Belgia, Bulgaria, Finlanda, România și Slovenia. </w:t>
      </w:r>
    </w:p>
  </w:footnote>
  <w:footnote w:id="16">
    <w:p w14:paraId="743ACD45" w14:textId="77777777" w:rsidR="00077A20" w:rsidRPr="00A359E1" w:rsidRDefault="00077A20" w:rsidP="00077A20">
      <w:pPr>
        <w:pStyle w:val="FootnoteText"/>
        <w:jc w:val="both"/>
        <w:rPr>
          <w:rFonts w:ascii="Times New Roman" w:eastAsia="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Ungaria, Suedia.</w:t>
      </w:r>
    </w:p>
  </w:footnote>
  <w:footnote w:id="17">
    <w:p w14:paraId="0EE1BE84" w14:textId="1E3B8142" w:rsidR="00077A20" w:rsidRPr="00A359E1" w:rsidRDefault="00077A20" w:rsidP="00077A20">
      <w:pPr>
        <w:pStyle w:val="FootnoteText"/>
        <w:jc w:val="both"/>
        <w:rPr>
          <w:rFonts w:ascii="Times New Roman" w:eastAsia="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De exemplu, Austria.</w:t>
      </w:r>
    </w:p>
  </w:footnote>
  <w:footnote w:id="18">
    <w:p w14:paraId="0556778B" w14:textId="77777777" w:rsidR="00077A20" w:rsidRPr="00A359E1" w:rsidRDefault="00077A20" w:rsidP="00077A20">
      <w:pPr>
        <w:pStyle w:val="FootnoteText"/>
        <w:jc w:val="both"/>
        <w:rPr>
          <w:rFonts w:ascii="Times New Roman" w:eastAsia="Times New Roman" w:hAnsi="Times New Roman" w:cs="Times New Roman"/>
        </w:rPr>
      </w:pPr>
      <w:r>
        <w:rPr>
          <w:rFonts w:ascii="Times New Roman" w:hAnsi="Times New Roman" w:cs="Times New Roman"/>
          <w:vertAlign w:val="superscript"/>
        </w:rPr>
        <w:footnoteRef/>
      </w:r>
      <w:r>
        <w:rPr>
          <w:rFonts w:ascii="Times New Roman" w:hAnsi="Times New Roman"/>
        </w:rPr>
        <w:t xml:space="preserve"> Croația, Malta, România, Slovacia.</w:t>
      </w:r>
    </w:p>
  </w:footnote>
  <w:footnote w:id="19">
    <w:p w14:paraId="6134BBB4" w14:textId="77777777" w:rsidR="00077A20" w:rsidRPr="00A359E1" w:rsidRDefault="00077A20" w:rsidP="00077A20">
      <w:pPr>
        <w:pStyle w:val="FootnoteText"/>
        <w:jc w:val="both"/>
        <w:rPr>
          <w:rFonts w:ascii="Times New Roman" w:eastAsia="Times New Roman" w:hAnsi="Times New Roman" w:cs="Times New Roman"/>
        </w:rPr>
      </w:pPr>
      <w:r>
        <w:rPr>
          <w:rFonts w:ascii="Times New Roman" w:hAnsi="Times New Roman" w:cs="Times New Roman"/>
          <w:vertAlign w:val="superscript"/>
        </w:rPr>
        <w:footnoteRef/>
      </w:r>
      <w:r>
        <w:rPr>
          <w:rFonts w:ascii="Times New Roman" w:hAnsi="Times New Roman"/>
        </w:rPr>
        <w:t xml:space="preserve"> Belgia, Bulgaria, Grecia.</w:t>
      </w:r>
    </w:p>
  </w:footnote>
  <w:footnote w:id="20">
    <w:p w14:paraId="3F11C8AD" w14:textId="44596AD0" w:rsidR="00077A20" w:rsidRPr="00A359E1" w:rsidRDefault="00077A20" w:rsidP="00077A20">
      <w:pPr>
        <w:pStyle w:val="FootnoteText"/>
        <w:jc w:val="both"/>
        <w:rPr>
          <w:rFonts w:ascii="Times New Roman" w:eastAsia="Calibri"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Toate statele membre care au obligații în temeiul directivei, mai puțin </w:t>
      </w:r>
      <w:r>
        <w:rPr>
          <w:rFonts w:ascii="Times New Roman" w:hAnsi="Times New Roman"/>
          <w:color w:val="000000" w:themeColor="text1"/>
        </w:rPr>
        <w:t>Franța, Grecia, Luxemburg, Țările de Jos și Suedia.</w:t>
      </w:r>
    </w:p>
  </w:footnote>
  <w:footnote w:id="21">
    <w:p w14:paraId="284C57FC"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Pr="008D4701">
        <w:rPr>
          <w:rFonts w:ascii="Times New Roman" w:hAnsi="Times New Roman"/>
        </w:rPr>
        <w:t>21</w:t>
      </w:r>
      <w:r>
        <w:rPr>
          <w:rFonts w:ascii="Times New Roman" w:hAnsi="Times New Roman"/>
        </w:rPr>
        <w:t xml:space="preserve"> de state membre din cele </w:t>
      </w:r>
      <w:r w:rsidRPr="008D4701">
        <w:rPr>
          <w:rFonts w:ascii="Times New Roman" w:hAnsi="Times New Roman"/>
        </w:rPr>
        <w:t>25</w:t>
      </w:r>
      <w:r>
        <w:rPr>
          <w:rFonts w:ascii="Times New Roman" w:hAnsi="Times New Roman"/>
        </w:rPr>
        <w:t xml:space="preserve"> vizate de directivă. Fac excepție Franța, Grecia, Luxemburg și Suedia.</w:t>
      </w:r>
    </w:p>
  </w:footnote>
  <w:footnote w:id="22">
    <w:p w14:paraId="13D82ECC" w14:textId="36352B89" w:rsidR="00077A20" w:rsidRPr="00A359E1" w:rsidRDefault="00077A20" w:rsidP="00077A20">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Cehia și, respectiv, Franța. </w:t>
      </w:r>
    </w:p>
  </w:footnote>
  <w:footnote w:id="23">
    <w:p w14:paraId="67881030"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Cehia, Franța, Italia, Portugalia.</w:t>
      </w:r>
    </w:p>
  </w:footnote>
  <w:footnote w:id="24">
    <w:p w14:paraId="69E1F799"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Austria.</w:t>
      </w:r>
    </w:p>
  </w:footnote>
  <w:footnote w:id="25">
    <w:p w14:paraId="1CE49395" w14:textId="07B71651" w:rsidR="00077A20" w:rsidRPr="00A359E1" w:rsidRDefault="00077A20" w:rsidP="00077A20">
      <w:pPr>
        <w:pStyle w:val="FootnoteText"/>
        <w:jc w:val="both"/>
        <w:rPr>
          <w:rFonts w:ascii="Times New Roman" w:eastAsia="Calibri"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De exemplu, Bulgaria, Finlanda și Slovenia</w:t>
      </w:r>
      <w:r>
        <w:rPr>
          <w:rFonts w:ascii="Times New Roman" w:hAnsi="Times New Roman"/>
          <w:color w:val="000000" w:themeColor="text1"/>
        </w:rPr>
        <w:t>.</w:t>
      </w:r>
    </w:p>
  </w:footnote>
  <w:footnote w:id="26">
    <w:p w14:paraId="07FE7D4B" w14:textId="77777777" w:rsidR="00077A20" w:rsidRPr="00A359E1" w:rsidRDefault="00077A20" w:rsidP="00077A20">
      <w:pPr>
        <w:pStyle w:val="FootnoteText"/>
        <w:jc w:val="both"/>
        <w:rPr>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Belgia, Grecia, Luxemburg, Slovenia</w:t>
      </w:r>
      <w:r>
        <w:rPr>
          <w:rFonts w:ascii="Times New Roman" w:hAnsi="Times New Roman"/>
          <w:color w:val="000000" w:themeColor="text1"/>
        </w:rPr>
        <w:t>.</w:t>
      </w:r>
    </w:p>
  </w:footnote>
  <w:footnote w:id="27">
    <w:p w14:paraId="491968A2"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Ungaria, Suedia.</w:t>
      </w:r>
    </w:p>
  </w:footnote>
  <w:footnote w:id="28">
    <w:p w14:paraId="722A59C1" w14:textId="172B71C3" w:rsidR="00516894" w:rsidRPr="00A359E1" w:rsidRDefault="00516894" w:rsidP="00AD6464">
      <w:pPr>
        <w:pStyle w:val="FootnoteText"/>
        <w:jc w:val="both"/>
      </w:pPr>
      <w:r>
        <w:rPr>
          <w:rStyle w:val="FootnoteReference"/>
        </w:rPr>
        <w:footnoteRef/>
      </w:r>
      <w:r>
        <w:t xml:space="preserve"> </w:t>
      </w:r>
      <w:r>
        <w:rPr>
          <w:rFonts w:ascii="Times New Roman" w:hAnsi="Times New Roman"/>
        </w:rPr>
        <w:t xml:space="preserve">Facilitarea depunerii plângerilor de către lucrătorii din țările terțe aflați în situație de ședere ilegală și a efectuării plăților restante către aceștia – Sondaj la scară mică realizat de Agenția pentru Drepturi Fundamentale în rândul sindicatelor și al societății civile – principalele rezultate, </w:t>
      </w:r>
      <w:r w:rsidRPr="008D4701">
        <w:rPr>
          <w:rFonts w:ascii="Times New Roman" w:hAnsi="Times New Roman"/>
        </w:rPr>
        <w:t>5</w:t>
      </w:r>
      <w:r>
        <w:rPr>
          <w:rFonts w:ascii="Times New Roman" w:hAnsi="Times New Roman"/>
        </w:rPr>
        <w:t xml:space="preserve"> iunie </w:t>
      </w:r>
      <w:r w:rsidRPr="008D4701">
        <w:rPr>
          <w:rFonts w:ascii="Times New Roman" w:hAnsi="Times New Roman"/>
        </w:rPr>
        <w:t>2025</w:t>
      </w:r>
      <w:r>
        <w:rPr>
          <w:rFonts w:ascii="Times New Roman" w:hAnsi="Times New Roman"/>
        </w:rPr>
        <w:t>.</w:t>
      </w:r>
    </w:p>
  </w:footnote>
  <w:footnote w:id="29">
    <w:p w14:paraId="6ECFE624" w14:textId="410ED9D7" w:rsidR="00077A20" w:rsidRPr="00A359E1" w:rsidRDefault="00077A20" w:rsidP="009377DF">
      <w:pPr>
        <w:pStyle w:val="FootnoteText"/>
        <w:jc w:val="both"/>
        <w:rPr>
          <w:rFonts w:ascii="Times New Roman" w:hAnsi="Times New Roman" w:cs="Times New Roman"/>
        </w:rPr>
      </w:pPr>
      <w:r>
        <w:rPr>
          <w:rStyle w:val="FootnoteReference"/>
          <w:rFonts w:ascii="Times New Roman" w:hAnsi="Times New Roman" w:cs="Times New Roman"/>
        </w:rPr>
        <w:footnoteRef/>
      </w:r>
      <w:r w:rsidR="003758FB">
        <w:rPr>
          <w:rFonts w:ascii="Times New Roman" w:hAnsi="Times New Roman"/>
        </w:rPr>
        <w:t xml:space="preserve"> </w:t>
      </w:r>
      <w:r>
        <w:rPr>
          <w:rFonts w:ascii="Times New Roman" w:hAnsi="Times New Roman"/>
        </w:rPr>
        <w:t xml:space="preserve">Anul </w:t>
      </w:r>
      <w:r w:rsidRPr="008D4701">
        <w:rPr>
          <w:rFonts w:ascii="Times New Roman" w:hAnsi="Times New Roman"/>
        </w:rPr>
        <w:t>2019</w:t>
      </w:r>
      <w:r>
        <w:rPr>
          <w:rFonts w:ascii="Times New Roman" w:hAnsi="Times New Roman"/>
        </w:rPr>
        <w:t xml:space="preserve"> este folosit ca termen de comparație în perioada de raportare anterioară, întrucât anul </w:t>
      </w:r>
      <w:r w:rsidRPr="008D4701">
        <w:rPr>
          <w:rFonts w:ascii="Times New Roman" w:hAnsi="Times New Roman"/>
        </w:rPr>
        <w:t>2020</w:t>
      </w:r>
      <w:r>
        <w:rPr>
          <w:rFonts w:ascii="Times New Roman" w:hAnsi="Times New Roman"/>
        </w:rPr>
        <w:t xml:space="preserve"> a fost afectat în mod excepțional de pandemia de COVID-</w:t>
      </w:r>
      <w:r w:rsidRPr="008D4701">
        <w:rPr>
          <w:rFonts w:ascii="Times New Roman" w:hAnsi="Times New Roman"/>
        </w:rPr>
        <w:t>19</w:t>
      </w:r>
      <w:r>
        <w:rPr>
          <w:rFonts w:ascii="Times New Roman" w:hAnsi="Times New Roman"/>
        </w:rPr>
        <w:t>.</w:t>
      </w:r>
    </w:p>
  </w:footnote>
  <w:footnote w:id="30">
    <w:p w14:paraId="38BCE45F" w14:textId="0239144C" w:rsidR="00077A20" w:rsidRPr="00A359E1" w:rsidRDefault="00077A20" w:rsidP="009377D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Pr="008D4701">
        <w:rPr>
          <w:rFonts w:ascii="Times New Roman" w:hAnsi="Times New Roman"/>
        </w:rPr>
        <w:t>18</w:t>
      </w:r>
      <w:r>
        <w:rPr>
          <w:rFonts w:ascii="Times New Roman" w:hAnsi="Times New Roman"/>
        </w:rPr>
        <w:t> </w:t>
      </w:r>
      <w:r w:rsidRPr="008D4701">
        <w:rPr>
          <w:rFonts w:ascii="Times New Roman" w:hAnsi="Times New Roman"/>
        </w:rPr>
        <w:t>700</w:t>
      </w:r>
      <w:r>
        <w:rPr>
          <w:rFonts w:ascii="Times New Roman" w:hAnsi="Times New Roman"/>
        </w:rPr>
        <w:t xml:space="preserve"> în </w:t>
      </w:r>
      <w:r w:rsidRPr="008D4701">
        <w:rPr>
          <w:rFonts w:ascii="Times New Roman" w:hAnsi="Times New Roman"/>
        </w:rPr>
        <w:t>2021</w:t>
      </w:r>
      <w:r>
        <w:rPr>
          <w:rFonts w:ascii="Times New Roman" w:hAnsi="Times New Roman"/>
        </w:rPr>
        <w:t xml:space="preserve">, </w:t>
      </w:r>
      <w:r w:rsidRPr="008D4701">
        <w:rPr>
          <w:rFonts w:ascii="Times New Roman" w:hAnsi="Times New Roman"/>
        </w:rPr>
        <w:t>22</w:t>
      </w:r>
      <w:r>
        <w:rPr>
          <w:rFonts w:ascii="Times New Roman" w:hAnsi="Times New Roman"/>
        </w:rPr>
        <w:t> </w:t>
      </w:r>
      <w:r w:rsidRPr="008D4701">
        <w:rPr>
          <w:rFonts w:ascii="Times New Roman" w:hAnsi="Times New Roman"/>
        </w:rPr>
        <w:t>800</w:t>
      </w:r>
      <w:r>
        <w:rPr>
          <w:rFonts w:ascii="Times New Roman" w:hAnsi="Times New Roman"/>
        </w:rPr>
        <w:t xml:space="preserve"> în </w:t>
      </w:r>
      <w:r w:rsidRPr="008D4701">
        <w:rPr>
          <w:rFonts w:ascii="Times New Roman" w:hAnsi="Times New Roman"/>
        </w:rPr>
        <w:t>2022</w:t>
      </w:r>
      <w:r>
        <w:rPr>
          <w:rFonts w:ascii="Times New Roman" w:hAnsi="Times New Roman"/>
        </w:rPr>
        <w:t xml:space="preserve">, </w:t>
      </w:r>
      <w:r w:rsidRPr="008D4701">
        <w:rPr>
          <w:rFonts w:ascii="Times New Roman" w:hAnsi="Times New Roman"/>
        </w:rPr>
        <w:t>28</w:t>
      </w:r>
      <w:r>
        <w:rPr>
          <w:rFonts w:ascii="Times New Roman" w:hAnsi="Times New Roman"/>
        </w:rPr>
        <w:t> </w:t>
      </w:r>
      <w:r w:rsidRPr="008D4701">
        <w:rPr>
          <w:rFonts w:ascii="Times New Roman" w:hAnsi="Times New Roman"/>
        </w:rPr>
        <w:t>800</w:t>
      </w:r>
      <w:r>
        <w:rPr>
          <w:rFonts w:ascii="Times New Roman" w:hAnsi="Times New Roman"/>
        </w:rPr>
        <w:t xml:space="preserve"> în </w:t>
      </w:r>
      <w:r w:rsidRPr="008D4701">
        <w:rPr>
          <w:rFonts w:ascii="Times New Roman" w:hAnsi="Times New Roman"/>
        </w:rPr>
        <w:t>2023</w:t>
      </w:r>
      <w:r>
        <w:rPr>
          <w:rFonts w:ascii="Times New Roman" w:hAnsi="Times New Roman"/>
        </w:rPr>
        <w:t xml:space="preserve"> și </w:t>
      </w:r>
      <w:r w:rsidRPr="008D4701">
        <w:rPr>
          <w:rFonts w:ascii="Times New Roman" w:hAnsi="Times New Roman"/>
        </w:rPr>
        <w:t>28</w:t>
      </w:r>
      <w:r>
        <w:rPr>
          <w:rFonts w:ascii="Times New Roman" w:hAnsi="Times New Roman"/>
        </w:rPr>
        <w:t> </w:t>
      </w:r>
      <w:r w:rsidRPr="008D4701">
        <w:rPr>
          <w:rFonts w:ascii="Times New Roman" w:hAnsi="Times New Roman"/>
        </w:rPr>
        <w:t>406</w:t>
      </w:r>
      <w:r>
        <w:rPr>
          <w:rFonts w:ascii="Times New Roman" w:hAnsi="Times New Roman"/>
        </w:rPr>
        <w:t xml:space="preserve"> în </w:t>
      </w:r>
      <w:r w:rsidRPr="008D4701">
        <w:rPr>
          <w:rFonts w:ascii="Times New Roman" w:hAnsi="Times New Roman"/>
        </w:rPr>
        <w:t>2024</w:t>
      </w:r>
      <w:r>
        <w:rPr>
          <w:rFonts w:ascii="Times New Roman" w:hAnsi="Times New Roman"/>
        </w:rPr>
        <w:t xml:space="preserve">. </w:t>
      </w:r>
    </w:p>
  </w:footnote>
  <w:footnote w:id="31">
    <w:p w14:paraId="4191DC90" w14:textId="77777777" w:rsidR="00077A20" w:rsidRPr="00A359E1" w:rsidRDefault="00077A20" w:rsidP="009377DF">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rPr>
        <w:t xml:space="preserve">Austria, Germania, Franța, Italia, Țările de Jos, Spania. </w:t>
      </w:r>
    </w:p>
  </w:footnote>
  <w:footnote w:id="32">
    <w:p w14:paraId="13C7682B" w14:textId="53CDFF54" w:rsidR="00077A20" w:rsidRPr="00A359E1" w:rsidRDefault="00077A20" w:rsidP="009377D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Procedură înseamnă orice acțiune întreprinsă de autoritățile statelor membre în urma unei inspecții, care conduce la o sancțiune administrativă sau penală.</w:t>
      </w:r>
    </w:p>
  </w:footnote>
  <w:footnote w:id="33">
    <w:p w14:paraId="63F3E3A7" w14:textId="77777777" w:rsidR="00077A20" w:rsidRPr="00A359E1" w:rsidRDefault="00077A20" w:rsidP="009377DF">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rPr>
        <w:t xml:space="preserve">Austria, Spania, urmate de Belgia, Germania, Franța, Italia, Țările de Jos. </w:t>
      </w:r>
    </w:p>
  </w:footnote>
  <w:footnote w:id="34">
    <w:p w14:paraId="1E717A0D" w14:textId="77777777" w:rsidR="00077A20" w:rsidRPr="00A359E1" w:rsidRDefault="00077A20" w:rsidP="009377D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Belgia, Bulgaria, Croația, Estonia, Finlanda, Franța, Ungaria, Lituania, Luxemburg, Țările de Jos, Polonia, Slovacia, Slovenia, Spania, Suedia.</w:t>
      </w:r>
    </w:p>
  </w:footnote>
  <w:footnote w:id="35">
    <w:p w14:paraId="02640C49" w14:textId="39356E7E" w:rsidR="00077A20" w:rsidRPr="00A359E1" w:rsidRDefault="00077A20" w:rsidP="009377DF">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Excepțiile parțiale sunt Slovacia, care a redus rata sancțiunilor, dar continuă să aplice unele dintre cele mai mari sancțiuni financiare maxime, și Portugalia, care nu a modificat cuantumul sancțiunilor financiare.</w:t>
      </w:r>
    </w:p>
  </w:footnote>
  <w:footnote w:id="36">
    <w:p w14:paraId="5337EB8A" w14:textId="45D74ABA" w:rsidR="00077A20" w:rsidRPr="00A359E1" w:rsidRDefault="00077A20" w:rsidP="009377DF">
      <w:pPr>
        <w:pStyle w:val="FootnoteText"/>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rPr>
        <w:t>Estonia, Franța, Ungaria, Lituania, Polonia, Portugalia.</w:t>
      </w:r>
    </w:p>
  </w:footnote>
  <w:footnote w:id="37">
    <w:p w14:paraId="2353EE9E" w14:textId="77777777" w:rsidR="00077A20" w:rsidRPr="00A359E1" w:rsidRDefault="00077A20" w:rsidP="009377D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Suedia.</w:t>
      </w:r>
    </w:p>
  </w:footnote>
  <w:footnote w:id="38">
    <w:p w14:paraId="65F5F9F0" w14:textId="77777777" w:rsidR="00077A20" w:rsidRPr="00A359E1" w:rsidRDefault="00077A20" w:rsidP="009377D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Luxemburg.</w:t>
      </w:r>
    </w:p>
  </w:footnote>
  <w:footnote w:id="39">
    <w:p w14:paraId="28826486" w14:textId="5B0B26A8" w:rsidR="00077A20" w:rsidRPr="00A359E1" w:rsidRDefault="00077A20" w:rsidP="009377DF">
      <w:pPr>
        <w:pStyle w:val="FootnoteText"/>
        <w:jc w:val="both"/>
        <w:rPr>
          <w:rFonts w:ascii="Times New Roman" w:eastAsia="Calibri"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De exemplu, Estonia.</w:t>
      </w:r>
    </w:p>
  </w:footnote>
  <w:footnote w:id="40">
    <w:p w14:paraId="2D573795" w14:textId="77777777" w:rsidR="00077A20" w:rsidRPr="00A359E1" w:rsidRDefault="00077A20" w:rsidP="009377DF">
      <w:pPr>
        <w:pStyle w:val="FootnoteText"/>
        <w:jc w:val="both"/>
        <w:rPr>
          <w:rFonts w:ascii="Times New Roman" w:eastAsia="Calibri"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Belgia, Bulgaria, Estonia, Finlanda, Franța, Germania, Ungaria, Italia, Letonia, Țările de Jos, Polonia, Slovacia.</w:t>
      </w:r>
    </w:p>
  </w:footnote>
  <w:footnote w:id="41">
    <w:p w14:paraId="05FC0CE0" w14:textId="20426A45" w:rsidR="00077A20" w:rsidRPr="00A359E1" w:rsidRDefault="00077A20" w:rsidP="009377DF">
      <w:pPr>
        <w:pStyle w:val="FootnoteText"/>
        <w:jc w:val="both"/>
        <w:rPr>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Astfel cum se prevede la articolul </w:t>
      </w:r>
      <w:r w:rsidRPr="008D4701">
        <w:rPr>
          <w:rFonts w:ascii="Times New Roman" w:hAnsi="Times New Roman"/>
        </w:rPr>
        <w:t>5</w:t>
      </w:r>
      <w:r>
        <w:rPr>
          <w:rFonts w:ascii="Times New Roman" w:hAnsi="Times New Roman"/>
        </w:rPr>
        <w:t xml:space="preserve"> alineatul (</w:t>
      </w:r>
      <w:r w:rsidRPr="008D4701">
        <w:rPr>
          <w:rFonts w:ascii="Times New Roman" w:hAnsi="Times New Roman"/>
        </w:rPr>
        <w:t>3</w:t>
      </w:r>
      <w:r>
        <w:rPr>
          <w:rFonts w:ascii="Times New Roman" w:hAnsi="Times New Roman"/>
        </w:rPr>
        <w:t xml:space="preserve">): </w:t>
      </w:r>
      <w:r>
        <w:rPr>
          <w:rFonts w:ascii="Times New Roman" w:hAnsi="Times New Roman"/>
          <w:color w:val="000000" w:themeColor="text1"/>
        </w:rPr>
        <w:t>Cipru, Cehia, Finlanda, Ungaria, Lituania, Țările de Jos și Slovenia.</w:t>
      </w:r>
    </w:p>
  </w:footnote>
  <w:footnote w:id="42">
    <w:p w14:paraId="31869444" w14:textId="49831FF0" w:rsidR="00077A20" w:rsidRPr="00A359E1" w:rsidRDefault="00077A20" w:rsidP="00077A20">
      <w:pPr>
        <w:pStyle w:val="FootnoteText"/>
        <w:jc w:val="both"/>
        <w:rPr>
          <w:rFonts w:ascii="Times New Roman" w:eastAsia="Calibri"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rsidRPr="008D4701">
        <w:rPr>
          <w:rFonts w:ascii="Times New Roman" w:hAnsi="Times New Roman"/>
        </w:rPr>
        <w:t>210</w:t>
      </w:r>
      <w:r>
        <w:rPr>
          <w:rFonts w:ascii="Times New Roman" w:hAnsi="Times New Roman"/>
        </w:rPr>
        <w:t xml:space="preserve"> EUR </w:t>
      </w:r>
      <w:r>
        <w:rPr>
          <w:rFonts w:ascii="Times New Roman" w:hAnsi="Times New Roman"/>
          <w:color w:val="000000" w:themeColor="text1"/>
        </w:rPr>
        <w:t xml:space="preserve">în Letonia, </w:t>
      </w:r>
      <w:r w:rsidRPr="008D4701">
        <w:rPr>
          <w:rFonts w:ascii="Times New Roman" w:hAnsi="Times New Roman"/>
          <w:color w:val="000000" w:themeColor="text1"/>
        </w:rPr>
        <w:t>234</w:t>
      </w:r>
      <w:r>
        <w:rPr>
          <w:rFonts w:ascii="Times New Roman" w:hAnsi="Times New Roman"/>
          <w:color w:val="000000" w:themeColor="text1"/>
        </w:rPr>
        <w:t xml:space="preserve"> EUR în Polonia și aproximativ </w:t>
      </w:r>
      <w:r w:rsidRPr="008D4701">
        <w:rPr>
          <w:rFonts w:ascii="Times New Roman" w:hAnsi="Times New Roman"/>
          <w:color w:val="000000" w:themeColor="text1"/>
        </w:rPr>
        <w:t>384</w:t>
      </w:r>
      <w:r>
        <w:rPr>
          <w:rFonts w:ascii="Times New Roman" w:hAnsi="Times New Roman"/>
          <w:color w:val="000000" w:themeColor="text1"/>
        </w:rPr>
        <w:t> EUR pentru persoanele fizice în Bulgaria.</w:t>
      </w:r>
    </w:p>
  </w:footnote>
  <w:footnote w:id="43">
    <w:p w14:paraId="12F2B299" w14:textId="5DD7A44F" w:rsidR="00077A20" w:rsidRPr="00A359E1" w:rsidRDefault="00077A20" w:rsidP="00077A20">
      <w:pPr>
        <w:pStyle w:val="FootnoteText"/>
        <w:jc w:val="both"/>
        <w:rPr>
          <w:rFonts w:ascii="Times New Roman" w:eastAsia="Calibri"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rsidRPr="008D4701">
        <w:rPr>
          <w:rFonts w:ascii="Times New Roman" w:hAnsi="Times New Roman"/>
          <w:color w:val="000000" w:themeColor="text1"/>
        </w:rPr>
        <w:t>1</w:t>
      </w:r>
      <w:r>
        <w:rPr>
          <w:rFonts w:ascii="Times New Roman" w:hAnsi="Times New Roman"/>
          <w:color w:val="000000" w:themeColor="text1"/>
        </w:rPr>
        <w:t> </w:t>
      </w:r>
      <w:r w:rsidRPr="008D4701">
        <w:rPr>
          <w:rFonts w:ascii="Times New Roman" w:hAnsi="Times New Roman"/>
          <w:color w:val="000000" w:themeColor="text1"/>
        </w:rPr>
        <w:t>000</w:t>
      </w:r>
      <w:r>
        <w:rPr>
          <w:rFonts w:ascii="Times New Roman" w:hAnsi="Times New Roman"/>
          <w:color w:val="000000" w:themeColor="text1"/>
        </w:rPr>
        <w:t xml:space="preserve"> EUR în Austria, </w:t>
      </w:r>
      <w:r w:rsidRPr="008D4701">
        <w:rPr>
          <w:rFonts w:ascii="Times New Roman" w:hAnsi="Times New Roman"/>
          <w:color w:val="000000" w:themeColor="text1"/>
        </w:rPr>
        <w:t>2</w:t>
      </w:r>
      <w:r>
        <w:rPr>
          <w:rFonts w:ascii="Times New Roman" w:hAnsi="Times New Roman"/>
          <w:color w:val="000000" w:themeColor="text1"/>
        </w:rPr>
        <w:t> </w:t>
      </w:r>
      <w:r w:rsidRPr="008D4701">
        <w:rPr>
          <w:rFonts w:ascii="Times New Roman" w:hAnsi="Times New Roman"/>
          <w:color w:val="000000" w:themeColor="text1"/>
        </w:rPr>
        <w:t>400</w:t>
      </w:r>
      <w:r>
        <w:rPr>
          <w:rFonts w:ascii="Times New Roman" w:hAnsi="Times New Roman"/>
          <w:color w:val="000000" w:themeColor="text1"/>
        </w:rPr>
        <w:t xml:space="preserve"> EUR în Belgia, </w:t>
      </w:r>
      <w:r w:rsidRPr="008D4701">
        <w:rPr>
          <w:rFonts w:ascii="Times New Roman" w:hAnsi="Times New Roman"/>
          <w:color w:val="000000" w:themeColor="text1"/>
        </w:rPr>
        <w:t>1</w:t>
      </w:r>
      <w:r>
        <w:rPr>
          <w:rFonts w:ascii="Times New Roman" w:hAnsi="Times New Roman"/>
          <w:color w:val="000000" w:themeColor="text1"/>
        </w:rPr>
        <w:t> </w:t>
      </w:r>
      <w:r w:rsidRPr="008D4701">
        <w:rPr>
          <w:rFonts w:ascii="Times New Roman" w:hAnsi="Times New Roman"/>
          <w:color w:val="000000" w:themeColor="text1"/>
        </w:rPr>
        <w:t>500</w:t>
      </w:r>
      <w:r>
        <w:rPr>
          <w:rFonts w:ascii="Times New Roman" w:hAnsi="Times New Roman"/>
          <w:color w:val="000000" w:themeColor="text1"/>
        </w:rPr>
        <w:t xml:space="preserve"> EUR în Cipru, </w:t>
      </w:r>
      <w:r w:rsidRPr="008D4701">
        <w:rPr>
          <w:rFonts w:ascii="Times New Roman" w:hAnsi="Times New Roman"/>
          <w:color w:val="000000" w:themeColor="text1"/>
        </w:rPr>
        <w:t>1</w:t>
      </w:r>
      <w:r>
        <w:rPr>
          <w:rFonts w:ascii="Times New Roman" w:hAnsi="Times New Roman"/>
          <w:color w:val="000000" w:themeColor="text1"/>
        </w:rPr>
        <w:t> </w:t>
      </w:r>
      <w:r w:rsidRPr="008D4701">
        <w:rPr>
          <w:rFonts w:ascii="Times New Roman" w:hAnsi="Times New Roman"/>
          <w:color w:val="000000" w:themeColor="text1"/>
        </w:rPr>
        <w:t>250</w:t>
      </w:r>
      <w:r>
        <w:rPr>
          <w:rFonts w:ascii="Times New Roman" w:hAnsi="Times New Roman"/>
          <w:color w:val="000000" w:themeColor="text1"/>
        </w:rPr>
        <w:t xml:space="preserve"> EUR în Finlanda, </w:t>
      </w:r>
      <w:r w:rsidRPr="008D4701">
        <w:rPr>
          <w:rFonts w:ascii="Times New Roman" w:hAnsi="Times New Roman"/>
          <w:color w:val="000000" w:themeColor="text1"/>
        </w:rPr>
        <w:t>2</w:t>
      </w:r>
      <w:r>
        <w:rPr>
          <w:rFonts w:ascii="Times New Roman" w:hAnsi="Times New Roman"/>
          <w:color w:val="000000" w:themeColor="text1"/>
        </w:rPr>
        <w:t> </w:t>
      </w:r>
      <w:r w:rsidRPr="008D4701">
        <w:rPr>
          <w:rFonts w:ascii="Times New Roman" w:hAnsi="Times New Roman"/>
          <w:color w:val="000000" w:themeColor="text1"/>
        </w:rPr>
        <w:t>000</w:t>
      </w:r>
      <w:r>
        <w:rPr>
          <w:rFonts w:ascii="Times New Roman" w:hAnsi="Times New Roman"/>
          <w:color w:val="000000" w:themeColor="text1"/>
        </w:rPr>
        <w:t xml:space="preserve"> EUR în Cehia (pentru persoanele juridice), de două ori salariul minim pentru persoanele fizice, respectiv de zece ori pentru persoanele juridice în Ungaria, </w:t>
      </w:r>
      <w:r w:rsidRPr="008D4701">
        <w:rPr>
          <w:rFonts w:ascii="Times New Roman" w:hAnsi="Times New Roman"/>
          <w:color w:val="000000" w:themeColor="text1"/>
        </w:rPr>
        <w:t>2</w:t>
      </w:r>
      <w:r>
        <w:rPr>
          <w:rFonts w:ascii="Times New Roman" w:hAnsi="Times New Roman"/>
          <w:color w:val="000000" w:themeColor="text1"/>
        </w:rPr>
        <w:t> </w:t>
      </w:r>
      <w:r w:rsidRPr="008D4701">
        <w:rPr>
          <w:rFonts w:ascii="Times New Roman" w:hAnsi="Times New Roman"/>
          <w:color w:val="000000" w:themeColor="text1"/>
        </w:rPr>
        <w:t>000</w:t>
      </w:r>
      <w:r>
        <w:rPr>
          <w:rFonts w:ascii="Times New Roman" w:hAnsi="Times New Roman"/>
          <w:color w:val="000000" w:themeColor="text1"/>
        </w:rPr>
        <w:t xml:space="preserve"> EUR în Portugalia, </w:t>
      </w:r>
      <w:r w:rsidRPr="008D4701">
        <w:rPr>
          <w:rFonts w:ascii="Times New Roman" w:hAnsi="Times New Roman"/>
          <w:color w:val="000000" w:themeColor="text1"/>
        </w:rPr>
        <w:t>1</w:t>
      </w:r>
      <w:r>
        <w:rPr>
          <w:rFonts w:ascii="Times New Roman" w:hAnsi="Times New Roman"/>
          <w:color w:val="000000" w:themeColor="text1"/>
        </w:rPr>
        <w:t> </w:t>
      </w:r>
      <w:r w:rsidRPr="008D4701">
        <w:rPr>
          <w:rFonts w:ascii="Times New Roman" w:hAnsi="Times New Roman"/>
          <w:color w:val="000000" w:themeColor="text1"/>
        </w:rPr>
        <w:t>981</w:t>
      </w:r>
      <w:r>
        <w:rPr>
          <w:rFonts w:ascii="Times New Roman" w:hAnsi="Times New Roman"/>
          <w:color w:val="000000" w:themeColor="text1"/>
        </w:rPr>
        <w:t> EUR în România.</w:t>
      </w:r>
    </w:p>
  </w:footnote>
  <w:footnote w:id="44">
    <w:p w14:paraId="03BA4C69" w14:textId="77777777" w:rsidR="00077A20" w:rsidRPr="00A359E1" w:rsidRDefault="00077A20" w:rsidP="00077A20">
      <w:pPr>
        <w:pStyle w:val="FootnoteText"/>
        <w:jc w:val="both"/>
        <w:rPr>
          <w:rFonts w:ascii="Times New Roman" w:hAnsi="Times New Roman" w:cs="Times New Roman"/>
        </w:rPr>
      </w:pPr>
      <w:r w:rsidRPr="003758FB">
        <w:rPr>
          <w:rFonts w:ascii="Times New Roman" w:eastAsia="Times New Roman" w:hAnsi="Times New Roman" w:cs="Times New Roman"/>
          <w:vertAlign w:val="superscript"/>
        </w:rPr>
        <w:footnoteRef/>
      </w:r>
      <w:r>
        <w:rPr>
          <w:rFonts w:ascii="Times New Roman" w:hAnsi="Times New Roman"/>
        </w:rPr>
        <w:t xml:space="preserve"> Franța, Luxemburg, Slovenia. </w:t>
      </w:r>
    </w:p>
  </w:footnote>
  <w:footnote w:id="45">
    <w:p w14:paraId="1D120DCC" w14:textId="77777777" w:rsidR="00077A20" w:rsidRPr="00A359E1" w:rsidRDefault="00077A20" w:rsidP="00077A20">
      <w:pPr>
        <w:pStyle w:val="FootnoteText"/>
        <w:jc w:val="both"/>
        <w:rPr>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Cehia pentru persoane fizice, Estonia, Germania.</w:t>
      </w:r>
    </w:p>
  </w:footnote>
  <w:footnote w:id="46">
    <w:p w14:paraId="58A800AF"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Belgia, Cipru și Ungaria.</w:t>
      </w:r>
    </w:p>
  </w:footnote>
  <w:footnote w:id="47">
    <w:p w14:paraId="402F0E8B" w14:textId="31C263ED"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Pr="008D4701">
        <w:rPr>
          <w:rFonts w:ascii="Times New Roman" w:hAnsi="Times New Roman"/>
        </w:rPr>
        <w:t>26</w:t>
      </w:r>
      <w:r>
        <w:rPr>
          <w:rFonts w:ascii="Times New Roman" w:hAnsi="Times New Roman"/>
        </w:rPr>
        <w:t> </w:t>
      </w:r>
      <w:r w:rsidRPr="008D4701">
        <w:rPr>
          <w:rFonts w:ascii="Times New Roman" w:hAnsi="Times New Roman"/>
        </w:rPr>
        <w:t>000</w:t>
      </w:r>
      <w:r>
        <w:rPr>
          <w:rFonts w:ascii="Times New Roman" w:hAnsi="Times New Roman"/>
        </w:rPr>
        <w:t xml:space="preserve"> EUR (Slovenia), </w:t>
      </w:r>
      <w:r w:rsidRPr="008D4701">
        <w:rPr>
          <w:rFonts w:ascii="Times New Roman" w:hAnsi="Times New Roman"/>
        </w:rPr>
        <w:t>28</w:t>
      </w:r>
      <w:r>
        <w:rPr>
          <w:rFonts w:ascii="Times New Roman" w:hAnsi="Times New Roman"/>
        </w:rPr>
        <w:t> </w:t>
      </w:r>
      <w:r w:rsidRPr="008D4701">
        <w:rPr>
          <w:rFonts w:ascii="Times New Roman" w:hAnsi="Times New Roman"/>
        </w:rPr>
        <w:t>000</w:t>
      </w:r>
      <w:r>
        <w:rPr>
          <w:rFonts w:ascii="Times New Roman" w:hAnsi="Times New Roman"/>
        </w:rPr>
        <w:t xml:space="preserve"> EUR (Belgia), </w:t>
      </w:r>
      <w:r w:rsidRPr="008D4701">
        <w:rPr>
          <w:rFonts w:ascii="Times New Roman" w:hAnsi="Times New Roman"/>
        </w:rPr>
        <w:t>30</w:t>
      </w:r>
      <w:r>
        <w:rPr>
          <w:rFonts w:ascii="Times New Roman" w:hAnsi="Times New Roman"/>
        </w:rPr>
        <w:t> </w:t>
      </w:r>
      <w:r w:rsidRPr="008D4701">
        <w:rPr>
          <w:rFonts w:ascii="Times New Roman" w:hAnsi="Times New Roman"/>
        </w:rPr>
        <w:t>000</w:t>
      </w:r>
      <w:r>
        <w:rPr>
          <w:rFonts w:ascii="Times New Roman" w:hAnsi="Times New Roman"/>
        </w:rPr>
        <w:t xml:space="preserve"> EUR per angajat pentru angajatorii persoane fizice (Franța), </w:t>
      </w:r>
      <w:r w:rsidRPr="008D4701">
        <w:rPr>
          <w:rFonts w:ascii="Times New Roman" w:hAnsi="Times New Roman"/>
        </w:rPr>
        <w:t>37</w:t>
      </w:r>
      <w:r>
        <w:rPr>
          <w:rFonts w:ascii="Times New Roman" w:hAnsi="Times New Roman"/>
        </w:rPr>
        <w:t> </w:t>
      </w:r>
      <w:r w:rsidRPr="008D4701">
        <w:rPr>
          <w:rFonts w:ascii="Times New Roman" w:hAnsi="Times New Roman"/>
        </w:rPr>
        <w:t>530</w:t>
      </w:r>
      <w:r>
        <w:rPr>
          <w:rFonts w:ascii="Times New Roman" w:hAnsi="Times New Roman"/>
        </w:rPr>
        <w:t xml:space="preserve"> EUR (Finlanda) și </w:t>
      </w:r>
      <w:r w:rsidRPr="008D4701">
        <w:rPr>
          <w:rFonts w:ascii="Times New Roman" w:hAnsi="Times New Roman"/>
        </w:rPr>
        <w:t>90</w:t>
      </w:r>
      <w:r>
        <w:rPr>
          <w:rFonts w:ascii="Times New Roman" w:hAnsi="Times New Roman"/>
        </w:rPr>
        <w:t> </w:t>
      </w:r>
      <w:r w:rsidRPr="008D4701">
        <w:rPr>
          <w:rFonts w:ascii="Times New Roman" w:hAnsi="Times New Roman"/>
        </w:rPr>
        <w:t>000</w:t>
      </w:r>
      <w:r>
        <w:rPr>
          <w:rFonts w:ascii="Times New Roman" w:hAnsi="Times New Roman"/>
        </w:rPr>
        <w:t> EUR (Portugalia).</w:t>
      </w:r>
    </w:p>
  </w:footnote>
  <w:footnote w:id="48">
    <w:p w14:paraId="684DC395" w14:textId="5A993FD1" w:rsidR="00077A20" w:rsidRPr="00A359E1" w:rsidRDefault="00077A20" w:rsidP="00077A20">
      <w:pPr>
        <w:pStyle w:val="FootnoteText"/>
        <w:jc w:val="both"/>
        <w:rPr>
          <w:rFonts w:ascii="Times New Roman" w:eastAsia="Calibri"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rsidRPr="008D4701">
        <w:rPr>
          <w:rFonts w:ascii="Times New Roman" w:hAnsi="Times New Roman"/>
        </w:rPr>
        <w:t>200</w:t>
      </w:r>
      <w:r>
        <w:rPr>
          <w:rFonts w:ascii="Times New Roman" w:hAnsi="Times New Roman"/>
        </w:rPr>
        <w:t> </w:t>
      </w:r>
      <w:r w:rsidRPr="008D4701">
        <w:rPr>
          <w:rFonts w:ascii="Times New Roman" w:hAnsi="Times New Roman"/>
        </w:rPr>
        <w:t>000</w:t>
      </w:r>
      <w:r>
        <w:rPr>
          <w:rFonts w:ascii="Times New Roman" w:hAnsi="Times New Roman"/>
        </w:rPr>
        <w:t> EUR (Franța, Slovacia) și</w:t>
      </w:r>
      <w:r>
        <w:rPr>
          <w:rFonts w:ascii="Times New Roman" w:hAnsi="Times New Roman"/>
          <w:color w:val="000000" w:themeColor="text1"/>
        </w:rPr>
        <w:t xml:space="preserve"> </w:t>
      </w:r>
      <w:r w:rsidRPr="008D4701">
        <w:rPr>
          <w:rFonts w:ascii="Times New Roman" w:hAnsi="Times New Roman"/>
          <w:color w:val="000000" w:themeColor="text1"/>
        </w:rPr>
        <w:t>500</w:t>
      </w:r>
      <w:r>
        <w:rPr>
          <w:rFonts w:ascii="Times New Roman" w:hAnsi="Times New Roman"/>
          <w:color w:val="000000" w:themeColor="text1"/>
        </w:rPr>
        <w:t> </w:t>
      </w:r>
      <w:r w:rsidRPr="008D4701">
        <w:rPr>
          <w:rFonts w:ascii="Times New Roman" w:hAnsi="Times New Roman"/>
          <w:color w:val="000000" w:themeColor="text1"/>
        </w:rPr>
        <w:t>000</w:t>
      </w:r>
      <w:r>
        <w:rPr>
          <w:rFonts w:ascii="Times New Roman" w:hAnsi="Times New Roman"/>
          <w:color w:val="000000" w:themeColor="text1"/>
        </w:rPr>
        <w:t> EUR (Germania).</w:t>
      </w:r>
    </w:p>
  </w:footnote>
  <w:footnote w:id="49">
    <w:p w14:paraId="0A552A36"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Italia.</w:t>
      </w:r>
    </w:p>
  </w:footnote>
  <w:footnote w:id="50">
    <w:p w14:paraId="00410F7F" w14:textId="116E6BD3" w:rsidR="00077A20" w:rsidRPr="00A359E1" w:rsidRDefault="00077A20" w:rsidP="00077A20">
      <w:pPr>
        <w:pStyle w:val="FootnoteText"/>
        <w:jc w:val="both"/>
        <w:rPr>
          <w:rFonts w:ascii="Times New Roman" w:hAnsi="Times New Roman" w:cs="Times New Roman"/>
          <w:highlight w:val="yellow"/>
        </w:rPr>
      </w:pPr>
      <w:r>
        <w:rPr>
          <w:rStyle w:val="FootnoteReference"/>
          <w:rFonts w:ascii="Times New Roman" w:hAnsi="Times New Roman" w:cs="Times New Roman"/>
        </w:rPr>
        <w:footnoteRef/>
      </w:r>
      <w:r>
        <w:rPr>
          <w:rFonts w:ascii="Times New Roman" w:hAnsi="Times New Roman"/>
        </w:rPr>
        <w:t xml:space="preserve"> Principalele exemple sunt Austria, Franța, România și Spania, urmate de Belgia, Germania, Luxemburg, Țările de Jos și apoi de Grecia, Ungaria, Letonia, Portugalia, Slovenia și Suedia. Italia nu a furnizat date privind sancțiunile financiare aplicate efectiv. Inspectoratul Național de Muncă din Italia aplică o amendă administrativă pecuniară pentru munca nedeclarată, care este majorată cu </w:t>
      </w:r>
      <w:r w:rsidRPr="008D4701">
        <w:rPr>
          <w:rFonts w:ascii="Times New Roman" w:hAnsi="Times New Roman"/>
        </w:rPr>
        <w:t>20</w:t>
      </w:r>
      <w:r>
        <w:rPr>
          <w:rFonts w:ascii="Times New Roman" w:hAnsi="Times New Roman"/>
        </w:rPr>
        <w:t xml:space="preserve"> % și în cazurile care implică angajarea ilegală de resortisanți din afara UE fără permis de ședere, în conformitate cu articolul </w:t>
      </w:r>
      <w:r w:rsidRPr="008D4701">
        <w:rPr>
          <w:rFonts w:ascii="Times New Roman" w:hAnsi="Times New Roman"/>
        </w:rPr>
        <w:t>3</w:t>
      </w:r>
      <w:r>
        <w:rPr>
          <w:rFonts w:ascii="Times New Roman" w:hAnsi="Times New Roman"/>
        </w:rPr>
        <w:t xml:space="preserve"> din Decretul-lege nr. </w:t>
      </w:r>
      <w:r w:rsidRPr="008D4701">
        <w:rPr>
          <w:rFonts w:ascii="Times New Roman" w:hAnsi="Times New Roman"/>
        </w:rPr>
        <w:t>12</w:t>
      </w:r>
      <w:r>
        <w:rPr>
          <w:rFonts w:ascii="Times New Roman" w:hAnsi="Times New Roman"/>
        </w:rPr>
        <w:t xml:space="preserve"> din </w:t>
      </w:r>
      <w:r w:rsidRPr="008D4701">
        <w:rPr>
          <w:rFonts w:ascii="Times New Roman" w:hAnsi="Times New Roman"/>
        </w:rPr>
        <w:t>22</w:t>
      </w:r>
      <w:r w:rsidR="00501406">
        <w:rPr>
          <w:rFonts w:ascii="Times New Roman" w:hAnsi="Times New Roman"/>
        </w:rPr>
        <w:t> </w:t>
      </w:r>
      <w:r>
        <w:rPr>
          <w:rFonts w:ascii="Times New Roman" w:hAnsi="Times New Roman"/>
        </w:rPr>
        <w:t xml:space="preserve">februarie </w:t>
      </w:r>
      <w:r w:rsidRPr="008D4701">
        <w:rPr>
          <w:rFonts w:ascii="Times New Roman" w:hAnsi="Times New Roman"/>
        </w:rPr>
        <w:t>2002</w:t>
      </w:r>
      <w:r>
        <w:rPr>
          <w:rFonts w:ascii="Times New Roman" w:hAnsi="Times New Roman"/>
        </w:rPr>
        <w:t xml:space="preserve">. </w:t>
      </w:r>
    </w:p>
  </w:footnote>
  <w:footnote w:id="51">
    <w:p w14:paraId="5AFC1F40" w14:textId="431892C8" w:rsidR="00077A20" w:rsidRPr="00A359E1" w:rsidRDefault="00077A20" w:rsidP="00077A20">
      <w:pPr>
        <w:pStyle w:val="FootnoteText"/>
        <w:jc w:val="both"/>
        <w:rPr>
          <w:rFonts w:ascii="Times New Roman" w:eastAsia="Calibri"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De </w:t>
      </w:r>
      <w:r>
        <w:rPr>
          <w:rFonts w:ascii="Times New Roman" w:hAnsi="Times New Roman"/>
          <w:color w:val="000000" w:themeColor="text1"/>
        </w:rPr>
        <w:t>exemplu, Estonia, Finlanda, Lituania și Letonia.</w:t>
      </w:r>
    </w:p>
  </w:footnote>
  <w:footnote w:id="52">
    <w:p w14:paraId="1547C939"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Finlanda, Malta și Slovacia.</w:t>
      </w:r>
    </w:p>
  </w:footnote>
  <w:footnote w:id="53">
    <w:p w14:paraId="7DFF51F1" w14:textId="77777777" w:rsidR="00077A20" w:rsidRPr="00A359E1" w:rsidRDefault="00077A20" w:rsidP="00077A20">
      <w:pPr>
        <w:pStyle w:val="FootnoteText"/>
        <w:jc w:val="both"/>
        <w:rPr>
          <w:rFonts w:ascii="Times New Roman" w:eastAsia="Calibri"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Cipru, Italia, Malta.</w:t>
      </w:r>
    </w:p>
  </w:footnote>
  <w:footnote w:id="54">
    <w:p w14:paraId="46F77A45" w14:textId="77777777" w:rsidR="00077A20" w:rsidRPr="00A359E1" w:rsidRDefault="00077A20" w:rsidP="00077A20">
      <w:pPr>
        <w:pStyle w:val="FootnoteText"/>
        <w:jc w:val="both"/>
        <w:rPr>
          <w:rFonts w:ascii="Times New Roman" w:eastAsia="Calibri"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A</w:t>
      </w:r>
      <w:r>
        <w:rPr>
          <w:rFonts w:ascii="Times New Roman" w:hAnsi="Times New Roman"/>
          <w:color w:val="000000" w:themeColor="text1"/>
        </w:rPr>
        <w:t>ustria, Belgia, Croația, Estonia, Franța, Grecia, Ungaria, Letonia,</w:t>
      </w:r>
      <w:r>
        <w:rPr>
          <w:rFonts w:ascii="Times New Roman" w:hAnsi="Times New Roman"/>
          <w:color w:val="000000" w:themeColor="text1"/>
          <w:sz w:val="22"/>
        </w:rPr>
        <w:t xml:space="preserve"> </w:t>
      </w:r>
      <w:r>
        <w:rPr>
          <w:rFonts w:ascii="Times New Roman" w:hAnsi="Times New Roman"/>
          <w:color w:val="000000" w:themeColor="text1"/>
        </w:rPr>
        <w:t>Lituania, Luxemburg, Țările de Jos, România, Slovenia, Spania, Suedia.</w:t>
      </w:r>
    </w:p>
  </w:footnote>
  <w:footnote w:id="55">
    <w:p w14:paraId="1F1A7C50" w14:textId="1E70FBA4"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Angajarea unei persoane care nu are dreptul de a rămâne în Letonia, în cazul în care încălcarea este săvârșită de angajator și este angajat un minor, sunt angajate mai mult de cinci persoane sau o persoană este angajată în condiții de muncă extrem de abuzive sau o victimă a traficului de persoane a fost angajată în cunoștință de cauză.</w:t>
      </w:r>
    </w:p>
  </w:footnote>
  <w:footnote w:id="56">
    <w:p w14:paraId="561FDB55" w14:textId="70CC1832"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Germania. În Slovenia, articolul </w:t>
      </w:r>
      <w:r w:rsidRPr="008D4701">
        <w:rPr>
          <w:rFonts w:ascii="Times New Roman" w:hAnsi="Times New Roman"/>
        </w:rPr>
        <w:t>199</w:t>
      </w:r>
      <w:r>
        <w:rPr>
          <w:rFonts w:ascii="Times New Roman" w:hAnsi="Times New Roman"/>
        </w:rPr>
        <w:t xml:space="preserve"> din Codul penal prevede o amendă sau o pedeapsă cu închisoarea de până la un an. Același articol stabilește, de asemenea, alte două forme calificate de infracțiune.  </w:t>
      </w:r>
    </w:p>
  </w:footnote>
  <w:footnote w:id="57">
    <w:p w14:paraId="1F2E36A7" w14:textId="40E924D6"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Franța. În Slovenia, se prevede o amendă sau o pedeapsă cu închisoarea de până la un an pentru persoanele fizice, în timp ce pentru persoanele juridice se prevede o amendă cuprinsă între </w:t>
      </w:r>
      <w:r w:rsidRPr="008D4701">
        <w:rPr>
          <w:rFonts w:ascii="Times New Roman" w:hAnsi="Times New Roman"/>
        </w:rPr>
        <w:t>10</w:t>
      </w:r>
      <w:r>
        <w:rPr>
          <w:rFonts w:ascii="Times New Roman" w:hAnsi="Times New Roman"/>
        </w:rPr>
        <w:t> </w:t>
      </w:r>
      <w:r w:rsidRPr="008D4701">
        <w:rPr>
          <w:rFonts w:ascii="Times New Roman" w:hAnsi="Times New Roman"/>
        </w:rPr>
        <w:t>000</w:t>
      </w:r>
      <w:r>
        <w:rPr>
          <w:rFonts w:ascii="Times New Roman" w:hAnsi="Times New Roman"/>
        </w:rPr>
        <w:t xml:space="preserve"> EUR și </w:t>
      </w:r>
      <w:r w:rsidRPr="008D4701">
        <w:rPr>
          <w:rFonts w:ascii="Times New Roman" w:hAnsi="Times New Roman"/>
        </w:rPr>
        <w:t>1</w:t>
      </w:r>
      <w:r>
        <w:rPr>
          <w:rFonts w:ascii="Times New Roman" w:hAnsi="Times New Roman"/>
        </w:rPr>
        <w:t xml:space="preserve"> milion EUR.</w:t>
      </w:r>
    </w:p>
  </w:footnote>
  <w:footnote w:id="58">
    <w:p w14:paraId="4AF3784A" w14:textId="4259E5A1"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Lacunele în materie de informații rezultă parțial din absența unui sistem de colectare a datelor defalcate care să distingă urmăririle penale și condamnările legate în mod specific de circumstanțele enumerate la articolul </w:t>
      </w:r>
      <w:r w:rsidRPr="008D4701">
        <w:rPr>
          <w:rFonts w:ascii="Times New Roman" w:hAnsi="Times New Roman"/>
        </w:rPr>
        <w:t>9</w:t>
      </w:r>
      <w:r>
        <w:rPr>
          <w:rFonts w:ascii="Times New Roman" w:hAnsi="Times New Roman"/>
        </w:rPr>
        <w:t xml:space="preserve"> din directivă de urmăririle penale inițiate pentru toate cazurile de angajare ilegală sau alte încălcări ale dreptului muncii, precum și de procedurile privind traficul de persoane în scopul exploatării prin muncă. Lipsa unei platforme comune de schimb de informații sau a unor canale de informare instituite între ministerele muncii, inspectoratele de muncă și procurori și ministerele justiției, ministerele de interne și poliție a avut, de asemenea, un impact în acest sens. Absența din directivă a unei obligații specifice de raportare anuală a sancțiunilor penale contribuie, de asemenea, la lacunele în materie de date.</w:t>
      </w:r>
    </w:p>
  </w:footnote>
  <w:footnote w:id="59">
    <w:p w14:paraId="795A7DA1" w14:textId="4EF7B393"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Belgia a inițiat </w:t>
      </w:r>
      <w:r w:rsidRPr="008D4701">
        <w:rPr>
          <w:rFonts w:ascii="Times New Roman" w:hAnsi="Times New Roman"/>
        </w:rPr>
        <w:t>4</w:t>
      </w:r>
      <w:r>
        <w:rPr>
          <w:rFonts w:ascii="Times New Roman" w:hAnsi="Times New Roman"/>
        </w:rPr>
        <w:t> </w:t>
      </w:r>
      <w:r w:rsidRPr="008D4701">
        <w:rPr>
          <w:rFonts w:ascii="Times New Roman" w:hAnsi="Times New Roman"/>
        </w:rPr>
        <w:t>422</w:t>
      </w:r>
      <w:r>
        <w:rPr>
          <w:rFonts w:ascii="Times New Roman" w:hAnsi="Times New Roman"/>
        </w:rPr>
        <w:t xml:space="preserve"> de proceduri penale (</w:t>
      </w:r>
      <w:r w:rsidRPr="008D4701">
        <w:rPr>
          <w:rFonts w:ascii="Times New Roman" w:hAnsi="Times New Roman"/>
        </w:rPr>
        <w:t>1</w:t>
      </w:r>
      <w:r>
        <w:rPr>
          <w:rFonts w:ascii="Times New Roman" w:hAnsi="Times New Roman"/>
        </w:rPr>
        <w:t> </w:t>
      </w:r>
      <w:r w:rsidRPr="008D4701">
        <w:rPr>
          <w:rFonts w:ascii="Times New Roman" w:hAnsi="Times New Roman"/>
        </w:rPr>
        <w:t>444</w:t>
      </w:r>
      <w:r>
        <w:rPr>
          <w:rFonts w:ascii="Times New Roman" w:hAnsi="Times New Roman"/>
        </w:rPr>
        <w:t xml:space="preserve"> în </w:t>
      </w:r>
      <w:r w:rsidRPr="008D4701">
        <w:rPr>
          <w:rFonts w:ascii="Times New Roman" w:hAnsi="Times New Roman"/>
        </w:rPr>
        <w:t>2021</w:t>
      </w:r>
      <w:r>
        <w:rPr>
          <w:rFonts w:ascii="Times New Roman" w:hAnsi="Times New Roman"/>
        </w:rPr>
        <w:t xml:space="preserve">, </w:t>
      </w:r>
      <w:r w:rsidRPr="008D4701">
        <w:rPr>
          <w:rFonts w:ascii="Times New Roman" w:hAnsi="Times New Roman"/>
        </w:rPr>
        <w:t>1</w:t>
      </w:r>
      <w:r>
        <w:rPr>
          <w:rFonts w:ascii="Times New Roman" w:hAnsi="Times New Roman"/>
        </w:rPr>
        <w:t> </w:t>
      </w:r>
      <w:r w:rsidRPr="008D4701">
        <w:rPr>
          <w:rFonts w:ascii="Times New Roman" w:hAnsi="Times New Roman"/>
        </w:rPr>
        <w:t>423</w:t>
      </w:r>
      <w:r>
        <w:rPr>
          <w:rFonts w:ascii="Times New Roman" w:hAnsi="Times New Roman"/>
        </w:rPr>
        <w:t xml:space="preserve"> în </w:t>
      </w:r>
      <w:r w:rsidRPr="008D4701">
        <w:rPr>
          <w:rFonts w:ascii="Times New Roman" w:hAnsi="Times New Roman"/>
        </w:rPr>
        <w:t>2022</w:t>
      </w:r>
      <w:r>
        <w:rPr>
          <w:rFonts w:ascii="Times New Roman" w:hAnsi="Times New Roman"/>
        </w:rPr>
        <w:t xml:space="preserve"> și </w:t>
      </w:r>
      <w:r w:rsidRPr="008D4701">
        <w:rPr>
          <w:rFonts w:ascii="Times New Roman" w:hAnsi="Times New Roman"/>
        </w:rPr>
        <w:t>1</w:t>
      </w:r>
      <w:r>
        <w:rPr>
          <w:rFonts w:ascii="Times New Roman" w:hAnsi="Times New Roman"/>
        </w:rPr>
        <w:t> </w:t>
      </w:r>
      <w:r w:rsidRPr="008D4701">
        <w:rPr>
          <w:rFonts w:ascii="Times New Roman" w:hAnsi="Times New Roman"/>
        </w:rPr>
        <w:t>555</w:t>
      </w:r>
      <w:r>
        <w:rPr>
          <w:rFonts w:ascii="Times New Roman" w:hAnsi="Times New Roman"/>
        </w:rPr>
        <w:t xml:space="preserve"> în </w:t>
      </w:r>
      <w:r w:rsidRPr="008D4701">
        <w:rPr>
          <w:rFonts w:ascii="Times New Roman" w:hAnsi="Times New Roman"/>
        </w:rPr>
        <w:t>2023</w:t>
      </w:r>
      <w:r>
        <w:rPr>
          <w:rFonts w:ascii="Times New Roman" w:hAnsi="Times New Roman"/>
        </w:rPr>
        <w:t xml:space="preserve">), iar Franța </w:t>
      </w:r>
      <w:r w:rsidRPr="008D4701">
        <w:rPr>
          <w:rFonts w:ascii="Times New Roman" w:hAnsi="Times New Roman"/>
        </w:rPr>
        <w:t>3</w:t>
      </w:r>
      <w:r>
        <w:rPr>
          <w:rFonts w:ascii="Times New Roman" w:hAnsi="Times New Roman"/>
        </w:rPr>
        <w:t> </w:t>
      </w:r>
      <w:r w:rsidRPr="008D4701">
        <w:rPr>
          <w:rFonts w:ascii="Times New Roman" w:hAnsi="Times New Roman"/>
        </w:rPr>
        <w:t>684</w:t>
      </w:r>
      <w:r>
        <w:rPr>
          <w:rFonts w:ascii="Times New Roman" w:hAnsi="Times New Roman"/>
        </w:rPr>
        <w:t xml:space="preserve"> de proceduri penale pentru angajarea unui resortisant al unei țări terțe fără permis de muncă, adică nu numai a lucrătorilor străini aflați în situație de ședere ilegală (</w:t>
      </w:r>
      <w:r w:rsidRPr="008D4701">
        <w:rPr>
          <w:rFonts w:ascii="Times New Roman" w:hAnsi="Times New Roman"/>
        </w:rPr>
        <w:t>1</w:t>
      </w:r>
      <w:r>
        <w:rPr>
          <w:rFonts w:ascii="Times New Roman" w:hAnsi="Times New Roman"/>
        </w:rPr>
        <w:t> </w:t>
      </w:r>
      <w:r w:rsidRPr="008D4701">
        <w:rPr>
          <w:rFonts w:ascii="Times New Roman" w:hAnsi="Times New Roman"/>
        </w:rPr>
        <w:t>302</w:t>
      </w:r>
      <w:r>
        <w:rPr>
          <w:rFonts w:ascii="Times New Roman" w:hAnsi="Times New Roman"/>
        </w:rPr>
        <w:t xml:space="preserve"> în </w:t>
      </w:r>
      <w:r w:rsidRPr="008D4701">
        <w:rPr>
          <w:rFonts w:ascii="Times New Roman" w:hAnsi="Times New Roman"/>
        </w:rPr>
        <w:t>2021</w:t>
      </w:r>
      <w:r>
        <w:rPr>
          <w:rFonts w:ascii="Times New Roman" w:hAnsi="Times New Roman"/>
        </w:rPr>
        <w:t xml:space="preserve">, </w:t>
      </w:r>
      <w:r w:rsidRPr="008D4701">
        <w:rPr>
          <w:rFonts w:ascii="Times New Roman" w:hAnsi="Times New Roman"/>
        </w:rPr>
        <w:t>1</w:t>
      </w:r>
      <w:r>
        <w:rPr>
          <w:rFonts w:ascii="Times New Roman" w:hAnsi="Times New Roman"/>
        </w:rPr>
        <w:t> </w:t>
      </w:r>
      <w:r w:rsidRPr="008D4701">
        <w:rPr>
          <w:rFonts w:ascii="Times New Roman" w:hAnsi="Times New Roman"/>
        </w:rPr>
        <w:t>250</w:t>
      </w:r>
      <w:r>
        <w:rPr>
          <w:rFonts w:ascii="Times New Roman" w:hAnsi="Times New Roman"/>
        </w:rPr>
        <w:t xml:space="preserve"> în </w:t>
      </w:r>
      <w:r w:rsidRPr="008D4701">
        <w:rPr>
          <w:rFonts w:ascii="Times New Roman" w:hAnsi="Times New Roman"/>
        </w:rPr>
        <w:t>2022</w:t>
      </w:r>
      <w:r>
        <w:rPr>
          <w:rFonts w:ascii="Times New Roman" w:hAnsi="Times New Roman"/>
        </w:rPr>
        <w:t xml:space="preserve"> și </w:t>
      </w:r>
      <w:r w:rsidRPr="008D4701">
        <w:rPr>
          <w:rFonts w:ascii="Times New Roman" w:hAnsi="Times New Roman"/>
        </w:rPr>
        <w:t>1</w:t>
      </w:r>
      <w:r>
        <w:rPr>
          <w:rFonts w:ascii="Times New Roman" w:hAnsi="Times New Roman"/>
        </w:rPr>
        <w:t> </w:t>
      </w:r>
      <w:r w:rsidRPr="008D4701">
        <w:rPr>
          <w:rFonts w:ascii="Times New Roman" w:hAnsi="Times New Roman"/>
        </w:rPr>
        <w:t>132</w:t>
      </w:r>
      <w:r>
        <w:rPr>
          <w:rFonts w:ascii="Times New Roman" w:hAnsi="Times New Roman"/>
        </w:rPr>
        <w:t xml:space="preserve"> în </w:t>
      </w:r>
      <w:r w:rsidRPr="008D4701">
        <w:rPr>
          <w:rFonts w:ascii="Times New Roman" w:hAnsi="Times New Roman"/>
        </w:rPr>
        <w:t>2023</w:t>
      </w:r>
      <w:r>
        <w:rPr>
          <w:rFonts w:ascii="Times New Roman" w:hAnsi="Times New Roman"/>
        </w:rPr>
        <w:t>).</w:t>
      </w:r>
    </w:p>
  </w:footnote>
  <w:footnote w:id="60">
    <w:p w14:paraId="1F928605" w14:textId="509424FC"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Italia a inițiat în această perioadă </w:t>
      </w:r>
      <w:r w:rsidRPr="008D4701">
        <w:rPr>
          <w:rFonts w:ascii="Times New Roman" w:hAnsi="Times New Roman"/>
        </w:rPr>
        <w:t>3</w:t>
      </w:r>
      <w:r>
        <w:rPr>
          <w:rFonts w:ascii="Times New Roman" w:hAnsi="Times New Roman"/>
        </w:rPr>
        <w:t> </w:t>
      </w:r>
      <w:r w:rsidRPr="008D4701">
        <w:rPr>
          <w:rFonts w:ascii="Times New Roman" w:hAnsi="Times New Roman"/>
        </w:rPr>
        <w:t>135</w:t>
      </w:r>
      <w:r>
        <w:rPr>
          <w:rFonts w:ascii="Times New Roman" w:hAnsi="Times New Roman"/>
        </w:rPr>
        <w:t xml:space="preserve"> de proceduri penale pentru angajarea ilegală a unui resortisant al unei țări terțe fără permis de ședere (</w:t>
      </w:r>
      <w:r w:rsidRPr="008D4701">
        <w:rPr>
          <w:rFonts w:ascii="Times New Roman" w:hAnsi="Times New Roman"/>
        </w:rPr>
        <w:t>522</w:t>
      </w:r>
      <w:r>
        <w:rPr>
          <w:rFonts w:ascii="Times New Roman" w:hAnsi="Times New Roman"/>
        </w:rPr>
        <w:t xml:space="preserve"> în </w:t>
      </w:r>
      <w:r w:rsidRPr="008D4701">
        <w:rPr>
          <w:rFonts w:ascii="Times New Roman" w:hAnsi="Times New Roman"/>
        </w:rPr>
        <w:t>2021</w:t>
      </w:r>
      <w:r>
        <w:rPr>
          <w:rFonts w:ascii="Times New Roman" w:hAnsi="Times New Roman"/>
        </w:rPr>
        <w:t xml:space="preserve">, </w:t>
      </w:r>
      <w:r w:rsidRPr="008D4701">
        <w:rPr>
          <w:rFonts w:ascii="Times New Roman" w:hAnsi="Times New Roman"/>
        </w:rPr>
        <w:t>609</w:t>
      </w:r>
      <w:r>
        <w:rPr>
          <w:rFonts w:ascii="Times New Roman" w:hAnsi="Times New Roman"/>
        </w:rPr>
        <w:t xml:space="preserve"> în </w:t>
      </w:r>
      <w:r w:rsidRPr="008D4701">
        <w:rPr>
          <w:rFonts w:ascii="Times New Roman" w:hAnsi="Times New Roman"/>
        </w:rPr>
        <w:t>2022</w:t>
      </w:r>
      <w:r>
        <w:rPr>
          <w:rFonts w:ascii="Times New Roman" w:hAnsi="Times New Roman"/>
        </w:rPr>
        <w:t xml:space="preserve">, </w:t>
      </w:r>
      <w:r w:rsidRPr="008D4701">
        <w:rPr>
          <w:rFonts w:ascii="Times New Roman" w:hAnsi="Times New Roman"/>
        </w:rPr>
        <w:t>870</w:t>
      </w:r>
      <w:r>
        <w:rPr>
          <w:rFonts w:ascii="Times New Roman" w:hAnsi="Times New Roman"/>
        </w:rPr>
        <w:t xml:space="preserve"> în </w:t>
      </w:r>
      <w:r w:rsidRPr="008D4701">
        <w:rPr>
          <w:rFonts w:ascii="Times New Roman" w:hAnsi="Times New Roman"/>
        </w:rPr>
        <w:t>2023</w:t>
      </w:r>
      <w:r>
        <w:rPr>
          <w:rFonts w:ascii="Times New Roman" w:hAnsi="Times New Roman"/>
        </w:rPr>
        <w:t xml:space="preserve"> și </w:t>
      </w:r>
      <w:r w:rsidRPr="008D4701">
        <w:rPr>
          <w:rFonts w:ascii="Times New Roman" w:hAnsi="Times New Roman"/>
        </w:rPr>
        <w:t>1</w:t>
      </w:r>
      <w:r>
        <w:rPr>
          <w:rFonts w:ascii="Times New Roman" w:hAnsi="Times New Roman"/>
        </w:rPr>
        <w:t> </w:t>
      </w:r>
      <w:r w:rsidRPr="008D4701">
        <w:rPr>
          <w:rFonts w:ascii="Times New Roman" w:hAnsi="Times New Roman"/>
        </w:rPr>
        <w:t>134</w:t>
      </w:r>
      <w:r>
        <w:rPr>
          <w:rFonts w:ascii="Times New Roman" w:hAnsi="Times New Roman"/>
        </w:rPr>
        <w:t xml:space="preserve"> în </w:t>
      </w:r>
      <w:r w:rsidRPr="008D4701">
        <w:rPr>
          <w:rFonts w:ascii="Times New Roman" w:hAnsi="Times New Roman"/>
        </w:rPr>
        <w:t>2024</w:t>
      </w:r>
      <w:r>
        <w:rPr>
          <w:rFonts w:ascii="Times New Roman" w:hAnsi="Times New Roman"/>
        </w:rPr>
        <w:t>).</w:t>
      </w:r>
    </w:p>
  </w:footnote>
  <w:footnote w:id="61">
    <w:p w14:paraId="532C4375" w14:textId="19EE5ACF"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Cipru a raportat </w:t>
      </w:r>
      <w:r w:rsidRPr="008D4701">
        <w:rPr>
          <w:rFonts w:ascii="Times New Roman" w:hAnsi="Times New Roman"/>
        </w:rPr>
        <w:t>457</w:t>
      </w:r>
      <w:r>
        <w:rPr>
          <w:rFonts w:ascii="Times New Roman" w:hAnsi="Times New Roman"/>
        </w:rPr>
        <w:t xml:space="preserve"> de proceduri penale pentru angajare ilegală în general (</w:t>
      </w:r>
      <w:r w:rsidRPr="008D4701">
        <w:rPr>
          <w:rFonts w:ascii="Times New Roman" w:hAnsi="Times New Roman"/>
        </w:rPr>
        <w:t>149</w:t>
      </w:r>
      <w:r>
        <w:rPr>
          <w:rFonts w:ascii="Times New Roman" w:hAnsi="Times New Roman"/>
        </w:rPr>
        <w:t xml:space="preserve"> în </w:t>
      </w:r>
      <w:r w:rsidRPr="008D4701">
        <w:rPr>
          <w:rFonts w:ascii="Times New Roman" w:hAnsi="Times New Roman"/>
        </w:rPr>
        <w:t>2023</w:t>
      </w:r>
      <w:r>
        <w:rPr>
          <w:rFonts w:ascii="Times New Roman" w:hAnsi="Times New Roman"/>
        </w:rPr>
        <w:t xml:space="preserve"> și </w:t>
      </w:r>
      <w:r w:rsidRPr="008D4701">
        <w:rPr>
          <w:rFonts w:ascii="Times New Roman" w:hAnsi="Times New Roman"/>
        </w:rPr>
        <w:t>308</w:t>
      </w:r>
      <w:r>
        <w:rPr>
          <w:rFonts w:ascii="Times New Roman" w:hAnsi="Times New Roman"/>
        </w:rPr>
        <w:t xml:space="preserve"> în </w:t>
      </w:r>
      <w:r w:rsidRPr="008D4701">
        <w:rPr>
          <w:rFonts w:ascii="Times New Roman" w:hAnsi="Times New Roman"/>
        </w:rPr>
        <w:t>2024</w:t>
      </w:r>
      <w:r>
        <w:rPr>
          <w:rFonts w:ascii="Times New Roman" w:hAnsi="Times New Roman"/>
        </w:rPr>
        <w:t xml:space="preserve">), Germania un total de </w:t>
      </w:r>
      <w:r w:rsidRPr="008D4701">
        <w:rPr>
          <w:rFonts w:ascii="Times New Roman" w:hAnsi="Times New Roman"/>
        </w:rPr>
        <w:t>236</w:t>
      </w:r>
      <w:r>
        <w:rPr>
          <w:rFonts w:ascii="Times New Roman" w:hAnsi="Times New Roman"/>
        </w:rPr>
        <w:t xml:space="preserve"> de proceduri penale în cazurile prevăzute la articolul </w:t>
      </w:r>
      <w:r w:rsidRPr="008D4701">
        <w:rPr>
          <w:rFonts w:ascii="Times New Roman" w:hAnsi="Times New Roman"/>
        </w:rPr>
        <w:t>9</w:t>
      </w:r>
      <w:r>
        <w:rPr>
          <w:rFonts w:ascii="Times New Roman" w:hAnsi="Times New Roman"/>
        </w:rPr>
        <w:t xml:space="preserve"> din directivă (din care </w:t>
      </w:r>
      <w:r w:rsidRPr="008D4701">
        <w:rPr>
          <w:rFonts w:ascii="Times New Roman" w:hAnsi="Times New Roman"/>
        </w:rPr>
        <w:t>50</w:t>
      </w:r>
      <w:r>
        <w:rPr>
          <w:rFonts w:ascii="Times New Roman" w:hAnsi="Times New Roman"/>
        </w:rPr>
        <w:t xml:space="preserve"> % pentru cazurile care implică angajarea unui număr important de migranți aflați în situație ilegală), iar Suedia </w:t>
      </w:r>
      <w:r w:rsidRPr="008D4701">
        <w:rPr>
          <w:rFonts w:ascii="Times New Roman" w:hAnsi="Times New Roman"/>
        </w:rPr>
        <w:t>397</w:t>
      </w:r>
      <w:r>
        <w:rPr>
          <w:rFonts w:ascii="Times New Roman" w:hAnsi="Times New Roman"/>
        </w:rPr>
        <w:t xml:space="preserve"> de urmăriri penale, fără a face distincție între urmăriri penale în funcție de circumstanțele enumerate la articolul</w:t>
      </w:r>
      <w:r w:rsidR="00501406">
        <w:rPr>
          <w:rFonts w:ascii="Times New Roman" w:hAnsi="Times New Roman"/>
        </w:rPr>
        <w:t> </w:t>
      </w:r>
      <w:r w:rsidRPr="008D4701">
        <w:rPr>
          <w:rFonts w:ascii="Times New Roman" w:hAnsi="Times New Roman"/>
        </w:rPr>
        <w:t>9</w:t>
      </w:r>
      <w:r>
        <w:rPr>
          <w:rFonts w:ascii="Times New Roman" w:hAnsi="Times New Roman"/>
        </w:rPr>
        <w:t>.</w:t>
      </w:r>
    </w:p>
  </w:footnote>
  <w:footnote w:id="62">
    <w:p w14:paraId="6424D0F2" w14:textId="77777777" w:rsidR="00077A20" w:rsidRPr="000C3846"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Estonia, Letonia, Polonia.</w:t>
      </w:r>
    </w:p>
  </w:footnote>
  <w:footnote w:id="63">
    <w:p w14:paraId="7370ADE6" w14:textId="77777777" w:rsidR="00077A20" w:rsidRPr="000C3846"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Lituania, Luxemburg, Portugalia.</w:t>
      </w:r>
    </w:p>
  </w:footnote>
  <w:footnote w:id="64">
    <w:p w14:paraId="44CC5687" w14:textId="77777777" w:rsidR="00077A20" w:rsidRPr="00A359E1" w:rsidRDefault="00077A20" w:rsidP="00077A20">
      <w:pPr>
        <w:pStyle w:val="FootnoteText"/>
        <w:jc w:val="both"/>
        <w:rPr>
          <w:rFonts w:ascii="Times New Roman" w:eastAsia="Calibri"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În special, </w:t>
      </w:r>
      <w:r>
        <w:rPr>
          <w:rFonts w:ascii="Times New Roman" w:hAnsi="Times New Roman"/>
          <w:color w:val="000000" w:themeColor="text1"/>
        </w:rPr>
        <w:t>Belgia, Cipru, Franța, Italia, Luxemburg, Țările de Jos, Suedia. Într-o mai mică măsură, în Cehia, România, Slovenia și Spania.</w:t>
      </w:r>
    </w:p>
  </w:footnote>
  <w:footnote w:id="65">
    <w:p w14:paraId="6E204A30" w14:textId="77777777" w:rsidR="00077A20" w:rsidRPr="00A359E1" w:rsidRDefault="00077A20" w:rsidP="00077A20">
      <w:pPr>
        <w:pStyle w:val="FootnoteText"/>
        <w:jc w:val="both"/>
        <w:rPr>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Austria, Belgia, Bulgaria, Cipru, Cehia, Finlanda, Franța, Germania, Grecia, Ungaria, Italia, Letonia, Lituania, Luxemburg, Malta, Portugalia, Slovacia, Slovenia.</w:t>
      </w:r>
    </w:p>
  </w:footnote>
  <w:footnote w:id="66">
    <w:p w14:paraId="67CB08C6" w14:textId="77777777" w:rsidR="00077A20" w:rsidRPr="00A359E1" w:rsidRDefault="00077A20" w:rsidP="00077A20">
      <w:pPr>
        <w:pStyle w:val="FootnoteText"/>
        <w:rPr>
          <w:rFonts w:ascii="Times New Roman" w:hAnsi="Times New Roman" w:cs="Times New Roman"/>
        </w:rPr>
      </w:pPr>
      <w:r>
        <w:rPr>
          <w:rStyle w:val="FootnoteReference"/>
        </w:rPr>
        <w:footnoteRef/>
      </w:r>
      <w:r>
        <w:rPr>
          <w:rStyle w:val="FootnoteReference"/>
        </w:rPr>
        <w:t xml:space="preserve"> </w:t>
      </w:r>
      <w:r>
        <w:rPr>
          <w:rFonts w:ascii="Times New Roman" w:hAnsi="Times New Roman"/>
          <w:color w:val="000000" w:themeColor="text1"/>
        </w:rPr>
        <w:t>Austria, Cehia, Finlanda, Franța, Germania, Ungaria, Letonia, Lituania, Țările de Jos.</w:t>
      </w:r>
    </w:p>
  </w:footnote>
  <w:footnote w:id="67">
    <w:p w14:paraId="731C7F26" w14:textId="77777777" w:rsidR="00077A20" w:rsidRPr="008D4701" w:rsidRDefault="00077A20" w:rsidP="00077A20">
      <w:pPr>
        <w:pStyle w:val="FootnoteText"/>
        <w:jc w:val="both"/>
        <w:rPr>
          <w:rFonts w:ascii="Times New Roman" w:eastAsia="Calibri" w:hAnsi="Times New Roman" w:cs="Times New Roman"/>
          <w:b/>
          <w:bCs/>
          <w:color w:val="000000" w:themeColor="text1"/>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Austria, Bulgaria, Finlanda, Ungaria, Lituania, Țările de Jos, Slovacia, Slovenia.</w:t>
      </w:r>
    </w:p>
  </w:footnote>
  <w:footnote w:id="68">
    <w:p w14:paraId="2746D23D" w14:textId="5407B537" w:rsidR="00077A20" w:rsidRPr="008D4701" w:rsidRDefault="00077A20" w:rsidP="00077A20">
      <w:pPr>
        <w:pStyle w:val="FootnoteText"/>
        <w:jc w:val="both"/>
        <w:rPr>
          <w:rFonts w:ascii="Times New Roman" w:eastAsia="Calibri" w:hAnsi="Times New Roman" w:cs="Times New Roman"/>
          <w:b/>
          <w:bCs/>
          <w:color w:val="000000" w:themeColor="text1"/>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 xml:space="preserve">Austria, Croația, Germania, Grecia, Finlanda, Franța, Ungaria, Italia, Luxemburg, Polonia, Portugalia, Țările de Jos. Franța și Italia au raportat mai puțin de </w:t>
      </w:r>
      <w:r w:rsidRPr="008D4701">
        <w:rPr>
          <w:rFonts w:ascii="Times New Roman" w:hAnsi="Times New Roman"/>
          <w:color w:val="000000" w:themeColor="text1"/>
        </w:rPr>
        <w:t>100</w:t>
      </w:r>
      <w:r>
        <w:rPr>
          <w:rFonts w:ascii="Times New Roman" w:hAnsi="Times New Roman"/>
          <w:color w:val="000000" w:themeColor="text1"/>
        </w:rPr>
        <w:t xml:space="preserve"> de cazuri pe an în care au fost aplicate astfel de măsuri.</w:t>
      </w:r>
    </w:p>
  </w:footnote>
  <w:footnote w:id="69">
    <w:p w14:paraId="62FC2455"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Belgia.</w:t>
      </w:r>
    </w:p>
  </w:footnote>
  <w:footnote w:id="70">
    <w:p w14:paraId="7E0AB73A" w14:textId="7AFE0CD1"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Bulgaria, Slovenia. În Slovenia, o interdicție de angajare poate fi impusă în urma aplicării unor amenzi și a unor hotărâri judecătorești.</w:t>
      </w:r>
    </w:p>
  </w:footnote>
  <w:footnote w:id="71">
    <w:p w14:paraId="7C2430EA"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Cipru.</w:t>
      </w:r>
    </w:p>
  </w:footnote>
  <w:footnote w:id="72">
    <w:p w14:paraId="13758329"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Germania.</w:t>
      </w:r>
    </w:p>
  </w:footnote>
  <w:footnote w:id="73">
    <w:p w14:paraId="1E358301"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Țările de Jos, Slovenia.</w:t>
      </w:r>
    </w:p>
  </w:footnote>
  <w:footnote w:id="74">
    <w:p w14:paraId="05EF7F4E" w14:textId="77777777" w:rsidR="00077A20" w:rsidRPr="00A359E1" w:rsidRDefault="00077A20" w:rsidP="00077A2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Luxemburg.</w:t>
      </w:r>
    </w:p>
  </w:footnote>
  <w:footnote w:id="75">
    <w:p w14:paraId="4FF380D1"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color w:val="000000" w:themeColor="text1"/>
        </w:rPr>
        <w:t xml:space="preserve">Cel mai mare număr de astfel de măsuri aplicate într-un an este de </w:t>
      </w:r>
      <w:r w:rsidRPr="008D4701">
        <w:rPr>
          <w:rFonts w:ascii="Times New Roman" w:hAnsi="Times New Roman"/>
          <w:color w:val="000000" w:themeColor="text1"/>
        </w:rPr>
        <w:t>81</w:t>
      </w:r>
      <w:r>
        <w:rPr>
          <w:rFonts w:ascii="Times New Roman" w:hAnsi="Times New Roman"/>
          <w:color w:val="000000" w:themeColor="text1"/>
        </w:rPr>
        <w:t xml:space="preserve"> (Croația).</w:t>
      </w:r>
    </w:p>
  </w:footnote>
  <w:footnote w:id="76">
    <w:p w14:paraId="4BA1B594" w14:textId="5038A68C"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Provocările în materie de asigurare a respectării legislației legate de complexitatea și lungimea lanțurilor de subcontractare, precum și rolul adesea problematic al intermediarilor au fost aduse în discuție în mod constant de către statele membre, partenerii sociali și organizațiile societății civile într-o serie de consultări organizate de Comisie. Printre acestea se numără reuniunea Platformei privind migrația forței de muncă din </w:t>
      </w:r>
      <w:r w:rsidRPr="008D4701">
        <w:rPr>
          <w:rFonts w:ascii="Times New Roman" w:hAnsi="Times New Roman"/>
        </w:rPr>
        <w:t>15</w:t>
      </w:r>
      <w:r>
        <w:rPr>
          <w:rFonts w:ascii="Times New Roman" w:hAnsi="Times New Roman"/>
        </w:rPr>
        <w:t xml:space="preserve"> octombrie </w:t>
      </w:r>
      <w:r w:rsidRPr="008D4701">
        <w:rPr>
          <w:rFonts w:ascii="Times New Roman" w:hAnsi="Times New Roman"/>
        </w:rPr>
        <w:t>2025</w:t>
      </w:r>
      <w:r>
        <w:rPr>
          <w:rFonts w:ascii="Times New Roman" w:hAnsi="Times New Roman"/>
        </w:rPr>
        <w:t xml:space="preserve">, cea de a </w:t>
      </w:r>
      <w:r w:rsidRPr="008D4701">
        <w:rPr>
          <w:rFonts w:ascii="Times New Roman" w:hAnsi="Times New Roman"/>
        </w:rPr>
        <w:t>10</w:t>
      </w:r>
      <w:r>
        <w:rPr>
          <w:rFonts w:ascii="Times New Roman" w:hAnsi="Times New Roman"/>
        </w:rPr>
        <w:t xml:space="preserve">-a ediție a Forumului european privind migrația din </w:t>
      </w:r>
      <w:r w:rsidRPr="008D4701">
        <w:rPr>
          <w:rFonts w:ascii="Times New Roman" w:hAnsi="Times New Roman"/>
        </w:rPr>
        <w:t>27</w:t>
      </w:r>
      <w:r>
        <w:rPr>
          <w:rFonts w:ascii="Times New Roman" w:hAnsi="Times New Roman"/>
        </w:rPr>
        <w:t>-</w:t>
      </w:r>
      <w:r w:rsidRPr="008D4701">
        <w:rPr>
          <w:rFonts w:ascii="Times New Roman" w:hAnsi="Times New Roman"/>
        </w:rPr>
        <w:t>28</w:t>
      </w:r>
      <w:r>
        <w:rPr>
          <w:rFonts w:ascii="Times New Roman" w:hAnsi="Times New Roman"/>
        </w:rPr>
        <w:t xml:space="preserve"> noiembrie </w:t>
      </w:r>
      <w:r w:rsidRPr="008D4701">
        <w:rPr>
          <w:rFonts w:ascii="Times New Roman" w:hAnsi="Times New Roman"/>
        </w:rPr>
        <w:t>2025</w:t>
      </w:r>
      <w:r>
        <w:rPr>
          <w:rFonts w:ascii="Times New Roman" w:hAnsi="Times New Roman"/>
        </w:rPr>
        <w:t xml:space="preserve"> (Masa rotundă </w:t>
      </w:r>
      <w:r w:rsidRPr="008D4701">
        <w:rPr>
          <w:rFonts w:ascii="Times New Roman" w:hAnsi="Times New Roman"/>
        </w:rPr>
        <w:t>2</w:t>
      </w:r>
      <w:r>
        <w:rPr>
          <w:rFonts w:ascii="Times New Roman" w:hAnsi="Times New Roman"/>
        </w:rPr>
        <w:t xml:space="preserve">: Protejarea lucrătorilor migranți și combaterea angajării ilegale a acestora), reuniunea ad-hoc virtuală cu partenerii sociali privind punerea în aplicare a Directivei privind sancțiunile la adresa angajatorilor și a Directivei privind lucrătorii sezonieri din </w:t>
      </w:r>
      <w:r w:rsidRPr="008D4701">
        <w:rPr>
          <w:rFonts w:ascii="Times New Roman" w:hAnsi="Times New Roman"/>
        </w:rPr>
        <w:t>2</w:t>
      </w:r>
      <w:r>
        <w:rPr>
          <w:rFonts w:ascii="Times New Roman" w:hAnsi="Times New Roman"/>
        </w:rPr>
        <w:t xml:space="preserve"> decembrie </w:t>
      </w:r>
      <w:r w:rsidRPr="008D4701">
        <w:rPr>
          <w:rFonts w:ascii="Times New Roman" w:hAnsi="Times New Roman"/>
        </w:rPr>
        <w:t>2025</w:t>
      </w:r>
      <w:r>
        <w:rPr>
          <w:rFonts w:ascii="Times New Roman" w:hAnsi="Times New Roman"/>
        </w:rPr>
        <w:t xml:space="preserve">, precum și reuniunea Grupului de experți pentru Directiva privind sancțiunile la adresa angajatorilor din </w:t>
      </w:r>
      <w:r w:rsidRPr="008D4701">
        <w:rPr>
          <w:rFonts w:ascii="Times New Roman" w:hAnsi="Times New Roman"/>
        </w:rPr>
        <w:t>5</w:t>
      </w:r>
      <w:r>
        <w:rPr>
          <w:rFonts w:ascii="Times New Roman" w:hAnsi="Times New Roman"/>
        </w:rPr>
        <w:t xml:space="preserve"> decembrie </w:t>
      </w:r>
      <w:r w:rsidRPr="008D4701">
        <w:rPr>
          <w:rFonts w:ascii="Times New Roman" w:hAnsi="Times New Roman"/>
        </w:rPr>
        <w:t>2025</w:t>
      </w:r>
      <w:r>
        <w:rPr>
          <w:rFonts w:ascii="Times New Roman" w:hAnsi="Times New Roman"/>
        </w:rPr>
        <w:t>.</w:t>
      </w:r>
    </w:p>
  </w:footnote>
  <w:footnote w:id="77">
    <w:p w14:paraId="15BFDEF0" w14:textId="22ACF831" w:rsidR="00077A20" w:rsidRPr="00A359E1" w:rsidRDefault="00077A20" w:rsidP="00077A20">
      <w:pPr>
        <w:pStyle w:val="FootnoteText"/>
        <w:jc w:val="both"/>
        <w:rPr>
          <w:rFonts w:ascii="Times New Roman" w:eastAsia="Calibri" w:hAnsi="Times New Roman" w:cs="Times New Roman"/>
        </w:rPr>
      </w:pPr>
      <w:r>
        <w:rPr>
          <w:rStyle w:val="FootnoteReference"/>
          <w:rFonts w:ascii="Times New Roman" w:hAnsi="Times New Roman" w:cs="Times New Roman"/>
        </w:rPr>
        <w:footnoteRef/>
      </w:r>
      <w:r>
        <w:rPr>
          <w:rFonts w:ascii="Times New Roman" w:hAnsi="Times New Roman"/>
        </w:rPr>
        <w:t xml:space="preserve"> Răspunderea face obiectul anumitor limitări prevăzute la articolul </w:t>
      </w:r>
      <w:r w:rsidRPr="008D4701">
        <w:rPr>
          <w:rFonts w:ascii="Times New Roman" w:hAnsi="Times New Roman"/>
        </w:rPr>
        <w:t>8</w:t>
      </w:r>
      <w:r>
        <w:rPr>
          <w:rFonts w:ascii="Times New Roman" w:hAnsi="Times New Roman"/>
        </w:rPr>
        <w:t>, în sensul în care contractantul care a depus toate eforturile pentru a își îndeplini obligațiile care îi revin în temeiul legislației naționale nu este considerat răspunzător. De asemenea, statele membre pot prevedea în legislația națională norme mai stricte privind răspunderea.</w:t>
      </w:r>
    </w:p>
  </w:footnote>
  <w:footnote w:id="78">
    <w:p w14:paraId="7CD84D70"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Cehia.</w:t>
      </w:r>
    </w:p>
  </w:footnote>
  <w:footnote w:id="79">
    <w:p w14:paraId="111FC0FE"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Croația, Slovenia.</w:t>
      </w:r>
    </w:p>
  </w:footnote>
  <w:footnote w:id="80">
    <w:p w14:paraId="0A3B9B21" w14:textId="77777777" w:rsidR="00077A20" w:rsidRPr="00A359E1" w:rsidRDefault="00077A20" w:rsidP="00077A20">
      <w:pPr>
        <w:pStyle w:val="FootnoteText"/>
        <w:jc w:val="both"/>
        <w:rPr>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I</w:t>
      </w:r>
      <w:r>
        <w:rPr>
          <w:rFonts w:ascii="Times New Roman" w:hAnsi="Times New Roman"/>
          <w:color w:val="000000" w:themeColor="text1"/>
        </w:rPr>
        <w:t>talia.</w:t>
      </w:r>
    </w:p>
  </w:footnote>
  <w:footnote w:id="81">
    <w:p w14:paraId="2BBB0613" w14:textId="1B2B0434" w:rsidR="00077A20" w:rsidRPr="00A359E1" w:rsidRDefault="00077A20" w:rsidP="00077A20">
      <w:pPr>
        <w:pStyle w:val="FootnoteText"/>
        <w:jc w:val="both"/>
        <w:rPr>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 xml:space="preserve">Luxemburg, articolele L. </w:t>
      </w:r>
      <w:r w:rsidRPr="008D4701">
        <w:rPr>
          <w:rFonts w:ascii="Times New Roman" w:hAnsi="Times New Roman"/>
          <w:color w:val="000000" w:themeColor="text1"/>
        </w:rPr>
        <w:t>572</w:t>
      </w:r>
      <w:r>
        <w:rPr>
          <w:rFonts w:ascii="Times New Roman" w:hAnsi="Times New Roman"/>
          <w:color w:val="000000" w:themeColor="text1"/>
        </w:rPr>
        <w:t>-</w:t>
      </w:r>
      <w:r w:rsidRPr="008D4701">
        <w:rPr>
          <w:rFonts w:ascii="Times New Roman" w:hAnsi="Times New Roman"/>
          <w:color w:val="000000" w:themeColor="text1"/>
        </w:rPr>
        <w:t>2</w:t>
      </w:r>
      <w:r>
        <w:rPr>
          <w:rFonts w:ascii="Times New Roman" w:hAnsi="Times New Roman"/>
          <w:color w:val="000000" w:themeColor="text1"/>
        </w:rPr>
        <w:t xml:space="preserve">, </w:t>
      </w:r>
      <w:r w:rsidRPr="008D4701">
        <w:rPr>
          <w:rFonts w:ascii="Times New Roman" w:hAnsi="Times New Roman"/>
          <w:color w:val="000000" w:themeColor="text1"/>
        </w:rPr>
        <w:t>572</w:t>
      </w:r>
      <w:r>
        <w:rPr>
          <w:rFonts w:ascii="Times New Roman" w:hAnsi="Times New Roman"/>
          <w:color w:val="000000" w:themeColor="text1"/>
        </w:rPr>
        <w:t>-</w:t>
      </w:r>
      <w:r w:rsidRPr="008D4701">
        <w:rPr>
          <w:rFonts w:ascii="Times New Roman" w:hAnsi="Times New Roman"/>
          <w:color w:val="000000" w:themeColor="text1"/>
        </w:rPr>
        <w:t>3</w:t>
      </w:r>
      <w:r>
        <w:rPr>
          <w:rFonts w:ascii="Times New Roman" w:hAnsi="Times New Roman"/>
          <w:color w:val="000000" w:themeColor="text1"/>
        </w:rPr>
        <w:t xml:space="preserve"> alineatul (</w:t>
      </w:r>
      <w:r w:rsidRPr="008D4701">
        <w:rPr>
          <w:rFonts w:ascii="Times New Roman" w:hAnsi="Times New Roman"/>
          <w:color w:val="000000" w:themeColor="text1"/>
        </w:rPr>
        <w:t>4</w:t>
      </w:r>
      <w:r>
        <w:rPr>
          <w:rFonts w:ascii="Times New Roman" w:hAnsi="Times New Roman"/>
          <w:color w:val="000000" w:themeColor="text1"/>
        </w:rPr>
        <w:t xml:space="preserve">) și </w:t>
      </w:r>
      <w:r w:rsidRPr="008D4701">
        <w:rPr>
          <w:rFonts w:ascii="Times New Roman" w:hAnsi="Times New Roman"/>
          <w:color w:val="000000" w:themeColor="text1"/>
        </w:rPr>
        <w:t>572</w:t>
      </w:r>
      <w:r>
        <w:rPr>
          <w:rFonts w:ascii="Times New Roman" w:hAnsi="Times New Roman"/>
          <w:color w:val="000000" w:themeColor="text1"/>
        </w:rPr>
        <w:t>-</w:t>
      </w:r>
      <w:r w:rsidRPr="008D4701">
        <w:rPr>
          <w:rFonts w:ascii="Times New Roman" w:hAnsi="Times New Roman"/>
          <w:color w:val="000000" w:themeColor="text1"/>
        </w:rPr>
        <w:t>10</w:t>
      </w:r>
      <w:r>
        <w:rPr>
          <w:rFonts w:ascii="Times New Roman" w:hAnsi="Times New Roman"/>
          <w:color w:val="000000" w:themeColor="text1"/>
        </w:rPr>
        <w:t xml:space="preserve"> din Codul muncii.</w:t>
      </w:r>
    </w:p>
  </w:footnote>
  <w:footnote w:id="82">
    <w:p w14:paraId="40E4CC83" w14:textId="7090A4C0" w:rsidR="00077A20" w:rsidRPr="00A359E1" w:rsidRDefault="00077A20" w:rsidP="00077A20">
      <w:pPr>
        <w:pStyle w:val="FootnoteText"/>
        <w:jc w:val="both"/>
        <w:rPr>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 xml:space="preserve">Aceste dispoziții se aplică numai în Regiunea Flamandă, în conformitate cu repartizarea competențelor în Belgia. Dispozițiile sunt prevăzute la articolul </w:t>
      </w:r>
      <w:r w:rsidRPr="008D4701">
        <w:rPr>
          <w:rFonts w:ascii="Times New Roman" w:hAnsi="Times New Roman"/>
          <w:color w:val="000000" w:themeColor="text1"/>
        </w:rPr>
        <w:t>12</w:t>
      </w:r>
      <w:r>
        <w:rPr>
          <w:rFonts w:ascii="Times New Roman" w:hAnsi="Times New Roman"/>
          <w:color w:val="000000" w:themeColor="text1"/>
        </w:rPr>
        <w:t>/</w:t>
      </w:r>
      <w:r w:rsidRPr="008D4701">
        <w:rPr>
          <w:rFonts w:ascii="Times New Roman" w:hAnsi="Times New Roman"/>
          <w:color w:val="000000" w:themeColor="text1"/>
        </w:rPr>
        <w:t>4</w:t>
      </w:r>
      <w:r>
        <w:rPr>
          <w:rFonts w:ascii="Times New Roman" w:hAnsi="Times New Roman"/>
          <w:color w:val="000000" w:themeColor="text1"/>
        </w:rPr>
        <w:t xml:space="preserve"> din Legea din </w:t>
      </w:r>
      <w:r w:rsidRPr="008D4701">
        <w:rPr>
          <w:rFonts w:ascii="Times New Roman" w:hAnsi="Times New Roman"/>
          <w:color w:val="000000" w:themeColor="text1"/>
        </w:rPr>
        <w:t>30</w:t>
      </w:r>
      <w:r>
        <w:rPr>
          <w:rFonts w:ascii="Times New Roman" w:hAnsi="Times New Roman"/>
          <w:color w:val="000000" w:themeColor="text1"/>
        </w:rPr>
        <w:t xml:space="preserve"> aprilie </w:t>
      </w:r>
      <w:r w:rsidRPr="008D4701">
        <w:rPr>
          <w:rFonts w:ascii="Times New Roman" w:hAnsi="Times New Roman"/>
          <w:color w:val="000000" w:themeColor="text1"/>
        </w:rPr>
        <w:t>1999</w:t>
      </w:r>
      <w:r>
        <w:rPr>
          <w:rFonts w:ascii="Times New Roman" w:hAnsi="Times New Roman"/>
          <w:color w:val="000000" w:themeColor="text1"/>
        </w:rPr>
        <w:t xml:space="preserve"> privind încadrarea în muncă a lucrătorilor străini și vor intra în vigoare la o dată care urmează să fie stabilită de guvernul flamand, cel târziu la </w:t>
      </w:r>
      <w:r w:rsidRPr="008D4701">
        <w:rPr>
          <w:rFonts w:ascii="Times New Roman" w:hAnsi="Times New Roman"/>
          <w:color w:val="000000" w:themeColor="text1"/>
        </w:rPr>
        <w:t>1</w:t>
      </w:r>
      <w:r>
        <w:rPr>
          <w:rFonts w:ascii="Times New Roman" w:hAnsi="Times New Roman"/>
          <w:color w:val="000000" w:themeColor="text1"/>
        </w:rPr>
        <w:t xml:space="preserve"> ianuarie </w:t>
      </w:r>
      <w:r w:rsidRPr="008D4701">
        <w:rPr>
          <w:rFonts w:ascii="Times New Roman" w:hAnsi="Times New Roman"/>
          <w:color w:val="000000" w:themeColor="text1"/>
        </w:rPr>
        <w:t>2026</w:t>
      </w:r>
      <w:r>
        <w:rPr>
          <w:rFonts w:ascii="Times New Roman" w:hAnsi="Times New Roman"/>
          <w:color w:val="000000" w:themeColor="text1"/>
        </w:rPr>
        <w:t>. Regiunea Bruxelles-Capitală și Regiunea Valonă nu au adoptat norme similare privind această obligație de verificare consolidată.</w:t>
      </w:r>
    </w:p>
  </w:footnote>
  <w:footnote w:id="83">
    <w:p w14:paraId="24868D9E" w14:textId="77777777" w:rsidR="00077A20" w:rsidRPr="00A359E1" w:rsidRDefault="00077A20" w:rsidP="00077A20">
      <w:pPr>
        <w:pStyle w:val="FootnoteText"/>
        <w:jc w:val="both"/>
        <w:rPr>
          <w:rFonts w:ascii="Times New Roman" w:hAnsi="Times New Roman" w:cs="Times New Roman"/>
          <w:color w:val="000000" w:themeColor="text1"/>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color w:val="000000" w:themeColor="text1"/>
        </w:rPr>
        <w:t xml:space="preserve">Aceste dispoziții legale, care urmează să intre în vigoare până la </w:t>
      </w:r>
      <w:r w:rsidRPr="008D4701">
        <w:rPr>
          <w:rFonts w:ascii="Times New Roman" w:hAnsi="Times New Roman"/>
          <w:color w:val="000000" w:themeColor="text1"/>
        </w:rPr>
        <w:t>1</w:t>
      </w:r>
      <w:r>
        <w:rPr>
          <w:rFonts w:ascii="Times New Roman" w:hAnsi="Times New Roman"/>
          <w:color w:val="000000" w:themeColor="text1"/>
        </w:rPr>
        <w:t xml:space="preserve"> ianuarie </w:t>
      </w:r>
      <w:r w:rsidRPr="008D4701">
        <w:rPr>
          <w:rFonts w:ascii="Times New Roman" w:hAnsi="Times New Roman"/>
          <w:color w:val="000000" w:themeColor="text1"/>
        </w:rPr>
        <w:t>2026</w:t>
      </w:r>
      <w:r>
        <w:rPr>
          <w:rFonts w:ascii="Times New Roman" w:hAnsi="Times New Roman"/>
          <w:color w:val="000000" w:themeColor="text1"/>
        </w:rPr>
        <w:t xml:space="preserve">, se vor aplica numai în Regiunea Flamandă. </w:t>
      </w:r>
    </w:p>
  </w:footnote>
  <w:footnote w:id="84">
    <w:p w14:paraId="58F39993"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Germania, Malta.</w:t>
      </w:r>
    </w:p>
  </w:footnote>
  <w:footnote w:id="85">
    <w:p w14:paraId="14577891" w14:textId="77777777" w:rsidR="00077A20" w:rsidRPr="00A359E1" w:rsidRDefault="00077A20" w:rsidP="00077A20">
      <w:pPr>
        <w:pStyle w:val="FootnoteText"/>
        <w:jc w:val="both"/>
        <w:rPr>
          <w:rFonts w:ascii="Times New Roman" w:eastAsia="Calibri"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Austria, Bulgaria, Franța, Ungaria.</w:t>
      </w:r>
    </w:p>
  </w:footnote>
  <w:footnote w:id="86">
    <w:p w14:paraId="7AB9162F"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Cipru.</w:t>
      </w:r>
    </w:p>
  </w:footnote>
  <w:footnote w:id="87">
    <w:p w14:paraId="2994FC2A"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Austria, Belgia, Bulgaria, Cehia, Estonia, Finlanda, Franța, Ungaria, Italia, Letonia, Lituania, Luxemburg, Țările de Jos, România.</w:t>
      </w:r>
    </w:p>
  </w:footnote>
  <w:footnote w:id="88">
    <w:p w14:paraId="539AB119"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Austria, Belgia, Cehia, Italia, Lituania, Țările de Jos.</w:t>
      </w:r>
    </w:p>
  </w:footnote>
  <w:footnote w:id="89">
    <w:p w14:paraId="7088DDC0" w14:textId="08928C96"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Informații furnizate prin intermediul site-urilor instituțiilor: Bulgaria, Croația, Cipru, Cehia, Estonia, Finlanda, Franța, Grecia, Ungaria, Lituania, Luxemburg, Țările de Jos, Polonia, România, Slovenia, Spania; personal, prin telefon sau în timpul inspecțiilor: Austria, Belgia, Cehia, Estonia, Franța, Grecia, Italia, Lituania, Luxemburg, Portugalia, România, Slovacia, Slovenia; de către poliție sau polițiștii de frontieră: Croația, Letonia, Portugalia, Suedia. </w:t>
      </w:r>
    </w:p>
  </w:footnote>
  <w:footnote w:id="90">
    <w:p w14:paraId="4DB00E81"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Belgia, Franța, Grecia, Slovenia.</w:t>
      </w:r>
    </w:p>
  </w:footnote>
  <w:footnote w:id="91">
    <w:p w14:paraId="76293929"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Austria, Belgia, Germania, Luxemburg, Țările de Jos, Portugalia, Suedia.</w:t>
      </w:r>
    </w:p>
  </w:footnote>
  <w:footnote w:id="92">
    <w:p w14:paraId="2682D2FB"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Lituania, Țările de Jos, România.</w:t>
      </w:r>
    </w:p>
  </w:footnote>
  <w:footnote w:id="93">
    <w:p w14:paraId="03E4AF0B"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Bulgaria, Cehia, Ungaria, Italia, Letonia, Lituania, Luxemburg, Țările de Jos, Polonia, România, Slovenia, Spania.</w:t>
      </w:r>
    </w:p>
  </w:footnote>
  <w:footnote w:id="94">
    <w:p w14:paraId="771BF3E3"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Austria, Croația, Estonia, Franța, Italia, Letonia, Lituania, Luxemburg, Polonia, Portugalia, România, Slovacia, Suedia.</w:t>
      </w:r>
    </w:p>
  </w:footnote>
  <w:footnote w:id="95">
    <w:p w14:paraId="066842D4" w14:textId="5C349148"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Austria, Franța, Italia, Lituania, Luxemburg, Portugalia, România, Slovacia.</w:t>
      </w:r>
    </w:p>
  </w:footnote>
  <w:footnote w:id="96">
    <w:p w14:paraId="68D88020"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Belgia, Bulgaria, Cipru, Cehia, Finlanda, Germania, Grecia, Ungaria, Țările de Jos.</w:t>
      </w:r>
    </w:p>
  </w:footnote>
  <w:footnote w:id="97">
    <w:p w14:paraId="54B845E8" w14:textId="1C4A8278" w:rsidR="00077A20" w:rsidRPr="00A359E1" w:rsidRDefault="00077A20" w:rsidP="00077A2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Informațiile sunt furnizate independent de procedura de returnare:</w:t>
      </w:r>
      <w:r>
        <w:t xml:space="preserve"> </w:t>
      </w:r>
      <w:r>
        <w:br/>
      </w:r>
      <w:r>
        <w:rPr>
          <w:rFonts w:ascii="Times New Roman" w:hAnsi="Times New Roman"/>
        </w:rPr>
        <w:t xml:space="preserve"> – în timpul inspecțiilor: Austria, Belgia, Franța, Italia, Lituania, Luxemburg, Portugalia, Slovacia.</w:t>
      </w:r>
      <w:r>
        <w:t xml:space="preserve"> </w:t>
      </w:r>
      <w:r>
        <w:br/>
      </w:r>
      <w:r>
        <w:rPr>
          <w:rFonts w:ascii="Times New Roman" w:hAnsi="Times New Roman"/>
        </w:rPr>
        <w:t xml:space="preserve"> – de către inspectoratele de muncă sau sociale: Belgia, Cehia, Estonia, Grecia, Italia, Lituania.</w:t>
      </w:r>
      <w:r>
        <w:t xml:space="preserve"> </w:t>
      </w:r>
      <w:r>
        <w:br/>
      </w:r>
      <w:r>
        <w:rPr>
          <w:rFonts w:ascii="Times New Roman" w:hAnsi="Times New Roman"/>
        </w:rPr>
        <w:t xml:space="preserve"> – de către ONG-uri, sindicate și organismele de reprezentare a lucrătorilor: Austria, Belgia, Luxemburg, Portugalia, Suedia.</w:t>
      </w:r>
      <w:r>
        <w:t xml:space="preserve"> </w:t>
      </w:r>
      <w:r>
        <w:br/>
      </w:r>
      <w:r>
        <w:rPr>
          <w:rFonts w:ascii="Times New Roman" w:hAnsi="Times New Roman"/>
        </w:rPr>
        <w:t xml:space="preserve"> – prin intermediul centrelor de informare: Slovenia.</w:t>
      </w:r>
      <w:r>
        <w:t xml:space="preserve"> </w:t>
      </w:r>
      <w:r>
        <w:br/>
      </w:r>
      <w:r>
        <w:rPr>
          <w:rFonts w:ascii="Times New Roman" w:hAnsi="Times New Roman"/>
        </w:rPr>
        <w:t xml:space="preserve"> – prin campanii de informare: Lituania, Țările de Jos, România.</w:t>
      </w:r>
      <w:r>
        <w:t xml:space="preserve"> </w:t>
      </w:r>
      <w:r>
        <w:br/>
      </w:r>
      <w:r>
        <w:rPr>
          <w:rFonts w:ascii="Times New Roman" w:hAnsi="Times New Roman"/>
        </w:rPr>
        <w:t xml:space="preserve"> – de către poliție: Portugalia.</w:t>
      </w:r>
      <w:r>
        <w:t xml:space="preserve"> </w:t>
      </w:r>
      <w:r>
        <w:br/>
      </w:r>
      <w:r>
        <w:rPr>
          <w:rFonts w:ascii="Times New Roman" w:hAnsi="Times New Roman"/>
        </w:rPr>
        <w:t xml:space="preserve"> Letonia raportează că informațiile sunt furnizate exclusiv în contextul procedurii de returnare.</w:t>
      </w:r>
    </w:p>
  </w:footnote>
  <w:footnote w:id="98">
    <w:p w14:paraId="3C5EBFE8" w14:textId="70FAEB82" w:rsidR="00077A20" w:rsidRPr="00A359E1" w:rsidRDefault="00077A20" w:rsidP="00077A20">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CES raportează că aceste servicii s-au confruntat cu tăieri semnificative ale fondurilor în ultimii ani, în special în urma pandemiei de COVID-</w:t>
      </w:r>
      <w:r w:rsidRPr="008D4701">
        <w:rPr>
          <w:rFonts w:ascii="Times New Roman" w:hAnsi="Times New Roman"/>
        </w:rPr>
        <w:t>19</w:t>
      </w:r>
      <w:r>
        <w:rPr>
          <w:rFonts w:ascii="Times New Roman" w:hAnsi="Times New Roman"/>
          <w:sz w:val="22"/>
        </w:rPr>
        <w:t xml:space="preserve"> (</w:t>
      </w:r>
      <w:r>
        <w:rPr>
          <w:rFonts w:ascii="Times New Roman" w:hAnsi="Times New Roman"/>
        </w:rPr>
        <w:t xml:space="preserve">contribuția CES la raportul referitor la punerea în aplicare a Directivei privind sancțiunile la adresa angajatorilor din iunie </w:t>
      </w:r>
      <w:r w:rsidRPr="008D4701">
        <w:rPr>
          <w:rFonts w:ascii="Times New Roman" w:hAnsi="Times New Roman"/>
        </w:rPr>
        <w:t>2025</w:t>
      </w:r>
      <w:r>
        <w:rPr>
          <w:rFonts w:ascii="Times New Roman" w:hAnsi="Times New Roman"/>
        </w:rPr>
        <w:t xml:space="preserve">). Opinii similare au fost exprimate și în cadrul mai multor consultări organizate de Comisie, inclusiv în cadrul reuniunii Platformei privind migrația forței de muncă din </w:t>
      </w:r>
      <w:r w:rsidRPr="008D4701">
        <w:rPr>
          <w:rFonts w:ascii="Times New Roman" w:hAnsi="Times New Roman"/>
        </w:rPr>
        <w:t>15</w:t>
      </w:r>
      <w:r w:rsidR="00501406">
        <w:rPr>
          <w:rFonts w:ascii="Times New Roman" w:hAnsi="Times New Roman"/>
        </w:rPr>
        <w:t> </w:t>
      </w:r>
      <w:r>
        <w:rPr>
          <w:rFonts w:ascii="Times New Roman" w:hAnsi="Times New Roman"/>
        </w:rPr>
        <w:t xml:space="preserve">octombrie </w:t>
      </w:r>
      <w:r w:rsidRPr="008D4701">
        <w:rPr>
          <w:rFonts w:ascii="Times New Roman" w:hAnsi="Times New Roman"/>
        </w:rPr>
        <w:t>2025</w:t>
      </w:r>
      <w:r>
        <w:rPr>
          <w:rFonts w:ascii="Times New Roman" w:hAnsi="Times New Roman"/>
        </w:rPr>
        <w:t xml:space="preserve"> (</w:t>
      </w:r>
      <w:hyperlink r:id="rId4" w:history="1">
        <w:r w:rsidRPr="008D4701">
          <w:rPr>
            <w:rStyle w:val="Hyperlink"/>
            <w:rFonts w:ascii="Times New Roman" w:hAnsi="Times New Roman"/>
          </w:rPr>
          <w:t>Platforma privind migrația forței de muncă – Migrație și Afaceri Interne</w:t>
        </w:r>
      </w:hyperlink>
      <w:r>
        <w:rPr>
          <w:rFonts w:ascii="Times New Roman" w:hAnsi="Times New Roman"/>
        </w:rPr>
        <w:t>), precum și în constatările sondajului „Facilitarea depunerii plângerilor de către lucrătorii din țările terțe aflați în situație de ședere ilegală și a efectuării plăților restante către aceștia – Sondaj la scară mică realizat de Agenția pentru Drepturi Fundamentale în rândul sindicatelor și al societății civile – principalele rezultate”.</w:t>
      </w:r>
    </w:p>
  </w:footnote>
  <w:footnote w:id="99">
    <w:p w14:paraId="19F4ECF8"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Belgia, Cehia, Ungaria, Italia, Franța, Germania, Grecia, Lituania, Țările de Jos, Polonia.</w:t>
      </w:r>
    </w:p>
  </w:footnote>
  <w:footnote w:id="100">
    <w:p w14:paraId="643396B8"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Austria, Finlanda, Franța, Ungaria, Italia.</w:t>
      </w:r>
    </w:p>
  </w:footnote>
  <w:footnote w:id="101">
    <w:p w14:paraId="2A2A0CA0"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Belgia, Bulgaria, Cipru, Estonia, Grecia, Italia, Letonia, Lituania, Luxemburg, Malta, Țările de Jos, Polonia, Portugalia, Slovenia, Spania.</w:t>
      </w:r>
    </w:p>
  </w:footnote>
  <w:footnote w:id="102">
    <w:p w14:paraId="2A3332AA"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Germania.</w:t>
      </w:r>
    </w:p>
  </w:footnote>
  <w:footnote w:id="103">
    <w:p w14:paraId="092B63C0" w14:textId="2B45F87D"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Croația, Cehia, Finlanda, Franța, Ungaria, România, Slovacia, Suedia; nu sunt disponibile informații pentru Austria. </w:t>
      </w:r>
    </w:p>
  </w:footnote>
  <w:footnote w:id="104">
    <w:p w14:paraId="609E74DF"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Austria, Belgia, Bulgaria, Cipru, Croația, Cehia, Estonia, Finlanda, Franța, Grecia, Ungaria, Letonia, Lituania, Luxemburg, Țările de Jos, Polonia, Portugalia, România, Slovacia, Slovenia, Spania, Suedia.</w:t>
      </w:r>
    </w:p>
  </w:footnote>
  <w:footnote w:id="105">
    <w:p w14:paraId="39F66ABA"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Austria, Belgia, Bulgaria, Finlanda, Franța, Ungaria, Letonia, Luxemburg, Țările de Jos, România, Slovenia, Spania, Suedia.</w:t>
      </w:r>
    </w:p>
  </w:footnote>
  <w:footnote w:id="106">
    <w:p w14:paraId="3D6921A2"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Belgia, Bulgaria, Croația, Cipru, Cehia, Germania, Estonia Finlanda, Grecia, Ungaria, Letonia, Lituania, Malta, Țările de Jos, Polonia, Portugalia, România, Slovacia, Slovenia, Spania, Suedia.</w:t>
      </w:r>
    </w:p>
  </w:footnote>
  <w:footnote w:id="107">
    <w:p w14:paraId="053C294F"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Austria, Belgia, Bulgaria, Croația, Cipru, Cehia, Estonia, Germania, Finlanda, Franța, Grecia, Ungaria, Letonia, Lituania, Luxemburg, Malta, Țările de Jos, Polonia, Portugalia, România, Slovacia, Slovenia, Spania, Suedia.</w:t>
      </w:r>
    </w:p>
  </w:footnote>
  <w:footnote w:id="108">
    <w:p w14:paraId="70096CED"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Austria, Belgia, Bulgaria, Croația, Cipru, Cehia, Estonia, Germania, Finlanda, Franța, Grecia, Ungaria, Letonia, Lituania, Luxemburg, Malta, Polonia, Portugalia, România, Slovacia, Slovenia, Spania.</w:t>
      </w:r>
    </w:p>
  </w:footnote>
  <w:footnote w:id="109">
    <w:p w14:paraId="34A4A6E6"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Belgia, Bulgaria, Cehia, Estonia, Grecia, Țările de Jos, Portugalia, Slovacia.</w:t>
      </w:r>
    </w:p>
  </w:footnote>
  <w:footnote w:id="110">
    <w:p w14:paraId="2BA3A77D"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Belgia, Bulgaria, Croația, Cipru, Cehia, Estonia, Grecia, Ungaria, Lituania, Luxemburg, Țările de Jos, Polonia, România, Slovacia, Slovenia, Spania.</w:t>
      </w:r>
    </w:p>
  </w:footnote>
  <w:footnote w:id="111">
    <w:p w14:paraId="405D2965" w14:textId="77777777" w:rsidR="00077A20" w:rsidRPr="000C3846"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Franța, Luxemburg, Țările de Jos, Polonia, Portugalia.</w:t>
      </w:r>
    </w:p>
  </w:footnote>
  <w:footnote w:id="112">
    <w:p w14:paraId="5109F05E"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Austria, Belgia, Estonia, Franța, Letonia, Lituania, Polonia, Suedia.</w:t>
      </w:r>
    </w:p>
  </w:footnote>
  <w:footnote w:id="113">
    <w:p w14:paraId="0557167A"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Luxemburg, Slovenia.</w:t>
      </w:r>
    </w:p>
  </w:footnote>
  <w:footnote w:id="114">
    <w:p w14:paraId="7905EF01"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Finlanda.</w:t>
      </w:r>
    </w:p>
  </w:footnote>
  <w:footnote w:id="115">
    <w:p w14:paraId="73AEEB67"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Suedia.</w:t>
      </w:r>
    </w:p>
  </w:footnote>
  <w:footnote w:id="116">
    <w:p w14:paraId="1889B9F1" w14:textId="77777777" w:rsidR="00077A20" w:rsidRPr="00A359E1" w:rsidRDefault="00077A20" w:rsidP="00077A2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Germania.</w:t>
      </w:r>
    </w:p>
  </w:footnote>
  <w:footnote w:id="117">
    <w:p w14:paraId="76AF1F33"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Germania.</w:t>
      </w:r>
    </w:p>
  </w:footnote>
  <w:footnote w:id="118">
    <w:p w14:paraId="374CE0C3"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Croația.</w:t>
      </w:r>
    </w:p>
  </w:footnote>
  <w:footnote w:id="119">
    <w:p w14:paraId="1B576EC9" w14:textId="64221558"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Toate statele membre, mai puțin Malta.</w:t>
      </w:r>
    </w:p>
  </w:footnote>
  <w:footnote w:id="120">
    <w:p w14:paraId="0441D59D"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Lituania.</w:t>
      </w:r>
    </w:p>
  </w:footnote>
  <w:footnote w:id="121">
    <w:p w14:paraId="6CAC8B2D" w14:textId="77777777" w:rsidR="00077A20" w:rsidRPr="00A359E1" w:rsidRDefault="00077A20" w:rsidP="00077A20">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Austria, Belgia, Bulgaria, Estonia, Finlanda, Franța, Grecia, Italia, Letonia, Lituania, Ungaria, Țările de Jos, Polonia, România, Slovacia, Slovenia.</w:t>
      </w:r>
    </w:p>
  </w:footnote>
  <w:footnote w:id="122">
    <w:p w14:paraId="32641E75"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Germania, Cipru, Cehia, Luxemburg, Portugalia, Suedia.</w:t>
      </w:r>
    </w:p>
  </w:footnote>
  <w:footnote w:id="123">
    <w:p w14:paraId="45F13191"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Bulgaria, Croația, Cipru, Cehia, Estonia, Finlanda, Grecia, Ungaria, Lituania, Luxemburg, Țările de Jos, Polonia, Portugalia, Slovacia, Slovenia, Suedia.</w:t>
      </w:r>
    </w:p>
  </w:footnote>
  <w:footnote w:id="124">
    <w:p w14:paraId="510750F4"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Austria, Bulgaria, Croația, Cipru, Germania, Grecia, Estonia, Finlanda, Franța, Ungaria, Italia, Letonia, Lituania, Luxemburg, Malta, Portugalia, România, Spania, Suedia.</w:t>
      </w:r>
    </w:p>
  </w:footnote>
  <w:footnote w:id="125">
    <w:p w14:paraId="20B99335"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Cehia, Țările de Jos, Polonia.</w:t>
      </w:r>
    </w:p>
  </w:footnote>
  <w:footnote w:id="126">
    <w:p w14:paraId="0A5127AE" w14:textId="2290AA1B"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Belgia: </w:t>
      </w:r>
      <w:r w:rsidRPr="008D4701">
        <w:rPr>
          <w:rFonts w:ascii="Times New Roman" w:hAnsi="Times New Roman"/>
        </w:rPr>
        <w:t>377</w:t>
      </w:r>
      <w:r>
        <w:rPr>
          <w:rFonts w:ascii="Times New Roman" w:hAnsi="Times New Roman"/>
        </w:rPr>
        <w:t xml:space="preserve"> de plângeri depuse la serviciul federal de inspecție și </w:t>
      </w:r>
      <w:r w:rsidRPr="008D4701">
        <w:rPr>
          <w:rFonts w:ascii="Times New Roman" w:hAnsi="Times New Roman"/>
        </w:rPr>
        <w:t>903</w:t>
      </w:r>
      <w:r>
        <w:rPr>
          <w:rFonts w:ascii="Times New Roman" w:hAnsi="Times New Roman"/>
        </w:rPr>
        <w:t xml:space="preserve"> la punctul de contact pentru concurență loială; Cehia: </w:t>
      </w:r>
      <w:r w:rsidRPr="008D4701">
        <w:rPr>
          <w:rFonts w:ascii="Times New Roman" w:hAnsi="Times New Roman"/>
        </w:rPr>
        <w:t>1931</w:t>
      </w:r>
      <w:r>
        <w:rPr>
          <w:rFonts w:ascii="Times New Roman" w:hAnsi="Times New Roman"/>
        </w:rPr>
        <w:t xml:space="preserve"> de plângeri legate de angajarea ilegală, dintre care </w:t>
      </w:r>
      <w:r w:rsidRPr="008D4701">
        <w:rPr>
          <w:rFonts w:ascii="Times New Roman" w:hAnsi="Times New Roman"/>
        </w:rPr>
        <w:t>26</w:t>
      </w:r>
      <w:r>
        <w:rPr>
          <w:rFonts w:ascii="Times New Roman" w:hAnsi="Times New Roman"/>
        </w:rPr>
        <w:t xml:space="preserve"> depuse de resortisanți ai țărilor terțe; Slovacia: </w:t>
      </w:r>
      <w:r w:rsidRPr="008D4701">
        <w:rPr>
          <w:rFonts w:ascii="Times New Roman" w:hAnsi="Times New Roman"/>
        </w:rPr>
        <w:t>85</w:t>
      </w:r>
      <w:r>
        <w:rPr>
          <w:rFonts w:ascii="Times New Roman" w:hAnsi="Times New Roman"/>
        </w:rPr>
        <w:t xml:space="preserve"> de plângeri.</w:t>
      </w:r>
    </w:p>
  </w:footnote>
  <w:footnote w:id="127">
    <w:p w14:paraId="666C065D"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Malta, Belgia.</w:t>
      </w:r>
    </w:p>
  </w:footnote>
  <w:footnote w:id="128">
    <w:p w14:paraId="593D1AEA"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Croația, Lituania, Slovacia.</w:t>
      </w:r>
    </w:p>
  </w:footnote>
  <w:footnote w:id="129">
    <w:p w14:paraId="183E69E3" w14:textId="77777777" w:rsidR="00077A20" w:rsidRPr="000C3846" w:rsidRDefault="00077A20" w:rsidP="00077A20">
      <w:pPr>
        <w:pStyle w:val="FootnoteText"/>
        <w:jc w:val="both"/>
        <w:rPr>
          <w:rFonts w:ascii="Times New Roman" w:hAnsi="Times New Roman" w:cs="Times New Roman"/>
        </w:rPr>
      </w:pPr>
      <w:r>
        <w:rPr>
          <w:rStyle w:val="FootnoteReference"/>
        </w:rPr>
        <w:footnoteRef/>
      </w:r>
      <w:r>
        <w:rPr>
          <w:rFonts w:ascii="Times New Roman" w:hAnsi="Times New Roman"/>
        </w:rPr>
        <w:t xml:space="preserve"> </w:t>
      </w:r>
      <w:r>
        <w:rPr>
          <w:rFonts w:ascii="Times New Roman" w:hAnsi="Times New Roman"/>
          <w:color w:val="000000" w:themeColor="text1"/>
        </w:rPr>
        <w:t>Bulgaria, Cipru, Estonia, Finlanda, Portugalia, România.</w:t>
      </w:r>
    </w:p>
  </w:footnote>
  <w:footnote w:id="130">
    <w:p w14:paraId="2D70EC01" w14:textId="77777777" w:rsidR="00077A20" w:rsidRPr="000C3846"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Luxemburg (</w:t>
      </w:r>
      <w:r w:rsidRPr="008D4701">
        <w:rPr>
          <w:rFonts w:ascii="Times New Roman" w:hAnsi="Times New Roman"/>
        </w:rPr>
        <w:t>89</w:t>
      </w:r>
      <w:r>
        <w:rPr>
          <w:rFonts w:ascii="Times New Roman" w:hAnsi="Times New Roman"/>
        </w:rPr>
        <w:t xml:space="preserve"> în </w:t>
      </w:r>
      <w:r w:rsidRPr="008D4701">
        <w:rPr>
          <w:rFonts w:ascii="Times New Roman" w:hAnsi="Times New Roman"/>
        </w:rPr>
        <w:t>2024</w:t>
      </w:r>
      <w:r>
        <w:rPr>
          <w:rFonts w:ascii="Times New Roman" w:hAnsi="Times New Roman"/>
        </w:rPr>
        <w:t>), Slovacia, Slovenia.</w:t>
      </w:r>
    </w:p>
  </w:footnote>
  <w:footnote w:id="131">
    <w:p w14:paraId="601AA13A" w14:textId="77777777" w:rsidR="00077A20" w:rsidRPr="000C3846"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Austria, Belgia, Bulgaria, Croația, Cipru, Cehia, Estonia, Grecia, Ungaria, Lituania, Luxemburg, Țările de Jos, Polonia, Portugalia, România, Spania.</w:t>
      </w:r>
    </w:p>
  </w:footnote>
  <w:footnote w:id="132">
    <w:p w14:paraId="78A8171E"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Austria, Belgia, Bulgaria, Croația, Cehia, Estonia, Finlanda, Ungaria, Italia, Letonia, Malta, Polonia, Portugalia.</w:t>
      </w:r>
    </w:p>
  </w:footnote>
  <w:footnote w:id="133">
    <w:p w14:paraId="638BCD10"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Belgia, Cehia, Estonia, Finlanda, Franța, Ungaria, Letonia, Lituania, Polonia, România.</w:t>
      </w:r>
    </w:p>
  </w:footnote>
  <w:footnote w:id="134">
    <w:p w14:paraId="0546BFB3"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Austria, Belgia, Croația, Cehia, Finlanda, Grecia, Ungaria, Italia, Luxemburg, Polonia, Slovacia, Suedia.</w:t>
      </w:r>
    </w:p>
  </w:footnote>
  <w:footnote w:id="135">
    <w:p w14:paraId="0634E430"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Austria, Belgia, Croația, Cehia, Estonia, Germania, Grecia, Finlanda, Franța, Lituania, Țările de Jos, Portugalia, Suedia.</w:t>
      </w:r>
    </w:p>
  </w:footnote>
  <w:footnote w:id="136">
    <w:p w14:paraId="3622B4B8"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Austria, Cipru, Cehia, Italia, Finlanda, Germania, Lituania, Țările de Jos, Polonia, Slovenia.</w:t>
      </w:r>
    </w:p>
  </w:footnote>
  <w:footnote w:id="137">
    <w:p w14:paraId="17CDFF51" w14:textId="6ECC1EEB" w:rsidR="007606C0" w:rsidRPr="00A359E1" w:rsidRDefault="007606C0" w:rsidP="007606C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Facilitarea depunerii plângerilor de către lucrătorii din țările terțe aflați în situație de ședere ilegală și a efectuării plăților restante către aceștia – Sondaj la scară mică realizat de Agenția pentru Drepturi Fundamentale în rândul sindicatelor și al societății civile – principalele rezultate, </w:t>
      </w:r>
      <w:r w:rsidRPr="008D4701">
        <w:rPr>
          <w:rFonts w:ascii="Times New Roman" w:hAnsi="Times New Roman"/>
        </w:rPr>
        <w:t>5</w:t>
      </w:r>
      <w:r>
        <w:rPr>
          <w:rFonts w:ascii="Times New Roman" w:hAnsi="Times New Roman"/>
        </w:rPr>
        <w:t xml:space="preserve"> iunie </w:t>
      </w:r>
      <w:r w:rsidRPr="008D4701">
        <w:rPr>
          <w:rFonts w:ascii="Times New Roman" w:hAnsi="Times New Roman"/>
        </w:rPr>
        <w:t>2025</w:t>
      </w:r>
      <w:r>
        <w:rPr>
          <w:rFonts w:ascii="Times New Roman" w:hAnsi="Times New Roman"/>
        </w:rPr>
        <w:t xml:space="preserve">. Contribuția PICUM la Raportul din </w:t>
      </w:r>
      <w:r w:rsidRPr="008D4701">
        <w:rPr>
          <w:rFonts w:ascii="Times New Roman" w:hAnsi="Times New Roman"/>
        </w:rPr>
        <w:t>2025</w:t>
      </w:r>
      <w:r>
        <w:rPr>
          <w:rFonts w:ascii="Times New Roman" w:hAnsi="Times New Roman"/>
        </w:rPr>
        <w:t xml:space="preserve"> referitor la punerea în aplicare a Directivei privind sancțiunile la adresa angajatorilor.</w:t>
      </w:r>
    </w:p>
  </w:footnote>
  <w:footnote w:id="138">
    <w:p w14:paraId="6C7BC1EB"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Bulgaria (&lt;</w:t>
      </w:r>
      <w:r w:rsidRPr="008D4701">
        <w:rPr>
          <w:rFonts w:ascii="Times New Roman" w:hAnsi="Times New Roman"/>
        </w:rPr>
        <w:t>10</w:t>
      </w:r>
      <w:r>
        <w:rPr>
          <w:rFonts w:ascii="Times New Roman" w:hAnsi="Times New Roman"/>
        </w:rPr>
        <w:t>), Lituania (&lt;</w:t>
      </w:r>
      <w:r w:rsidRPr="008D4701">
        <w:rPr>
          <w:rFonts w:ascii="Times New Roman" w:hAnsi="Times New Roman"/>
        </w:rPr>
        <w:t>50</w:t>
      </w:r>
      <w:r>
        <w:rPr>
          <w:rFonts w:ascii="Times New Roman" w:hAnsi="Times New Roman"/>
        </w:rPr>
        <w:t>), România (&lt;</w:t>
      </w:r>
      <w:r w:rsidRPr="008D4701">
        <w:rPr>
          <w:rFonts w:ascii="Times New Roman" w:hAnsi="Times New Roman"/>
        </w:rPr>
        <w:t>10</w:t>
      </w:r>
      <w:r>
        <w:rPr>
          <w:rFonts w:ascii="Times New Roman" w:hAnsi="Times New Roman"/>
        </w:rPr>
        <w:t>).</w:t>
      </w:r>
    </w:p>
  </w:footnote>
  <w:footnote w:id="139">
    <w:p w14:paraId="62CB54B9"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Bulgaria, Cipru, România (fiecare cu mai puțin de </w:t>
      </w:r>
      <w:r w:rsidRPr="008D4701">
        <w:rPr>
          <w:rFonts w:ascii="Times New Roman" w:hAnsi="Times New Roman"/>
        </w:rPr>
        <w:t>10</w:t>
      </w:r>
      <w:r>
        <w:rPr>
          <w:rFonts w:ascii="Times New Roman" w:hAnsi="Times New Roman"/>
        </w:rPr>
        <w:t xml:space="preserve"> cazuri cu rezultate pozitive).</w:t>
      </w:r>
    </w:p>
  </w:footnote>
  <w:footnote w:id="140">
    <w:p w14:paraId="2D7E1CE4" w14:textId="77F5E2AE" w:rsidR="00077A20" w:rsidRPr="00A359E1" w:rsidRDefault="00077A20" w:rsidP="00077A20">
      <w:pPr>
        <w:pStyle w:val="FootnoteText"/>
        <w:jc w:val="both"/>
        <w:rPr>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w:t>
      </w:r>
      <w:r w:rsidRPr="008D4701">
        <w:rPr>
          <w:rFonts w:ascii="Times New Roman" w:hAnsi="Times New Roman"/>
        </w:rPr>
        <w:t>6</w:t>
      </w:r>
      <w:r>
        <w:rPr>
          <w:rFonts w:ascii="Times New Roman" w:hAnsi="Times New Roman"/>
        </w:rPr>
        <w:t xml:space="preserve"> din cele </w:t>
      </w:r>
      <w:r w:rsidRPr="008D4701">
        <w:rPr>
          <w:rFonts w:ascii="Times New Roman" w:hAnsi="Times New Roman"/>
        </w:rPr>
        <w:t>27</w:t>
      </w:r>
      <w:r>
        <w:rPr>
          <w:rFonts w:ascii="Times New Roman" w:hAnsi="Times New Roman"/>
        </w:rPr>
        <w:t xml:space="preserve"> de organizații care au participat la sondajul FRA.</w:t>
      </w:r>
    </w:p>
  </w:footnote>
  <w:footnote w:id="141">
    <w:p w14:paraId="5A272EF1" w14:textId="1E47957F"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Pr="008D4701">
        <w:rPr>
          <w:rFonts w:ascii="Times New Roman" w:hAnsi="Times New Roman"/>
        </w:rPr>
        <w:t>4</w:t>
      </w:r>
      <w:r>
        <w:rPr>
          <w:rFonts w:ascii="Times New Roman" w:hAnsi="Times New Roman"/>
        </w:rPr>
        <w:t xml:space="preserve"> și, respectiv, </w:t>
      </w:r>
      <w:r w:rsidRPr="008D4701">
        <w:rPr>
          <w:rFonts w:ascii="Times New Roman" w:hAnsi="Times New Roman"/>
        </w:rPr>
        <w:t>3</w:t>
      </w:r>
      <w:r>
        <w:rPr>
          <w:rFonts w:ascii="Times New Roman" w:hAnsi="Times New Roman"/>
        </w:rPr>
        <w:t xml:space="preserve"> organizații.</w:t>
      </w:r>
    </w:p>
  </w:footnote>
  <w:footnote w:id="142">
    <w:p w14:paraId="2C40C4C5"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Țările de Jos (</w:t>
      </w:r>
      <w:r w:rsidRPr="008D4701">
        <w:rPr>
          <w:rFonts w:ascii="Times New Roman" w:hAnsi="Times New Roman"/>
        </w:rPr>
        <w:t>236</w:t>
      </w:r>
      <w:r>
        <w:rPr>
          <w:rFonts w:ascii="Times New Roman" w:hAnsi="Times New Roman"/>
        </w:rPr>
        <w:t>), Belgia (</w:t>
      </w:r>
      <w:r w:rsidRPr="008D4701">
        <w:rPr>
          <w:rFonts w:ascii="Times New Roman" w:hAnsi="Times New Roman"/>
        </w:rPr>
        <w:t>229</w:t>
      </w:r>
      <w:r>
        <w:rPr>
          <w:rFonts w:ascii="Times New Roman" w:hAnsi="Times New Roman"/>
        </w:rPr>
        <w:t>).</w:t>
      </w:r>
    </w:p>
  </w:footnote>
  <w:footnote w:id="143">
    <w:p w14:paraId="4BC97EA6"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Germania (</w:t>
      </w:r>
      <w:r w:rsidRPr="008D4701">
        <w:rPr>
          <w:rFonts w:ascii="Times New Roman" w:hAnsi="Times New Roman"/>
        </w:rPr>
        <w:t>7</w:t>
      </w:r>
      <w:r>
        <w:rPr>
          <w:rFonts w:ascii="Times New Roman" w:hAnsi="Times New Roman"/>
        </w:rPr>
        <w:t>), Slovenia (</w:t>
      </w:r>
      <w:r w:rsidRPr="008D4701">
        <w:rPr>
          <w:rFonts w:ascii="Times New Roman" w:hAnsi="Times New Roman"/>
        </w:rPr>
        <w:t>12</w:t>
      </w:r>
      <w:r>
        <w:rPr>
          <w:rFonts w:ascii="Times New Roman" w:hAnsi="Times New Roman"/>
        </w:rPr>
        <w:t>).</w:t>
      </w:r>
    </w:p>
  </w:footnote>
  <w:footnote w:id="144">
    <w:p w14:paraId="0C0C9248"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Austria, Belgia, Bulgaria, Croația, Cipru, Cehia, Finlanda, Franța, Grecia, Ungaria, Italia, Letonia, Luxemburg, Țările de Jos, Polonia, Slovacia, Slovenia, Suedia.</w:t>
      </w:r>
    </w:p>
  </w:footnote>
  <w:footnote w:id="145">
    <w:p w14:paraId="59547DD1"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Austria, Belgia, Bulgaria, Croația, Cipru, Cehia, Germania, Finlanda, Franța, Grecia, Ungaria, Italia, Letonia, Luxemburg, Polonia, Portugalia, Slovacia, Slovenia, Suedia.</w:t>
      </w:r>
    </w:p>
  </w:footnote>
  <w:footnote w:id="146">
    <w:p w14:paraId="196B9478"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Austria, Belgia, Bulgaria, Cipru, Germania, Finlanda, Grecia, Ungaria, Letonia, Lituania, Luxemburg, Polonia, Slovacia, Suedia.</w:t>
      </w:r>
    </w:p>
  </w:footnote>
  <w:footnote w:id="147">
    <w:p w14:paraId="4F2B7564" w14:textId="77777777" w:rsidR="00077A20" w:rsidRPr="00A359E1" w:rsidRDefault="00077A20" w:rsidP="00077A20">
      <w:pPr>
        <w:pStyle w:val="FootnoteText"/>
        <w:jc w:val="both"/>
        <w:rPr>
          <w:rFonts w:ascii="Times New Roman" w:hAnsi="Times New Roman" w:cs="Times New Roman"/>
        </w:rPr>
      </w:pPr>
      <w:r>
        <w:rPr>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Austria, Belgia, Bulgaria, Germania, Cipru, Cehia, Estonia, Finlanda, Franța, Grecia, Ungaria, Italia, Letonia, Lituania, Luxemburg, Țările de Jos, Polonia, Portugalia, România, Slovacia, Slovenia, Suedia.</w:t>
      </w:r>
    </w:p>
  </w:footnote>
  <w:footnote w:id="148">
    <w:p w14:paraId="51436733"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Belgia, Bulgaria, Croația, Grecia, Italia, Lituania, Luxemburg, Ungaria, Polonia, Portugalia, Slovacia.</w:t>
      </w:r>
    </w:p>
  </w:footnote>
  <w:footnote w:id="149">
    <w:p w14:paraId="21DB029F"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Franța – Oficiul Francez pentru Imigrare și Integrare; Ungaria – Administrația Națională Fiscală și Vamală; Suedia – Autoritatea de aplicare a legii.</w:t>
      </w:r>
    </w:p>
  </w:footnote>
  <w:footnote w:id="150">
    <w:p w14:paraId="6A00413C"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Austria, Belgia, Croația, Cehia, Estonia, Grecia, Finlanda, Franța, Germania, Grecia, Ungaria, Letonia, Lituania, Luxemburg, Țările de Jos, Polonia, România, Slovacia, Slovenia, Suedia.</w:t>
      </w:r>
    </w:p>
  </w:footnote>
  <w:footnote w:id="151">
    <w:p w14:paraId="26D392D5"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Austria.</w:t>
      </w:r>
    </w:p>
  </w:footnote>
  <w:footnote w:id="152">
    <w:p w14:paraId="1DB4CEC5"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Belgia.</w:t>
      </w:r>
    </w:p>
  </w:footnote>
  <w:footnote w:id="153">
    <w:p w14:paraId="3C6D29CB"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Polonia.</w:t>
      </w:r>
    </w:p>
  </w:footnote>
  <w:footnote w:id="154">
    <w:p w14:paraId="42E91C80"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Suedia.</w:t>
      </w:r>
    </w:p>
  </w:footnote>
  <w:footnote w:id="155">
    <w:p w14:paraId="03F7267B"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Bulgaria, Croația, Franța, Grecia, Ungaria, Italia, Luxemburg, Polonia, Slovacia, Slovenia.</w:t>
      </w:r>
    </w:p>
  </w:footnote>
  <w:footnote w:id="156">
    <w:p w14:paraId="3B8BF734"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Bulgaria, Croația, Cipru, Cehia, Estonia, Finlanda, Franța, Germania, Ungaria, Italia, Letonia, Țările de Jos, Polonia, România, Slovacia, Slovenia, Suedia.</w:t>
      </w:r>
    </w:p>
  </w:footnote>
  <w:footnote w:id="157">
    <w:p w14:paraId="03975A6A" w14:textId="77777777" w:rsidR="00077A20" w:rsidRPr="00A359E1" w:rsidRDefault="00077A20" w:rsidP="00077A20">
      <w:pPr>
        <w:pStyle w:val="FootnoteText"/>
        <w:jc w:val="both"/>
        <w:rPr>
          <w:rFonts w:ascii="Times New Roman" w:hAnsi="Times New Roman" w:cs="Times New Roman"/>
          <w:highlight w:val="yellow"/>
        </w:rPr>
      </w:pPr>
      <w:r>
        <w:rPr>
          <w:rStyle w:val="FootnoteReference"/>
          <w:rFonts w:ascii="Times New Roman" w:hAnsi="Times New Roman" w:cs="Times New Roman"/>
        </w:rPr>
        <w:footnoteRef/>
      </w:r>
      <w:r>
        <w:rPr>
          <w:rFonts w:ascii="Times New Roman" w:hAnsi="Times New Roman"/>
        </w:rPr>
        <w:t xml:space="preserve"> Belgia, Croația, Grecia.</w:t>
      </w:r>
    </w:p>
  </w:footnote>
  <w:footnote w:id="158">
    <w:p w14:paraId="607443C9"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Franța.</w:t>
      </w:r>
    </w:p>
  </w:footnote>
  <w:footnote w:id="159">
    <w:p w14:paraId="67596775"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Bulgaria, Estonia, Lituania.</w:t>
      </w:r>
    </w:p>
  </w:footnote>
  <w:footnote w:id="160">
    <w:p w14:paraId="6BE2F3DB"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Luxemburg, Suedia.</w:t>
      </w:r>
    </w:p>
  </w:footnote>
  <w:footnote w:id="161">
    <w:p w14:paraId="7CB1F82A"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Austria, Țările de Jos.</w:t>
      </w:r>
    </w:p>
  </w:footnote>
  <w:footnote w:id="162">
    <w:p w14:paraId="04789CD4" w14:textId="568FAF1C" w:rsidR="00A03F7B" w:rsidRPr="00A359E1" w:rsidRDefault="00A03F7B" w:rsidP="00A03F7B">
      <w:pPr>
        <w:pStyle w:val="FootnoteText"/>
      </w:pPr>
      <w:r>
        <w:rPr>
          <w:rStyle w:val="FootnoteReference"/>
        </w:rPr>
        <w:footnoteRef/>
      </w:r>
      <w:r>
        <w:t xml:space="preserve"> </w:t>
      </w:r>
      <w:r>
        <w:rPr>
          <w:rFonts w:ascii="Times New Roman" w:hAnsi="Times New Roman"/>
        </w:rPr>
        <w:t xml:space="preserve">Acestea au fost raportate în sondajul ad-hoc lansat de Comisie și adresat statelor membre, desfășurat în perioada februarie-aprilie </w:t>
      </w:r>
      <w:r w:rsidRPr="008D4701">
        <w:rPr>
          <w:rFonts w:ascii="Times New Roman" w:hAnsi="Times New Roman"/>
        </w:rPr>
        <w:t>2025</w:t>
      </w:r>
      <w:r>
        <w:rPr>
          <w:rFonts w:ascii="Times New Roman" w:hAnsi="Times New Roman"/>
        </w:rPr>
        <w:t xml:space="preserve">, publicat la adresa </w:t>
      </w:r>
      <w:hyperlink r:id="rId5" w:tgtFrame="_blank" w:history="1">
        <w:r w:rsidRPr="008D4701">
          <w:rPr>
            <w:rStyle w:val="Hyperlink"/>
            <w:rFonts w:ascii="Times New Roman" w:hAnsi="Times New Roman"/>
          </w:rPr>
          <w:t>EUSurvey - Prezentare generală</w:t>
        </w:r>
      </w:hyperlink>
      <w:r>
        <w:rPr>
          <w:rFonts w:ascii="Times New Roman" w:hAnsi="Times New Roman"/>
        </w:rPr>
        <w:t xml:space="preserve">.  </w:t>
      </w:r>
    </w:p>
  </w:footnote>
  <w:footnote w:id="163">
    <w:p w14:paraId="16DAF63E" w14:textId="5B209AE6" w:rsidR="003D70C5" w:rsidRPr="00A359E1" w:rsidRDefault="003D70C5" w:rsidP="003D70C5">
      <w:pPr>
        <w:pStyle w:val="FootnoteText"/>
      </w:pPr>
      <w:r>
        <w:rPr>
          <w:rStyle w:val="FootnoteReference"/>
        </w:rPr>
        <w:footnoteRef/>
      </w:r>
      <w:r>
        <w:t xml:space="preserve"> </w:t>
      </w:r>
      <w:r>
        <w:rPr>
          <w:rFonts w:ascii="Times New Roman" w:hAnsi="Times New Roman"/>
        </w:rPr>
        <w:t xml:space="preserve">Contribuția CES din iunie </w:t>
      </w:r>
      <w:r w:rsidRPr="008D4701">
        <w:rPr>
          <w:rFonts w:ascii="Times New Roman" w:hAnsi="Times New Roman"/>
        </w:rPr>
        <w:t>2025</w:t>
      </w:r>
      <w:r>
        <w:rPr>
          <w:rFonts w:ascii="Times New Roman" w:hAnsi="Times New Roman"/>
        </w:rPr>
        <w:t xml:space="preserve">, menționată anterior; sondajul la scară mică realizat de FRA în rândul sindicatelor și al societății civile din </w:t>
      </w:r>
      <w:r w:rsidRPr="008D4701">
        <w:rPr>
          <w:rFonts w:ascii="Times New Roman" w:hAnsi="Times New Roman"/>
        </w:rPr>
        <w:t>5</w:t>
      </w:r>
      <w:r>
        <w:rPr>
          <w:rFonts w:ascii="Times New Roman" w:hAnsi="Times New Roman"/>
        </w:rPr>
        <w:t xml:space="preserve"> iunie </w:t>
      </w:r>
      <w:r w:rsidRPr="008D4701">
        <w:rPr>
          <w:rFonts w:ascii="Times New Roman" w:hAnsi="Times New Roman"/>
        </w:rPr>
        <w:t>2025</w:t>
      </w:r>
      <w:r>
        <w:rPr>
          <w:rFonts w:ascii="Times New Roman" w:hAnsi="Times New Roman"/>
        </w:rPr>
        <w:t xml:space="preserve">; contribuția PICUM din iunie </w:t>
      </w:r>
      <w:r w:rsidRPr="008D4701">
        <w:rPr>
          <w:rFonts w:ascii="Times New Roman" w:hAnsi="Times New Roman"/>
        </w:rPr>
        <w:t>2025</w:t>
      </w:r>
      <w:r>
        <w:rPr>
          <w:rFonts w:ascii="Times New Roman" w:hAnsi="Times New Roman"/>
        </w:rPr>
        <w:t xml:space="preserve">. </w:t>
      </w:r>
    </w:p>
  </w:footnote>
  <w:footnote w:id="164">
    <w:p w14:paraId="729BF6A5" w14:textId="353E767F" w:rsidR="009A7EBD" w:rsidRPr="00A359E1" w:rsidRDefault="009A7EBD" w:rsidP="009A7EBD">
      <w:pPr>
        <w:pStyle w:val="FootnoteText"/>
      </w:pPr>
      <w:r>
        <w:rPr>
          <w:rStyle w:val="FootnoteReference"/>
        </w:rPr>
        <w:footnoteRef/>
      </w:r>
      <w:r>
        <w:t xml:space="preserve"> </w:t>
      </w:r>
      <w:r>
        <w:rPr>
          <w:rFonts w:ascii="Times New Roman" w:hAnsi="Times New Roman"/>
        </w:rPr>
        <w:t xml:space="preserve">Contribuția CES din iunie </w:t>
      </w:r>
      <w:r w:rsidRPr="008D4701">
        <w:rPr>
          <w:rFonts w:ascii="Times New Roman" w:hAnsi="Times New Roman"/>
        </w:rPr>
        <w:t>2025</w:t>
      </w:r>
      <w:r>
        <w:rPr>
          <w:rFonts w:ascii="Times New Roman" w:hAnsi="Times New Roman"/>
        </w:rPr>
        <w:t>, menționată anterior.</w:t>
      </w:r>
    </w:p>
  </w:footnote>
  <w:footnote w:id="165">
    <w:p w14:paraId="528A5AC5" w14:textId="763759A9"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Franța. </w:t>
      </w:r>
    </w:p>
  </w:footnote>
  <w:footnote w:id="166">
    <w:p w14:paraId="20C9069E" w14:textId="475B5284"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Belgia.</w:t>
      </w:r>
    </w:p>
  </w:footnote>
  <w:footnote w:id="167">
    <w:p w14:paraId="5B0FA713" w14:textId="63C2BE95"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Malta și Portugalia.</w:t>
      </w:r>
    </w:p>
  </w:footnote>
  <w:footnote w:id="168">
    <w:p w14:paraId="02896F47" w14:textId="77777777" w:rsidR="00077A20" w:rsidRPr="00A359E1" w:rsidRDefault="00077A20" w:rsidP="00077A20">
      <w:pPr>
        <w:pStyle w:val="FootnoteText"/>
      </w:pPr>
      <w:r>
        <w:rPr>
          <w:rStyle w:val="FootnoteReference"/>
        </w:rPr>
        <w:footnoteRef/>
      </w:r>
      <w:r>
        <w:t xml:space="preserve"> </w:t>
      </w:r>
      <w:r>
        <w:rPr>
          <w:rFonts w:ascii="Times New Roman" w:hAnsi="Times New Roman"/>
        </w:rPr>
        <w:t>Bulgaria, Cehia, Estonia, Finlanda, Franța, Germania, Grecia, Lituania, Țările de Jos, Polonia, România, Spania, Suedia. Majoritatea sunt concentrate în Franța, Grecia, Italia, Țările de Jos, Spania și Cipru.</w:t>
      </w:r>
    </w:p>
  </w:footnote>
  <w:footnote w:id="169">
    <w:p w14:paraId="6D7EB56E"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Belgia, Cipru, Ungaria, Italia, Letonia, Luxemburg, Malta, Portugalia, România, Slovacia, Slovenia.</w:t>
      </w:r>
    </w:p>
  </w:footnote>
  <w:footnote w:id="170">
    <w:p w14:paraId="31033779" w14:textId="1F154F52" w:rsidR="00077A20" w:rsidRPr="00A359E1" w:rsidRDefault="00077A20" w:rsidP="00077A20">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Cel mai mare număr de permise au fost atribuite de Franța, care a eliberat în total </w:t>
      </w:r>
      <w:r w:rsidRPr="008D4701">
        <w:rPr>
          <w:rFonts w:ascii="Times New Roman" w:hAnsi="Times New Roman"/>
        </w:rPr>
        <w:t>2</w:t>
      </w:r>
      <w:r>
        <w:rPr>
          <w:rFonts w:ascii="Times New Roman" w:hAnsi="Times New Roman"/>
        </w:rPr>
        <w:t> </w:t>
      </w:r>
      <w:r w:rsidRPr="008D4701">
        <w:rPr>
          <w:rFonts w:ascii="Times New Roman" w:hAnsi="Times New Roman"/>
        </w:rPr>
        <w:t>352</w:t>
      </w:r>
      <w:r>
        <w:rPr>
          <w:rFonts w:ascii="Times New Roman" w:hAnsi="Times New Roman"/>
        </w:rPr>
        <w:t xml:space="preserve"> de permise, dintre care </w:t>
      </w:r>
      <w:r w:rsidRPr="008D4701">
        <w:rPr>
          <w:rFonts w:ascii="Times New Roman" w:hAnsi="Times New Roman"/>
        </w:rPr>
        <w:t>782</w:t>
      </w:r>
      <w:r>
        <w:rPr>
          <w:rFonts w:ascii="Times New Roman" w:hAnsi="Times New Roman"/>
        </w:rPr>
        <w:t xml:space="preserve"> în </w:t>
      </w:r>
      <w:r w:rsidRPr="008D4701">
        <w:rPr>
          <w:rFonts w:ascii="Times New Roman" w:hAnsi="Times New Roman"/>
        </w:rPr>
        <w:t>2024</w:t>
      </w:r>
      <w:r>
        <w:rPr>
          <w:rFonts w:ascii="Times New Roman" w:hAnsi="Times New Roman"/>
        </w:rPr>
        <w:t xml:space="preserve">. Italia a eliberat </w:t>
      </w:r>
      <w:r w:rsidRPr="008D4701">
        <w:rPr>
          <w:rFonts w:ascii="Times New Roman" w:hAnsi="Times New Roman"/>
        </w:rPr>
        <w:t>678</w:t>
      </w:r>
      <w:r>
        <w:rPr>
          <w:rFonts w:ascii="Times New Roman" w:hAnsi="Times New Roman"/>
        </w:rPr>
        <w:t xml:space="preserve"> de permise, Grecia </w:t>
      </w:r>
      <w:r w:rsidRPr="008D4701">
        <w:rPr>
          <w:rFonts w:ascii="Times New Roman" w:hAnsi="Times New Roman"/>
        </w:rPr>
        <w:t>540</w:t>
      </w:r>
      <w:r>
        <w:rPr>
          <w:rFonts w:ascii="Times New Roman" w:hAnsi="Times New Roman"/>
        </w:rPr>
        <w:t xml:space="preserve">, Spania </w:t>
      </w:r>
      <w:r w:rsidRPr="008D4701">
        <w:rPr>
          <w:rFonts w:ascii="Times New Roman" w:hAnsi="Times New Roman"/>
        </w:rPr>
        <w:t>466</w:t>
      </w:r>
      <w:r>
        <w:rPr>
          <w:rFonts w:ascii="Times New Roman" w:hAnsi="Times New Roman"/>
        </w:rPr>
        <w:t xml:space="preserve">, iar Țările de Jos aproximativ </w:t>
      </w:r>
      <w:r w:rsidRPr="008D4701">
        <w:rPr>
          <w:rFonts w:ascii="Times New Roman" w:hAnsi="Times New Roman"/>
        </w:rPr>
        <w:t>300</w:t>
      </w:r>
      <w:r>
        <w:rPr>
          <w:rFonts w:ascii="Times New Roman" w:hAnsi="Times New Roman"/>
        </w:rPr>
        <w:t xml:space="preserve">, dintre care </w:t>
      </w:r>
      <w:r w:rsidRPr="008D4701">
        <w:rPr>
          <w:rFonts w:ascii="Times New Roman" w:hAnsi="Times New Roman"/>
        </w:rPr>
        <w:t>230</w:t>
      </w:r>
      <w:r>
        <w:rPr>
          <w:rFonts w:ascii="Times New Roman" w:hAnsi="Times New Roman"/>
        </w:rPr>
        <w:t xml:space="preserve"> în </w:t>
      </w:r>
      <w:r w:rsidRPr="008D4701">
        <w:rPr>
          <w:rFonts w:ascii="Times New Roman" w:hAnsi="Times New Roman"/>
        </w:rPr>
        <w:t>2024</w:t>
      </w:r>
      <w:r>
        <w:rPr>
          <w:rFonts w:ascii="Times New Roman" w:hAnsi="Times New Roman"/>
        </w:rPr>
        <w:t>.</w:t>
      </w:r>
    </w:p>
  </w:footnote>
  <w:footnote w:id="171">
    <w:p w14:paraId="6373E6C2" w14:textId="77777777"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Bulgaria, Cehia, Finlanda, Germania, Lituania, Polonia, Suedia.</w:t>
      </w:r>
    </w:p>
  </w:footnote>
  <w:footnote w:id="172">
    <w:p w14:paraId="70689D74" w14:textId="77777777" w:rsidR="00077A20" w:rsidRPr="00A359E1" w:rsidRDefault="00077A20" w:rsidP="00077A20">
      <w:pPr>
        <w:pStyle w:val="FootnoteText"/>
        <w:jc w:val="both"/>
        <w:rPr>
          <w:rFonts w:ascii="Times New Roman" w:hAnsi="Times New Roman" w:cs="Times New Roman"/>
          <w:color w:val="000000" w:themeColor="text1"/>
        </w:rPr>
      </w:pPr>
      <w:r>
        <w:rPr>
          <w:rStyle w:val="FootnoteReference"/>
          <w:rFonts w:ascii="Times New Roman" w:eastAsia="Times New Roman" w:hAnsi="Times New Roman" w:cs="Times New Roman"/>
        </w:rPr>
        <w:footnoteRef/>
      </w:r>
      <w:r>
        <w:rPr>
          <w:rFonts w:ascii="Times New Roman" w:hAnsi="Times New Roman"/>
        </w:rPr>
        <w:t xml:space="preserve"> </w:t>
      </w:r>
      <w:r>
        <w:rPr>
          <w:rFonts w:ascii="Times New Roman" w:hAnsi="Times New Roman"/>
          <w:color w:val="000000" w:themeColor="text1"/>
        </w:rPr>
        <w:t xml:space="preserve">Celelalte organizații care au participat la sondajul FRA au raportat fie că nu dispuneau de aceste informații, fie că permisele de ședere au fost eliberate rar sau niciodată.   </w:t>
      </w:r>
    </w:p>
  </w:footnote>
  <w:footnote w:id="173">
    <w:p w14:paraId="786D6A71" w14:textId="68AF74BC" w:rsidR="00077A20" w:rsidRPr="00A359E1" w:rsidRDefault="00077A20" w:rsidP="00077A2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Condiționarea eliberării unui permis de ședere de cooperarea cu autoritățile de urmărire penală - care nu este prevăzută în mod explicit de directivă - pare să se datoreze, în multe state membre, aplicării Directivei </w:t>
      </w:r>
      <w:r w:rsidRPr="008D4701">
        <w:rPr>
          <w:rFonts w:ascii="Times New Roman" w:hAnsi="Times New Roman"/>
        </w:rPr>
        <w:t>2004</w:t>
      </w:r>
      <w:r>
        <w:rPr>
          <w:rFonts w:ascii="Times New Roman" w:hAnsi="Times New Roman"/>
        </w:rPr>
        <w:t>/</w:t>
      </w:r>
      <w:r w:rsidRPr="008D4701">
        <w:rPr>
          <w:rFonts w:ascii="Times New Roman" w:hAnsi="Times New Roman"/>
        </w:rPr>
        <w:t>81</w:t>
      </w:r>
      <w:r>
        <w:rPr>
          <w:rFonts w:ascii="Times New Roman" w:hAnsi="Times New Roman"/>
        </w:rPr>
        <w:t xml:space="preserve">/CE a Consiliului din </w:t>
      </w:r>
      <w:r w:rsidRPr="008D4701">
        <w:rPr>
          <w:rFonts w:ascii="Times New Roman" w:hAnsi="Times New Roman"/>
        </w:rPr>
        <w:t>29</w:t>
      </w:r>
      <w:r>
        <w:rPr>
          <w:rFonts w:ascii="Times New Roman" w:hAnsi="Times New Roman"/>
        </w:rPr>
        <w:t xml:space="preserve"> aprilie </w:t>
      </w:r>
      <w:r w:rsidRPr="008D4701">
        <w:rPr>
          <w:rFonts w:ascii="Times New Roman" w:hAnsi="Times New Roman"/>
        </w:rPr>
        <w:t>2004</w:t>
      </w:r>
      <w:r>
        <w:rPr>
          <w:rFonts w:ascii="Times New Roman" w:hAnsi="Times New Roman"/>
        </w:rPr>
        <w:t xml:space="preserve"> privind permisul de ședere eliberat resortisanților țărilor terțe care sunt victime ale traficului de persoane sau care au făcut obiectul unei facilitări a imigrației ilegale și care cooperează cu autoritățile competente.</w:t>
      </w:r>
    </w:p>
  </w:footnote>
  <w:footnote w:id="174">
    <w:p w14:paraId="18996245" w14:textId="77777777" w:rsidR="00077A20" w:rsidRPr="008D4701" w:rsidRDefault="00077A20" w:rsidP="00077A20">
      <w:pPr>
        <w:pStyle w:val="FootnoteText"/>
        <w:jc w:val="both"/>
        <w:rPr>
          <w:rFonts w:ascii="Times New Roman" w:hAnsi="Times New Roman" w:cs="Times New Roman"/>
          <w:b/>
          <w:bCs/>
        </w:rPr>
      </w:pPr>
      <w:r>
        <w:rPr>
          <w:rStyle w:val="FootnoteReference"/>
          <w:rFonts w:ascii="Times New Roman" w:hAnsi="Times New Roman" w:cs="Times New Roman"/>
        </w:rPr>
        <w:footnoteRef/>
      </w:r>
      <w:r>
        <w:rPr>
          <w:rFonts w:ascii="Times New Roman" w:hAnsi="Times New Roman"/>
        </w:rPr>
        <w:t xml:space="preserve"> Propunere de regulament al Consiliului de stabilire a cadrului financiar multianual pentru perioada </w:t>
      </w:r>
      <w:r w:rsidRPr="008D4701">
        <w:rPr>
          <w:rFonts w:ascii="Times New Roman" w:hAnsi="Times New Roman"/>
        </w:rPr>
        <w:t>2028</w:t>
      </w:r>
      <w:r>
        <w:rPr>
          <w:rFonts w:ascii="Times New Roman" w:hAnsi="Times New Roman"/>
        </w:rPr>
        <w:t>-</w:t>
      </w:r>
      <w:r w:rsidRPr="008D4701">
        <w:rPr>
          <w:rFonts w:ascii="Times New Roman" w:hAnsi="Times New Roman"/>
        </w:rPr>
        <w:t>2034</w:t>
      </w:r>
      <w:r>
        <w:rPr>
          <w:rFonts w:ascii="Times New Roman" w:hAnsi="Times New Roman"/>
        </w:rPr>
        <w:t>, COM(</w:t>
      </w:r>
      <w:r w:rsidRPr="008D4701">
        <w:rPr>
          <w:rFonts w:ascii="Times New Roman" w:hAnsi="Times New Roman"/>
        </w:rPr>
        <w:t>2025</w:t>
      </w:r>
      <w:r>
        <w:rPr>
          <w:rFonts w:ascii="Times New Roman" w:hAnsi="Times New Roman"/>
        </w:rPr>
        <w:t xml:space="preserve">) </w:t>
      </w:r>
      <w:r w:rsidRPr="008D4701">
        <w:rPr>
          <w:rFonts w:ascii="Times New Roman" w:hAnsi="Times New Roman"/>
        </w:rPr>
        <w:t>571</w:t>
      </w:r>
      <w:r>
        <w:rPr>
          <w:rFonts w:ascii="Times New Roman" w:hAnsi="Times New Roman"/>
        </w:rPr>
        <w:t xml:space="preserve"> final. </w:t>
      </w:r>
    </w:p>
    <w:p w14:paraId="4F5BB63A" w14:textId="77777777" w:rsidR="00077A20" w:rsidRPr="00D330F9" w:rsidRDefault="00077A20" w:rsidP="00077A20">
      <w:pPr>
        <w:pStyle w:val="FootnoteText"/>
        <w:jc w:val="both"/>
      </w:pPr>
      <w:r>
        <w:rPr>
          <w:rFonts w:ascii="Times New Roman" w:hAnsi="Times New Roman"/>
        </w:rPr>
        <w:t xml:space="preserve"> </w:t>
      </w:r>
      <w:hyperlink r:id="rId6" w:history="1">
        <w:r w:rsidRPr="008D4701">
          <w:rPr>
            <w:rStyle w:val="Hyperlink"/>
            <w:rFonts w:ascii="Times New Roman" w:hAnsi="Times New Roman"/>
          </w:rPr>
          <w:t>https://eur-lex.europa.eu/legal-content/RO/TXT/?uri=CELEX%3A52025PC0571&amp;qid=1753801194712</w:t>
        </w:r>
      </w:hyperlink>
      <w:r>
        <w:rPr>
          <w:rFonts w:ascii="Times New Roman" w:hAnsi="Times New Roman"/>
        </w:rPr>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ED829" w14:textId="77777777" w:rsidR="00953535" w:rsidRPr="00953535" w:rsidRDefault="00953535" w:rsidP="0095353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81F55" w14:textId="77777777" w:rsidR="00953535" w:rsidRPr="00953535" w:rsidRDefault="00953535" w:rsidP="0095353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FC8B7" w14:textId="77777777" w:rsidR="00953535" w:rsidRPr="00953535" w:rsidRDefault="00953535" w:rsidP="0095353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6B191" w14:textId="77777777" w:rsidR="00CC4683" w:rsidRPr="00A359E1" w:rsidRDefault="00CC468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A3802" w14:textId="77777777" w:rsidR="00CC4683" w:rsidRPr="00A359E1" w:rsidRDefault="00CC468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68BB0" w14:textId="77777777" w:rsidR="00CC4683" w:rsidRPr="00A359E1" w:rsidRDefault="00CC46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BE274B"/>
    <w:multiLevelType w:val="multilevel"/>
    <w:tmpl w:val="336402BA"/>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 w15:restartNumberingAfterBreak="0">
    <w:nsid w:val="2DA37284"/>
    <w:multiLevelType w:val="hybridMultilevel"/>
    <w:tmpl w:val="18747B50"/>
    <w:lvl w:ilvl="0" w:tplc="3C24880E">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544F2445"/>
    <w:multiLevelType w:val="hybridMultilevel"/>
    <w:tmpl w:val="3280B4DC"/>
    <w:lvl w:ilvl="0" w:tplc="18090001">
      <w:start w:val="1"/>
      <w:numFmt w:val="bullet"/>
      <w:lvlText w:val=""/>
      <w:lvlJc w:val="left"/>
      <w:pPr>
        <w:ind w:left="787" w:hanging="360"/>
      </w:pPr>
      <w:rPr>
        <w:rFonts w:ascii="Symbol" w:hAnsi="Symbol" w:hint="default"/>
      </w:rPr>
    </w:lvl>
    <w:lvl w:ilvl="1" w:tplc="18090003" w:tentative="1">
      <w:start w:val="1"/>
      <w:numFmt w:val="bullet"/>
      <w:lvlText w:val="o"/>
      <w:lvlJc w:val="left"/>
      <w:pPr>
        <w:ind w:left="1507" w:hanging="360"/>
      </w:pPr>
      <w:rPr>
        <w:rFonts w:ascii="Courier New" w:hAnsi="Courier New" w:cs="Courier New" w:hint="default"/>
      </w:rPr>
    </w:lvl>
    <w:lvl w:ilvl="2" w:tplc="18090005" w:tentative="1">
      <w:start w:val="1"/>
      <w:numFmt w:val="bullet"/>
      <w:lvlText w:val=""/>
      <w:lvlJc w:val="left"/>
      <w:pPr>
        <w:ind w:left="2227" w:hanging="360"/>
      </w:pPr>
      <w:rPr>
        <w:rFonts w:ascii="Wingdings" w:hAnsi="Wingdings" w:hint="default"/>
      </w:rPr>
    </w:lvl>
    <w:lvl w:ilvl="3" w:tplc="18090001" w:tentative="1">
      <w:start w:val="1"/>
      <w:numFmt w:val="bullet"/>
      <w:lvlText w:val=""/>
      <w:lvlJc w:val="left"/>
      <w:pPr>
        <w:ind w:left="2947" w:hanging="360"/>
      </w:pPr>
      <w:rPr>
        <w:rFonts w:ascii="Symbol" w:hAnsi="Symbol" w:hint="default"/>
      </w:rPr>
    </w:lvl>
    <w:lvl w:ilvl="4" w:tplc="18090003" w:tentative="1">
      <w:start w:val="1"/>
      <w:numFmt w:val="bullet"/>
      <w:lvlText w:val="o"/>
      <w:lvlJc w:val="left"/>
      <w:pPr>
        <w:ind w:left="3667" w:hanging="360"/>
      </w:pPr>
      <w:rPr>
        <w:rFonts w:ascii="Courier New" w:hAnsi="Courier New" w:cs="Courier New" w:hint="default"/>
      </w:rPr>
    </w:lvl>
    <w:lvl w:ilvl="5" w:tplc="18090005" w:tentative="1">
      <w:start w:val="1"/>
      <w:numFmt w:val="bullet"/>
      <w:lvlText w:val=""/>
      <w:lvlJc w:val="left"/>
      <w:pPr>
        <w:ind w:left="4387" w:hanging="360"/>
      </w:pPr>
      <w:rPr>
        <w:rFonts w:ascii="Wingdings" w:hAnsi="Wingdings" w:hint="default"/>
      </w:rPr>
    </w:lvl>
    <w:lvl w:ilvl="6" w:tplc="18090001" w:tentative="1">
      <w:start w:val="1"/>
      <w:numFmt w:val="bullet"/>
      <w:lvlText w:val=""/>
      <w:lvlJc w:val="left"/>
      <w:pPr>
        <w:ind w:left="5107" w:hanging="360"/>
      </w:pPr>
      <w:rPr>
        <w:rFonts w:ascii="Symbol" w:hAnsi="Symbol" w:hint="default"/>
      </w:rPr>
    </w:lvl>
    <w:lvl w:ilvl="7" w:tplc="18090003" w:tentative="1">
      <w:start w:val="1"/>
      <w:numFmt w:val="bullet"/>
      <w:lvlText w:val="o"/>
      <w:lvlJc w:val="left"/>
      <w:pPr>
        <w:ind w:left="5827" w:hanging="360"/>
      </w:pPr>
      <w:rPr>
        <w:rFonts w:ascii="Courier New" w:hAnsi="Courier New" w:cs="Courier New" w:hint="default"/>
      </w:rPr>
    </w:lvl>
    <w:lvl w:ilvl="8" w:tplc="18090005" w:tentative="1">
      <w:start w:val="1"/>
      <w:numFmt w:val="bullet"/>
      <w:lvlText w:val=""/>
      <w:lvlJc w:val="left"/>
      <w:pPr>
        <w:ind w:left="6547" w:hanging="360"/>
      </w:pPr>
      <w:rPr>
        <w:rFonts w:ascii="Wingdings" w:hAnsi="Wingdings" w:hint="default"/>
      </w:rPr>
    </w:lvl>
  </w:abstractNum>
  <w:abstractNum w:abstractNumId="3" w15:restartNumberingAfterBreak="0">
    <w:nsid w:val="59892CE7"/>
    <w:multiLevelType w:val="hybridMultilevel"/>
    <w:tmpl w:val="BAD4FFA0"/>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76FF5921"/>
    <w:multiLevelType w:val="hybridMultilevel"/>
    <w:tmpl w:val="C494D8E0"/>
    <w:lvl w:ilvl="0" w:tplc="165C42DE">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793959BE"/>
    <w:multiLevelType w:val="hybridMultilevel"/>
    <w:tmpl w:val="411E8EE2"/>
    <w:lvl w:ilvl="0" w:tplc="18090001">
      <w:start w:val="1"/>
      <w:numFmt w:val="bullet"/>
      <w:lvlText w:val=""/>
      <w:lvlJc w:val="left"/>
      <w:pPr>
        <w:ind w:left="783" w:hanging="360"/>
      </w:pPr>
      <w:rPr>
        <w:rFonts w:ascii="Symbol" w:hAnsi="Symbol" w:hint="default"/>
      </w:rPr>
    </w:lvl>
    <w:lvl w:ilvl="1" w:tplc="18090003" w:tentative="1">
      <w:start w:val="1"/>
      <w:numFmt w:val="bullet"/>
      <w:lvlText w:val="o"/>
      <w:lvlJc w:val="left"/>
      <w:pPr>
        <w:ind w:left="1503" w:hanging="360"/>
      </w:pPr>
      <w:rPr>
        <w:rFonts w:ascii="Courier New" w:hAnsi="Courier New" w:cs="Courier New" w:hint="default"/>
      </w:rPr>
    </w:lvl>
    <w:lvl w:ilvl="2" w:tplc="18090005" w:tentative="1">
      <w:start w:val="1"/>
      <w:numFmt w:val="bullet"/>
      <w:lvlText w:val=""/>
      <w:lvlJc w:val="left"/>
      <w:pPr>
        <w:ind w:left="2223" w:hanging="360"/>
      </w:pPr>
      <w:rPr>
        <w:rFonts w:ascii="Wingdings" w:hAnsi="Wingdings" w:hint="default"/>
      </w:rPr>
    </w:lvl>
    <w:lvl w:ilvl="3" w:tplc="18090001" w:tentative="1">
      <w:start w:val="1"/>
      <w:numFmt w:val="bullet"/>
      <w:lvlText w:val=""/>
      <w:lvlJc w:val="left"/>
      <w:pPr>
        <w:ind w:left="2943" w:hanging="360"/>
      </w:pPr>
      <w:rPr>
        <w:rFonts w:ascii="Symbol" w:hAnsi="Symbol" w:hint="default"/>
      </w:rPr>
    </w:lvl>
    <w:lvl w:ilvl="4" w:tplc="18090003" w:tentative="1">
      <w:start w:val="1"/>
      <w:numFmt w:val="bullet"/>
      <w:lvlText w:val="o"/>
      <w:lvlJc w:val="left"/>
      <w:pPr>
        <w:ind w:left="3663" w:hanging="360"/>
      </w:pPr>
      <w:rPr>
        <w:rFonts w:ascii="Courier New" w:hAnsi="Courier New" w:cs="Courier New" w:hint="default"/>
      </w:rPr>
    </w:lvl>
    <w:lvl w:ilvl="5" w:tplc="18090005" w:tentative="1">
      <w:start w:val="1"/>
      <w:numFmt w:val="bullet"/>
      <w:lvlText w:val=""/>
      <w:lvlJc w:val="left"/>
      <w:pPr>
        <w:ind w:left="4383" w:hanging="360"/>
      </w:pPr>
      <w:rPr>
        <w:rFonts w:ascii="Wingdings" w:hAnsi="Wingdings" w:hint="default"/>
      </w:rPr>
    </w:lvl>
    <w:lvl w:ilvl="6" w:tplc="18090001" w:tentative="1">
      <w:start w:val="1"/>
      <w:numFmt w:val="bullet"/>
      <w:lvlText w:val=""/>
      <w:lvlJc w:val="left"/>
      <w:pPr>
        <w:ind w:left="5103" w:hanging="360"/>
      </w:pPr>
      <w:rPr>
        <w:rFonts w:ascii="Symbol" w:hAnsi="Symbol" w:hint="default"/>
      </w:rPr>
    </w:lvl>
    <w:lvl w:ilvl="7" w:tplc="18090003" w:tentative="1">
      <w:start w:val="1"/>
      <w:numFmt w:val="bullet"/>
      <w:lvlText w:val="o"/>
      <w:lvlJc w:val="left"/>
      <w:pPr>
        <w:ind w:left="5823" w:hanging="360"/>
      </w:pPr>
      <w:rPr>
        <w:rFonts w:ascii="Courier New" w:hAnsi="Courier New" w:cs="Courier New" w:hint="default"/>
      </w:rPr>
    </w:lvl>
    <w:lvl w:ilvl="8" w:tplc="18090005" w:tentative="1">
      <w:start w:val="1"/>
      <w:numFmt w:val="bullet"/>
      <w:lvlText w:val=""/>
      <w:lvlJc w:val="left"/>
      <w:pPr>
        <w:ind w:left="6543"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5"/>
  </w:num>
  <w:num w:numId="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97CD10B-FFCA-4081-BAFB-F75ED00CBEEA"/>
    <w:docVar w:name="LW_COVERPAGE_TYPE" w:val="1"/>
    <w:docVar w:name="LW_CROSSREFERENCE" w:val="&lt;UNUSED&gt;"/>
    <w:docVar w:name="LW_DocType" w:val="NORMAL"/>
    <w:docVar w:name="LW_EMISSION" w:val="8.5.2026"/>
    <w:docVar w:name="LW_EMISSION_ISODATE" w:val="2026-05-08"/>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aplicarea Directivei 2009/52/CE din 18 iunie 2009 de stabilire a standardelor minime privind sanc\u539?iunile \u537?i m\u259?surile la adresa angajatorilor de resortisan\u539?i din \u539?\u259?ri ter\u539?e afla\u539?i în situa\u539?ie de \u537?edere ilegal\u259?&lt;/FMT&gt;"/>
    <w:docVar w:name="LW_TYPE.DOC.CP" w:val="RAPORT AL COMISIEI C\u258?TRE PARLAMENTUL EUROPEAN \u536?I CONSILIU"/>
    <w:docVar w:name="LwApiVersions" w:val="LW4CoDe 1.24.5.0; LW 9.2, Build 20251112"/>
  </w:docVars>
  <w:rsids>
    <w:rsidRoot w:val="00CC4683"/>
    <w:rsid w:val="00001146"/>
    <w:rsid w:val="00006C15"/>
    <w:rsid w:val="00014827"/>
    <w:rsid w:val="0001647D"/>
    <w:rsid w:val="00016AB5"/>
    <w:rsid w:val="00016DD5"/>
    <w:rsid w:val="00040A39"/>
    <w:rsid w:val="00077785"/>
    <w:rsid w:val="00077A20"/>
    <w:rsid w:val="000954EB"/>
    <w:rsid w:val="000A42BB"/>
    <w:rsid w:val="000A4B21"/>
    <w:rsid w:val="000B2D91"/>
    <w:rsid w:val="000B6789"/>
    <w:rsid w:val="000C3846"/>
    <w:rsid w:val="000C3A2C"/>
    <w:rsid w:val="000C48F6"/>
    <w:rsid w:val="000E1CC5"/>
    <w:rsid w:val="001105F9"/>
    <w:rsid w:val="00121E39"/>
    <w:rsid w:val="00136712"/>
    <w:rsid w:val="00152B71"/>
    <w:rsid w:val="00153053"/>
    <w:rsid w:val="00165F7B"/>
    <w:rsid w:val="00170A16"/>
    <w:rsid w:val="001739A2"/>
    <w:rsid w:val="00175CAD"/>
    <w:rsid w:val="001A75E4"/>
    <w:rsid w:val="001B46BA"/>
    <w:rsid w:val="001B5916"/>
    <w:rsid w:val="001C20F6"/>
    <w:rsid w:val="001C254E"/>
    <w:rsid w:val="001C2A22"/>
    <w:rsid w:val="001F34D0"/>
    <w:rsid w:val="0020163C"/>
    <w:rsid w:val="00207149"/>
    <w:rsid w:val="002072CF"/>
    <w:rsid w:val="0023560E"/>
    <w:rsid w:val="00237DE2"/>
    <w:rsid w:val="00241A6D"/>
    <w:rsid w:val="002456F1"/>
    <w:rsid w:val="00252C0A"/>
    <w:rsid w:val="0026078E"/>
    <w:rsid w:val="0026114D"/>
    <w:rsid w:val="002A2715"/>
    <w:rsid w:val="002A5B16"/>
    <w:rsid w:val="002A7CB6"/>
    <w:rsid w:val="002C1240"/>
    <w:rsid w:val="002C5868"/>
    <w:rsid w:val="002D261E"/>
    <w:rsid w:val="00301F8D"/>
    <w:rsid w:val="003029FA"/>
    <w:rsid w:val="00315C03"/>
    <w:rsid w:val="00320BBB"/>
    <w:rsid w:val="0032166A"/>
    <w:rsid w:val="003225CA"/>
    <w:rsid w:val="00333D95"/>
    <w:rsid w:val="00336209"/>
    <w:rsid w:val="0034207D"/>
    <w:rsid w:val="0034241F"/>
    <w:rsid w:val="00346197"/>
    <w:rsid w:val="0034715E"/>
    <w:rsid w:val="00351C42"/>
    <w:rsid w:val="00353F3B"/>
    <w:rsid w:val="00356E22"/>
    <w:rsid w:val="00361449"/>
    <w:rsid w:val="003758FB"/>
    <w:rsid w:val="003847FA"/>
    <w:rsid w:val="003A63C6"/>
    <w:rsid w:val="003B3199"/>
    <w:rsid w:val="003B59E8"/>
    <w:rsid w:val="003D1F0A"/>
    <w:rsid w:val="003D70C5"/>
    <w:rsid w:val="003F1EEF"/>
    <w:rsid w:val="003F78A2"/>
    <w:rsid w:val="00422E1E"/>
    <w:rsid w:val="00437E40"/>
    <w:rsid w:val="00441167"/>
    <w:rsid w:val="00445BFD"/>
    <w:rsid w:val="00451FD7"/>
    <w:rsid w:val="004617B4"/>
    <w:rsid w:val="004636FA"/>
    <w:rsid w:val="004650B4"/>
    <w:rsid w:val="0046653C"/>
    <w:rsid w:val="004737E0"/>
    <w:rsid w:val="00475469"/>
    <w:rsid w:val="004773D1"/>
    <w:rsid w:val="00480533"/>
    <w:rsid w:val="004856AF"/>
    <w:rsid w:val="00493F86"/>
    <w:rsid w:val="00496E7F"/>
    <w:rsid w:val="004A2055"/>
    <w:rsid w:val="004A4BCA"/>
    <w:rsid w:val="004A5C96"/>
    <w:rsid w:val="004C3321"/>
    <w:rsid w:val="004E6A7E"/>
    <w:rsid w:val="00501406"/>
    <w:rsid w:val="00505DA4"/>
    <w:rsid w:val="00514937"/>
    <w:rsid w:val="00514BA9"/>
    <w:rsid w:val="00516894"/>
    <w:rsid w:val="00537A15"/>
    <w:rsid w:val="00547062"/>
    <w:rsid w:val="00567734"/>
    <w:rsid w:val="00576338"/>
    <w:rsid w:val="005850EE"/>
    <w:rsid w:val="00591649"/>
    <w:rsid w:val="00594366"/>
    <w:rsid w:val="005A62DC"/>
    <w:rsid w:val="005B1C27"/>
    <w:rsid w:val="005D00DC"/>
    <w:rsid w:val="005D2FED"/>
    <w:rsid w:val="005D7EDF"/>
    <w:rsid w:val="005E3BF1"/>
    <w:rsid w:val="00604C44"/>
    <w:rsid w:val="00613BAD"/>
    <w:rsid w:val="00613CF1"/>
    <w:rsid w:val="00630C60"/>
    <w:rsid w:val="00631E6E"/>
    <w:rsid w:val="00634BEF"/>
    <w:rsid w:val="0065065A"/>
    <w:rsid w:val="00664815"/>
    <w:rsid w:val="00664EFC"/>
    <w:rsid w:val="006675F0"/>
    <w:rsid w:val="006A0F2B"/>
    <w:rsid w:val="006A7B53"/>
    <w:rsid w:val="006B2949"/>
    <w:rsid w:val="006B2B41"/>
    <w:rsid w:val="006C2291"/>
    <w:rsid w:val="006D4C29"/>
    <w:rsid w:val="006D4D4A"/>
    <w:rsid w:val="006D5795"/>
    <w:rsid w:val="006D740A"/>
    <w:rsid w:val="00707B4B"/>
    <w:rsid w:val="00712537"/>
    <w:rsid w:val="00712BBA"/>
    <w:rsid w:val="00714A24"/>
    <w:rsid w:val="00715A16"/>
    <w:rsid w:val="00721123"/>
    <w:rsid w:val="007239C2"/>
    <w:rsid w:val="00734C6A"/>
    <w:rsid w:val="007407B0"/>
    <w:rsid w:val="007420CD"/>
    <w:rsid w:val="00744ABC"/>
    <w:rsid w:val="00747C86"/>
    <w:rsid w:val="007606C0"/>
    <w:rsid w:val="00773971"/>
    <w:rsid w:val="0079693F"/>
    <w:rsid w:val="007A5913"/>
    <w:rsid w:val="007A71F4"/>
    <w:rsid w:val="007A7A78"/>
    <w:rsid w:val="007A7A85"/>
    <w:rsid w:val="007D2DF8"/>
    <w:rsid w:val="007D46C8"/>
    <w:rsid w:val="007D47DB"/>
    <w:rsid w:val="007E05A4"/>
    <w:rsid w:val="007E0BA2"/>
    <w:rsid w:val="007E50E4"/>
    <w:rsid w:val="008001F6"/>
    <w:rsid w:val="00805E2A"/>
    <w:rsid w:val="00812ACE"/>
    <w:rsid w:val="00812DB2"/>
    <w:rsid w:val="00823053"/>
    <w:rsid w:val="0082579E"/>
    <w:rsid w:val="008319CC"/>
    <w:rsid w:val="00852BF7"/>
    <w:rsid w:val="0085379C"/>
    <w:rsid w:val="00853F97"/>
    <w:rsid w:val="00856531"/>
    <w:rsid w:val="00862E28"/>
    <w:rsid w:val="00864C42"/>
    <w:rsid w:val="0087016A"/>
    <w:rsid w:val="008754FB"/>
    <w:rsid w:val="008766F9"/>
    <w:rsid w:val="0088333D"/>
    <w:rsid w:val="00883EF4"/>
    <w:rsid w:val="00884F94"/>
    <w:rsid w:val="00894229"/>
    <w:rsid w:val="008B0585"/>
    <w:rsid w:val="008B5FF6"/>
    <w:rsid w:val="008C650A"/>
    <w:rsid w:val="008C73E0"/>
    <w:rsid w:val="008D425B"/>
    <w:rsid w:val="008D4701"/>
    <w:rsid w:val="008F40DF"/>
    <w:rsid w:val="00907695"/>
    <w:rsid w:val="00912797"/>
    <w:rsid w:val="00915A0E"/>
    <w:rsid w:val="00930BAD"/>
    <w:rsid w:val="009377DF"/>
    <w:rsid w:val="00937DC7"/>
    <w:rsid w:val="00940E6C"/>
    <w:rsid w:val="009449DE"/>
    <w:rsid w:val="00946A8A"/>
    <w:rsid w:val="00953535"/>
    <w:rsid w:val="00967402"/>
    <w:rsid w:val="00971AD0"/>
    <w:rsid w:val="00971CFF"/>
    <w:rsid w:val="00972A45"/>
    <w:rsid w:val="0099330C"/>
    <w:rsid w:val="009A5704"/>
    <w:rsid w:val="009A57EE"/>
    <w:rsid w:val="009A7EBD"/>
    <w:rsid w:val="009C79BF"/>
    <w:rsid w:val="009D3348"/>
    <w:rsid w:val="009D5F61"/>
    <w:rsid w:val="009E3540"/>
    <w:rsid w:val="009E3F93"/>
    <w:rsid w:val="009F0029"/>
    <w:rsid w:val="009F28F0"/>
    <w:rsid w:val="00A0162A"/>
    <w:rsid w:val="00A01C4F"/>
    <w:rsid w:val="00A03F7B"/>
    <w:rsid w:val="00A07305"/>
    <w:rsid w:val="00A146F0"/>
    <w:rsid w:val="00A155E7"/>
    <w:rsid w:val="00A17E2A"/>
    <w:rsid w:val="00A30881"/>
    <w:rsid w:val="00A346EF"/>
    <w:rsid w:val="00A359E1"/>
    <w:rsid w:val="00A37541"/>
    <w:rsid w:val="00A4172F"/>
    <w:rsid w:val="00A52D6B"/>
    <w:rsid w:val="00A53503"/>
    <w:rsid w:val="00A650B4"/>
    <w:rsid w:val="00A70D0F"/>
    <w:rsid w:val="00A74200"/>
    <w:rsid w:val="00A76E59"/>
    <w:rsid w:val="00A80192"/>
    <w:rsid w:val="00A81635"/>
    <w:rsid w:val="00A86589"/>
    <w:rsid w:val="00A879F2"/>
    <w:rsid w:val="00A940DA"/>
    <w:rsid w:val="00AB08F4"/>
    <w:rsid w:val="00AB6D38"/>
    <w:rsid w:val="00AC006A"/>
    <w:rsid w:val="00AC5D67"/>
    <w:rsid w:val="00AD1A3C"/>
    <w:rsid w:val="00AD6464"/>
    <w:rsid w:val="00AE0CAA"/>
    <w:rsid w:val="00AF3F13"/>
    <w:rsid w:val="00B0152F"/>
    <w:rsid w:val="00B10459"/>
    <w:rsid w:val="00B145FE"/>
    <w:rsid w:val="00B34EE4"/>
    <w:rsid w:val="00B4746B"/>
    <w:rsid w:val="00B53D4E"/>
    <w:rsid w:val="00B54A02"/>
    <w:rsid w:val="00B54B60"/>
    <w:rsid w:val="00B65C83"/>
    <w:rsid w:val="00B725C2"/>
    <w:rsid w:val="00B73F9D"/>
    <w:rsid w:val="00B82E38"/>
    <w:rsid w:val="00B839E3"/>
    <w:rsid w:val="00B848CE"/>
    <w:rsid w:val="00B84BF7"/>
    <w:rsid w:val="00B866D8"/>
    <w:rsid w:val="00B91D1C"/>
    <w:rsid w:val="00B92D90"/>
    <w:rsid w:val="00B95792"/>
    <w:rsid w:val="00BA5521"/>
    <w:rsid w:val="00BC4FFF"/>
    <w:rsid w:val="00BD257C"/>
    <w:rsid w:val="00BE20BC"/>
    <w:rsid w:val="00BE2A3C"/>
    <w:rsid w:val="00BF06B6"/>
    <w:rsid w:val="00C00CAB"/>
    <w:rsid w:val="00C03886"/>
    <w:rsid w:val="00C20D2D"/>
    <w:rsid w:val="00C26593"/>
    <w:rsid w:val="00C36CFF"/>
    <w:rsid w:val="00C3725C"/>
    <w:rsid w:val="00C40AFD"/>
    <w:rsid w:val="00C450DE"/>
    <w:rsid w:val="00C464F0"/>
    <w:rsid w:val="00C53BE2"/>
    <w:rsid w:val="00C550A3"/>
    <w:rsid w:val="00C65810"/>
    <w:rsid w:val="00C71B4F"/>
    <w:rsid w:val="00C8393B"/>
    <w:rsid w:val="00C90D82"/>
    <w:rsid w:val="00C97AF6"/>
    <w:rsid w:val="00CB3AFB"/>
    <w:rsid w:val="00CC191B"/>
    <w:rsid w:val="00CC4683"/>
    <w:rsid w:val="00CC64C6"/>
    <w:rsid w:val="00CD7948"/>
    <w:rsid w:val="00CD7AAD"/>
    <w:rsid w:val="00CE080C"/>
    <w:rsid w:val="00CE1D7F"/>
    <w:rsid w:val="00CF50A5"/>
    <w:rsid w:val="00CF5B08"/>
    <w:rsid w:val="00D00B44"/>
    <w:rsid w:val="00D069A6"/>
    <w:rsid w:val="00D1624B"/>
    <w:rsid w:val="00D16361"/>
    <w:rsid w:val="00D20628"/>
    <w:rsid w:val="00D264C4"/>
    <w:rsid w:val="00D346D1"/>
    <w:rsid w:val="00D37586"/>
    <w:rsid w:val="00D37F96"/>
    <w:rsid w:val="00D4696A"/>
    <w:rsid w:val="00D53F18"/>
    <w:rsid w:val="00D755F4"/>
    <w:rsid w:val="00D81F4F"/>
    <w:rsid w:val="00D9105C"/>
    <w:rsid w:val="00D9206D"/>
    <w:rsid w:val="00D943AF"/>
    <w:rsid w:val="00DB075B"/>
    <w:rsid w:val="00DB7524"/>
    <w:rsid w:val="00DC0A07"/>
    <w:rsid w:val="00DD7BAE"/>
    <w:rsid w:val="00DE7331"/>
    <w:rsid w:val="00DF07C1"/>
    <w:rsid w:val="00DF5147"/>
    <w:rsid w:val="00DF6343"/>
    <w:rsid w:val="00E01327"/>
    <w:rsid w:val="00E0626E"/>
    <w:rsid w:val="00E111E9"/>
    <w:rsid w:val="00E16DC3"/>
    <w:rsid w:val="00E179CF"/>
    <w:rsid w:val="00E22137"/>
    <w:rsid w:val="00E30F86"/>
    <w:rsid w:val="00E3520D"/>
    <w:rsid w:val="00E36CBE"/>
    <w:rsid w:val="00E46F6D"/>
    <w:rsid w:val="00E55717"/>
    <w:rsid w:val="00E84AAD"/>
    <w:rsid w:val="00E91DA4"/>
    <w:rsid w:val="00E93A26"/>
    <w:rsid w:val="00E93CEF"/>
    <w:rsid w:val="00EB74B2"/>
    <w:rsid w:val="00EC0E15"/>
    <w:rsid w:val="00EC7936"/>
    <w:rsid w:val="00EC7FE2"/>
    <w:rsid w:val="00ED68F9"/>
    <w:rsid w:val="00ED6E78"/>
    <w:rsid w:val="00EE656F"/>
    <w:rsid w:val="00EF248D"/>
    <w:rsid w:val="00EF31D4"/>
    <w:rsid w:val="00F14AF3"/>
    <w:rsid w:val="00F234A6"/>
    <w:rsid w:val="00F278D8"/>
    <w:rsid w:val="00F311A6"/>
    <w:rsid w:val="00F3609B"/>
    <w:rsid w:val="00F408FB"/>
    <w:rsid w:val="00F477F6"/>
    <w:rsid w:val="00F52836"/>
    <w:rsid w:val="00F5366B"/>
    <w:rsid w:val="00F54C69"/>
    <w:rsid w:val="00F72956"/>
    <w:rsid w:val="00F733C2"/>
    <w:rsid w:val="00F75F7C"/>
    <w:rsid w:val="00F93131"/>
    <w:rsid w:val="00FC07FF"/>
    <w:rsid w:val="00FE13B8"/>
    <w:rsid w:val="00FF0F08"/>
    <w:rsid w:val="00FF6EB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31AB815"/>
  <w15:chartTrackingRefBased/>
  <w15:docId w15:val="{C5C25EC0-ECD1-42F2-B8F0-AC62ACEEB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C46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C46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C46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C46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46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46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46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46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46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6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C46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C46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C46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46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46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46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46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4683"/>
    <w:rPr>
      <w:rFonts w:eastAsiaTheme="majorEastAsia" w:cstheme="majorBidi"/>
      <w:color w:val="272727" w:themeColor="text1" w:themeTint="D8"/>
    </w:rPr>
  </w:style>
  <w:style w:type="paragraph" w:styleId="Title">
    <w:name w:val="Title"/>
    <w:basedOn w:val="Normal"/>
    <w:next w:val="Normal"/>
    <w:link w:val="TitleChar"/>
    <w:uiPriority w:val="10"/>
    <w:qFormat/>
    <w:rsid w:val="00CC46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46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46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46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4683"/>
    <w:pPr>
      <w:spacing w:before="160"/>
      <w:jc w:val="center"/>
    </w:pPr>
    <w:rPr>
      <w:i/>
      <w:iCs/>
      <w:color w:val="404040" w:themeColor="text1" w:themeTint="BF"/>
    </w:rPr>
  </w:style>
  <w:style w:type="character" w:customStyle="1" w:styleId="QuoteChar">
    <w:name w:val="Quote Char"/>
    <w:basedOn w:val="DefaultParagraphFont"/>
    <w:link w:val="Quote"/>
    <w:uiPriority w:val="29"/>
    <w:rsid w:val="00CC4683"/>
    <w:rPr>
      <w:i/>
      <w:iCs/>
      <w:color w:val="404040" w:themeColor="text1" w:themeTint="BF"/>
    </w:rPr>
  </w:style>
  <w:style w:type="paragraph" w:styleId="ListParagraph">
    <w:name w:val="List Paragraph"/>
    <w:basedOn w:val="Normal"/>
    <w:uiPriority w:val="34"/>
    <w:qFormat/>
    <w:rsid w:val="00CC4683"/>
    <w:pPr>
      <w:ind w:left="720"/>
      <w:contextualSpacing/>
    </w:pPr>
  </w:style>
  <w:style w:type="character" w:styleId="IntenseEmphasis">
    <w:name w:val="Intense Emphasis"/>
    <w:basedOn w:val="DefaultParagraphFont"/>
    <w:uiPriority w:val="21"/>
    <w:qFormat/>
    <w:rsid w:val="00CC4683"/>
    <w:rPr>
      <w:i/>
      <w:iCs/>
      <w:color w:val="0F4761" w:themeColor="accent1" w:themeShade="BF"/>
    </w:rPr>
  </w:style>
  <w:style w:type="paragraph" w:styleId="IntenseQuote">
    <w:name w:val="Intense Quote"/>
    <w:basedOn w:val="Normal"/>
    <w:next w:val="Normal"/>
    <w:link w:val="IntenseQuoteChar"/>
    <w:uiPriority w:val="30"/>
    <w:qFormat/>
    <w:rsid w:val="00CC46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4683"/>
    <w:rPr>
      <w:i/>
      <w:iCs/>
      <w:color w:val="0F4761" w:themeColor="accent1" w:themeShade="BF"/>
    </w:rPr>
  </w:style>
  <w:style w:type="character" w:styleId="IntenseReference">
    <w:name w:val="Intense Reference"/>
    <w:basedOn w:val="DefaultParagraphFont"/>
    <w:uiPriority w:val="32"/>
    <w:qFormat/>
    <w:rsid w:val="00CC4683"/>
    <w:rPr>
      <w:b/>
      <w:bCs/>
      <w:smallCaps/>
      <w:color w:val="0F4761" w:themeColor="accent1" w:themeShade="BF"/>
      <w:spacing w:val="5"/>
    </w:rPr>
  </w:style>
  <w:style w:type="numbering" w:customStyle="1" w:styleId="NoList1">
    <w:name w:val="No List1"/>
    <w:next w:val="NoList"/>
    <w:uiPriority w:val="99"/>
    <w:semiHidden/>
    <w:unhideWhenUsed/>
    <w:rsid w:val="00CC4683"/>
  </w:style>
  <w:style w:type="character" w:styleId="CommentReference">
    <w:name w:val="annotation reference"/>
    <w:basedOn w:val="DefaultParagraphFont"/>
    <w:uiPriority w:val="99"/>
    <w:semiHidden/>
    <w:unhideWhenUsed/>
    <w:rsid w:val="00CC4683"/>
    <w:rPr>
      <w:sz w:val="16"/>
      <w:szCs w:val="16"/>
    </w:rPr>
  </w:style>
  <w:style w:type="paragraph" w:styleId="CommentText">
    <w:name w:val="annotation text"/>
    <w:basedOn w:val="Normal"/>
    <w:link w:val="CommentTextChar"/>
    <w:uiPriority w:val="99"/>
    <w:unhideWhenUsed/>
    <w:rsid w:val="00CC4683"/>
    <w:pPr>
      <w:spacing w:line="240" w:lineRule="auto"/>
    </w:pPr>
    <w:rPr>
      <w:sz w:val="20"/>
      <w:szCs w:val="20"/>
      <w14:ligatures w14:val="none"/>
    </w:rPr>
  </w:style>
  <w:style w:type="character" w:customStyle="1" w:styleId="CommentTextChar">
    <w:name w:val="Comment Text Char"/>
    <w:basedOn w:val="DefaultParagraphFont"/>
    <w:link w:val="CommentText"/>
    <w:uiPriority w:val="99"/>
    <w:rsid w:val="00CC4683"/>
    <w:rPr>
      <w:sz w:val="20"/>
      <w:szCs w:val="20"/>
      <w14:ligatures w14:val="none"/>
    </w:rPr>
  </w:style>
  <w:style w:type="paragraph" w:styleId="FootnoteText">
    <w:name w:val="footnote text"/>
    <w:basedOn w:val="Normal"/>
    <w:link w:val="FootnoteTextChar"/>
    <w:uiPriority w:val="99"/>
    <w:semiHidden/>
    <w:unhideWhenUsed/>
    <w:rsid w:val="00CC4683"/>
    <w:pPr>
      <w:spacing w:after="0" w:line="240" w:lineRule="auto"/>
    </w:pPr>
    <w:rPr>
      <w:sz w:val="20"/>
      <w:szCs w:val="20"/>
      <w14:ligatures w14:val="none"/>
    </w:rPr>
  </w:style>
  <w:style w:type="character" w:customStyle="1" w:styleId="FootnoteTextChar">
    <w:name w:val="Footnote Text Char"/>
    <w:basedOn w:val="DefaultParagraphFont"/>
    <w:link w:val="FootnoteText"/>
    <w:uiPriority w:val="99"/>
    <w:semiHidden/>
    <w:rsid w:val="00CC4683"/>
    <w:rPr>
      <w:sz w:val="20"/>
      <w:szCs w:val="20"/>
      <w14:ligatures w14:val="none"/>
    </w:rPr>
  </w:style>
  <w:style w:type="character" w:styleId="Hyperlink">
    <w:name w:val="Hyperlink"/>
    <w:basedOn w:val="DefaultParagraphFont"/>
    <w:uiPriority w:val="99"/>
    <w:unhideWhenUsed/>
    <w:rsid w:val="00CC4683"/>
    <w:rPr>
      <w:color w:val="0563C1"/>
      <w:u w:val="single"/>
    </w:rPr>
  </w:style>
  <w:style w:type="character" w:styleId="FootnoteReference">
    <w:name w:val="footnote reference"/>
    <w:aliases w:val="Footnote symbol,Voetnootverwijzing,Times 10 Point,Exposant 3 Point,Footnote reference number,Ref,de nota al pie,note TESI,SUPERS,EN Footnote Reference,Footnote sign,Footnote Reference Superscript,stylish,fr,FR,Foo,No,footnote ref,Nota"/>
    <w:basedOn w:val="DefaultParagraphFont"/>
    <w:uiPriority w:val="99"/>
    <w:unhideWhenUsed/>
    <w:qFormat/>
    <w:rsid w:val="00CC4683"/>
    <w:rPr>
      <w:vertAlign w:val="superscript"/>
    </w:rPr>
  </w:style>
  <w:style w:type="paragraph" w:styleId="Revision">
    <w:name w:val="Revision"/>
    <w:hidden/>
    <w:uiPriority w:val="99"/>
    <w:semiHidden/>
    <w:rsid w:val="00CC4683"/>
    <w:pPr>
      <w:spacing w:after="0" w:line="240" w:lineRule="auto"/>
    </w:pPr>
    <w:rPr>
      <w14:ligatures w14:val="none"/>
    </w:rPr>
  </w:style>
  <w:style w:type="paragraph" w:styleId="CommentSubject">
    <w:name w:val="annotation subject"/>
    <w:basedOn w:val="CommentText"/>
    <w:next w:val="CommentText"/>
    <w:link w:val="CommentSubjectChar"/>
    <w:uiPriority w:val="99"/>
    <w:semiHidden/>
    <w:unhideWhenUsed/>
    <w:rsid w:val="00CC4683"/>
    <w:rPr>
      <w:b/>
      <w:bCs/>
    </w:rPr>
  </w:style>
  <w:style w:type="character" w:customStyle="1" w:styleId="CommentSubjectChar">
    <w:name w:val="Comment Subject Char"/>
    <w:basedOn w:val="CommentTextChar"/>
    <w:link w:val="CommentSubject"/>
    <w:uiPriority w:val="99"/>
    <w:semiHidden/>
    <w:rsid w:val="00CC4683"/>
    <w:rPr>
      <w:b/>
      <w:bCs/>
      <w:sz w:val="20"/>
      <w:szCs w:val="20"/>
      <w14:ligatures w14:val="none"/>
    </w:rPr>
  </w:style>
  <w:style w:type="paragraph" w:styleId="Header">
    <w:name w:val="header"/>
    <w:basedOn w:val="Normal"/>
    <w:link w:val="HeaderChar"/>
    <w:uiPriority w:val="99"/>
    <w:unhideWhenUsed/>
    <w:rsid w:val="00CC4683"/>
    <w:pPr>
      <w:tabs>
        <w:tab w:val="center" w:pos="4513"/>
        <w:tab w:val="right" w:pos="9026"/>
      </w:tabs>
      <w:spacing w:after="0" w:line="240" w:lineRule="auto"/>
    </w:pPr>
    <w:rPr>
      <w14:ligatures w14:val="none"/>
    </w:rPr>
  </w:style>
  <w:style w:type="character" w:customStyle="1" w:styleId="HeaderChar">
    <w:name w:val="Header Char"/>
    <w:basedOn w:val="DefaultParagraphFont"/>
    <w:link w:val="Header"/>
    <w:uiPriority w:val="99"/>
    <w:rsid w:val="00CC4683"/>
    <w:rPr>
      <w14:ligatures w14:val="none"/>
    </w:rPr>
  </w:style>
  <w:style w:type="paragraph" w:styleId="Footer">
    <w:name w:val="footer"/>
    <w:basedOn w:val="Normal"/>
    <w:link w:val="FooterChar"/>
    <w:uiPriority w:val="99"/>
    <w:unhideWhenUsed/>
    <w:rsid w:val="00CC4683"/>
    <w:pPr>
      <w:tabs>
        <w:tab w:val="center" w:pos="4513"/>
        <w:tab w:val="right" w:pos="9026"/>
      </w:tabs>
      <w:spacing w:after="0" w:line="240" w:lineRule="auto"/>
    </w:pPr>
    <w:rPr>
      <w14:ligatures w14:val="none"/>
    </w:rPr>
  </w:style>
  <w:style w:type="character" w:customStyle="1" w:styleId="FooterChar">
    <w:name w:val="Footer Char"/>
    <w:basedOn w:val="DefaultParagraphFont"/>
    <w:link w:val="Footer"/>
    <w:uiPriority w:val="99"/>
    <w:rsid w:val="00CC4683"/>
    <w:rPr>
      <w14:ligatures w14:val="none"/>
    </w:rPr>
  </w:style>
  <w:style w:type="character" w:customStyle="1" w:styleId="Mention">
    <w:name w:val="Mention"/>
    <w:basedOn w:val="DefaultParagraphFont"/>
    <w:uiPriority w:val="99"/>
    <w:unhideWhenUsed/>
    <w:rsid w:val="00CC4683"/>
    <w:rPr>
      <w:color w:val="2B579A"/>
      <w:shd w:val="clear" w:color="auto" w:fill="E1DFDD"/>
    </w:rPr>
  </w:style>
  <w:style w:type="paragraph" w:styleId="EndnoteText">
    <w:name w:val="endnote text"/>
    <w:basedOn w:val="Normal"/>
    <w:link w:val="EndnoteTextChar"/>
    <w:uiPriority w:val="99"/>
    <w:semiHidden/>
    <w:unhideWhenUsed/>
    <w:rsid w:val="00CC4683"/>
    <w:pPr>
      <w:spacing w:after="0" w:line="240" w:lineRule="auto"/>
    </w:pPr>
    <w:rPr>
      <w:sz w:val="20"/>
      <w:szCs w:val="20"/>
      <w14:ligatures w14:val="none"/>
    </w:rPr>
  </w:style>
  <w:style w:type="character" w:customStyle="1" w:styleId="EndnoteTextChar">
    <w:name w:val="Endnote Text Char"/>
    <w:basedOn w:val="DefaultParagraphFont"/>
    <w:link w:val="EndnoteText"/>
    <w:uiPriority w:val="99"/>
    <w:semiHidden/>
    <w:rsid w:val="00CC4683"/>
    <w:rPr>
      <w:sz w:val="20"/>
      <w:szCs w:val="20"/>
      <w14:ligatures w14:val="none"/>
    </w:rPr>
  </w:style>
  <w:style w:type="character" w:styleId="FollowedHyperlink">
    <w:name w:val="FollowedHyperlink"/>
    <w:basedOn w:val="DefaultParagraphFont"/>
    <w:uiPriority w:val="99"/>
    <w:semiHidden/>
    <w:unhideWhenUsed/>
    <w:rsid w:val="00CC4683"/>
    <w:rPr>
      <w:color w:val="96607D" w:themeColor="followedHyperlink"/>
      <w:u w:val="single"/>
    </w:rPr>
  </w:style>
  <w:style w:type="paragraph" w:styleId="TOCHeading">
    <w:name w:val="TOC Heading"/>
    <w:basedOn w:val="Heading1"/>
    <w:next w:val="Normal"/>
    <w:uiPriority w:val="39"/>
    <w:unhideWhenUsed/>
    <w:qFormat/>
    <w:rsid w:val="00CC4683"/>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CC4683"/>
    <w:pPr>
      <w:spacing w:after="100"/>
      <w:jc w:val="both"/>
    </w:pPr>
    <w:rPr>
      <w14:ligatures w14:val="none"/>
    </w:rPr>
  </w:style>
  <w:style w:type="paragraph" w:styleId="TOC2">
    <w:name w:val="toc 2"/>
    <w:basedOn w:val="Normal"/>
    <w:next w:val="Normal"/>
    <w:autoRedefine/>
    <w:uiPriority w:val="39"/>
    <w:unhideWhenUsed/>
    <w:rsid w:val="00CC4683"/>
    <w:pPr>
      <w:spacing w:after="100"/>
      <w:ind w:left="220"/>
      <w:jc w:val="both"/>
    </w:pPr>
    <w:rPr>
      <w14:ligatures w14:val="none"/>
    </w:rPr>
  </w:style>
  <w:style w:type="paragraph" w:styleId="TOC3">
    <w:name w:val="toc 3"/>
    <w:basedOn w:val="Normal"/>
    <w:next w:val="Normal"/>
    <w:autoRedefine/>
    <w:uiPriority w:val="39"/>
    <w:unhideWhenUsed/>
    <w:rsid w:val="00CC4683"/>
    <w:pPr>
      <w:spacing w:after="100"/>
      <w:ind w:left="440"/>
      <w:jc w:val="both"/>
    </w:pPr>
    <w:rPr>
      <w14:ligatures w14:val="none"/>
    </w:rPr>
  </w:style>
  <w:style w:type="paragraph" w:styleId="TOC4">
    <w:name w:val="toc 4"/>
    <w:basedOn w:val="Normal"/>
    <w:next w:val="Normal"/>
    <w:autoRedefine/>
    <w:uiPriority w:val="39"/>
    <w:unhideWhenUsed/>
    <w:rsid w:val="00CC4683"/>
    <w:pPr>
      <w:spacing w:after="100"/>
      <w:ind w:left="660"/>
      <w:jc w:val="both"/>
    </w:pPr>
    <w:rPr>
      <w14:ligatures w14:val="none"/>
    </w:rPr>
  </w:style>
  <w:style w:type="character" w:customStyle="1" w:styleId="UnresolvedMention">
    <w:name w:val="Unresolved Mention"/>
    <w:basedOn w:val="DefaultParagraphFont"/>
    <w:uiPriority w:val="99"/>
    <w:semiHidden/>
    <w:unhideWhenUsed/>
    <w:rsid w:val="00CC4683"/>
    <w:rPr>
      <w:color w:val="605E5C"/>
      <w:shd w:val="clear" w:color="auto" w:fill="E1DFDD"/>
    </w:rPr>
  </w:style>
  <w:style w:type="character" w:customStyle="1" w:styleId="Marker">
    <w:name w:val="Marker"/>
    <w:basedOn w:val="DefaultParagraphFont"/>
    <w:rsid w:val="00CC4683"/>
    <w:rPr>
      <w:color w:val="0000FF"/>
      <w:shd w:val="clear" w:color="auto" w:fill="auto"/>
    </w:rPr>
  </w:style>
  <w:style w:type="paragraph" w:customStyle="1" w:styleId="Pagedecouverture">
    <w:name w:val="Page de couverture"/>
    <w:basedOn w:val="Normal"/>
    <w:next w:val="Normal"/>
    <w:rsid w:val="00CC4683"/>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CC4683"/>
    <w:pPr>
      <w:tabs>
        <w:tab w:val="center" w:pos="4535"/>
        <w:tab w:val="right" w:pos="9071"/>
        <w:tab w:val="right" w:pos="9921"/>
      </w:tabs>
      <w:spacing w:before="360" w:after="0" w:line="240" w:lineRule="auto"/>
      <w:ind w:left="-850" w:right="-850" w:hanging="360"/>
      <w:contextualSpacing/>
      <w:outlineLvl w:val="0"/>
    </w:pPr>
    <w:rPr>
      <w:rFonts w:ascii="Times New Roman" w:hAnsi="Times New Roman" w:cs="Times New Roman"/>
      <w:sz w:val="24"/>
    </w:rPr>
  </w:style>
  <w:style w:type="character" w:customStyle="1" w:styleId="FooterCoverPageChar">
    <w:name w:val="Footer Cover Page Char"/>
    <w:basedOn w:val="DefaultParagraphFont"/>
    <w:link w:val="FooterCoverPage"/>
    <w:rsid w:val="00CC4683"/>
    <w:rPr>
      <w:rFonts w:ascii="Times New Roman" w:hAnsi="Times New Roman" w:cs="Times New Roman"/>
      <w:sz w:val="24"/>
    </w:rPr>
  </w:style>
  <w:style w:type="paragraph" w:customStyle="1" w:styleId="FooterSensitivity">
    <w:name w:val="Footer Sensitivity"/>
    <w:basedOn w:val="Normal"/>
    <w:link w:val="FooterSensitivityChar"/>
    <w:rsid w:val="00CC4683"/>
    <w:pPr>
      <w:pBdr>
        <w:top w:val="single" w:sz="4" w:space="1" w:color="auto"/>
        <w:left w:val="single" w:sz="4" w:space="4" w:color="auto"/>
        <w:bottom w:val="single" w:sz="4" w:space="1" w:color="auto"/>
        <w:right w:val="single" w:sz="4" w:space="4" w:color="auto"/>
      </w:pBdr>
      <w:spacing w:before="360" w:after="0" w:line="240" w:lineRule="auto"/>
      <w:ind w:left="113" w:right="113" w:hanging="360"/>
      <w:contextualSpacing/>
      <w:jc w:val="center"/>
      <w:outlineLvl w:val="0"/>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C4683"/>
    <w:rPr>
      <w:rFonts w:ascii="Times New Roman" w:hAnsi="Times New Roman" w:cs="Times New Roman"/>
      <w:b/>
      <w:sz w:val="32"/>
    </w:rPr>
  </w:style>
  <w:style w:type="paragraph" w:customStyle="1" w:styleId="HeaderCoverPage">
    <w:name w:val="Header Cover Page"/>
    <w:basedOn w:val="Normal"/>
    <w:link w:val="HeaderCoverPageChar"/>
    <w:rsid w:val="00CC4683"/>
    <w:pPr>
      <w:tabs>
        <w:tab w:val="center" w:pos="4535"/>
        <w:tab w:val="right" w:pos="9071"/>
      </w:tabs>
      <w:spacing w:after="120" w:line="240" w:lineRule="auto"/>
      <w:ind w:hanging="360"/>
      <w:contextualSpacing/>
      <w:jc w:val="both"/>
      <w:outlineLvl w:val="0"/>
    </w:pPr>
    <w:rPr>
      <w:rFonts w:ascii="Times New Roman" w:hAnsi="Times New Roman" w:cs="Times New Roman"/>
      <w:sz w:val="24"/>
    </w:rPr>
  </w:style>
  <w:style w:type="character" w:customStyle="1" w:styleId="HeaderCoverPageChar">
    <w:name w:val="Header Cover Page Char"/>
    <w:basedOn w:val="DefaultParagraphFont"/>
    <w:link w:val="HeaderCoverPage"/>
    <w:rsid w:val="00CC4683"/>
    <w:rPr>
      <w:rFonts w:ascii="Times New Roman" w:hAnsi="Times New Roman" w:cs="Times New Roman"/>
      <w:sz w:val="24"/>
    </w:rPr>
  </w:style>
  <w:style w:type="paragraph" w:customStyle="1" w:styleId="HeaderSensitivity">
    <w:name w:val="Header Sensitivity"/>
    <w:basedOn w:val="Normal"/>
    <w:link w:val="HeaderSensitivityChar"/>
    <w:rsid w:val="00CC4683"/>
    <w:pPr>
      <w:pBdr>
        <w:top w:val="single" w:sz="4" w:space="1" w:color="auto"/>
        <w:left w:val="single" w:sz="4" w:space="4" w:color="auto"/>
        <w:bottom w:val="single" w:sz="4" w:space="1" w:color="auto"/>
        <w:right w:val="single" w:sz="4" w:space="4" w:color="auto"/>
      </w:pBdr>
      <w:spacing w:after="120" w:line="240" w:lineRule="auto"/>
      <w:ind w:left="113" w:right="113" w:hanging="360"/>
      <w:contextualSpacing/>
      <w:jc w:val="center"/>
      <w:outlineLvl w:val="0"/>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C4683"/>
    <w:rPr>
      <w:rFonts w:ascii="Times New Roman" w:hAnsi="Times New Roman" w:cs="Times New Roman"/>
      <w:b/>
      <w:sz w:val="32"/>
    </w:rPr>
  </w:style>
  <w:style w:type="paragraph" w:customStyle="1" w:styleId="HeaderSensitivityRight">
    <w:name w:val="Header Sensitivity Right"/>
    <w:basedOn w:val="Normal"/>
    <w:link w:val="HeaderSensitivityRightChar"/>
    <w:rsid w:val="00CC4683"/>
    <w:pPr>
      <w:spacing w:after="120" w:line="240" w:lineRule="auto"/>
      <w:ind w:hanging="360"/>
      <w:contextualSpacing/>
      <w:jc w:val="right"/>
      <w:outlineLvl w:val="0"/>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C4683"/>
    <w:rPr>
      <w:rFonts w:ascii="Times New Roman" w:hAnsi="Times New Roman" w:cs="Times New Roman"/>
      <w:sz w:val="28"/>
    </w:rPr>
  </w:style>
  <w:style w:type="paragraph" w:customStyle="1" w:styleId="Typedudocument">
    <w:name w:val="Type du document"/>
    <w:basedOn w:val="Normal"/>
    <w:next w:val="Normal"/>
    <w:rsid w:val="00CC4683"/>
    <w:pPr>
      <w:spacing w:before="360" w:after="0" w:line="240" w:lineRule="auto"/>
      <w:jc w:val="center"/>
    </w:pPr>
    <w:rPr>
      <w:rFonts w:ascii="Times New Roman" w:hAnsi="Times New Roman" w:cs="Times New Roman"/>
      <w:b/>
      <w:kern w:val="0"/>
      <w:sz w:val="24"/>
      <w14:ligatures w14:val="none"/>
    </w:rPr>
  </w:style>
  <w:style w:type="paragraph" w:customStyle="1" w:styleId="Titreobjet">
    <w:name w:val="Titre objet"/>
    <w:basedOn w:val="Normal"/>
    <w:next w:val="Normal"/>
    <w:rsid w:val="00CC4683"/>
    <w:pPr>
      <w:spacing w:before="360" w:after="360" w:line="240" w:lineRule="auto"/>
      <w:jc w:val="center"/>
    </w:pPr>
    <w:rPr>
      <w:rFonts w:ascii="Times New Roman" w:hAnsi="Times New Roman" w:cs="Times New Roman"/>
      <w:b/>
      <w:kern w:val="0"/>
      <w:sz w:val="24"/>
      <w14:ligatures w14:val="none"/>
    </w:rPr>
  </w:style>
  <w:style w:type="numbering" w:customStyle="1" w:styleId="NoList2">
    <w:name w:val="No List2"/>
    <w:next w:val="NoList"/>
    <w:uiPriority w:val="99"/>
    <w:semiHidden/>
    <w:unhideWhenUsed/>
    <w:rsid w:val="00C90D82"/>
  </w:style>
  <w:style w:type="numbering" w:customStyle="1" w:styleId="NoList3">
    <w:name w:val="No List3"/>
    <w:next w:val="NoList"/>
    <w:uiPriority w:val="99"/>
    <w:semiHidden/>
    <w:unhideWhenUsed/>
    <w:rsid w:val="00077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580636">
      <w:bodyDiv w:val="1"/>
      <w:marLeft w:val="0"/>
      <w:marRight w:val="0"/>
      <w:marTop w:val="0"/>
      <w:marBottom w:val="0"/>
      <w:divBdr>
        <w:top w:val="none" w:sz="0" w:space="0" w:color="auto"/>
        <w:left w:val="none" w:sz="0" w:space="0" w:color="auto"/>
        <w:bottom w:val="none" w:sz="0" w:space="0" w:color="auto"/>
        <w:right w:val="none" w:sz="0" w:space="0" w:color="auto"/>
      </w:divBdr>
    </w:div>
    <w:div w:id="132673424">
      <w:bodyDiv w:val="1"/>
      <w:marLeft w:val="0"/>
      <w:marRight w:val="0"/>
      <w:marTop w:val="0"/>
      <w:marBottom w:val="0"/>
      <w:divBdr>
        <w:top w:val="none" w:sz="0" w:space="0" w:color="auto"/>
        <w:left w:val="none" w:sz="0" w:space="0" w:color="auto"/>
        <w:bottom w:val="none" w:sz="0" w:space="0" w:color="auto"/>
        <w:right w:val="none" w:sz="0" w:space="0" w:color="auto"/>
      </w:divBdr>
    </w:div>
    <w:div w:id="206335396">
      <w:bodyDiv w:val="1"/>
      <w:marLeft w:val="0"/>
      <w:marRight w:val="0"/>
      <w:marTop w:val="0"/>
      <w:marBottom w:val="0"/>
      <w:divBdr>
        <w:top w:val="none" w:sz="0" w:space="0" w:color="auto"/>
        <w:left w:val="none" w:sz="0" w:space="0" w:color="auto"/>
        <w:bottom w:val="none" w:sz="0" w:space="0" w:color="auto"/>
        <w:right w:val="none" w:sz="0" w:space="0" w:color="auto"/>
      </w:divBdr>
    </w:div>
    <w:div w:id="297078399">
      <w:bodyDiv w:val="1"/>
      <w:marLeft w:val="0"/>
      <w:marRight w:val="0"/>
      <w:marTop w:val="0"/>
      <w:marBottom w:val="0"/>
      <w:divBdr>
        <w:top w:val="none" w:sz="0" w:space="0" w:color="auto"/>
        <w:left w:val="none" w:sz="0" w:space="0" w:color="auto"/>
        <w:bottom w:val="none" w:sz="0" w:space="0" w:color="auto"/>
        <w:right w:val="none" w:sz="0" w:space="0" w:color="auto"/>
      </w:divBdr>
    </w:div>
    <w:div w:id="299306112">
      <w:bodyDiv w:val="1"/>
      <w:marLeft w:val="0"/>
      <w:marRight w:val="0"/>
      <w:marTop w:val="0"/>
      <w:marBottom w:val="0"/>
      <w:divBdr>
        <w:top w:val="none" w:sz="0" w:space="0" w:color="auto"/>
        <w:left w:val="none" w:sz="0" w:space="0" w:color="auto"/>
        <w:bottom w:val="none" w:sz="0" w:space="0" w:color="auto"/>
        <w:right w:val="none" w:sz="0" w:space="0" w:color="auto"/>
      </w:divBdr>
    </w:div>
    <w:div w:id="308244900">
      <w:bodyDiv w:val="1"/>
      <w:marLeft w:val="0"/>
      <w:marRight w:val="0"/>
      <w:marTop w:val="0"/>
      <w:marBottom w:val="0"/>
      <w:divBdr>
        <w:top w:val="none" w:sz="0" w:space="0" w:color="auto"/>
        <w:left w:val="none" w:sz="0" w:space="0" w:color="auto"/>
        <w:bottom w:val="none" w:sz="0" w:space="0" w:color="auto"/>
        <w:right w:val="none" w:sz="0" w:space="0" w:color="auto"/>
      </w:divBdr>
    </w:div>
    <w:div w:id="439763469">
      <w:bodyDiv w:val="1"/>
      <w:marLeft w:val="0"/>
      <w:marRight w:val="0"/>
      <w:marTop w:val="0"/>
      <w:marBottom w:val="0"/>
      <w:divBdr>
        <w:top w:val="none" w:sz="0" w:space="0" w:color="auto"/>
        <w:left w:val="none" w:sz="0" w:space="0" w:color="auto"/>
        <w:bottom w:val="none" w:sz="0" w:space="0" w:color="auto"/>
        <w:right w:val="none" w:sz="0" w:space="0" w:color="auto"/>
      </w:divBdr>
    </w:div>
    <w:div w:id="442379778">
      <w:bodyDiv w:val="1"/>
      <w:marLeft w:val="0"/>
      <w:marRight w:val="0"/>
      <w:marTop w:val="0"/>
      <w:marBottom w:val="0"/>
      <w:divBdr>
        <w:top w:val="none" w:sz="0" w:space="0" w:color="auto"/>
        <w:left w:val="none" w:sz="0" w:space="0" w:color="auto"/>
        <w:bottom w:val="none" w:sz="0" w:space="0" w:color="auto"/>
        <w:right w:val="none" w:sz="0" w:space="0" w:color="auto"/>
      </w:divBdr>
    </w:div>
    <w:div w:id="465201586">
      <w:bodyDiv w:val="1"/>
      <w:marLeft w:val="0"/>
      <w:marRight w:val="0"/>
      <w:marTop w:val="0"/>
      <w:marBottom w:val="0"/>
      <w:divBdr>
        <w:top w:val="none" w:sz="0" w:space="0" w:color="auto"/>
        <w:left w:val="none" w:sz="0" w:space="0" w:color="auto"/>
        <w:bottom w:val="none" w:sz="0" w:space="0" w:color="auto"/>
        <w:right w:val="none" w:sz="0" w:space="0" w:color="auto"/>
      </w:divBdr>
    </w:div>
    <w:div w:id="528108816">
      <w:bodyDiv w:val="1"/>
      <w:marLeft w:val="0"/>
      <w:marRight w:val="0"/>
      <w:marTop w:val="0"/>
      <w:marBottom w:val="0"/>
      <w:divBdr>
        <w:top w:val="none" w:sz="0" w:space="0" w:color="auto"/>
        <w:left w:val="none" w:sz="0" w:space="0" w:color="auto"/>
        <w:bottom w:val="none" w:sz="0" w:space="0" w:color="auto"/>
        <w:right w:val="none" w:sz="0" w:space="0" w:color="auto"/>
      </w:divBdr>
    </w:div>
    <w:div w:id="561986026">
      <w:bodyDiv w:val="1"/>
      <w:marLeft w:val="0"/>
      <w:marRight w:val="0"/>
      <w:marTop w:val="0"/>
      <w:marBottom w:val="0"/>
      <w:divBdr>
        <w:top w:val="none" w:sz="0" w:space="0" w:color="auto"/>
        <w:left w:val="none" w:sz="0" w:space="0" w:color="auto"/>
        <w:bottom w:val="none" w:sz="0" w:space="0" w:color="auto"/>
        <w:right w:val="none" w:sz="0" w:space="0" w:color="auto"/>
      </w:divBdr>
    </w:div>
    <w:div w:id="666326255">
      <w:bodyDiv w:val="1"/>
      <w:marLeft w:val="0"/>
      <w:marRight w:val="0"/>
      <w:marTop w:val="0"/>
      <w:marBottom w:val="0"/>
      <w:divBdr>
        <w:top w:val="none" w:sz="0" w:space="0" w:color="auto"/>
        <w:left w:val="none" w:sz="0" w:space="0" w:color="auto"/>
        <w:bottom w:val="none" w:sz="0" w:space="0" w:color="auto"/>
        <w:right w:val="none" w:sz="0" w:space="0" w:color="auto"/>
      </w:divBdr>
    </w:div>
    <w:div w:id="710619351">
      <w:bodyDiv w:val="1"/>
      <w:marLeft w:val="0"/>
      <w:marRight w:val="0"/>
      <w:marTop w:val="0"/>
      <w:marBottom w:val="0"/>
      <w:divBdr>
        <w:top w:val="none" w:sz="0" w:space="0" w:color="auto"/>
        <w:left w:val="none" w:sz="0" w:space="0" w:color="auto"/>
        <w:bottom w:val="none" w:sz="0" w:space="0" w:color="auto"/>
        <w:right w:val="none" w:sz="0" w:space="0" w:color="auto"/>
      </w:divBdr>
    </w:div>
    <w:div w:id="722485998">
      <w:bodyDiv w:val="1"/>
      <w:marLeft w:val="0"/>
      <w:marRight w:val="0"/>
      <w:marTop w:val="0"/>
      <w:marBottom w:val="0"/>
      <w:divBdr>
        <w:top w:val="none" w:sz="0" w:space="0" w:color="auto"/>
        <w:left w:val="none" w:sz="0" w:space="0" w:color="auto"/>
        <w:bottom w:val="none" w:sz="0" w:space="0" w:color="auto"/>
        <w:right w:val="none" w:sz="0" w:space="0" w:color="auto"/>
      </w:divBdr>
    </w:div>
    <w:div w:id="757990601">
      <w:bodyDiv w:val="1"/>
      <w:marLeft w:val="0"/>
      <w:marRight w:val="0"/>
      <w:marTop w:val="0"/>
      <w:marBottom w:val="0"/>
      <w:divBdr>
        <w:top w:val="none" w:sz="0" w:space="0" w:color="auto"/>
        <w:left w:val="none" w:sz="0" w:space="0" w:color="auto"/>
        <w:bottom w:val="none" w:sz="0" w:space="0" w:color="auto"/>
        <w:right w:val="none" w:sz="0" w:space="0" w:color="auto"/>
      </w:divBdr>
    </w:div>
    <w:div w:id="758910207">
      <w:bodyDiv w:val="1"/>
      <w:marLeft w:val="0"/>
      <w:marRight w:val="0"/>
      <w:marTop w:val="0"/>
      <w:marBottom w:val="0"/>
      <w:divBdr>
        <w:top w:val="none" w:sz="0" w:space="0" w:color="auto"/>
        <w:left w:val="none" w:sz="0" w:space="0" w:color="auto"/>
        <w:bottom w:val="none" w:sz="0" w:space="0" w:color="auto"/>
        <w:right w:val="none" w:sz="0" w:space="0" w:color="auto"/>
      </w:divBdr>
    </w:div>
    <w:div w:id="872419286">
      <w:bodyDiv w:val="1"/>
      <w:marLeft w:val="0"/>
      <w:marRight w:val="0"/>
      <w:marTop w:val="0"/>
      <w:marBottom w:val="0"/>
      <w:divBdr>
        <w:top w:val="none" w:sz="0" w:space="0" w:color="auto"/>
        <w:left w:val="none" w:sz="0" w:space="0" w:color="auto"/>
        <w:bottom w:val="none" w:sz="0" w:space="0" w:color="auto"/>
        <w:right w:val="none" w:sz="0" w:space="0" w:color="auto"/>
      </w:divBdr>
    </w:div>
    <w:div w:id="1022241486">
      <w:bodyDiv w:val="1"/>
      <w:marLeft w:val="0"/>
      <w:marRight w:val="0"/>
      <w:marTop w:val="0"/>
      <w:marBottom w:val="0"/>
      <w:divBdr>
        <w:top w:val="none" w:sz="0" w:space="0" w:color="auto"/>
        <w:left w:val="none" w:sz="0" w:space="0" w:color="auto"/>
        <w:bottom w:val="none" w:sz="0" w:space="0" w:color="auto"/>
        <w:right w:val="none" w:sz="0" w:space="0" w:color="auto"/>
      </w:divBdr>
    </w:div>
    <w:div w:id="1162357587">
      <w:bodyDiv w:val="1"/>
      <w:marLeft w:val="0"/>
      <w:marRight w:val="0"/>
      <w:marTop w:val="0"/>
      <w:marBottom w:val="0"/>
      <w:divBdr>
        <w:top w:val="none" w:sz="0" w:space="0" w:color="auto"/>
        <w:left w:val="none" w:sz="0" w:space="0" w:color="auto"/>
        <w:bottom w:val="none" w:sz="0" w:space="0" w:color="auto"/>
        <w:right w:val="none" w:sz="0" w:space="0" w:color="auto"/>
      </w:divBdr>
    </w:div>
    <w:div w:id="1218738016">
      <w:bodyDiv w:val="1"/>
      <w:marLeft w:val="0"/>
      <w:marRight w:val="0"/>
      <w:marTop w:val="0"/>
      <w:marBottom w:val="0"/>
      <w:divBdr>
        <w:top w:val="none" w:sz="0" w:space="0" w:color="auto"/>
        <w:left w:val="none" w:sz="0" w:space="0" w:color="auto"/>
        <w:bottom w:val="none" w:sz="0" w:space="0" w:color="auto"/>
        <w:right w:val="none" w:sz="0" w:space="0" w:color="auto"/>
      </w:divBdr>
    </w:div>
    <w:div w:id="1377200010">
      <w:bodyDiv w:val="1"/>
      <w:marLeft w:val="0"/>
      <w:marRight w:val="0"/>
      <w:marTop w:val="0"/>
      <w:marBottom w:val="0"/>
      <w:divBdr>
        <w:top w:val="none" w:sz="0" w:space="0" w:color="auto"/>
        <w:left w:val="none" w:sz="0" w:space="0" w:color="auto"/>
        <w:bottom w:val="none" w:sz="0" w:space="0" w:color="auto"/>
        <w:right w:val="none" w:sz="0" w:space="0" w:color="auto"/>
      </w:divBdr>
    </w:div>
    <w:div w:id="1385250402">
      <w:bodyDiv w:val="1"/>
      <w:marLeft w:val="0"/>
      <w:marRight w:val="0"/>
      <w:marTop w:val="0"/>
      <w:marBottom w:val="0"/>
      <w:divBdr>
        <w:top w:val="none" w:sz="0" w:space="0" w:color="auto"/>
        <w:left w:val="none" w:sz="0" w:space="0" w:color="auto"/>
        <w:bottom w:val="none" w:sz="0" w:space="0" w:color="auto"/>
        <w:right w:val="none" w:sz="0" w:space="0" w:color="auto"/>
      </w:divBdr>
    </w:div>
    <w:div w:id="1401754629">
      <w:bodyDiv w:val="1"/>
      <w:marLeft w:val="0"/>
      <w:marRight w:val="0"/>
      <w:marTop w:val="0"/>
      <w:marBottom w:val="0"/>
      <w:divBdr>
        <w:top w:val="none" w:sz="0" w:space="0" w:color="auto"/>
        <w:left w:val="none" w:sz="0" w:space="0" w:color="auto"/>
        <w:bottom w:val="none" w:sz="0" w:space="0" w:color="auto"/>
        <w:right w:val="none" w:sz="0" w:space="0" w:color="auto"/>
      </w:divBdr>
    </w:div>
    <w:div w:id="1547524413">
      <w:bodyDiv w:val="1"/>
      <w:marLeft w:val="0"/>
      <w:marRight w:val="0"/>
      <w:marTop w:val="0"/>
      <w:marBottom w:val="0"/>
      <w:divBdr>
        <w:top w:val="none" w:sz="0" w:space="0" w:color="auto"/>
        <w:left w:val="none" w:sz="0" w:space="0" w:color="auto"/>
        <w:bottom w:val="none" w:sz="0" w:space="0" w:color="auto"/>
        <w:right w:val="none" w:sz="0" w:space="0" w:color="auto"/>
      </w:divBdr>
    </w:div>
    <w:div w:id="1990598445">
      <w:bodyDiv w:val="1"/>
      <w:marLeft w:val="0"/>
      <w:marRight w:val="0"/>
      <w:marTop w:val="0"/>
      <w:marBottom w:val="0"/>
      <w:divBdr>
        <w:top w:val="none" w:sz="0" w:space="0" w:color="auto"/>
        <w:left w:val="none" w:sz="0" w:space="0" w:color="auto"/>
        <w:bottom w:val="none" w:sz="0" w:space="0" w:color="auto"/>
        <w:right w:val="none" w:sz="0" w:space="0" w:color="auto"/>
      </w:divBdr>
    </w:div>
    <w:div w:id="2019647778">
      <w:bodyDiv w:val="1"/>
      <w:marLeft w:val="0"/>
      <w:marRight w:val="0"/>
      <w:marTop w:val="0"/>
      <w:marBottom w:val="0"/>
      <w:divBdr>
        <w:top w:val="none" w:sz="0" w:space="0" w:color="auto"/>
        <w:left w:val="none" w:sz="0" w:space="0" w:color="auto"/>
        <w:bottom w:val="none" w:sz="0" w:space="0" w:color="auto"/>
        <w:right w:val="none" w:sz="0" w:space="0" w:color="auto"/>
      </w:divBdr>
    </w:div>
    <w:div w:id="2045252889">
      <w:bodyDiv w:val="1"/>
      <w:marLeft w:val="0"/>
      <w:marRight w:val="0"/>
      <w:marTop w:val="0"/>
      <w:marBottom w:val="0"/>
      <w:divBdr>
        <w:top w:val="none" w:sz="0" w:space="0" w:color="auto"/>
        <w:left w:val="none" w:sz="0" w:space="0" w:color="auto"/>
        <w:bottom w:val="none" w:sz="0" w:space="0" w:color="auto"/>
        <w:right w:val="none" w:sz="0" w:space="0" w:color="auto"/>
      </w:divBdr>
    </w:div>
    <w:div w:id="2053384815">
      <w:bodyDiv w:val="1"/>
      <w:marLeft w:val="0"/>
      <w:marRight w:val="0"/>
      <w:marTop w:val="0"/>
      <w:marBottom w:val="0"/>
      <w:divBdr>
        <w:top w:val="none" w:sz="0" w:space="0" w:color="auto"/>
        <w:left w:val="none" w:sz="0" w:space="0" w:color="auto"/>
        <w:bottom w:val="none" w:sz="0" w:space="0" w:color="auto"/>
        <w:right w:val="none" w:sz="0" w:space="0" w:color="auto"/>
      </w:divBdr>
    </w:div>
    <w:div w:id="2082945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home-affairs.ec.europa.eu/networks/labour-migration-platform_en" TargetMode="External"/><Relationship Id="rId2" Type="http://schemas.openxmlformats.org/officeDocument/2006/relationships/hyperlink" Target="https://doi.org/10.48341/g31s-vq79" TargetMode="External"/><Relationship Id="rId1" Type="http://schemas.openxmlformats.org/officeDocument/2006/relationships/hyperlink" Target="https://home-affairs.ec.europa.eu/european-asylum-and-migration-management-strategy_en" TargetMode="External"/><Relationship Id="rId6" Type="http://schemas.openxmlformats.org/officeDocument/2006/relationships/hyperlink" Target="https://eur-lex.europa.eu/legal-content/RO/TXT/?uri=CELEX%3A52025PC0571&amp;qid=1753801194712" TargetMode="External"/><Relationship Id="rId5" Type="http://schemas.openxmlformats.org/officeDocument/2006/relationships/hyperlink" Target="https://ec.europa.eu/eusurvey/ESDquestionnaire2025/management/overview" TargetMode="External"/><Relationship Id="rId4" Type="http://schemas.openxmlformats.org/officeDocument/2006/relationships/hyperlink" Target="https://home-affairs.ec.europa.eu/networks/labour-migration-platform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5AAB5-9973-4F5F-8080-7141CBF7C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12</Pages>
  <Words>7628</Words>
  <Characters>43485</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dcterms:created xsi:type="dcterms:W3CDTF">2026-05-05T15:30:00Z</dcterms:created>
  <dcterms:modified xsi:type="dcterms:W3CDTF">2026-06-24T17:38:00Z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2026-02-26T15:54:15Z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1a12d936-21fd-4ba6-9072-f9191f91fc3f</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