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3B56D" w14:textId="751A4412" w:rsidR="00DC324D" w:rsidRPr="00640047" w:rsidRDefault="00E06DA5" w:rsidP="00E06DA5">
      <w:pPr>
        <w:pStyle w:val="Pagedecouverture"/>
        <w:rPr>
          <w:noProof/>
          <w:lang w:val="en-GB"/>
        </w:rPr>
      </w:pPr>
      <w:bookmarkStart w:id="0" w:name="LW_BM_COVERPAGE"/>
      <w:r>
        <w:rPr>
          <w:noProof/>
          <w:lang w:val="en-GB"/>
        </w:rPr>
        <w:pict w14:anchorId="1A31B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980E6E-8A53-4F1D-9AF2-AC3338B509D4" style="width:455.25pt;height:300pt">
            <v:imagedata r:id="rId11" o:title=""/>
          </v:shape>
        </w:pict>
      </w:r>
    </w:p>
    <w:bookmarkEnd w:id="0"/>
    <w:p w14:paraId="491CCD51" w14:textId="77777777" w:rsidR="00DC324D" w:rsidRPr="00640047" w:rsidRDefault="00DC324D" w:rsidP="00DC324D">
      <w:pPr>
        <w:rPr>
          <w:noProof/>
          <w:lang w:val="en-GB"/>
        </w:rPr>
        <w:sectPr w:rsidR="00DC324D" w:rsidRPr="00640047" w:rsidSect="00E06DA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841AC1" w14:textId="77777777" w:rsidR="006976D7" w:rsidRPr="00640047" w:rsidRDefault="006976D7" w:rsidP="00AE0876">
      <w:pPr>
        <w:pStyle w:val="ListParagraph"/>
        <w:numPr>
          <w:ilvl w:val="0"/>
          <w:numId w:val="1"/>
        </w:numPr>
        <w:spacing w:line="276" w:lineRule="auto"/>
        <w:ind w:left="1077"/>
        <w:contextualSpacing w:val="0"/>
        <w:rPr>
          <w:rFonts w:ascii="Times New Roman" w:hAnsi="Times New Roman" w:cs="Times New Roman"/>
          <w:b/>
          <w:bCs/>
          <w:noProof/>
          <w:sz w:val="24"/>
          <w:szCs w:val="24"/>
          <w:lang w:val="en-GB"/>
        </w:rPr>
      </w:pPr>
      <w:bookmarkStart w:id="1" w:name="_Hlk225169318"/>
      <w:bookmarkStart w:id="2" w:name="_GoBack"/>
      <w:bookmarkEnd w:id="2"/>
      <w:r w:rsidRPr="00640047">
        <w:rPr>
          <w:rFonts w:ascii="Times New Roman" w:hAnsi="Times New Roman" w:cs="Times New Roman"/>
          <w:b/>
          <w:bCs/>
          <w:noProof/>
          <w:sz w:val="24"/>
          <w:szCs w:val="24"/>
          <w:lang w:val="en-GB"/>
        </w:rPr>
        <w:lastRenderedPageBreak/>
        <w:t>INTRODUCTION</w:t>
      </w:r>
    </w:p>
    <w:p w14:paraId="5AF86EA9" w14:textId="4D8A10C8" w:rsidR="00370076"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The EU’s seasonal economy is a</w:t>
      </w:r>
      <w:r w:rsidR="00CC2466" w:rsidRPr="00640047">
        <w:rPr>
          <w:rFonts w:ascii="Times New Roman" w:hAnsi="Times New Roman" w:cs="Times New Roman"/>
          <w:noProof/>
          <w:sz w:val="24"/>
          <w:szCs w:val="24"/>
          <w:lang w:val="en-GB"/>
        </w:rPr>
        <w:t>n important</w:t>
      </w:r>
      <w:r w:rsidRPr="00640047">
        <w:rPr>
          <w:rFonts w:ascii="Times New Roman" w:hAnsi="Times New Roman" w:cs="Times New Roman"/>
          <w:noProof/>
          <w:sz w:val="24"/>
          <w:szCs w:val="24"/>
          <w:lang w:val="en-GB"/>
        </w:rPr>
        <w:t xml:space="preserve">, high-volume driver of growth in different sectors of strategic importance for the overall EU economy and competitiveness. The main seasonal sectors </w:t>
      </w:r>
      <w:r w:rsidR="001E508E" w:rsidRPr="00640047">
        <w:rPr>
          <w:rFonts w:ascii="Times New Roman" w:hAnsi="Times New Roman" w:cs="Times New Roman"/>
          <w:noProof/>
          <w:sz w:val="24"/>
          <w:szCs w:val="24"/>
          <w:lang w:val="en-GB"/>
        </w:rPr>
        <w:t xml:space="preserve">in the EU </w:t>
      </w:r>
      <w:r w:rsidRPr="00640047">
        <w:rPr>
          <w:rFonts w:ascii="Times New Roman" w:hAnsi="Times New Roman" w:cs="Times New Roman"/>
          <w:noProof/>
          <w:sz w:val="24"/>
          <w:szCs w:val="24"/>
          <w:lang w:val="en-GB"/>
        </w:rPr>
        <w:t>are agriculture and horticulture, tourism, and the hotel, restaurant and catering (HORECA) sector, and to a lesser extent food processing and construction. In 2024, the EU’s agricultural sector generated EUR 228.6 billion in gross value added (about 1.2% of EU GDP) and EUR 531.9 billion in agricultural output, while agri-food exports reached EUR 235.4 billion</w:t>
      </w:r>
      <w:r w:rsidRPr="00640047">
        <w:rPr>
          <w:rStyle w:val="FootnoteReference"/>
          <w:rFonts w:ascii="Times New Roman" w:hAnsi="Times New Roman" w:cs="Times New Roman"/>
          <w:noProof/>
          <w:sz w:val="24"/>
          <w:szCs w:val="24"/>
          <w:lang w:val="en-GB"/>
        </w:rPr>
        <w:footnoteReference w:id="1"/>
      </w:r>
      <w:r w:rsidRPr="00640047">
        <w:rPr>
          <w:rFonts w:ascii="Times New Roman" w:hAnsi="Times New Roman" w:cs="Times New Roman"/>
          <w:noProof/>
          <w:sz w:val="24"/>
          <w:szCs w:val="24"/>
          <w:lang w:val="en-GB"/>
        </w:rPr>
        <w:t>. Tourism industries, including accommodation and food services, are estimated to account for around 5% of the EU’s gross value added</w:t>
      </w:r>
      <w:r w:rsidRPr="00640047">
        <w:rPr>
          <w:rStyle w:val="FootnoteReference"/>
          <w:rFonts w:ascii="Times New Roman" w:hAnsi="Times New Roman" w:cs="Times New Roman"/>
          <w:noProof/>
          <w:sz w:val="24"/>
          <w:szCs w:val="24"/>
          <w:lang w:val="en-GB"/>
        </w:rPr>
        <w:footnoteReference w:id="2"/>
      </w:r>
      <w:r w:rsidRPr="00640047">
        <w:rPr>
          <w:rFonts w:ascii="Times New Roman" w:hAnsi="Times New Roman" w:cs="Times New Roman"/>
          <w:noProof/>
          <w:sz w:val="24"/>
          <w:szCs w:val="24"/>
          <w:lang w:val="en-GB"/>
        </w:rPr>
        <w:t xml:space="preserve">. Many of these sectors rely structurally on seasonal work, where labour demand peaks at specific times of the year. </w:t>
      </w:r>
    </w:p>
    <w:p w14:paraId="6851B72F" w14:textId="36F5686F" w:rsidR="008E3DEA" w:rsidRPr="00640047" w:rsidRDefault="00370076"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Although seasonal sectors and the size of seasonal work vary across the EU, all Member States have a structural need for seasonal workers. </w:t>
      </w:r>
      <w:r w:rsidR="006976D7" w:rsidRPr="00640047">
        <w:rPr>
          <w:rFonts w:ascii="Times New Roman" w:hAnsi="Times New Roman" w:cs="Times New Roman"/>
          <w:noProof/>
          <w:sz w:val="24"/>
          <w:szCs w:val="24"/>
          <w:lang w:val="en-GB"/>
        </w:rPr>
        <w:t>Rough estimates suggest that between 2.5</w:t>
      </w:r>
      <w:bookmarkStart w:id="3" w:name="_Ref220412757"/>
      <w:r w:rsidR="006976D7" w:rsidRPr="00640047">
        <w:rPr>
          <w:rStyle w:val="FootnoteReference"/>
          <w:rFonts w:ascii="Times New Roman" w:hAnsi="Times New Roman" w:cs="Times New Roman"/>
          <w:noProof/>
          <w:sz w:val="24"/>
          <w:szCs w:val="24"/>
          <w:lang w:val="en-GB"/>
        </w:rPr>
        <w:footnoteReference w:id="3"/>
      </w:r>
      <w:bookmarkEnd w:id="3"/>
      <w:r w:rsidR="006976D7" w:rsidRPr="00640047">
        <w:rPr>
          <w:rFonts w:ascii="Times New Roman" w:hAnsi="Times New Roman" w:cs="Times New Roman"/>
          <w:noProof/>
          <w:sz w:val="24"/>
          <w:szCs w:val="24"/>
          <w:lang w:val="en-GB"/>
        </w:rPr>
        <w:t xml:space="preserve"> and 4</w:t>
      </w:r>
      <w:bookmarkStart w:id="4" w:name="_Ref220416055"/>
      <w:r w:rsidR="006976D7" w:rsidRPr="00640047">
        <w:rPr>
          <w:rStyle w:val="FootnoteReference"/>
          <w:rFonts w:ascii="Times New Roman" w:hAnsi="Times New Roman" w:cs="Times New Roman"/>
          <w:noProof/>
          <w:sz w:val="24"/>
          <w:szCs w:val="24"/>
          <w:lang w:val="en-GB"/>
        </w:rPr>
        <w:footnoteReference w:id="4"/>
      </w:r>
      <w:bookmarkEnd w:id="4"/>
      <w:r w:rsidR="006976D7" w:rsidRPr="00640047">
        <w:rPr>
          <w:rFonts w:ascii="Times New Roman" w:hAnsi="Times New Roman" w:cs="Times New Roman"/>
          <w:noProof/>
          <w:sz w:val="24"/>
          <w:szCs w:val="24"/>
          <w:lang w:val="en-GB"/>
        </w:rPr>
        <w:t xml:space="preserve"> million seasonal workers are needed annually across the EU. </w:t>
      </w:r>
      <w:r w:rsidRPr="00640047">
        <w:rPr>
          <w:rFonts w:ascii="Times New Roman" w:hAnsi="Times New Roman" w:cs="Times New Roman"/>
          <w:noProof/>
          <w:sz w:val="24"/>
          <w:szCs w:val="24"/>
          <w:lang w:val="en-GB"/>
        </w:rPr>
        <w:t>N</w:t>
      </w:r>
      <w:r w:rsidR="004E13E0" w:rsidRPr="00640047">
        <w:rPr>
          <w:rFonts w:ascii="Times New Roman" w:hAnsi="Times New Roman" w:cs="Times New Roman"/>
          <w:noProof/>
          <w:sz w:val="24"/>
          <w:szCs w:val="24"/>
          <w:lang w:val="en-GB"/>
        </w:rPr>
        <w:t xml:space="preserve">ationals </w:t>
      </w:r>
      <w:r w:rsidR="006976D7" w:rsidRPr="00640047">
        <w:rPr>
          <w:rFonts w:ascii="Times New Roman" w:hAnsi="Times New Roman" w:cs="Times New Roman"/>
          <w:noProof/>
          <w:sz w:val="24"/>
          <w:szCs w:val="24"/>
          <w:lang w:val="en-GB"/>
        </w:rPr>
        <w:t>from the countries themselves represent the largest group of seasonal workers, but their number has been steadily declining.</w:t>
      </w:r>
    </w:p>
    <w:p w14:paraId="7A0333AE" w14:textId="5BC7B890" w:rsidR="006976D7" w:rsidRPr="00640047" w:rsidRDefault="006976D7" w:rsidP="006976D7">
      <w:pPr>
        <w:pStyle w:val="ListParagraph"/>
        <w:autoSpaceDE w:val="0"/>
        <w:autoSpaceDN w:val="0"/>
        <w:adjustRightInd w:val="0"/>
        <w:spacing w:line="276" w:lineRule="auto"/>
        <w:ind w:left="0"/>
        <w:contextualSpacing w:val="0"/>
        <w:jc w:val="both"/>
        <w:rPr>
          <w:rFonts w:ascii="Times New Roman" w:eastAsia="Aptos" w:hAnsi="Times New Roman" w:cs="Times New Roman"/>
          <w:noProof/>
          <w:sz w:val="24"/>
          <w:szCs w:val="24"/>
          <w:lang w:val="en-GB"/>
        </w:rPr>
      </w:pPr>
      <w:r w:rsidRPr="00640047">
        <w:rPr>
          <w:rFonts w:ascii="Times New Roman" w:hAnsi="Times New Roman" w:cs="Times New Roman"/>
          <w:noProof/>
          <w:sz w:val="24"/>
          <w:szCs w:val="24"/>
          <w:lang w:val="en-GB"/>
        </w:rPr>
        <w:t>Demographic change</w:t>
      </w:r>
      <w:r w:rsidR="000E2D3C" w:rsidRPr="00640047">
        <w:rPr>
          <w:rFonts w:ascii="Times New Roman" w:hAnsi="Times New Roman" w:cs="Times New Roman"/>
          <w:noProof/>
          <w:sz w:val="24"/>
          <w:szCs w:val="24"/>
          <w:lang w:val="en-GB"/>
        </w:rPr>
        <w:t>s</w:t>
      </w:r>
      <w:r w:rsidRPr="00640047">
        <w:rPr>
          <w:rFonts w:ascii="Times New Roman" w:hAnsi="Times New Roman" w:cs="Times New Roman"/>
          <w:noProof/>
          <w:sz w:val="24"/>
          <w:szCs w:val="24"/>
          <w:lang w:val="en-GB"/>
        </w:rPr>
        <w:t xml:space="preserve">, rural depopulation and persistent labour shortages increasingly require the contribution of mobile EU seasonal workers (who move from one EU country to another </w:t>
      </w:r>
      <w:r w:rsidR="008275FF" w:rsidRPr="00640047">
        <w:rPr>
          <w:rFonts w:ascii="Times New Roman" w:hAnsi="Times New Roman" w:cs="Times New Roman"/>
          <w:noProof/>
          <w:sz w:val="24"/>
          <w:szCs w:val="24"/>
          <w:lang w:val="en-GB"/>
        </w:rPr>
        <w:t>for</w:t>
      </w:r>
      <w:r w:rsidRPr="00640047">
        <w:rPr>
          <w:rFonts w:ascii="Times New Roman" w:hAnsi="Times New Roman" w:cs="Times New Roman"/>
          <w:noProof/>
          <w:sz w:val="24"/>
          <w:szCs w:val="24"/>
          <w:lang w:val="en-GB"/>
        </w:rPr>
        <w:t xml:space="preserve"> seasonal jobs) and workers from non-EU countries to sustain production and services in seasonal sectors. </w:t>
      </w:r>
      <w:r w:rsidRPr="00640047">
        <w:rPr>
          <w:rFonts w:ascii="Times New Roman" w:eastAsia="Aptos" w:hAnsi="Times New Roman" w:cs="Times New Roman"/>
          <w:noProof/>
          <w:sz w:val="24"/>
          <w:szCs w:val="24"/>
          <w:lang w:val="en-GB"/>
        </w:rPr>
        <w:t xml:space="preserve">According to estimates from 2021, over 420 000 </w:t>
      </w:r>
      <w:r w:rsidR="00AB2068" w:rsidRPr="00640047">
        <w:rPr>
          <w:rFonts w:ascii="Times New Roman" w:eastAsia="Aptos" w:hAnsi="Times New Roman" w:cs="Times New Roman"/>
          <w:noProof/>
          <w:sz w:val="24"/>
          <w:szCs w:val="24"/>
          <w:lang w:val="en-GB"/>
        </w:rPr>
        <w:t xml:space="preserve">third-country nationals </w:t>
      </w:r>
      <w:r w:rsidRPr="00640047">
        <w:rPr>
          <w:rFonts w:ascii="Times New Roman" w:eastAsia="Aptos" w:hAnsi="Times New Roman" w:cs="Times New Roman"/>
          <w:noProof/>
          <w:sz w:val="24"/>
          <w:szCs w:val="24"/>
          <w:lang w:val="en-GB"/>
        </w:rPr>
        <w:t>take up seasonal work in agriculture alone in the EU each year</w:t>
      </w:r>
      <w:r w:rsidRPr="00640047">
        <w:rPr>
          <w:rStyle w:val="FootnoteReference"/>
          <w:rFonts w:ascii="Times New Roman" w:eastAsia="Aptos" w:hAnsi="Times New Roman" w:cs="Times New Roman"/>
          <w:noProof/>
          <w:sz w:val="24"/>
          <w:szCs w:val="24"/>
          <w:lang w:val="en-GB"/>
        </w:rPr>
        <w:footnoteReference w:id="5"/>
      </w:r>
      <w:r w:rsidRPr="00640047">
        <w:rPr>
          <w:rFonts w:ascii="Times New Roman" w:eastAsia="Aptos" w:hAnsi="Times New Roman" w:cs="Times New Roman"/>
          <w:noProof/>
          <w:sz w:val="24"/>
          <w:szCs w:val="24"/>
          <w:lang w:val="en-GB"/>
        </w:rPr>
        <w:t xml:space="preserve">. In 2023, 9% of the labour force in tourism industries was made up of </w:t>
      </w:r>
      <w:bookmarkStart w:id="5" w:name="_Ref221275955"/>
      <w:r w:rsidR="00AB2068" w:rsidRPr="00640047">
        <w:rPr>
          <w:rFonts w:ascii="Times New Roman" w:eastAsia="Aptos" w:hAnsi="Times New Roman" w:cs="Times New Roman"/>
          <w:noProof/>
          <w:sz w:val="24"/>
          <w:szCs w:val="24"/>
          <w:lang w:val="en-GB"/>
        </w:rPr>
        <w:t>third-country nationals</w:t>
      </w:r>
      <w:r w:rsidRPr="00640047">
        <w:rPr>
          <w:rStyle w:val="FootnoteReference"/>
          <w:rFonts w:ascii="Times New Roman" w:eastAsia="Aptos" w:hAnsi="Times New Roman" w:cs="Times New Roman"/>
          <w:noProof/>
          <w:sz w:val="24"/>
          <w:szCs w:val="24"/>
          <w:lang w:val="en-GB"/>
        </w:rPr>
        <w:footnoteReference w:id="6"/>
      </w:r>
      <w:bookmarkEnd w:id="5"/>
      <w:r w:rsidRPr="00640047">
        <w:rPr>
          <w:rFonts w:ascii="Times New Roman" w:eastAsia="Aptos" w:hAnsi="Times New Roman" w:cs="Times New Roman"/>
          <w:noProof/>
          <w:sz w:val="24"/>
          <w:szCs w:val="24"/>
          <w:lang w:val="en-GB"/>
        </w:rPr>
        <w:t xml:space="preserve">. </w:t>
      </w:r>
    </w:p>
    <w:p w14:paraId="78090BC2" w14:textId="7DB65B19" w:rsidR="006976D7" w:rsidRPr="00640047" w:rsidRDefault="006976D7" w:rsidP="00184A9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eastAsia="Aptos" w:hAnsi="Times New Roman" w:cs="Times New Roman"/>
          <w:noProof/>
          <w:sz w:val="24"/>
          <w:szCs w:val="24"/>
          <w:lang w:val="en-GB"/>
        </w:rPr>
        <w:t>S</w:t>
      </w:r>
      <w:r w:rsidRPr="00640047">
        <w:rPr>
          <w:rFonts w:ascii="Times New Roman" w:hAnsi="Times New Roman" w:cs="Times New Roman"/>
          <w:noProof/>
          <w:sz w:val="24"/>
          <w:szCs w:val="24"/>
          <w:lang w:val="en-GB"/>
        </w:rPr>
        <w:t>easonal work presents specific challenges associated with heightened vulnerability and enforcement risks</w:t>
      </w:r>
      <w:r w:rsidR="00CE7CB4" w:rsidRPr="00640047">
        <w:rPr>
          <w:rFonts w:ascii="Times New Roman" w:hAnsi="Times New Roman" w:cs="Times New Roman"/>
          <w:noProof/>
          <w:sz w:val="24"/>
          <w:szCs w:val="24"/>
          <w:lang w:val="en-GB"/>
        </w:rPr>
        <w:t>. This is</w:t>
      </w:r>
      <w:r w:rsidRPr="00640047">
        <w:rPr>
          <w:rFonts w:ascii="Times New Roman" w:hAnsi="Times New Roman" w:cs="Times New Roman"/>
          <w:noProof/>
          <w:sz w:val="24"/>
          <w:szCs w:val="24"/>
          <w:lang w:val="en-GB"/>
        </w:rPr>
        <w:t xml:space="preserve"> due to the combination of temporary and physically demanding tasks, long working hours during peak periods, comparatively low pay, limited job security and remote workplaces. </w:t>
      </w:r>
      <w:r w:rsidR="00FE1D97" w:rsidRPr="00640047">
        <w:rPr>
          <w:rFonts w:ascii="Times New Roman" w:hAnsi="Times New Roman" w:cs="Times New Roman"/>
          <w:noProof/>
          <w:sz w:val="24"/>
          <w:szCs w:val="24"/>
          <w:lang w:val="en-GB"/>
        </w:rPr>
        <w:t>W</w:t>
      </w:r>
      <w:r w:rsidRPr="00640047">
        <w:rPr>
          <w:rFonts w:ascii="Times New Roman" w:hAnsi="Times New Roman" w:cs="Times New Roman"/>
          <w:noProof/>
          <w:sz w:val="24"/>
          <w:szCs w:val="24"/>
          <w:lang w:val="en-GB"/>
        </w:rPr>
        <w:t>orkers’ limited bargaining power, the difficulty of</w:t>
      </w:r>
      <w:r w:rsidR="00337E72" w:rsidRPr="00640047">
        <w:rPr>
          <w:rFonts w:ascii="Times New Roman" w:hAnsi="Times New Roman" w:cs="Times New Roman"/>
          <w:noProof/>
          <w:sz w:val="24"/>
          <w:szCs w:val="24"/>
          <w:lang w:val="en-GB"/>
        </w:rPr>
        <w:t xml:space="preserve"> conducting</w:t>
      </w:r>
      <w:r w:rsidRPr="00640047">
        <w:rPr>
          <w:rFonts w:ascii="Times New Roman" w:hAnsi="Times New Roman" w:cs="Times New Roman"/>
          <w:noProof/>
          <w:sz w:val="24"/>
          <w:szCs w:val="24"/>
          <w:lang w:val="en-GB"/>
        </w:rPr>
        <w:t xml:space="preserve"> inspections in remote rural areas</w:t>
      </w:r>
      <w:r w:rsidR="00031FC7" w:rsidRPr="00640047">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and fierce competition that may result in the cutting of labour costs </w:t>
      </w:r>
      <w:r w:rsidR="00FE1D97" w:rsidRPr="00640047">
        <w:rPr>
          <w:rFonts w:ascii="Times New Roman" w:hAnsi="Times New Roman" w:cs="Times New Roman"/>
          <w:noProof/>
          <w:sz w:val="24"/>
          <w:szCs w:val="24"/>
          <w:lang w:val="en-GB"/>
        </w:rPr>
        <w:t>further contribute to</w:t>
      </w:r>
      <w:r w:rsidR="00965648" w:rsidRPr="00640047">
        <w:rPr>
          <w:rFonts w:ascii="Times New Roman" w:hAnsi="Times New Roman" w:cs="Times New Roman"/>
          <w:noProof/>
          <w:sz w:val="24"/>
          <w:szCs w:val="24"/>
          <w:lang w:val="en-GB"/>
        </w:rPr>
        <w:t xml:space="preserve"> seasonal</w:t>
      </w:r>
      <w:r w:rsidR="00FE1D97" w:rsidRPr="00640047">
        <w:rPr>
          <w:rFonts w:ascii="Times New Roman" w:hAnsi="Times New Roman" w:cs="Times New Roman"/>
          <w:noProof/>
          <w:sz w:val="24"/>
          <w:szCs w:val="24"/>
          <w:lang w:val="en-GB"/>
        </w:rPr>
        <w:t xml:space="preserve"> </w:t>
      </w:r>
      <w:r w:rsidR="00965648" w:rsidRPr="00640047">
        <w:rPr>
          <w:rFonts w:ascii="Times New Roman" w:hAnsi="Times New Roman" w:cs="Times New Roman"/>
          <w:noProof/>
          <w:sz w:val="24"/>
          <w:szCs w:val="24"/>
          <w:lang w:val="en-GB"/>
        </w:rPr>
        <w:t xml:space="preserve">workers’ </w:t>
      </w:r>
      <w:r w:rsidR="00E56C35" w:rsidRPr="00640047">
        <w:rPr>
          <w:rFonts w:ascii="Times New Roman" w:hAnsi="Times New Roman" w:cs="Times New Roman"/>
          <w:noProof/>
          <w:sz w:val="24"/>
          <w:szCs w:val="24"/>
          <w:lang w:val="en-GB"/>
        </w:rPr>
        <w:t>vulnerability and</w:t>
      </w:r>
      <w:r w:rsidRPr="00640047">
        <w:rPr>
          <w:rFonts w:ascii="Times New Roman" w:hAnsi="Times New Roman" w:cs="Times New Roman"/>
          <w:noProof/>
          <w:sz w:val="24"/>
          <w:szCs w:val="24"/>
          <w:lang w:val="en-GB"/>
        </w:rPr>
        <w:t xml:space="preserve"> </w:t>
      </w:r>
      <w:r w:rsidR="00B6611D" w:rsidRPr="00640047">
        <w:rPr>
          <w:rFonts w:ascii="Times New Roman" w:hAnsi="Times New Roman" w:cs="Times New Roman"/>
          <w:noProof/>
          <w:sz w:val="24"/>
          <w:szCs w:val="24"/>
          <w:lang w:val="en-GB"/>
        </w:rPr>
        <w:t xml:space="preserve">risks of </w:t>
      </w:r>
      <w:r w:rsidRPr="00640047">
        <w:rPr>
          <w:rFonts w:ascii="Times New Roman" w:hAnsi="Times New Roman" w:cs="Times New Roman"/>
          <w:noProof/>
          <w:sz w:val="24"/>
          <w:szCs w:val="24"/>
          <w:lang w:val="en-GB"/>
        </w:rPr>
        <w:t xml:space="preserve">exploitation. </w:t>
      </w:r>
      <w:r w:rsidR="00AB2068" w:rsidRPr="00640047">
        <w:rPr>
          <w:rFonts w:ascii="Times New Roman" w:hAnsi="Times New Roman" w:cs="Times New Roman"/>
          <w:noProof/>
          <w:sz w:val="24"/>
          <w:szCs w:val="24"/>
          <w:lang w:val="en-GB"/>
        </w:rPr>
        <w:t>Third-country nationals</w:t>
      </w:r>
      <w:r w:rsidRPr="00640047">
        <w:rPr>
          <w:rFonts w:ascii="Times New Roman" w:hAnsi="Times New Roman" w:cs="Times New Roman"/>
          <w:noProof/>
          <w:sz w:val="24"/>
          <w:szCs w:val="24"/>
          <w:lang w:val="en-GB"/>
        </w:rPr>
        <w:t xml:space="preserve"> employed in seasonal sectors are at greater risk than EU </w:t>
      </w:r>
      <w:r w:rsidR="00AB2068" w:rsidRPr="00640047">
        <w:rPr>
          <w:rFonts w:ascii="Times New Roman" w:hAnsi="Times New Roman" w:cs="Times New Roman"/>
          <w:noProof/>
          <w:sz w:val="24"/>
          <w:szCs w:val="24"/>
          <w:lang w:val="en-GB"/>
        </w:rPr>
        <w:t>nationals</w:t>
      </w:r>
      <w:r w:rsidR="00D979EA" w:rsidRPr="00640047">
        <w:rPr>
          <w:rFonts w:ascii="Times New Roman" w:hAnsi="Times New Roman" w:cs="Times New Roman"/>
          <w:noProof/>
          <w:sz w:val="24"/>
          <w:szCs w:val="24"/>
          <w:lang w:val="en-GB"/>
        </w:rPr>
        <w:t xml:space="preserve">, facing </w:t>
      </w:r>
      <w:r w:rsidR="00154F02" w:rsidRPr="00640047">
        <w:rPr>
          <w:rFonts w:ascii="Times New Roman" w:hAnsi="Times New Roman" w:cs="Times New Roman"/>
          <w:noProof/>
          <w:sz w:val="24"/>
          <w:szCs w:val="24"/>
          <w:lang w:val="en-GB"/>
        </w:rPr>
        <w:t xml:space="preserve">challenges in </w:t>
      </w:r>
      <w:r w:rsidR="00D36F71" w:rsidRPr="00640047">
        <w:rPr>
          <w:rFonts w:ascii="Times New Roman" w:hAnsi="Times New Roman" w:cs="Times New Roman"/>
          <w:noProof/>
          <w:sz w:val="24"/>
          <w:szCs w:val="24"/>
          <w:lang w:val="en-GB"/>
        </w:rPr>
        <w:t>access to decent housing, health care, as well as certain parts of social security</w:t>
      </w:r>
      <w:r w:rsidR="00154F02" w:rsidRPr="00640047">
        <w:rPr>
          <w:rFonts w:ascii="Times New Roman" w:hAnsi="Times New Roman" w:cs="Times New Roman"/>
          <w:noProof/>
          <w:sz w:val="24"/>
          <w:szCs w:val="24"/>
          <w:lang w:val="en-GB"/>
        </w:rPr>
        <w:t>.</w:t>
      </w:r>
      <w:r w:rsidR="00D36F71" w:rsidRPr="00640047">
        <w:rPr>
          <w:rFonts w:ascii="Times New Roman" w:hAnsi="Times New Roman" w:cs="Times New Roman"/>
          <w:noProof/>
          <w:sz w:val="24"/>
          <w:szCs w:val="24"/>
          <w:lang w:val="en-GB"/>
        </w:rPr>
        <w:t xml:space="preserve"> </w:t>
      </w:r>
      <w:r w:rsidR="00154F02" w:rsidRPr="00640047">
        <w:rPr>
          <w:rFonts w:ascii="Times New Roman" w:hAnsi="Times New Roman" w:cs="Times New Roman"/>
          <w:noProof/>
          <w:sz w:val="24"/>
          <w:szCs w:val="24"/>
          <w:lang w:val="en-GB"/>
        </w:rPr>
        <w:t>I</w:t>
      </w:r>
      <w:r w:rsidR="00D36F71" w:rsidRPr="00640047">
        <w:rPr>
          <w:rFonts w:ascii="Times New Roman" w:hAnsi="Times New Roman" w:cs="Times New Roman"/>
          <w:noProof/>
          <w:sz w:val="24"/>
          <w:szCs w:val="24"/>
          <w:lang w:val="en-GB"/>
        </w:rPr>
        <w:t xml:space="preserve">ntersectional discrimination can </w:t>
      </w:r>
      <w:r w:rsidR="008F1C85" w:rsidRPr="00640047">
        <w:rPr>
          <w:rFonts w:ascii="Times New Roman" w:hAnsi="Times New Roman" w:cs="Times New Roman"/>
          <w:noProof/>
          <w:sz w:val="24"/>
          <w:szCs w:val="24"/>
          <w:lang w:val="en-GB"/>
        </w:rPr>
        <w:t>increase th</w:t>
      </w:r>
      <w:r w:rsidR="00D979EA" w:rsidRPr="00640047">
        <w:rPr>
          <w:rFonts w:ascii="Times New Roman" w:hAnsi="Times New Roman" w:cs="Times New Roman"/>
          <w:noProof/>
          <w:sz w:val="24"/>
          <w:szCs w:val="24"/>
          <w:lang w:val="en-GB"/>
        </w:rPr>
        <w:t>ose</w:t>
      </w:r>
      <w:r w:rsidR="008F1C85" w:rsidRPr="00640047">
        <w:rPr>
          <w:rFonts w:ascii="Times New Roman" w:hAnsi="Times New Roman" w:cs="Times New Roman"/>
          <w:noProof/>
          <w:sz w:val="24"/>
          <w:szCs w:val="24"/>
          <w:lang w:val="en-GB"/>
        </w:rPr>
        <w:t xml:space="preserve"> risks</w:t>
      </w:r>
      <w:r w:rsidR="00D36F71" w:rsidRPr="00640047">
        <w:rPr>
          <w:rFonts w:ascii="Times New Roman" w:hAnsi="Times New Roman" w:cs="Times New Roman"/>
          <w:noProof/>
          <w:sz w:val="24"/>
          <w:szCs w:val="24"/>
          <w:lang w:val="en-GB"/>
        </w:rPr>
        <w:t xml:space="preserve">. </w:t>
      </w:r>
      <w:r w:rsidR="00653A5F" w:rsidRPr="00640047">
        <w:rPr>
          <w:rFonts w:ascii="Times New Roman" w:hAnsi="Times New Roman" w:cs="Times New Roman"/>
          <w:noProof/>
          <w:sz w:val="24"/>
          <w:szCs w:val="24"/>
          <w:lang w:val="en-GB"/>
        </w:rPr>
        <w:t>S</w:t>
      </w:r>
      <w:r w:rsidRPr="00640047">
        <w:rPr>
          <w:rFonts w:ascii="Times New Roman" w:hAnsi="Times New Roman" w:cs="Times New Roman"/>
          <w:noProof/>
          <w:sz w:val="24"/>
          <w:szCs w:val="24"/>
          <w:lang w:val="en-GB"/>
        </w:rPr>
        <w:t>hort contracts, dependence on a single employer, limited access to information and support, and fear of adverse consequences if they report abuses</w:t>
      </w:r>
      <w:bookmarkStart w:id="6" w:name="_Ref223017783"/>
      <w:r w:rsidRPr="00640047">
        <w:rPr>
          <w:rStyle w:val="FootnoteReference"/>
          <w:rFonts w:ascii="Times New Roman" w:hAnsi="Times New Roman" w:cs="Times New Roman"/>
          <w:noProof/>
          <w:sz w:val="24"/>
          <w:szCs w:val="24"/>
          <w:lang w:val="en-GB"/>
        </w:rPr>
        <w:footnoteReference w:id="7"/>
      </w:r>
      <w:bookmarkEnd w:id="6"/>
      <w:r w:rsidR="00653A5F" w:rsidRPr="00640047">
        <w:rPr>
          <w:rFonts w:ascii="Times New Roman" w:hAnsi="Times New Roman" w:cs="Times New Roman"/>
          <w:noProof/>
          <w:sz w:val="24"/>
          <w:szCs w:val="24"/>
          <w:lang w:val="en-GB"/>
        </w:rPr>
        <w:t xml:space="preserve"> affect their ability to assert their rights and seek redress</w:t>
      </w:r>
      <w:r w:rsidRPr="00640047">
        <w:rPr>
          <w:rFonts w:ascii="Times New Roman" w:hAnsi="Times New Roman" w:cs="Times New Roman"/>
          <w:noProof/>
          <w:sz w:val="24"/>
          <w:szCs w:val="24"/>
          <w:lang w:val="en-GB"/>
        </w:rPr>
        <w:t>. Seasonal workers are also more at risk of falling victim to trafficking in human beings for labour exploitation</w:t>
      </w:r>
      <w:r w:rsidR="00F27745" w:rsidRPr="00640047">
        <w:rPr>
          <w:rFonts w:ascii="Times New Roman" w:hAnsi="Times New Roman" w:cs="Times New Roman"/>
          <w:noProof/>
          <w:sz w:val="24"/>
          <w:szCs w:val="24"/>
          <w:lang w:val="en-GB"/>
        </w:rPr>
        <w:t xml:space="preserve">, which </w:t>
      </w:r>
      <w:r w:rsidRPr="00640047">
        <w:rPr>
          <w:rFonts w:ascii="Times New Roman" w:hAnsi="Times New Roman" w:cs="Times New Roman"/>
          <w:noProof/>
          <w:sz w:val="24"/>
          <w:szCs w:val="24"/>
          <w:lang w:val="en-GB"/>
        </w:rPr>
        <w:t>has increased significantly in recent years</w:t>
      </w:r>
      <w:r w:rsidRPr="00640047">
        <w:rPr>
          <w:rStyle w:val="FootnoteReference"/>
          <w:rFonts w:ascii="Times New Roman" w:hAnsi="Times New Roman" w:cs="Times New Roman"/>
          <w:noProof/>
          <w:sz w:val="24"/>
          <w:szCs w:val="24"/>
          <w:lang w:val="en-GB"/>
        </w:rPr>
        <w:footnoteReference w:id="8"/>
      </w:r>
      <w:r w:rsidRPr="00640047">
        <w:rPr>
          <w:rFonts w:ascii="Times New Roman" w:hAnsi="Times New Roman" w:cs="Times New Roman"/>
          <w:noProof/>
          <w:sz w:val="24"/>
          <w:szCs w:val="24"/>
          <w:lang w:val="en-GB"/>
        </w:rPr>
        <w:t>, particularly in high-risk sectors such as agriculture, food processing, hospitality, transport and logistics and construction.</w:t>
      </w:r>
    </w:p>
    <w:p w14:paraId="0E14F7AF" w14:textId="62422996"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Before the adoption of the Seasonal Workers Directive</w:t>
      </w:r>
      <w:r w:rsidRPr="00640047">
        <w:rPr>
          <w:rStyle w:val="FootnoteReference"/>
          <w:rFonts w:ascii="Times New Roman" w:hAnsi="Times New Roman" w:cs="Times New Roman"/>
          <w:noProof/>
          <w:sz w:val="24"/>
          <w:szCs w:val="24"/>
          <w:lang w:val="en-GB"/>
        </w:rPr>
        <w:footnoteReference w:id="9"/>
      </w:r>
      <w:r w:rsidRPr="00640047">
        <w:rPr>
          <w:rFonts w:ascii="Times New Roman" w:hAnsi="Times New Roman" w:cs="Times New Roman"/>
          <w:noProof/>
          <w:sz w:val="24"/>
          <w:szCs w:val="24"/>
          <w:lang w:val="en-GB"/>
        </w:rPr>
        <w:t xml:space="preserve"> (the Directive), national rules and protection standards were fragmented, with definitions, admission criteria, length of stay, procedures and rights varying widely from one country to another. In several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seasonal sectors were associated with illegal employment, overstaying and poor working and living conditions. </w:t>
      </w:r>
    </w:p>
    <w:p w14:paraId="556E9EC2" w14:textId="16298AB5"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Adopted in 2014 and to be transposed by 30 September 2016, the Directive seeks to reconcile two objectives: more accessible and transparent </w:t>
      </w:r>
      <w:r w:rsidR="001D5D22" w:rsidRPr="00640047">
        <w:rPr>
          <w:rFonts w:ascii="Times New Roman" w:hAnsi="Times New Roman" w:cs="Times New Roman"/>
          <w:noProof/>
          <w:sz w:val="24"/>
          <w:szCs w:val="24"/>
          <w:lang w:val="en-GB"/>
        </w:rPr>
        <w:t xml:space="preserve">labour mobility </w:t>
      </w:r>
      <w:r w:rsidRPr="00640047">
        <w:rPr>
          <w:rFonts w:ascii="Times New Roman" w:hAnsi="Times New Roman" w:cs="Times New Roman"/>
          <w:noProof/>
          <w:sz w:val="24"/>
          <w:szCs w:val="24"/>
          <w:lang w:val="en-GB"/>
        </w:rPr>
        <w:t>pathways to help employers meet seasonal labour demand, thereby incentivising a reduction in illegal migration and illegal employment; and</w:t>
      </w:r>
      <w:r w:rsidR="002F12F9" w:rsidRPr="00640047">
        <w:rPr>
          <w:rFonts w:ascii="Times New Roman" w:hAnsi="Times New Roman" w:cs="Times New Roman"/>
          <w:noProof/>
          <w:sz w:val="24"/>
          <w:szCs w:val="24"/>
          <w:lang w:val="en-GB"/>
        </w:rPr>
        <w:t xml:space="preserve"> promoting</w:t>
      </w:r>
      <w:r w:rsidRPr="00640047">
        <w:rPr>
          <w:rFonts w:ascii="Times New Roman" w:hAnsi="Times New Roman" w:cs="Times New Roman"/>
          <w:noProof/>
          <w:sz w:val="24"/>
          <w:szCs w:val="24"/>
          <w:lang w:val="en-GB"/>
        </w:rPr>
        <w:t xml:space="preserve"> decent working and living conditions for seasonal workers</w:t>
      </w:r>
      <w:r w:rsidR="00EC6D8B"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strong safeguards against exploitation</w:t>
      </w:r>
      <w:r w:rsidR="00EC6D8B" w:rsidRPr="00640047">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w:t>
      </w:r>
      <w:r w:rsidR="00AD46EA" w:rsidRPr="00640047">
        <w:rPr>
          <w:rFonts w:ascii="Times New Roman" w:hAnsi="Times New Roman" w:cs="Times New Roman"/>
          <w:noProof/>
          <w:sz w:val="24"/>
          <w:szCs w:val="24"/>
          <w:lang w:val="en-GB"/>
        </w:rPr>
        <w:t>as well as</w:t>
      </w:r>
      <w:r w:rsidRPr="00640047">
        <w:rPr>
          <w:rFonts w:ascii="Times New Roman" w:hAnsi="Times New Roman" w:cs="Times New Roman"/>
          <w:noProof/>
          <w:sz w:val="24"/>
          <w:szCs w:val="24"/>
          <w:lang w:val="en-GB"/>
        </w:rPr>
        <w:t xml:space="preserve"> </w:t>
      </w:r>
      <w:r w:rsidRPr="009D01F8">
        <w:rPr>
          <w:rFonts w:ascii="Times New Roman" w:hAnsi="Times New Roman" w:cs="Times New Roman"/>
          <w:noProof/>
          <w:sz w:val="24"/>
          <w:szCs w:val="24"/>
          <w:lang w:val="en-GB"/>
        </w:rPr>
        <w:t xml:space="preserve">measures to </w:t>
      </w:r>
      <w:r w:rsidR="00526FE0" w:rsidRPr="00640047">
        <w:rPr>
          <w:rFonts w:ascii="Times New Roman" w:hAnsi="Times New Roman" w:cs="Times New Roman"/>
          <w:noProof/>
          <w:sz w:val="24"/>
          <w:szCs w:val="24"/>
          <w:lang w:val="en-GB"/>
        </w:rPr>
        <w:t>ensure</w:t>
      </w:r>
      <w:r w:rsidR="00207BA2" w:rsidRPr="009D01F8">
        <w:rPr>
          <w:rFonts w:ascii="Times New Roman" w:hAnsi="Times New Roman" w:cs="Times New Roman"/>
          <w:noProof/>
          <w:sz w:val="24"/>
          <w:szCs w:val="24"/>
          <w:lang w:val="en-GB"/>
        </w:rPr>
        <w:t xml:space="preserve"> enforcement, </w:t>
      </w:r>
      <w:r w:rsidR="00AD46EA" w:rsidRPr="009D01F8">
        <w:rPr>
          <w:rFonts w:ascii="Times New Roman" w:hAnsi="Times New Roman" w:cs="Times New Roman"/>
          <w:noProof/>
          <w:sz w:val="24"/>
          <w:szCs w:val="24"/>
          <w:lang w:val="en-GB"/>
        </w:rPr>
        <w:t>such as monitoring, assessment and inspections</w:t>
      </w:r>
      <w:r w:rsidRPr="00640047">
        <w:rPr>
          <w:rFonts w:ascii="Times New Roman" w:hAnsi="Times New Roman" w:cs="Times New Roman"/>
          <w:noProof/>
          <w:sz w:val="24"/>
          <w:szCs w:val="24"/>
          <w:lang w:val="en-GB"/>
        </w:rPr>
        <w:t>.</w:t>
      </w:r>
    </w:p>
    <w:p w14:paraId="0FCD5C6F" w14:textId="21D64EF7"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accordance with Article 27 of the Directive, this report focuses on the transposition and application of the Directive in </w:t>
      </w:r>
      <w:r w:rsidR="004C14D0" w:rsidRPr="00640047">
        <w:rPr>
          <w:rFonts w:ascii="Times New Roman" w:hAnsi="Times New Roman" w:cs="Times New Roman"/>
          <w:noProof/>
          <w:sz w:val="24"/>
          <w:szCs w:val="24"/>
          <w:lang w:val="en-GB"/>
        </w:rPr>
        <w:t>the Member States</w:t>
      </w:r>
      <w:r w:rsidRPr="00640047">
        <w:rPr>
          <w:rFonts w:ascii="Times New Roman" w:hAnsi="Times New Roman" w:cs="Times New Roman"/>
          <w:noProof/>
          <w:sz w:val="24"/>
          <w:szCs w:val="24"/>
          <w:lang w:val="en-GB"/>
        </w:rPr>
        <w:t xml:space="preserve">, covering mainly </w:t>
      </w:r>
      <w:r w:rsidR="00C03436" w:rsidRPr="00640047">
        <w:rPr>
          <w:rFonts w:ascii="Times New Roman" w:hAnsi="Times New Roman" w:cs="Times New Roman"/>
          <w:noProof/>
          <w:sz w:val="24"/>
          <w:szCs w:val="24"/>
          <w:lang w:val="en-GB"/>
        </w:rPr>
        <w:t xml:space="preserve">the period between </w:t>
      </w:r>
      <w:r w:rsidRPr="00640047">
        <w:rPr>
          <w:rFonts w:ascii="Times New Roman" w:hAnsi="Times New Roman" w:cs="Times New Roman"/>
          <w:noProof/>
          <w:sz w:val="24"/>
          <w:szCs w:val="24"/>
          <w:lang w:val="en-GB"/>
        </w:rPr>
        <w:t xml:space="preserve">2019 </w:t>
      </w:r>
      <w:r w:rsidR="00C03436" w:rsidRPr="00640047">
        <w:rPr>
          <w:rFonts w:ascii="Times New Roman" w:hAnsi="Times New Roman" w:cs="Times New Roman"/>
          <w:noProof/>
          <w:sz w:val="24"/>
          <w:szCs w:val="24"/>
          <w:lang w:val="en-GB"/>
        </w:rPr>
        <w:t>and</w:t>
      </w:r>
      <w:r w:rsidRPr="00640047">
        <w:rPr>
          <w:rFonts w:ascii="Times New Roman" w:hAnsi="Times New Roman" w:cs="Times New Roman"/>
          <w:noProof/>
          <w:sz w:val="24"/>
          <w:szCs w:val="24"/>
          <w:lang w:val="en-GB"/>
        </w:rPr>
        <w:t xml:space="preserve"> 2024</w:t>
      </w:r>
      <w:r w:rsidRPr="00640047">
        <w:rPr>
          <w:rStyle w:val="FootnoteReference"/>
          <w:rFonts w:ascii="Times New Roman" w:hAnsi="Times New Roman" w:cs="Times New Roman"/>
          <w:noProof/>
          <w:sz w:val="24"/>
          <w:szCs w:val="24"/>
          <w:lang w:val="en-GB"/>
        </w:rPr>
        <w:footnoteReference w:id="10"/>
      </w:r>
      <w:r w:rsidRPr="00640047">
        <w:rPr>
          <w:rFonts w:ascii="Times New Roman" w:hAnsi="Times New Roman" w:cs="Times New Roman"/>
          <w:noProof/>
          <w:sz w:val="24"/>
          <w:szCs w:val="24"/>
          <w:lang w:val="en-GB"/>
        </w:rPr>
        <w:t xml:space="preserve">. It also outlines the measures taken to support the correct transposition and application of the Directive, identifies remaining challenges, and </w:t>
      </w:r>
      <w:r w:rsidR="00A4509C" w:rsidRPr="00640047">
        <w:rPr>
          <w:rFonts w:ascii="Times New Roman" w:hAnsi="Times New Roman" w:cs="Times New Roman"/>
          <w:noProof/>
          <w:sz w:val="24"/>
          <w:szCs w:val="24"/>
          <w:lang w:val="en-GB"/>
        </w:rPr>
        <w:t>presents the</w:t>
      </w:r>
      <w:r w:rsidRPr="00640047">
        <w:rPr>
          <w:rFonts w:ascii="Times New Roman" w:hAnsi="Times New Roman" w:cs="Times New Roman"/>
          <w:noProof/>
          <w:sz w:val="24"/>
          <w:szCs w:val="24"/>
          <w:lang w:val="en-GB"/>
        </w:rPr>
        <w:t xml:space="preserve"> steps </w:t>
      </w:r>
      <w:r w:rsidR="00A4509C" w:rsidRPr="00640047">
        <w:rPr>
          <w:rFonts w:ascii="Times New Roman" w:hAnsi="Times New Roman" w:cs="Times New Roman"/>
          <w:noProof/>
          <w:sz w:val="24"/>
          <w:szCs w:val="24"/>
          <w:lang w:val="en-GB"/>
        </w:rPr>
        <w:t xml:space="preserve">that </w:t>
      </w:r>
      <w:r w:rsidRPr="00640047">
        <w:rPr>
          <w:rFonts w:ascii="Times New Roman" w:hAnsi="Times New Roman" w:cs="Times New Roman"/>
          <w:noProof/>
          <w:sz w:val="24"/>
          <w:szCs w:val="24"/>
          <w:lang w:val="en-GB"/>
        </w:rPr>
        <w:t xml:space="preserve">the Commission intends to take to address them.  </w:t>
      </w:r>
    </w:p>
    <w:p w14:paraId="545FCDA3" w14:textId="53F96B04"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The report is based on information received through the monitoring and support measures described in </w:t>
      </w:r>
      <w:r w:rsidR="00205036" w:rsidRPr="00640047">
        <w:rPr>
          <w:rFonts w:ascii="Times New Roman" w:hAnsi="Times New Roman" w:cs="Times New Roman"/>
          <w:noProof/>
          <w:sz w:val="24"/>
          <w:szCs w:val="24"/>
          <w:lang w:val="en-GB"/>
        </w:rPr>
        <w:t>s</w:t>
      </w:r>
      <w:r w:rsidRPr="00640047">
        <w:rPr>
          <w:rFonts w:ascii="Times New Roman" w:hAnsi="Times New Roman" w:cs="Times New Roman"/>
          <w:noProof/>
          <w:sz w:val="24"/>
          <w:szCs w:val="24"/>
          <w:lang w:val="en-GB"/>
        </w:rPr>
        <w:t xml:space="preserve">ections II and III, on statistical data reported by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to Eurostat, and on contributions from a broad range of stakeholders, including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authorities, trade unions, employers’ and business associations, non-governmental organisations, migrant representatives, academia and publicly available sources. </w:t>
      </w:r>
    </w:p>
    <w:p w14:paraId="7A60D2B5" w14:textId="48BB04CC" w:rsidR="006976D7" w:rsidRPr="00640047" w:rsidRDefault="006976D7" w:rsidP="006976D7">
      <w:pPr>
        <w:pStyle w:val="ListParagraph"/>
        <w:autoSpaceDE w:val="0"/>
        <w:autoSpaceDN w:val="0"/>
        <w:adjustRightInd w:val="0"/>
        <w:spacing w:before="160" w:line="276" w:lineRule="auto"/>
        <w:ind w:left="0"/>
        <w:contextualSpacing w:val="0"/>
        <w:jc w:val="both"/>
        <w:rPr>
          <w:rFonts w:ascii="Times New Roman" w:eastAsia="Aptos" w:hAnsi="Times New Roman" w:cs="Times New Roman"/>
          <w:noProof/>
          <w:sz w:val="24"/>
          <w:szCs w:val="24"/>
          <w:lang w:val="en-GB"/>
        </w:rPr>
      </w:pPr>
      <w:r w:rsidRPr="00640047">
        <w:rPr>
          <w:rFonts w:ascii="Times New Roman" w:eastAsia="Aptos" w:hAnsi="Times New Roman" w:cs="Times New Roman"/>
          <w:noProof/>
          <w:sz w:val="24"/>
          <w:szCs w:val="24"/>
          <w:lang w:val="en-GB"/>
        </w:rPr>
        <w:t xml:space="preserve">As </w:t>
      </w:r>
      <w:r w:rsidR="00933E61" w:rsidRPr="00640047">
        <w:rPr>
          <w:rFonts w:ascii="Times New Roman" w:eastAsia="Aptos" w:hAnsi="Times New Roman" w:cs="Times New Roman"/>
          <w:noProof/>
          <w:sz w:val="24"/>
          <w:szCs w:val="24"/>
          <w:lang w:val="en-GB"/>
        </w:rPr>
        <w:t xml:space="preserve">outlined in </w:t>
      </w:r>
      <w:r w:rsidRPr="00640047">
        <w:rPr>
          <w:rFonts w:ascii="Times New Roman" w:eastAsia="Aptos" w:hAnsi="Times New Roman" w:cs="Times New Roman"/>
          <w:noProof/>
          <w:sz w:val="24"/>
          <w:szCs w:val="24"/>
          <w:lang w:val="en-GB"/>
        </w:rPr>
        <w:t>the European Asylum and Migration Management Strategy</w:t>
      </w:r>
      <w:r w:rsidRPr="00640047">
        <w:rPr>
          <w:noProof/>
          <w:lang w:val="en-GB"/>
        </w:rPr>
        <w:t xml:space="preserve"> </w:t>
      </w:r>
      <w:r w:rsidRPr="00640047">
        <w:rPr>
          <w:rFonts w:ascii="Times New Roman" w:eastAsia="Aptos" w:hAnsi="Times New Roman" w:cs="Times New Roman"/>
          <w:noProof/>
          <w:sz w:val="24"/>
          <w:szCs w:val="24"/>
          <w:lang w:val="en-GB"/>
        </w:rPr>
        <w:t>of 29 January 2026</w:t>
      </w:r>
      <w:r w:rsidRPr="00640047">
        <w:rPr>
          <w:rStyle w:val="FootnoteReference"/>
          <w:rFonts w:ascii="Times New Roman" w:eastAsia="Aptos" w:hAnsi="Times New Roman" w:cs="Times New Roman"/>
          <w:noProof/>
          <w:sz w:val="24"/>
          <w:szCs w:val="24"/>
          <w:lang w:val="en-GB"/>
        </w:rPr>
        <w:footnoteReference w:id="11"/>
      </w:r>
      <w:r w:rsidRPr="00640047">
        <w:rPr>
          <w:rFonts w:ascii="Times New Roman" w:eastAsia="Aptos" w:hAnsi="Times New Roman" w:cs="Times New Roman"/>
          <w:noProof/>
          <w:sz w:val="24"/>
          <w:szCs w:val="24"/>
          <w:lang w:val="en-GB"/>
        </w:rPr>
        <w:t xml:space="preserve">, it is </w:t>
      </w:r>
      <w:r w:rsidR="003B588A" w:rsidRPr="00640047">
        <w:rPr>
          <w:rFonts w:ascii="Times New Roman" w:eastAsia="Aptos" w:hAnsi="Times New Roman" w:cs="Times New Roman"/>
          <w:noProof/>
          <w:sz w:val="24"/>
          <w:szCs w:val="24"/>
          <w:lang w:val="en-GB"/>
        </w:rPr>
        <w:t xml:space="preserve">key to </w:t>
      </w:r>
      <w:r w:rsidRPr="00640047">
        <w:rPr>
          <w:rFonts w:ascii="Times New Roman" w:eastAsia="Aptos" w:hAnsi="Times New Roman" w:cs="Times New Roman"/>
          <w:noProof/>
          <w:sz w:val="24"/>
          <w:szCs w:val="24"/>
          <w:lang w:val="en-GB"/>
        </w:rPr>
        <w:t xml:space="preserve">attract workforce from non-EU countries that </w:t>
      </w:r>
      <w:r w:rsidR="003B588A" w:rsidRPr="00640047">
        <w:rPr>
          <w:rFonts w:ascii="Times New Roman" w:eastAsia="Aptos" w:hAnsi="Times New Roman" w:cs="Times New Roman"/>
          <w:noProof/>
          <w:sz w:val="24"/>
          <w:szCs w:val="24"/>
          <w:lang w:val="en-GB"/>
        </w:rPr>
        <w:t xml:space="preserve">the European economy </w:t>
      </w:r>
      <w:r w:rsidRPr="00640047">
        <w:rPr>
          <w:rFonts w:ascii="Times New Roman" w:eastAsia="Aptos" w:hAnsi="Times New Roman" w:cs="Times New Roman"/>
          <w:noProof/>
          <w:sz w:val="24"/>
          <w:szCs w:val="24"/>
          <w:lang w:val="en-GB"/>
        </w:rPr>
        <w:t xml:space="preserve">needs, including seasonal workers, while ensuring protection against exploitation and preventing illegal employment. </w:t>
      </w:r>
      <w:r w:rsidRPr="00640047">
        <w:rPr>
          <w:rFonts w:ascii="Times New Roman" w:hAnsi="Times New Roman" w:cs="Times New Roman"/>
          <w:noProof/>
          <w:sz w:val="24"/>
          <w:szCs w:val="24"/>
          <w:lang w:val="en-GB"/>
        </w:rPr>
        <w:t>Promoting and ensuring effective access to l</w:t>
      </w:r>
      <w:r w:rsidR="001D5D22" w:rsidRPr="00640047">
        <w:rPr>
          <w:rFonts w:ascii="Times New Roman" w:hAnsi="Times New Roman" w:cs="Times New Roman"/>
          <w:noProof/>
          <w:sz w:val="24"/>
          <w:szCs w:val="24"/>
          <w:lang w:val="en-GB"/>
        </w:rPr>
        <w:t>abour mobility</w:t>
      </w:r>
      <w:r w:rsidRPr="00640047">
        <w:rPr>
          <w:rFonts w:ascii="Times New Roman" w:hAnsi="Times New Roman" w:cs="Times New Roman"/>
          <w:noProof/>
          <w:sz w:val="24"/>
          <w:szCs w:val="24"/>
          <w:lang w:val="en-GB"/>
        </w:rPr>
        <w:t xml:space="preserve"> pathways for the purpose of seasonal work, as viable alternatives to illegal migration, is also part of the Global Alliance to counter migrant smuggling</w:t>
      </w:r>
      <w:r w:rsidRPr="00640047">
        <w:rPr>
          <w:rStyle w:val="FootnoteReference"/>
          <w:rFonts w:ascii="Times New Roman" w:hAnsi="Times New Roman" w:cs="Times New Roman"/>
          <w:noProof/>
          <w:sz w:val="24"/>
          <w:szCs w:val="24"/>
          <w:lang w:val="en-GB"/>
        </w:rPr>
        <w:footnoteReference w:id="12"/>
      </w:r>
      <w:r w:rsidRPr="00640047">
        <w:rPr>
          <w:rFonts w:ascii="Times New Roman" w:hAnsi="Times New Roman" w:cs="Times New Roman"/>
          <w:noProof/>
          <w:sz w:val="24"/>
          <w:szCs w:val="24"/>
          <w:lang w:val="en-GB"/>
        </w:rPr>
        <w:t>.</w:t>
      </w:r>
    </w:p>
    <w:p w14:paraId="6F806A8E" w14:textId="6D3B04D0"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This report, together with the report on the implementation of the Employers Sanctions Directive</w:t>
      </w:r>
      <w:r w:rsidRPr="00640047">
        <w:rPr>
          <w:rStyle w:val="FootnoteReference"/>
          <w:rFonts w:ascii="Times New Roman" w:hAnsi="Times New Roman" w:cs="Times New Roman"/>
          <w:noProof/>
          <w:sz w:val="24"/>
          <w:szCs w:val="24"/>
          <w:lang w:val="en-GB"/>
        </w:rPr>
        <w:footnoteReference w:id="13"/>
      </w:r>
      <w:r w:rsidRPr="00640047">
        <w:rPr>
          <w:rFonts w:ascii="Times New Roman" w:hAnsi="Times New Roman" w:cs="Times New Roman"/>
          <w:noProof/>
          <w:sz w:val="24"/>
          <w:szCs w:val="24"/>
          <w:lang w:val="en-GB"/>
        </w:rPr>
        <w:t xml:space="preserve">, aims to </w:t>
      </w:r>
      <w:r w:rsidR="0058172E" w:rsidRPr="00640047">
        <w:rPr>
          <w:rFonts w:ascii="Times New Roman" w:hAnsi="Times New Roman" w:cs="Times New Roman"/>
          <w:noProof/>
          <w:sz w:val="24"/>
          <w:szCs w:val="24"/>
          <w:lang w:val="en-GB"/>
        </w:rPr>
        <w:t>promote a</w:t>
      </w:r>
      <w:r w:rsidR="008E1B68" w:rsidRPr="00640047">
        <w:rPr>
          <w:rFonts w:ascii="Times New Roman" w:hAnsi="Times New Roman" w:cs="Times New Roman"/>
          <w:noProof/>
          <w:sz w:val="24"/>
          <w:szCs w:val="24"/>
          <w:lang w:val="en-GB"/>
        </w:rPr>
        <w:t xml:space="preserve"> better enforcement of EU rules</w:t>
      </w:r>
      <w:r w:rsidR="0058172E"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 xml:space="preserve">to </w:t>
      </w:r>
      <w:r w:rsidR="0058172E" w:rsidRPr="00640047">
        <w:rPr>
          <w:rFonts w:ascii="Times New Roman" w:hAnsi="Times New Roman" w:cs="Times New Roman"/>
          <w:noProof/>
          <w:sz w:val="24"/>
          <w:szCs w:val="24"/>
          <w:lang w:val="en-GB"/>
        </w:rPr>
        <w:t xml:space="preserve">counter </w:t>
      </w:r>
      <w:r w:rsidRPr="00640047">
        <w:rPr>
          <w:rFonts w:ascii="Times New Roman" w:hAnsi="Times New Roman" w:cs="Times New Roman"/>
          <w:noProof/>
          <w:sz w:val="24"/>
          <w:szCs w:val="24"/>
          <w:lang w:val="en-GB"/>
        </w:rPr>
        <w:t>illegal employment and exploitation of migrant workers. It will also feed into the upcoming strategy on combating trafficking in human beings in 2026 and contribute to the EU’s broader approach under the Quality Jobs Roadmap</w:t>
      </w:r>
      <w:r w:rsidRPr="00640047">
        <w:rPr>
          <w:rStyle w:val="FootnoteReference"/>
          <w:rFonts w:ascii="Times New Roman" w:hAnsi="Times New Roman" w:cs="Times New Roman"/>
          <w:noProof/>
          <w:sz w:val="24"/>
          <w:szCs w:val="24"/>
          <w:lang w:val="en-GB"/>
        </w:rPr>
        <w:footnoteReference w:id="14"/>
      </w:r>
      <w:r w:rsidRPr="00640047">
        <w:rPr>
          <w:rFonts w:ascii="Times New Roman" w:hAnsi="Times New Roman" w:cs="Times New Roman"/>
          <w:noProof/>
          <w:sz w:val="24"/>
          <w:szCs w:val="24"/>
          <w:lang w:val="en-GB"/>
        </w:rPr>
        <w:t xml:space="preserve"> to ensure decent working conditions for every worker. </w:t>
      </w:r>
    </w:p>
    <w:p w14:paraId="2C84ACB8" w14:textId="77777777" w:rsidR="006976D7" w:rsidRPr="00640047" w:rsidRDefault="006976D7" w:rsidP="006976D7">
      <w:pPr>
        <w:pStyle w:val="ListParagraph"/>
        <w:numPr>
          <w:ilvl w:val="0"/>
          <w:numId w:val="1"/>
        </w:numPr>
        <w:spacing w:line="276" w:lineRule="auto"/>
        <w:ind w:left="1077"/>
        <w:contextualSpacing w:val="0"/>
        <w:rPr>
          <w:rFonts w:ascii="Times New Roman" w:hAnsi="Times New Roman" w:cs="Times New Roman"/>
          <w:b/>
          <w:bCs/>
          <w:noProof/>
          <w:sz w:val="24"/>
          <w:szCs w:val="24"/>
          <w:lang w:val="en-GB"/>
        </w:rPr>
      </w:pPr>
      <w:r w:rsidRPr="00640047">
        <w:rPr>
          <w:rFonts w:ascii="Times New Roman" w:hAnsi="Times New Roman" w:cs="Times New Roman"/>
          <w:b/>
          <w:bCs/>
          <w:noProof/>
          <w:sz w:val="24"/>
          <w:szCs w:val="24"/>
          <w:lang w:val="en-GB"/>
        </w:rPr>
        <w:t xml:space="preserve">MONITORING AND MEASURES TO SUPPORT IMPLEMENTATION </w:t>
      </w:r>
    </w:p>
    <w:p w14:paraId="78E2CE4E" w14:textId="36C803A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lang w:val="en-GB" w:eastAsia="de-DE"/>
          <w14:ligatures w14:val="none"/>
        </w:rPr>
      </w:pPr>
      <w:r w:rsidRPr="00640047">
        <w:rPr>
          <w:rFonts w:ascii="Times New Roman" w:eastAsia="Times New Roman" w:hAnsi="Times New Roman" w:cs="Times New Roman"/>
          <w:noProof/>
          <w:kern w:val="0"/>
          <w:sz w:val="24"/>
          <w:szCs w:val="24"/>
          <w:lang w:val="en-GB" w:eastAsia="de-DE"/>
          <w14:ligatures w14:val="none"/>
        </w:rPr>
        <w:t xml:space="preserve">Since 2016, the Commission has taken a range of legal and operational steps to ensure the Directive’s correct implementation. In 2016, it opened infringement procedures for failure to notify </w:t>
      </w:r>
      <w:r w:rsidRPr="00640047">
        <w:rPr>
          <w:rFonts w:ascii="Times New Roman" w:hAnsi="Times New Roman" w:cs="Times New Roman"/>
          <w:noProof/>
          <w:sz w:val="24"/>
          <w:szCs w:val="24"/>
          <w:lang w:val="en-GB"/>
        </w:rPr>
        <w:t>transposition</w:t>
      </w:r>
      <w:r w:rsidRPr="00640047">
        <w:rPr>
          <w:rFonts w:ascii="Times New Roman" w:eastAsia="Times New Roman" w:hAnsi="Times New Roman" w:cs="Times New Roman"/>
          <w:noProof/>
          <w:kern w:val="0"/>
          <w:sz w:val="24"/>
          <w:szCs w:val="24"/>
          <w:lang w:val="en-GB" w:eastAsia="de-DE"/>
          <w14:ligatures w14:val="none"/>
        </w:rPr>
        <w:t xml:space="preserve"> measures against 20 </w:t>
      </w:r>
      <w:r w:rsidR="00D11EC4" w:rsidRPr="00640047">
        <w:rPr>
          <w:rFonts w:ascii="Times New Roman" w:eastAsia="Times New Roman" w:hAnsi="Times New Roman" w:cs="Times New Roman"/>
          <w:noProof/>
          <w:kern w:val="0"/>
          <w:sz w:val="24"/>
          <w:szCs w:val="24"/>
          <w:lang w:val="en-GB" w:eastAsia="de-DE"/>
          <w14:ligatures w14:val="none"/>
        </w:rPr>
        <w:t>Member States</w:t>
      </w:r>
      <w:r w:rsidRPr="00640047">
        <w:rPr>
          <w:rFonts w:ascii="Times New Roman" w:eastAsia="Times New Roman" w:hAnsi="Times New Roman" w:cs="Times New Roman"/>
          <w:noProof/>
          <w:kern w:val="0"/>
          <w:sz w:val="24"/>
          <w:szCs w:val="24"/>
          <w:lang w:val="en-GB" w:eastAsia="de-DE"/>
          <w14:ligatures w14:val="none"/>
        </w:rPr>
        <w:t xml:space="preserve"> bound by the Directive. By 2019, all </w:t>
      </w:r>
      <w:r w:rsidR="00D11EC4" w:rsidRPr="00640047">
        <w:rPr>
          <w:rFonts w:ascii="Times New Roman" w:eastAsia="Times New Roman" w:hAnsi="Times New Roman" w:cs="Times New Roman"/>
          <w:noProof/>
          <w:kern w:val="0"/>
          <w:sz w:val="24"/>
          <w:szCs w:val="24"/>
          <w:lang w:val="en-GB" w:eastAsia="de-DE"/>
          <w14:ligatures w14:val="none"/>
        </w:rPr>
        <w:t>Member States</w:t>
      </w:r>
      <w:r w:rsidRPr="00640047">
        <w:rPr>
          <w:rFonts w:ascii="Times New Roman" w:eastAsia="Times New Roman" w:hAnsi="Times New Roman" w:cs="Times New Roman"/>
          <w:noProof/>
          <w:kern w:val="0"/>
          <w:sz w:val="24"/>
          <w:szCs w:val="24"/>
          <w:lang w:val="en-GB" w:eastAsia="de-DE"/>
          <w14:ligatures w14:val="none"/>
        </w:rPr>
        <w:t xml:space="preserve"> had notified complete transposition</w:t>
      </w:r>
      <w:r w:rsidR="00B4082F" w:rsidRPr="00640047">
        <w:rPr>
          <w:rFonts w:ascii="Times New Roman" w:eastAsia="Times New Roman" w:hAnsi="Times New Roman" w:cs="Times New Roman"/>
          <w:noProof/>
          <w:kern w:val="0"/>
          <w:sz w:val="24"/>
          <w:szCs w:val="24"/>
          <w:lang w:val="en-GB" w:eastAsia="de-DE"/>
          <w14:ligatures w14:val="none"/>
        </w:rPr>
        <w:t xml:space="preserve">, </w:t>
      </w:r>
      <w:r w:rsidR="00B4082F" w:rsidRPr="00640047">
        <w:rPr>
          <w:rFonts w:ascii="Times New Roman" w:eastAsia="Times New Roman" w:hAnsi="Times New Roman" w:cs="Times New Roman"/>
          <w:noProof/>
          <w:sz w:val="24"/>
          <w:szCs w:val="24"/>
          <w:lang w:val="en-GB" w:eastAsia="de-DE"/>
        </w:rPr>
        <w:t>leading to the closure of those infringement cases</w:t>
      </w:r>
      <w:r w:rsidRPr="00640047">
        <w:rPr>
          <w:rFonts w:ascii="Times New Roman" w:eastAsia="Times New Roman" w:hAnsi="Times New Roman" w:cs="Times New Roman"/>
          <w:noProof/>
          <w:kern w:val="0"/>
          <w:sz w:val="24"/>
          <w:szCs w:val="24"/>
          <w:lang w:val="en-GB" w:eastAsia="de-DE"/>
          <w14:ligatures w14:val="none"/>
        </w:rPr>
        <w:t xml:space="preserve">. Most provisions were correctly transposed in each </w:t>
      </w:r>
      <w:r w:rsidR="008254A6">
        <w:rPr>
          <w:rFonts w:ascii="Times New Roman" w:eastAsia="Times New Roman" w:hAnsi="Times New Roman" w:cs="Times New Roman"/>
          <w:noProof/>
          <w:kern w:val="0"/>
          <w:sz w:val="24"/>
          <w:szCs w:val="24"/>
          <w:lang w:val="en-GB" w:eastAsia="de-DE"/>
          <w14:ligatures w14:val="none"/>
        </w:rPr>
        <w:t>Member State</w:t>
      </w:r>
      <w:r w:rsidRPr="00640047">
        <w:rPr>
          <w:rFonts w:ascii="Times New Roman" w:eastAsia="Times New Roman" w:hAnsi="Times New Roman" w:cs="Times New Roman"/>
          <w:noProof/>
          <w:kern w:val="0"/>
          <w:sz w:val="24"/>
          <w:szCs w:val="24"/>
          <w:lang w:val="en-GB" w:eastAsia="de-DE"/>
          <w14:ligatures w14:val="none"/>
        </w:rPr>
        <w:t xml:space="preserve">, </w:t>
      </w:r>
      <w:r w:rsidR="008254A6">
        <w:rPr>
          <w:rFonts w:ascii="Times New Roman" w:eastAsia="Times New Roman" w:hAnsi="Times New Roman" w:cs="Times New Roman"/>
          <w:noProof/>
          <w:kern w:val="0"/>
          <w:sz w:val="24"/>
          <w:szCs w:val="24"/>
          <w:lang w:val="en-GB" w:eastAsia="de-DE"/>
          <w14:ligatures w14:val="none"/>
        </w:rPr>
        <w:t xml:space="preserve">though some </w:t>
      </w:r>
      <w:r w:rsidRPr="00640047">
        <w:rPr>
          <w:rFonts w:ascii="Times New Roman" w:eastAsia="Times New Roman" w:hAnsi="Times New Roman" w:cs="Times New Roman"/>
          <w:noProof/>
          <w:kern w:val="0"/>
          <w:sz w:val="24"/>
          <w:szCs w:val="24"/>
          <w:lang w:val="en-GB" w:eastAsia="de-DE"/>
          <w14:ligatures w14:val="none"/>
        </w:rPr>
        <w:t>gaps persisted in areas such as admission and withdrawal conditions, the issuance and renewal of authorisations, information obligations, the facilitation of re-entry, accommodation, sanctions, compensation and procedural safeguards. In 2023 and 2024, the Commission therefore launched infringement procedures for</w:t>
      </w:r>
      <w:r w:rsidRPr="00640047">
        <w:rPr>
          <w:rFonts w:ascii="Times New Roman" w:eastAsia="Times New Roman" w:hAnsi="Times New Roman" w:cs="Times New Roman"/>
          <w:noProof/>
          <w:sz w:val="24"/>
          <w:szCs w:val="24"/>
          <w:lang w:val="en-GB" w:eastAsia="de-DE"/>
        </w:rPr>
        <w:t xml:space="preserve"> incorrect </w:t>
      </w:r>
      <w:r w:rsidRPr="00640047">
        <w:rPr>
          <w:rFonts w:ascii="Times New Roman" w:eastAsia="Times New Roman" w:hAnsi="Times New Roman" w:cs="Times New Roman"/>
          <w:noProof/>
          <w:kern w:val="0"/>
          <w:sz w:val="24"/>
          <w:szCs w:val="24"/>
          <w:lang w:val="en-GB" w:eastAsia="de-DE"/>
          <w14:ligatures w14:val="none"/>
        </w:rPr>
        <w:t xml:space="preserve">transposition </w:t>
      </w:r>
      <w:r w:rsidR="009F3FD9" w:rsidRPr="00640047">
        <w:rPr>
          <w:rFonts w:ascii="Times New Roman" w:eastAsia="Times New Roman" w:hAnsi="Times New Roman" w:cs="Times New Roman"/>
          <w:noProof/>
          <w:kern w:val="0"/>
          <w:sz w:val="24"/>
          <w:szCs w:val="24"/>
          <w:lang w:val="en-GB" w:eastAsia="de-DE"/>
          <w14:ligatures w14:val="none"/>
        </w:rPr>
        <w:t xml:space="preserve">of the Directive </w:t>
      </w:r>
      <w:r w:rsidRPr="00640047">
        <w:rPr>
          <w:rFonts w:ascii="Times New Roman" w:eastAsia="Times New Roman" w:hAnsi="Times New Roman" w:cs="Times New Roman"/>
          <w:noProof/>
          <w:kern w:val="0"/>
          <w:sz w:val="24"/>
          <w:szCs w:val="24"/>
          <w:lang w:val="en-GB" w:eastAsia="de-DE"/>
          <w14:ligatures w14:val="none"/>
        </w:rPr>
        <w:t xml:space="preserve">against all </w:t>
      </w:r>
      <w:r w:rsidR="00D11EC4" w:rsidRPr="00640047">
        <w:rPr>
          <w:rFonts w:ascii="Times New Roman" w:eastAsia="Times New Roman" w:hAnsi="Times New Roman" w:cs="Times New Roman"/>
          <w:noProof/>
          <w:kern w:val="0"/>
          <w:sz w:val="24"/>
          <w:szCs w:val="24"/>
          <w:lang w:val="en-GB" w:eastAsia="de-DE"/>
          <w14:ligatures w14:val="none"/>
        </w:rPr>
        <w:t>Member States</w:t>
      </w:r>
      <w:r w:rsidRPr="00640047">
        <w:rPr>
          <w:rFonts w:ascii="Times New Roman" w:eastAsia="Times New Roman" w:hAnsi="Times New Roman" w:cs="Times New Roman"/>
          <w:noProof/>
          <w:kern w:val="0"/>
          <w:sz w:val="24"/>
          <w:szCs w:val="24"/>
          <w:lang w:val="en-GB" w:eastAsia="de-DE"/>
          <w14:ligatures w14:val="none"/>
        </w:rPr>
        <w:t xml:space="preserve"> bound by the Directive. As a result, all </w:t>
      </w:r>
      <w:r w:rsidR="00D11EC4" w:rsidRPr="00640047">
        <w:rPr>
          <w:rFonts w:ascii="Times New Roman" w:eastAsia="Times New Roman" w:hAnsi="Times New Roman" w:cs="Times New Roman"/>
          <w:noProof/>
          <w:kern w:val="0"/>
          <w:sz w:val="24"/>
          <w:szCs w:val="24"/>
          <w:lang w:val="en-GB" w:eastAsia="de-DE"/>
          <w14:ligatures w14:val="none"/>
        </w:rPr>
        <w:t>Member States</w:t>
      </w:r>
      <w:r w:rsidRPr="00640047">
        <w:rPr>
          <w:rFonts w:ascii="Times New Roman" w:eastAsia="Times New Roman" w:hAnsi="Times New Roman" w:cs="Times New Roman"/>
          <w:noProof/>
          <w:kern w:val="0"/>
          <w:sz w:val="24"/>
          <w:szCs w:val="24"/>
          <w:lang w:val="en-GB" w:eastAsia="de-DE"/>
          <w14:ligatures w14:val="none"/>
        </w:rPr>
        <w:t xml:space="preserve"> concerned have taken or are taking additional measures to align their national law with the Directive. To date, nine infringement procedures have been closed</w:t>
      </w:r>
      <w:r w:rsidR="00B64159" w:rsidRPr="00640047">
        <w:rPr>
          <w:rFonts w:ascii="Times New Roman" w:eastAsia="Times New Roman" w:hAnsi="Times New Roman" w:cs="Times New Roman"/>
          <w:noProof/>
          <w:kern w:val="0"/>
          <w:sz w:val="24"/>
          <w:szCs w:val="24"/>
          <w:lang w:val="en-GB" w:eastAsia="de-DE"/>
          <w14:ligatures w14:val="none"/>
        </w:rPr>
        <w:t>, while the others remain under assessment</w:t>
      </w:r>
      <w:r w:rsidRPr="00640047">
        <w:rPr>
          <w:rFonts w:ascii="Times New Roman" w:eastAsia="Times New Roman" w:hAnsi="Times New Roman" w:cs="Times New Roman"/>
          <w:noProof/>
          <w:kern w:val="0"/>
          <w:sz w:val="24"/>
          <w:szCs w:val="24"/>
          <w:lang w:val="en-GB" w:eastAsia="de-DE"/>
          <w14:ligatures w14:val="none"/>
        </w:rPr>
        <w:t xml:space="preserve">. </w:t>
      </w:r>
    </w:p>
    <w:p w14:paraId="301180C5" w14:textId="74EA5C4D"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eastAsia="Times New Roman" w:hAnsi="Times New Roman" w:cs="Times New Roman"/>
          <w:noProof/>
          <w:kern w:val="0"/>
          <w:sz w:val="24"/>
          <w:szCs w:val="24"/>
          <w:lang w:val="en-GB" w:eastAsia="de-DE"/>
          <w14:ligatures w14:val="none"/>
        </w:rPr>
        <w:t>To support the effective application of transposed provisions, the Commission has complemented legal enforcement with analytical</w:t>
      </w:r>
      <w:r w:rsidRPr="00640047">
        <w:rPr>
          <w:rStyle w:val="FootnoteReference"/>
          <w:rFonts w:ascii="Times New Roman" w:eastAsia="Times New Roman" w:hAnsi="Times New Roman" w:cs="Times New Roman"/>
          <w:noProof/>
          <w:kern w:val="0"/>
          <w:sz w:val="24"/>
          <w:szCs w:val="24"/>
          <w:lang w:val="en-GB" w:eastAsia="de-DE"/>
          <w14:ligatures w14:val="none"/>
        </w:rPr>
        <w:footnoteReference w:id="15"/>
      </w:r>
      <w:r w:rsidRPr="00640047">
        <w:rPr>
          <w:rFonts w:ascii="Times New Roman" w:eastAsia="Times New Roman" w:hAnsi="Times New Roman" w:cs="Times New Roman"/>
          <w:noProof/>
          <w:kern w:val="0"/>
          <w:sz w:val="24"/>
          <w:szCs w:val="24"/>
          <w:lang w:val="en-GB" w:eastAsia="de-DE"/>
          <w14:ligatures w14:val="none"/>
        </w:rPr>
        <w:t xml:space="preserve"> and operational</w:t>
      </w:r>
      <w:r w:rsidRPr="00640047">
        <w:rPr>
          <w:rStyle w:val="FootnoteReference"/>
          <w:rFonts w:ascii="Times New Roman" w:eastAsia="Times New Roman" w:hAnsi="Times New Roman" w:cs="Times New Roman"/>
          <w:noProof/>
          <w:kern w:val="0"/>
          <w:sz w:val="24"/>
          <w:szCs w:val="24"/>
          <w:lang w:val="en-GB" w:eastAsia="de-DE"/>
          <w14:ligatures w14:val="none"/>
        </w:rPr>
        <w:footnoteReference w:id="16"/>
      </w:r>
      <w:r w:rsidRPr="00640047">
        <w:rPr>
          <w:rFonts w:ascii="Times New Roman" w:eastAsia="Times New Roman" w:hAnsi="Times New Roman" w:cs="Times New Roman"/>
          <w:noProof/>
          <w:kern w:val="0"/>
          <w:sz w:val="24"/>
          <w:szCs w:val="24"/>
          <w:lang w:val="en-GB" w:eastAsia="de-DE"/>
          <w14:ligatures w14:val="none"/>
        </w:rPr>
        <w:t xml:space="preserve"> measures. </w:t>
      </w:r>
      <w:r w:rsidRPr="00640047">
        <w:rPr>
          <w:rFonts w:ascii="Times New Roman" w:hAnsi="Times New Roman" w:cs="Times New Roman"/>
          <w:noProof/>
          <w:sz w:val="24"/>
          <w:szCs w:val="24"/>
          <w:lang w:val="en-GB"/>
        </w:rPr>
        <w:t xml:space="preserve">EU funding has financed targeted projects, for example, in Italy, Greece, Spain and France, to support the practical implementation of the Directive for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in agriculture</w:t>
      </w:r>
      <w:bookmarkStart w:id="7" w:name="_Ref225510537"/>
      <w:r w:rsidRPr="00640047">
        <w:rPr>
          <w:rFonts w:ascii="Times New Roman" w:hAnsi="Times New Roman" w:cs="Times New Roman"/>
          <w:noProof/>
          <w:sz w:val="24"/>
          <w:szCs w:val="24"/>
          <w:vertAlign w:val="superscript"/>
          <w:lang w:val="en-GB"/>
        </w:rPr>
        <w:footnoteReference w:id="17"/>
      </w:r>
      <w:bookmarkEnd w:id="7"/>
      <w:r w:rsidRPr="00640047">
        <w:rPr>
          <w:rFonts w:ascii="Times New Roman" w:hAnsi="Times New Roman" w:cs="Times New Roman"/>
          <w:noProof/>
          <w:sz w:val="24"/>
          <w:szCs w:val="24"/>
          <w:lang w:val="en-GB"/>
        </w:rPr>
        <w:t xml:space="preserve">. </w:t>
      </w:r>
    </w:p>
    <w:p w14:paraId="2A85D7EA" w14:textId="4B0F453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lang w:val="en-GB" w:eastAsia="de-DE"/>
          <w14:ligatures w14:val="none"/>
        </w:rPr>
      </w:pPr>
      <w:r w:rsidRPr="00640047">
        <w:rPr>
          <w:rFonts w:ascii="Times New Roman" w:eastAsia="Times New Roman" w:hAnsi="Times New Roman" w:cs="Times New Roman"/>
          <w:noProof/>
          <w:kern w:val="0"/>
          <w:sz w:val="24"/>
          <w:szCs w:val="24"/>
          <w:lang w:val="en-GB" w:eastAsia="de-DE"/>
          <w14:ligatures w14:val="none"/>
        </w:rPr>
        <w:t xml:space="preserve">The Commission has </w:t>
      </w:r>
      <w:r w:rsidRPr="00640047">
        <w:rPr>
          <w:rFonts w:ascii="Times New Roman" w:hAnsi="Times New Roman" w:cs="Times New Roman"/>
          <w:noProof/>
          <w:sz w:val="24"/>
          <w:szCs w:val="24"/>
          <w:lang w:val="en-GB"/>
        </w:rPr>
        <w:t>discussed</w:t>
      </w:r>
      <w:r w:rsidRPr="00640047">
        <w:rPr>
          <w:rFonts w:ascii="Times New Roman" w:eastAsia="Times New Roman" w:hAnsi="Times New Roman" w:cs="Times New Roman"/>
          <w:noProof/>
          <w:kern w:val="0"/>
          <w:sz w:val="24"/>
          <w:szCs w:val="24"/>
          <w:lang w:val="en-GB" w:eastAsia="de-DE"/>
          <w14:ligatures w14:val="none"/>
        </w:rPr>
        <w:t xml:space="preserve"> the remaining challenges and potential next steps </w:t>
      </w:r>
      <w:r w:rsidRPr="00640047">
        <w:rPr>
          <w:rFonts w:ascii="Times New Roman" w:hAnsi="Times New Roman" w:cs="Times New Roman"/>
          <w:noProof/>
          <w:sz w:val="24"/>
          <w:szCs w:val="24"/>
          <w:lang w:val="en-GB"/>
        </w:rPr>
        <w:t>to improve the Directive’s application</w:t>
      </w:r>
      <w:r w:rsidRPr="00640047">
        <w:rPr>
          <w:rFonts w:ascii="Times New Roman" w:eastAsia="Times New Roman" w:hAnsi="Times New Roman" w:cs="Times New Roman"/>
          <w:noProof/>
          <w:kern w:val="0"/>
          <w:sz w:val="24"/>
          <w:szCs w:val="24"/>
          <w:lang w:val="en-GB" w:eastAsia="de-DE"/>
          <w14:ligatures w14:val="none"/>
        </w:rPr>
        <w:t xml:space="preserve"> with Member States, social partners and stakeholders in various fora and consultations</w:t>
      </w:r>
      <w:bookmarkStart w:id="8" w:name="_Ref220421249"/>
      <w:r w:rsidRPr="00640047">
        <w:rPr>
          <w:rStyle w:val="FootnoteReference"/>
          <w:rFonts w:ascii="Times New Roman" w:eastAsia="Times New Roman" w:hAnsi="Times New Roman" w:cs="Times New Roman"/>
          <w:noProof/>
          <w:kern w:val="0"/>
          <w:sz w:val="24"/>
          <w:szCs w:val="24"/>
          <w:lang w:val="en-GB" w:eastAsia="de-DE"/>
          <w14:ligatures w14:val="none"/>
        </w:rPr>
        <w:footnoteReference w:id="18"/>
      </w:r>
      <w:bookmarkEnd w:id="8"/>
      <w:r w:rsidRPr="00640047">
        <w:rPr>
          <w:rFonts w:ascii="Times New Roman" w:eastAsia="Times New Roman" w:hAnsi="Times New Roman" w:cs="Times New Roman"/>
          <w:noProof/>
          <w:kern w:val="0"/>
          <w:sz w:val="24"/>
          <w:szCs w:val="24"/>
          <w:lang w:val="en-GB" w:eastAsia="de-DE"/>
          <w14:ligatures w14:val="none"/>
        </w:rPr>
        <w:t xml:space="preserve">. </w:t>
      </w:r>
      <w:r w:rsidRPr="00640047">
        <w:rPr>
          <w:rFonts w:ascii="Times New Roman" w:eastAsia="Times New Roman" w:hAnsi="Times New Roman" w:cs="Times New Roman"/>
          <w:noProof/>
          <w:sz w:val="24"/>
          <w:szCs w:val="24"/>
          <w:lang w:val="en-GB" w:eastAsia="de-DE"/>
        </w:rPr>
        <w:t>Commission departments have participated in further exchanges organised by third parties and related to EU-(co)-funded projects</w:t>
      </w:r>
      <w:bookmarkStart w:id="9" w:name="_Ref220418873"/>
      <w:r w:rsidRPr="00640047">
        <w:rPr>
          <w:rStyle w:val="FootnoteReference"/>
          <w:rFonts w:ascii="Times New Roman" w:eastAsia="Times New Roman" w:hAnsi="Times New Roman" w:cs="Times New Roman"/>
          <w:noProof/>
          <w:kern w:val="0"/>
          <w:sz w:val="24"/>
          <w:szCs w:val="24"/>
          <w:lang w:val="en-GB" w:eastAsia="de-DE"/>
          <w14:ligatures w14:val="none"/>
        </w:rPr>
        <w:footnoteReference w:id="19"/>
      </w:r>
      <w:bookmarkEnd w:id="9"/>
      <w:r w:rsidRPr="00640047">
        <w:rPr>
          <w:rFonts w:ascii="Times New Roman" w:eastAsia="Times New Roman" w:hAnsi="Times New Roman" w:cs="Times New Roman"/>
          <w:noProof/>
          <w:sz w:val="24"/>
          <w:szCs w:val="24"/>
          <w:lang w:val="en-GB" w:eastAsia="de-DE"/>
        </w:rPr>
        <w:t xml:space="preserve">. </w:t>
      </w:r>
      <w:r w:rsidRPr="00640047">
        <w:rPr>
          <w:rFonts w:ascii="Times New Roman" w:eastAsia="Times New Roman" w:hAnsi="Times New Roman" w:cs="Times New Roman"/>
          <w:noProof/>
          <w:kern w:val="0"/>
          <w:sz w:val="24"/>
          <w:szCs w:val="24"/>
          <w:lang w:val="en-GB" w:eastAsia="de-DE"/>
          <w14:ligatures w14:val="none"/>
        </w:rPr>
        <w:t>These exchanges highlighted the need to better operationali</w:t>
      </w:r>
      <w:r w:rsidRPr="00640047">
        <w:rPr>
          <w:rFonts w:ascii="Times New Roman" w:eastAsia="Times New Roman" w:hAnsi="Times New Roman" w:cs="Times New Roman"/>
          <w:noProof/>
          <w:sz w:val="24"/>
          <w:szCs w:val="24"/>
          <w:lang w:val="en-GB" w:eastAsia="de-DE"/>
        </w:rPr>
        <w:t>s</w:t>
      </w:r>
      <w:r w:rsidRPr="00640047">
        <w:rPr>
          <w:rFonts w:ascii="Times New Roman" w:eastAsia="Times New Roman" w:hAnsi="Times New Roman" w:cs="Times New Roman"/>
          <w:noProof/>
          <w:kern w:val="0"/>
          <w:sz w:val="24"/>
          <w:szCs w:val="24"/>
          <w:lang w:val="en-GB" w:eastAsia="de-DE"/>
          <w14:ligatures w14:val="none"/>
        </w:rPr>
        <w:t xml:space="preserve">e admission channels to deliver the required seasonal workforce in time, increase awareness among </w:t>
      </w:r>
      <w:r w:rsidR="009C2946" w:rsidRPr="00640047">
        <w:rPr>
          <w:rFonts w:ascii="Times New Roman" w:eastAsia="Times New Roman" w:hAnsi="Times New Roman" w:cs="Times New Roman"/>
          <w:noProof/>
          <w:kern w:val="0"/>
          <w:sz w:val="24"/>
          <w:szCs w:val="24"/>
          <w:lang w:val="en-GB" w:eastAsia="de-DE"/>
          <w14:ligatures w14:val="none"/>
        </w:rPr>
        <w:t>third-country seasonal workers</w:t>
      </w:r>
      <w:r w:rsidRPr="00640047">
        <w:rPr>
          <w:rFonts w:ascii="Times New Roman" w:eastAsia="Times New Roman" w:hAnsi="Times New Roman" w:cs="Times New Roman"/>
          <w:noProof/>
          <w:kern w:val="0"/>
          <w:sz w:val="24"/>
          <w:szCs w:val="24"/>
          <w:lang w:val="en-GB" w:eastAsia="de-DE"/>
          <w14:ligatures w14:val="none"/>
        </w:rPr>
        <w:t xml:space="preserve"> of their rights and of how to enforce them, and to support the use of complaint and redress mechanisms. Stakeholders also frequently drew attention to insufficient monitoring, enforcement</w:t>
      </w:r>
      <w:r w:rsidRPr="00640047">
        <w:rPr>
          <w:rFonts w:ascii="Times New Roman" w:eastAsia="Times New Roman" w:hAnsi="Times New Roman" w:cs="Times New Roman"/>
          <w:noProof/>
          <w:sz w:val="24"/>
          <w:szCs w:val="24"/>
          <w:lang w:val="en-GB" w:eastAsia="de-DE"/>
        </w:rPr>
        <w:t>, inspections</w:t>
      </w:r>
      <w:r w:rsidRPr="00640047">
        <w:rPr>
          <w:rFonts w:ascii="Times New Roman" w:eastAsia="Times New Roman" w:hAnsi="Times New Roman" w:cs="Times New Roman"/>
          <w:noProof/>
          <w:kern w:val="0"/>
          <w:sz w:val="24"/>
          <w:szCs w:val="24"/>
          <w:lang w:val="en-GB" w:eastAsia="de-DE"/>
          <w14:ligatures w14:val="none"/>
        </w:rPr>
        <w:t xml:space="preserve"> and sanctioning in seasonal sectors, alongside recurrent problems of inadequate accommodation and labour law infringements.</w:t>
      </w:r>
    </w:p>
    <w:p w14:paraId="6BB8F762" w14:textId="77777777" w:rsidR="006976D7" w:rsidRPr="00640047" w:rsidRDefault="006976D7" w:rsidP="006976D7">
      <w:pPr>
        <w:pStyle w:val="ListParagraph"/>
        <w:numPr>
          <w:ilvl w:val="0"/>
          <w:numId w:val="1"/>
        </w:numPr>
        <w:spacing w:after="120" w:line="276" w:lineRule="auto"/>
        <w:ind w:left="1077"/>
        <w:contextualSpacing w:val="0"/>
        <w:rPr>
          <w:rFonts w:ascii="Times New Roman" w:hAnsi="Times New Roman" w:cs="Times New Roman"/>
          <w:b/>
          <w:bCs/>
          <w:noProof/>
          <w:sz w:val="24"/>
          <w:szCs w:val="24"/>
          <w:lang w:val="en-GB"/>
        </w:rPr>
      </w:pPr>
      <w:r w:rsidRPr="00640047">
        <w:rPr>
          <w:rFonts w:ascii="Times New Roman" w:hAnsi="Times New Roman" w:cs="Times New Roman"/>
          <w:b/>
          <w:bCs/>
          <w:noProof/>
          <w:sz w:val="24"/>
          <w:szCs w:val="24"/>
          <w:lang w:val="en-GB"/>
        </w:rPr>
        <w:t xml:space="preserve">COMPLIANCE OF TRANSPOSITION AND APPLICATION </w:t>
      </w:r>
    </w:p>
    <w:p w14:paraId="31F76077" w14:textId="1568D729" w:rsidR="006976D7" w:rsidRPr="00640047" w:rsidRDefault="00D727C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lang w:val="en-GB" w:eastAsia="de-DE"/>
          <w14:ligatures w14:val="none"/>
        </w:rPr>
      </w:pPr>
      <w:r w:rsidRPr="00640047">
        <w:rPr>
          <w:rFonts w:ascii="Times New Roman" w:eastAsia="Times New Roman" w:hAnsi="Times New Roman" w:cs="Times New Roman"/>
          <w:noProof/>
          <w:kern w:val="0"/>
          <w:sz w:val="24"/>
          <w:szCs w:val="24"/>
          <w:lang w:val="en-GB" w:eastAsia="de-DE"/>
          <w14:ligatures w14:val="none"/>
        </w:rPr>
        <w:t>While</w:t>
      </w:r>
      <w:r w:rsidR="006976D7" w:rsidRPr="00640047">
        <w:rPr>
          <w:rFonts w:ascii="Times New Roman" w:eastAsia="Times New Roman" w:hAnsi="Times New Roman" w:cs="Times New Roman"/>
          <w:noProof/>
          <w:kern w:val="0"/>
          <w:sz w:val="24"/>
          <w:szCs w:val="24"/>
          <w:lang w:val="en-GB" w:eastAsia="de-DE"/>
          <w14:ligatures w14:val="none"/>
        </w:rPr>
        <w:t xml:space="preserve"> </w:t>
      </w:r>
      <w:r w:rsidR="00D11EC4" w:rsidRPr="00640047">
        <w:rPr>
          <w:rFonts w:ascii="Times New Roman" w:eastAsia="Times New Roman" w:hAnsi="Times New Roman" w:cs="Times New Roman"/>
          <w:noProof/>
          <w:kern w:val="0"/>
          <w:sz w:val="24"/>
          <w:szCs w:val="24"/>
          <w:lang w:val="en-GB" w:eastAsia="de-DE"/>
          <w14:ligatures w14:val="none"/>
        </w:rPr>
        <w:t>Member States</w:t>
      </w:r>
      <w:r w:rsidR="006976D7" w:rsidRPr="00640047">
        <w:rPr>
          <w:rFonts w:ascii="Times New Roman" w:eastAsia="Times New Roman" w:hAnsi="Times New Roman" w:cs="Times New Roman"/>
          <w:noProof/>
          <w:kern w:val="0"/>
          <w:sz w:val="24"/>
          <w:szCs w:val="24"/>
          <w:lang w:val="en-GB" w:eastAsia="de-DE"/>
          <w14:ligatures w14:val="none"/>
        </w:rPr>
        <w:t xml:space="preserve"> have correctly transposed most </w:t>
      </w:r>
      <w:r w:rsidR="00CC437B" w:rsidRPr="00640047">
        <w:rPr>
          <w:rFonts w:ascii="Times New Roman" w:eastAsia="Times New Roman" w:hAnsi="Times New Roman" w:cs="Times New Roman"/>
          <w:noProof/>
          <w:kern w:val="0"/>
          <w:sz w:val="24"/>
          <w:szCs w:val="24"/>
          <w:lang w:val="en-GB" w:eastAsia="de-DE"/>
          <w14:ligatures w14:val="none"/>
        </w:rPr>
        <w:t xml:space="preserve">provisions </w:t>
      </w:r>
      <w:r w:rsidR="006976D7" w:rsidRPr="00640047">
        <w:rPr>
          <w:rFonts w:ascii="Times New Roman" w:eastAsia="Times New Roman" w:hAnsi="Times New Roman" w:cs="Times New Roman"/>
          <w:noProof/>
          <w:kern w:val="0"/>
          <w:sz w:val="24"/>
          <w:szCs w:val="24"/>
          <w:lang w:val="en-GB" w:eastAsia="de-DE"/>
          <w14:ligatures w14:val="none"/>
        </w:rPr>
        <w:t>of the Directive</w:t>
      </w:r>
      <w:r w:rsidR="00EB69B8" w:rsidRPr="00640047">
        <w:rPr>
          <w:rFonts w:ascii="Times New Roman" w:eastAsia="Times New Roman" w:hAnsi="Times New Roman" w:cs="Times New Roman"/>
          <w:noProof/>
          <w:kern w:val="0"/>
          <w:sz w:val="24"/>
          <w:szCs w:val="24"/>
          <w:lang w:val="en-GB" w:eastAsia="de-DE"/>
          <w14:ligatures w14:val="none"/>
        </w:rPr>
        <w:t xml:space="preserve">, </w:t>
      </w:r>
      <w:r w:rsidR="00A96D71" w:rsidRPr="00640047">
        <w:rPr>
          <w:rFonts w:ascii="Times New Roman" w:eastAsia="Times New Roman" w:hAnsi="Times New Roman" w:cs="Times New Roman"/>
          <w:noProof/>
          <w:kern w:val="0"/>
          <w:sz w:val="24"/>
          <w:szCs w:val="24"/>
          <w:lang w:val="en-GB" w:eastAsia="de-DE"/>
          <w14:ligatures w14:val="none"/>
        </w:rPr>
        <w:t xml:space="preserve">some </w:t>
      </w:r>
      <w:r w:rsidR="00EB69B8" w:rsidRPr="00640047">
        <w:rPr>
          <w:rFonts w:ascii="Times New Roman" w:eastAsia="Times New Roman" w:hAnsi="Times New Roman" w:cs="Times New Roman"/>
          <w:noProof/>
          <w:kern w:val="0"/>
          <w:sz w:val="24"/>
          <w:szCs w:val="24"/>
          <w:lang w:val="en-GB" w:eastAsia="de-DE"/>
          <w14:ligatures w14:val="none"/>
        </w:rPr>
        <w:t xml:space="preserve">gaps </w:t>
      </w:r>
      <w:r w:rsidR="00A96D71" w:rsidRPr="00640047">
        <w:rPr>
          <w:rFonts w:ascii="Times New Roman" w:eastAsia="Times New Roman" w:hAnsi="Times New Roman" w:cs="Times New Roman"/>
          <w:noProof/>
          <w:kern w:val="0"/>
          <w:sz w:val="24"/>
          <w:szCs w:val="24"/>
          <w:lang w:val="en-GB" w:eastAsia="de-DE"/>
          <w14:ligatures w14:val="none"/>
        </w:rPr>
        <w:t>remain</w:t>
      </w:r>
      <w:r w:rsidR="00365C85" w:rsidRPr="00640047">
        <w:rPr>
          <w:rFonts w:ascii="Times New Roman" w:eastAsia="Times New Roman" w:hAnsi="Times New Roman" w:cs="Times New Roman"/>
          <w:noProof/>
          <w:kern w:val="0"/>
          <w:sz w:val="24"/>
          <w:szCs w:val="24"/>
          <w:lang w:val="en-GB" w:eastAsia="de-DE"/>
          <w14:ligatures w14:val="none"/>
        </w:rPr>
        <w:t xml:space="preserve">, as </w:t>
      </w:r>
      <w:r w:rsidR="00A93A10" w:rsidRPr="00640047">
        <w:rPr>
          <w:rFonts w:ascii="Times New Roman" w:eastAsia="Times New Roman" w:hAnsi="Times New Roman" w:cs="Times New Roman"/>
          <w:noProof/>
          <w:kern w:val="0"/>
          <w:sz w:val="24"/>
          <w:szCs w:val="24"/>
          <w:lang w:val="en-GB" w:eastAsia="de-DE"/>
          <w14:ligatures w14:val="none"/>
        </w:rPr>
        <w:t>shown in the following sections</w:t>
      </w:r>
      <w:r w:rsidR="006976D7" w:rsidRPr="00640047">
        <w:rPr>
          <w:rFonts w:ascii="Times New Roman" w:eastAsia="Times New Roman" w:hAnsi="Times New Roman" w:cs="Times New Roman"/>
          <w:noProof/>
          <w:kern w:val="0"/>
          <w:sz w:val="24"/>
          <w:szCs w:val="24"/>
          <w:lang w:val="en-GB" w:eastAsia="de-DE"/>
          <w14:ligatures w14:val="none"/>
        </w:rPr>
        <w:t xml:space="preserve">.  </w:t>
      </w:r>
    </w:p>
    <w:p w14:paraId="7A3C846D" w14:textId="149F748F" w:rsidR="006976D7" w:rsidRPr="00640047" w:rsidRDefault="006976D7" w:rsidP="006976D7">
      <w:pPr>
        <w:pStyle w:val="ListParagraph"/>
        <w:numPr>
          <w:ilvl w:val="0"/>
          <w:numId w:val="14"/>
        </w:numPr>
        <w:spacing w:after="120" w:line="276" w:lineRule="auto"/>
        <w:contextualSpacing w:val="0"/>
        <w:jc w:val="both"/>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Streamlined and easily accessible l</w:t>
      </w:r>
      <w:r w:rsidR="001D5D22" w:rsidRPr="00640047">
        <w:rPr>
          <w:rFonts w:ascii="Times New Roman" w:eastAsia="Times New Roman" w:hAnsi="Times New Roman" w:cs="Times New Roman"/>
          <w:b/>
          <w:bCs/>
          <w:i/>
          <w:iCs/>
          <w:noProof/>
          <w:sz w:val="24"/>
          <w:szCs w:val="24"/>
          <w:lang w:val="en-GB"/>
        </w:rPr>
        <w:t>abour mobil</w:t>
      </w:r>
      <w:r w:rsidR="00F56C61" w:rsidRPr="00640047">
        <w:rPr>
          <w:rFonts w:ascii="Times New Roman" w:eastAsia="Times New Roman" w:hAnsi="Times New Roman" w:cs="Times New Roman"/>
          <w:b/>
          <w:bCs/>
          <w:i/>
          <w:iCs/>
          <w:noProof/>
          <w:sz w:val="24"/>
          <w:szCs w:val="24"/>
          <w:lang w:val="en-GB"/>
        </w:rPr>
        <w:t>i</w:t>
      </w:r>
      <w:r w:rsidR="001D5D22" w:rsidRPr="00640047">
        <w:rPr>
          <w:rFonts w:ascii="Times New Roman" w:eastAsia="Times New Roman" w:hAnsi="Times New Roman" w:cs="Times New Roman"/>
          <w:b/>
          <w:bCs/>
          <w:i/>
          <w:iCs/>
          <w:noProof/>
          <w:sz w:val="24"/>
          <w:szCs w:val="24"/>
          <w:lang w:val="en-GB"/>
        </w:rPr>
        <w:t>ty</w:t>
      </w:r>
      <w:r w:rsidRPr="00640047">
        <w:rPr>
          <w:rFonts w:ascii="Times New Roman" w:eastAsia="Times New Roman" w:hAnsi="Times New Roman" w:cs="Times New Roman"/>
          <w:b/>
          <w:bCs/>
          <w:i/>
          <w:iCs/>
          <w:noProof/>
          <w:sz w:val="24"/>
          <w:szCs w:val="24"/>
          <w:lang w:val="en-GB"/>
        </w:rPr>
        <w:t xml:space="preserve"> pathways for seasonal workers</w:t>
      </w:r>
    </w:p>
    <w:p w14:paraId="7EB14992" w14:textId="77777777" w:rsidR="006976D7" w:rsidRPr="00640047"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Scope of the Directive – Article 2</w:t>
      </w:r>
    </w:p>
    <w:p w14:paraId="72606F88" w14:textId="32407C07" w:rsidR="006976D7" w:rsidRPr="00640047" w:rsidRDefault="006976D7" w:rsidP="00B64159">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The Directive applies to </w:t>
      </w:r>
      <w:r w:rsidR="008B4B5D" w:rsidRPr="00640047">
        <w:rPr>
          <w:rFonts w:ascii="Times New Roman" w:hAnsi="Times New Roman" w:cs="Times New Roman"/>
          <w:noProof/>
          <w:sz w:val="24"/>
          <w:szCs w:val="24"/>
          <w:lang w:val="en-GB"/>
        </w:rPr>
        <w:t>third-country nationals</w:t>
      </w:r>
      <w:r w:rsidRPr="00640047">
        <w:rPr>
          <w:rFonts w:ascii="Times New Roman" w:hAnsi="Times New Roman" w:cs="Times New Roman"/>
          <w:noProof/>
          <w:sz w:val="24"/>
          <w:szCs w:val="24"/>
          <w:lang w:val="en-GB"/>
        </w:rPr>
        <w:t xml:space="preserve"> who </w:t>
      </w:r>
      <w:r w:rsidR="00B64159" w:rsidRPr="00640047">
        <w:rPr>
          <w:rFonts w:ascii="Times" w:eastAsia="Times" w:hAnsi="Times" w:cs="Times"/>
          <w:noProof/>
          <w:sz w:val="24"/>
          <w:szCs w:val="24"/>
          <w:lang w:val="en-GB"/>
        </w:rPr>
        <w:t>reside outside the territory of the Member States and who apply to be admitted, or who have been admitted to the territory of a Member State for the purpose of employment as seasonal workers. It does not apply to third-country nationals who at the time of application reside in the territory of a Member State</w:t>
      </w:r>
      <w:r w:rsidR="00CC18D7" w:rsidRPr="00640047">
        <w:rPr>
          <w:rFonts w:ascii="Times" w:eastAsia="Times" w:hAnsi="Times" w:cs="Times"/>
          <w:noProof/>
          <w:sz w:val="24"/>
          <w:szCs w:val="24"/>
          <w:lang w:val="en-GB"/>
        </w:rPr>
        <w:t>,</w:t>
      </w:r>
      <w:r w:rsidR="00B64159" w:rsidRPr="00640047">
        <w:rPr>
          <w:rFonts w:ascii="Times" w:eastAsia="Times" w:hAnsi="Times" w:cs="Times"/>
          <w:noProof/>
          <w:sz w:val="24"/>
          <w:szCs w:val="24"/>
          <w:lang w:val="en-GB"/>
        </w:rPr>
        <w:t xml:space="preserve"> with the exception of third country nationals who intend to extend or renew their stay</w:t>
      </w:r>
      <w:r w:rsidR="00B64159" w:rsidRPr="00640047">
        <w:rPr>
          <w:noProof/>
          <w:lang w:val="en-GB"/>
        </w:rPr>
        <w:t xml:space="preserve"> </w:t>
      </w:r>
      <w:r w:rsidRPr="00640047">
        <w:rPr>
          <w:rFonts w:ascii="Times New Roman" w:hAnsi="Times New Roman" w:cs="Times New Roman"/>
          <w:noProof/>
          <w:sz w:val="24"/>
          <w:szCs w:val="24"/>
          <w:lang w:val="en-GB"/>
        </w:rPr>
        <w:t xml:space="preserve">(Article 2). </w:t>
      </w:r>
      <w:r w:rsidR="00D83803" w:rsidRPr="00640047">
        <w:rPr>
          <w:rFonts w:ascii="Times New Roman" w:hAnsi="Times New Roman" w:cs="Times New Roman"/>
          <w:noProof/>
          <w:sz w:val="24"/>
          <w:szCs w:val="24"/>
          <w:lang w:val="en-GB"/>
        </w:rPr>
        <w:t>T</w:t>
      </w:r>
      <w:r w:rsidR="00B64159" w:rsidRPr="00640047">
        <w:rPr>
          <w:rFonts w:ascii="Times New Roman" w:hAnsi="Times New Roman" w:cs="Times New Roman"/>
          <w:noProof/>
          <w:sz w:val="24"/>
          <w:szCs w:val="24"/>
          <w:lang w:val="en-GB"/>
        </w:rPr>
        <w:t xml:space="preserve">he Directive defines </w:t>
      </w:r>
      <w:r w:rsidR="00D83803" w:rsidRPr="00640047">
        <w:rPr>
          <w:rFonts w:ascii="Times New Roman" w:hAnsi="Times New Roman" w:cs="Times New Roman"/>
          <w:noProof/>
          <w:sz w:val="24"/>
          <w:szCs w:val="24"/>
          <w:lang w:val="en-GB"/>
        </w:rPr>
        <w:t>‘</w:t>
      </w:r>
      <w:r w:rsidR="00B64159" w:rsidRPr="00640047">
        <w:rPr>
          <w:rFonts w:ascii="Times New Roman" w:hAnsi="Times New Roman" w:cs="Times New Roman"/>
          <w:noProof/>
          <w:sz w:val="24"/>
          <w:szCs w:val="24"/>
          <w:lang w:val="en-GB"/>
        </w:rPr>
        <w:t xml:space="preserve">seasonal worker’ </w:t>
      </w:r>
      <w:r w:rsidR="00B64159" w:rsidRPr="00FE7B3F">
        <w:rPr>
          <w:rFonts w:ascii="Times New Roman" w:hAnsi="Times New Roman" w:cs="Times New Roman"/>
          <w:noProof/>
          <w:sz w:val="24"/>
          <w:szCs w:val="24"/>
          <w:lang w:val="en-GB"/>
        </w:rPr>
        <w:t xml:space="preserve">a third-country national who retains </w:t>
      </w:r>
      <w:r w:rsidR="00D83803" w:rsidRPr="00640047">
        <w:rPr>
          <w:rFonts w:ascii="Times New Roman" w:hAnsi="Times New Roman" w:cs="Times New Roman"/>
          <w:noProof/>
          <w:sz w:val="24"/>
          <w:szCs w:val="24"/>
          <w:lang w:val="en-GB"/>
        </w:rPr>
        <w:t>the</w:t>
      </w:r>
      <w:r w:rsidR="00B64159" w:rsidRPr="00136D78">
        <w:rPr>
          <w:rFonts w:ascii="Times New Roman" w:hAnsi="Times New Roman" w:cs="Times New Roman"/>
          <w:noProof/>
          <w:sz w:val="24"/>
          <w:szCs w:val="24"/>
          <w:lang w:val="en-GB"/>
        </w:rPr>
        <w:t xml:space="preserve"> principal place of residence in a third country and stays legally and temporarily in the territory of a Member State to carry out an activity dependent on the passing of the seasons, under one or more fixed-term work contracts concluded directly between that third-country national and the employer established in that Member State</w:t>
      </w:r>
      <w:r w:rsidR="00B64159" w:rsidRPr="00640047">
        <w:rPr>
          <w:rFonts w:ascii="Times New Roman" w:hAnsi="Times New Roman" w:cs="Times New Roman"/>
          <w:noProof/>
          <w:sz w:val="24"/>
          <w:szCs w:val="24"/>
          <w:lang w:val="en-GB"/>
        </w:rPr>
        <w:t xml:space="preserve"> (Article 3 (b)). </w:t>
      </w:r>
      <w:r w:rsidRPr="00640047">
        <w:rPr>
          <w:rFonts w:ascii="Times New Roman" w:hAnsi="Times New Roman" w:cs="Times New Roman"/>
          <w:noProof/>
          <w:sz w:val="24"/>
          <w:szCs w:val="24"/>
          <w:lang w:val="en-GB"/>
        </w:rPr>
        <w:t xml:space="preserve">Within these parameters,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w:t>
      </w:r>
      <w:r w:rsidR="004A6DFB" w:rsidRPr="00640047">
        <w:rPr>
          <w:rFonts w:ascii="Times New Roman" w:hAnsi="Times New Roman" w:cs="Times New Roman"/>
          <w:noProof/>
          <w:sz w:val="24"/>
          <w:szCs w:val="24"/>
          <w:lang w:val="en-GB"/>
        </w:rPr>
        <w:t>must</w:t>
      </w:r>
      <w:r w:rsidRPr="00640047">
        <w:rPr>
          <w:rFonts w:ascii="Times New Roman" w:hAnsi="Times New Roman" w:cs="Times New Roman"/>
          <w:noProof/>
          <w:sz w:val="24"/>
          <w:szCs w:val="24"/>
          <w:lang w:val="en-GB"/>
        </w:rPr>
        <w:t xml:space="preserve"> list the </w:t>
      </w:r>
      <w:r w:rsidR="00D83803" w:rsidRPr="00640047">
        <w:rPr>
          <w:rFonts w:ascii="Times New Roman" w:hAnsi="Times New Roman" w:cs="Times New Roman"/>
          <w:noProof/>
          <w:sz w:val="24"/>
          <w:szCs w:val="24"/>
          <w:lang w:val="en-GB"/>
        </w:rPr>
        <w:t xml:space="preserve">seasonal </w:t>
      </w:r>
      <w:r w:rsidRPr="00640047">
        <w:rPr>
          <w:rFonts w:ascii="Times New Roman" w:hAnsi="Times New Roman" w:cs="Times New Roman"/>
          <w:noProof/>
          <w:sz w:val="24"/>
          <w:szCs w:val="24"/>
          <w:lang w:val="en-GB"/>
        </w:rPr>
        <w:t xml:space="preserve">sectors </w:t>
      </w:r>
      <w:r w:rsidR="004A6DFB" w:rsidRPr="00640047">
        <w:rPr>
          <w:rFonts w:ascii="Times New Roman" w:hAnsi="Times New Roman" w:cs="Times New Roman"/>
          <w:noProof/>
          <w:sz w:val="24"/>
          <w:szCs w:val="24"/>
          <w:lang w:val="en-GB"/>
        </w:rPr>
        <w:t xml:space="preserve">(Article 2(2)) </w:t>
      </w:r>
      <w:r w:rsidRPr="00640047">
        <w:rPr>
          <w:rFonts w:ascii="Times New Roman" w:hAnsi="Times New Roman" w:cs="Times New Roman"/>
          <w:noProof/>
          <w:sz w:val="24"/>
          <w:szCs w:val="24"/>
          <w:lang w:val="en-GB"/>
        </w:rPr>
        <w:t xml:space="preserve">and set the maximum cumulative stay for seasonal work between five and nine months in any 12-month period (Article 14). All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listed agriculture as </w:t>
      </w:r>
      <w:r w:rsidR="004A6DFB" w:rsidRPr="00640047">
        <w:rPr>
          <w:rFonts w:ascii="Times New Roman" w:hAnsi="Times New Roman" w:cs="Times New Roman"/>
          <w:noProof/>
          <w:sz w:val="24"/>
          <w:szCs w:val="24"/>
          <w:lang w:val="en-GB"/>
        </w:rPr>
        <w:t xml:space="preserve">a </w:t>
      </w:r>
      <w:r w:rsidRPr="00640047">
        <w:rPr>
          <w:rFonts w:ascii="Times New Roman" w:hAnsi="Times New Roman" w:cs="Times New Roman"/>
          <w:noProof/>
          <w:sz w:val="24"/>
          <w:szCs w:val="24"/>
          <w:lang w:val="en-GB"/>
        </w:rPr>
        <w:t xml:space="preserve">seasonal sector. Many </w:t>
      </w:r>
      <w:r w:rsidR="004A6DFB" w:rsidRPr="00640047">
        <w:rPr>
          <w:rFonts w:ascii="Times New Roman" w:hAnsi="Times New Roman" w:cs="Times New Roman"/>
          <w:noProof/>
          <w:sz w:val="24"/>
          <w:szCs w:val="24"/>
          <w:lang w:val="en-GB"/>
        </w:rPr>
        <w:t>mention</w:t>
      </w:r>
      <w:r w:rsidRPr="00640047">
        <w:rPr>
          <w:rFonts w:ascii="Times New Roman" w:hAnsi="Times New Roman" w:cs="Times New Roman"/>
          <w:noProof/>
          <w:sz w:val="24"/>
          <w:szCs w:val="24"/>
          <w:lang w:val="en-GB"/>
        </w:rPr>
        <w:t xml:space="preserve"> horticulture</w:t>
      </w:r>
      <w:r w:rsidRPr="00640047">
        <w:rPr>
          <w:rStyle w:val="FootnoteReference"/>
          <w:rFonts w:ascii="Times New Roman" w:eastAsia="Times New Roman" w:hAnsi="Times New Roman" w:cs="Times New Roman"/>
          <w:noProof/>
          <w:sz w:val="24"/>
          <w:szCs w:val="24"/>
          <w:lang w:val="en-GB"/>
        </w:rPr>
        <w:footnoteReference w:id="20"/>
      </w:r>
      <w:r w:rsidRPr="00640047">
        <w:rPr>
          <w:rFonts w:ascii="Times New Roman" w:hAnsi="Times New Roman" w:cs="Times New Roman"/>
          <w:noProof/>
          <w:sz w:val="24"/>
          <w:szCs w:val="24"/>
          <w:lang w:val="en-GB"/>
        </w:rPr>
        <w:t>, forestry</w:t>
      </w:r>
      <w:r w:rsidRPr="00640047">
        <w:rPr>
          <w:rStyle w:val="FootnoteReference"/>
          <w:rFonts w:ascii="Times New Roman" w:eastAsia="Times New Roman" w:hAnsi="Times New Roman" w:cs="Times New Roman"/>
          <w:noProof/>
          <w:sz w:val="24"/>
          <w:szCs w:val="24"/>
          <w:lang w:val="en-GB"/>
        </w:rPr>
        <w:footnoteReference w:id="21"/>
      </w:r>
      <w:r w:rsidRPr="00640047">
        <w:rPr>
          <w:rFonts w:ascii="Times New Roman" w:hAnsi="Times New Roman" w:cs="Times New Roman"/>
          <w:noProof/>
          <w:sz w:val="24"/>
          <w:szCs w:val="24"/>
          <w:lang w:val="en-GB"/>
        </w:rPr>
        <w:t>, including the gathering of wild non-wood products</w:t>
      </w:r>
      <w:r w:rsidRPr="00640047">
        <w:rPr>
          <w:rStyle w:val="FootnoteReference"/>
          <w:rFonts w:ascii="Times New Roman" w:hAnsi="Times New Roman" w:cs="Times New Roman"/>
          <w:noProof/>
          <w:sz w:val="24"/>
          <w:szCs w:val="24"/>
          <w:lang w:val="en-GB"/>
        </w:rPr>
        <w:footnoteReference w:id="22"/>
      </w:r>
      <w:r w:rsidRPr="00640047">
        <w:rPr>
          <w:rFonts w:ascii="Times New Roman" w:hAnsi="Times New Roman" w:cs="Times New Roman"/>
          <w:noProof/>
          <w:sz w:val="24"/>
          <w:szCs w:val="24"/>
          <w:lang w:val="en-GB"/>
        </w:rPr>
        <w:t>, or fishing and marine aquaculture</w:t>
      </w:r>
      <w:r w:rsidRPr="00640047">
        <w:rPr>
          <w:rStyle w:val="FootnoteReference"/>
          <w:rFonts w:ascii="Times New Roman" w:eastAsia="Times New Roman" w:hAnsi="Times New Roman" w:cs="Times New Roman"/>
          <w:noProof/>
          <w:sz w:val="24"/>
          <w:szCs w:val="24"/>
          <w:lang w:val="en-GB"/>
        </w:rPr>
        <w:footnoteReference w:id="23"/>
      </w:r>
      <w:r w:rsidRPr="00640047">
        <w:rPr>
          <w:rFonts w:ascii="Times New Roman" w:hAnsi="Times New Roman" w:cs="Times New Roman"/>
          <w:noProof/>
          <w:sz w:val="24"/>
          <w:szCs w:val="24"/>
          <w:lang w:val="en-GB"/>
        </w:rPr>
        <w:t>. Most, but not all, have also designated accommodation, food services and/or tourism and related leisure services as seasonal sectors</w:t>
      </w:r>
      <w:r w:rsidRPr="00640047">
        <w:rPr>
          <w:rStyle w:val="FootnoteReference"/>
          <w:rFonts w:ascii="Times New Roman" w:eastAsia="Times New Roman" w:hAnsi="Times New Roman" w:cs="Times New Roman"/>
          <w:noProof/>
          <w:sz w:val="24"/>
          <w:szCs w:val="24"/>
          <w:lang w:val="en-GB"/>
        </w:rPr>
        <w:footnoteReference w:id="24"/>
      </w:r>
      <w:r w:rsidRPr="00640047">
        <w:rPr>
          <w:rFonts w:ascii="Times New Roman" w:eastAsia="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Some include one or more additional sectors</w:t>
      </w:r>
      <w:r w:rsidRPr="00640047">
        <w:rPr>
          <w:rStyle w:val="FootnoteReference"/>
          <w:rFonts w:ascii="Times New Roman" w:hAnsi="Times New Roman" w:cs="Times New Roman"/>
          <w:noProof/>
          <w:sz w:val="24"/>
          <w:szCs w:val="24"/>
          <w:lang w:val="en-GB"/>
        </w:rPr>
        <w:footnoteReference w:id="25"/>
      </w:r>
      <w:r w:rsidRPr="00640047">
        <w:rPr>
          <w:rFonts w:ascii="Times New Roman" w:hAnsi="Times New Roman" w:cs="Times New Roman"/>
          <w:noProof/>
          <w:sz w:val="24"/>
          <w:szCs w:val="24"/>
          <w:lang w:val="en-GB"/>
        </w:rPr>
        <w:t xml:space="preserve">. </w:t>
      </w:r>
    </w:p>
    <w:p w14:paraId="78A39A3B" w14:textId="6D45A3A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Admissions of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under the </w:t>
      </w:r>
      <w:r w:rsidR="00B72609" w:rsidRPr="00640047">
        <w:rPr>
          <w:rFonts w:ascii="Times New Roman" w:hAnsi="Times New Roman" w:cs="Times New Roman"/>
          <w:noProof/>
          <w:sz w:val="24"/>
          <w:szCs w:val="24"/>
          <w:lang w:val="en-GB"/>
        </w:rPr>
        <w:t xml:space="preserve">scope of the </w:t>
      </w:r>
      <w:r w:rsidRPr="00640047">
        <w:rPr>
          <w:rFonts w:ascii="Times New Roman" w:hAnsi="Times New Roman" w:cs="Times New Roman"/>
          <w:noProof/>
          <w:sz w:val="24"/>
          <w:szCs w:val="24"/>
          <w:lang w:val="en-GB"/>
        </w:rPr>
        <w:t>Directive have increased steadily</w:t>
      </w:r>
      <w:r w:rsidR="00B72609" w:rsidRPr="00640047">
        <w:rPr>
          <w:rFonts w:ascii="Times New Roman" w:hAnsi="Times New Roman" w:cs="Times New Roman"/>
          <w:noProof/>
          <w:sz w:val="24"/>
          <w:szCs w:val="24"/>
          <w:lang w:val="en-GB"/>
        </w:rPr>
        <w:t xml:space="preserve"> in the past years</w:t>
      </w:r>
      <w:r w:rsidRPr="00640047">
        <w:rPr>
          <w:rFonts w:ascii="Times New Roman" w:hAnsi="Times New Roman" w:cs="Times New Roman"/>
          <w:noProof/>
          <w:sz w:val="24"/>
          <w:szCs w:val="24"/>
          <w:lang w:val="en-GB"/>
        </w:rPr>
        <w:t>. Eurostat data</w:t>
      </w:r>
      <w:r w:rsidRPr="00640047">
        <w:rPr>
          <w:rStyle w:val="FootnoteReference"/>
          <w:rFonts w:ascii="Times New Roman" w:hAnsi="Times New Roman" w:cs="Times New Roman"/>
          <w:noProof/>
          <w:sz w:val="24"/>
          <w:szCs w:val="24"/>
          <w:lang w:val="en-GB"/>
        </w:rPr>
        <w:footnoteReference w:id="26"/>
      </w:r>
      <w:r w:rsidRPr="00640047">
        <w:rPr>
          <w:rFonts w:ascii="Times New Roman" w:hAnsi="Times New Roman" w:cs="Times New Roman"/>
          <w:noProof/>
          <w:sz w:val="24"/>
          <w:szCs w:val="24"/>
          <w:lang w:val="en-GB"/>
        </w:rPr>
        <w:t xml:space="preserve"> show that authorisations for seasonal work in the EU rose from 115 726 in 2019 to 273 897</w:t>
      </w:r>
      <w:r w:rsidRPr="00640047">
        <w:rPr>
          <w:rStyle w:val="FootnoteReference"/>
          <w:rFonts w:ascii="Times New Roman" w:hAnsi="Times New Roman" w:cs="Times New Roman"/>
          <w:noProof/>
          <w:sz w:val="24"/>
          <w:szCs w:val="24"/>
          <w:lang w:val="en-GB"/>
        </w:rPr>
        <w:footnoteReference w:id="27"/>
      </w:r>
      <w:r w:rsidRPr="00640047">
        <w:rPr>
          <w:rFonts w:ascii="Times New Roman" w:hAnsi="Times New Roman" w:cs="Times New Roman"/>
          <w:noProof/>
          <w:sz w:val="24"/>
          <w:szCs w:val="24"/>
          <w:lang w:val="en-GB"/>
        </w:rPr>
        <w:t xml:space="preserve"> in 2024, with a particularly strong increase between 2021 and 2024 (from 154 915</w:t>
      </w:r>
      <w:r w:rsidR="00AF3A40" w:rsidRPr="00640047">
        <w:rPr>
          <w:rStyle w:val="FootnoteReference"/>
          <w:rFonts w:ascii="Times New Roman" w:hAnsi="Times New Roman" w:cs="Times New Roman"/>
          <w:noProof/>
          <w:sz w:val="24"/>
          <w:szCs w:val="24"/>
          <w:lang w:val="en-GB"/>
        </w:rPr>
        <w:footnoteReference w:id="28"/>
      </w:r>
      <w:r w:rsidRPr="00640047">
        <w:rPr>
          <w:rFonts w:ascii="Times New Roman" w:hAnsi="Times New Roman" w:cs="Times New Roman"/>
          <w:noProof/>
          <w:sz w:val="24"/>
          <w:szCs w:val="24"/>
          <w:lang w:val="en-GB"/>
        </w:rPr>
        <w:t xml:space="preserve"> to 273 897; over +</w:t>
      </w:r>
      <w:r w:rsidR="00E16FD9" w:rsidRPr="00640047">
        <w:rPr>
          <w:rFonts w:ascii="Times New Roman" w:hAnsi="Times New Roman" w:cs="Times New Roman"/>
          <w:noProof/>
          <w:sz w:val="24"/>
          <w:szCs w:val="24"/>
          <w:lang w:val="en-GB"/>
        </w:rPr>
        <w:t>77</w:t>
      </w:r>
      <w:r w:rsidRPr="00640047">
        <w:rPr>
          <w:rFonts w:ascii="Times New Roman" w:hAnsi="Times New Roman" w:cs="Times New Roman"/>
          <w:noProof/>
          <w:sz w:val="24"/>
          <w:szCs w:val="24"/>
          <w:lang w:val="en-GB"/>
        </w:rPr>
        <w:t xml:space="preserve">%), reflecting post-COVID recovery, higher demand for seasonal labour from non-EU countries, and more complete reporting by some </w:t>
      </w:r>
      <w:r w:rsidR="00D11EC4" w:rsidRPr="00640047">
        <w:rPr>
          <w:rFonts w:ascii="Times New Roman" w:hAnsi="Times New Roman" w:cs="Times New Roman"/>
          <w:noProof/>
          <w:sz w:val="24"/>
          <w:szCs w:val="24"/>
          <w:lang w:val="en-GB"/>
        </w:rPr>
        <w:t>Member States</w:t>
      </w:r>
      <w:r w:rsidRPr="00640047">
        <w:rPr>
          <w:rStyle w:val="FootnoteReference"/>
          <w:rFonts w:ascii="Times New Roman" w:eastAsia="Times New Roman" w:hAnsi="Times New Roman" w:cs="Times New Roman"/>
          <w:noProof/>
          <w:sz w:val="24"/>
          <w:szCs w:val="24"/>
          <w:lang w:val="en-GB"/>
        </w:rPr>
        <w:footnoteReference w:id="29"/>
      </w:r>
      <w:r w:rsidRPr="00640047">
        <w:rPr>
          <w:rFonts w:ascii="Times New Roman" w:hAnsi="Times New Roman" w:cs="Times New Roman"/>
          <w:noProof/>
          <w:sz w:val="24"/>
          <w:szCs w:val="24"/>
          <w:lang w:val="en-GB"/>
        </w:rPr>
        <w:t xml:space="preserve">. In several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streamlined procedures</w:t>
      </w:r>
      <w:r w:rsidRPr="00640047">
        <w:rPr>
          <w:rStyle w:val="FootnoteReference"/>
          <w:rFonts w:ascii="Times New Roman" w:eastAsia="Times New Roman" w:hAnsi="Times New Roman" w:cs="Times New Roman"/>
          <w:noProof/>
          <w:sz w:val="24"/>
          <w:szCs w:val="24"/>
          <w:lang w:val="en-GB"/>
        </w:rPr>
        <w:footnoteReference w:id="30"/>
      </w:r>
      <w:r w:rsidRPr="00640047">
        <w:rPr>
          <w:rFonts w:ascii="Times New Roman" w:hAnsi="Times New Roman" w:cs="Times New Roman"/>
          <w:noProof/>
          <w:sz w:val="24"/>
          <w:szCs w:val="24"/>
          <w:lang w:val="en-GB"/>
        </w:rPr>
        <w:t xml:space="preserve"> and higher quotas </w:t>
      </w:r>
      <w:r w:rsidR="004A6DFB" w:rsidRPr="00640047">
        <w:rPr>
          <w:rFonts w:ascii="Times New Roman" w:hAnsi="Times New Roman" w:cs="Times New Roman"/>
          <w:noProof/>
          <w:sz w:val="24"/>
          <w:szCs w:val="24"/>
          <w:lang w:val="en-GB"/>
        </w:rPr>
        <w:t>of</w:t>
      </w:r>
      <w:r w:rsidRPr="00640047">
        <w:rPr>
          <w:rFonts w:ascii="Times New Roman" w:hAnsi="Times New Roman" w:cs="Times New Roman"/>
          <w:noProof/>
          <w:sz w:val="24"/>
          <w:szCs w:val="24"/>
          <w:lang w:val="en-GB"/>
        </w:rPr>
        <w:t xml:space="preserve"> </w:t>
      </w:r>
      <w:r w:rsidR="004A6DFB" w:rsidRPr="00640047">
        <w:rPr>
          <w:rFonts w:ascii="Times New Roman" w:hAnsi="Times New Roman" w:cs="Times New Roman"/>
          <w:noProof/>
          <w:sz w:val="24"/>
          <w:szCs w:val="24"/>
          <w:lang w:val="en-GB"/>
        </w:rPr>
        <w:t xml:space="preserve">admission </w:t>
      </w:r>
      <w:r w:rsidR="006C1DCC" w:rsidRPr="00640047">
        <w:rPr>
          <w:rFonts w:ascii="Times New Roman" w:hAnsi="Times New Roman" w:cs="Times New Roman"/>
          <w:noProof/>
          <w:sz w:val="24"/>
          <w:szCs w:val="24"/>
          <w:lang w:val="en-GB"/>
        </w:rPr>
        <w:t xml:space="preserve">for </w:t>
      </w:r>
      <w:r w:rsidR="009C2946" w:rsidRPr="00640047">
        <w:rPr>
          <w:rFonts w:ascii="Times New Roman" w:hAnsi="Times New Roman" w:cs="Times New Roman"/>
          <w:noProof/>
          <w:sz w:val="24"/>
          <w:szCs w:val="24"/>
          <w:lang w:val="en-GB"/>
        </w:rPr>
        <w:t>third-country seasonal workers</w:t>
      </w:r>
      <w:r w:rsidRPr="00640047">
        <w:rPr>
          <w:rStyle w:val="FootnoteReference"/>
          <w:rFonts w:ascii="Times New Roman" w:eastAsia="Times New Roman" w:hAnsi="Times New Roman" w:cs="Times New Roman"/>
          <w:noProof/>
          <w:sz w:val="24"/>
          <w:szCs w:val="24"/>
          <w:lang w:val="en-GB"/>
        </w:rPr>
        <w:footnoteReference w:id="31"/>
      </w:r>
      <w:r w:rsidRPr="00640047">
        <w:rPr>
          <w:rFonts w:ascii="Times New Roman" w:hAnsi="Times New Roman" w:cs="Times New Roman"/>
          <w:noProof/>
          <w:sz w:val="24"/>
          <w:szCs w:val="24"/>
          <w:lang w:val="en-GB"/>
        </w:rPr>
        <w:t xml:space="preserve"> have made </w:t>
      </w:r>
      <w:r w:rsidR="00EC7834" w:rsidRPr="00640047">
        <w:rPr>
          <w:rFonts w:ascii="Times New Roman" w:hAnsi="Times New Roman" w:cs="Times New Roman"/>
          <w:noProof/>
          <w:sz w:val="24"/>
          <w:szCs w:val="24"/>
          <w:lang w:val="en-GB"/>
        </w:rPr>
        <w:t xml:space="preserve">mobility </w:t>
      </w:r>
      <w:r w:rsidR="006C1DCC" w:rsidRPr="00640047">
        <w:rPr>
          <w:rFonts w:ascii="Times New Roman" w:hAnsi="Times New Roman" w:cs="Times New Roman"/>
          <w:noProof/>
          <w:sz w:val="24"/>
          <w:szCs w:val="24"/>
          <w:lang w:val="en-GB"/>
        </w:rPr>
        <w:t>pathways</w:t>
      </w:r>
      <w:r w:rsidRPr="00640047">
        <w:rPr>
          <w:rFonts w:ascii="Times New Roman" w:hAnsi="Times New Roman" w:cs="Times New Roman"/>
          <w:noProof/>
          <w:sz w:val="24"/>
          <w:szCs w:val="24"/>
          <w:lang w:val="en-GB"/>
        </w:rPr>
        <w:t xml:space="preserve"> more attractive and accessible. Intensified labour inspections and higher detection of irregularities</w:t>
      </w:r>
      <w:r w:rsidRPr="00640047">
        <w:rPr>
          <w:rStyle w:val="FootnoteReference"/>
          <w:rFonts w:ascii="Times New Roman" w:hAnsi="Times New Roman" w:cs="Times New Roman"/>
          <w:noProof/>
          <w:sz w:val="24"/>
          <w:szCs w:val="24"/>
          <w:lang w:val="en-GB"/>
        </w:rPr>
        <w:footnoteReference w:id="32"/>
      </w:r>
      <w:r w:rsidRPr="00640047">
        <w:rPr>
          <w:rFonts w:ascii="Times New Roman" w:hAnsi="Times New Roman" w:cs="Times New Roman"/>
          <w:noProof/>
          <w:sz w:val="24"/>
          <w:szCs w:val="24"/>
          <w:lang w:val="en-GB"/>
        </w:rPr>
        <w:t xml:space="preserve"> in the same period suggest that growth in legal employment may have been triggered in some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by the taking of more decisive action against undeclared work and illegal employment.</w:t>
      </w:r>
    </w:p>
    <w:p w14:paraId="3760C3F1" w14:textId="6B45D55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2024, </w:t>
      </w:r>
      <w:r w:rsidR="00EB1A9F" w:rsidRPr="00640047">
        <w:rPr>
          <w:rFonts w:ascii="Times New Roman" w:hAnsi="Times New Roman" w:cs="Times New Roman"/>
          <w:noProof/>
          <w:sz w:val="24"/>
          <w:szCs w:val="24"/>
          <w:lang w:val="en-GB"/>
        </w:rPr>
        <w:t>six</w:t>
      </w:r>
      <w:r w:rsidRPr="00640047">
        <w:rPr>
          <w:rFonts w:ascii="Times New Roman" w:hAnsi="Times New Roman" w:cs="Times New Roman"/>
          <w:noProof/>
          <w:sz w:val="24"/>
          <w:szCs w:val="24"/>
          <w:lang w:val="en-GB"/>
        </w:rPr>
        <w:t xml:space="preserve">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accounted for </w:t>
      </w:r>
      <w:r w:rsidR="00EB1A9F" w:rsidRPr="00640047">
        <w:rPr>
          <w:rFonts w:ascii="Times New Roman" w:hAnsi="Times New Roman" w:cs="Times New Roman"/>
          <w:noProof/>
          <w:sz w:val="24"/>
          <w:szCs w:val="24"/>
          <w:lang w:val="en-GB"/>
        </w:rPr>
        <w:t>over 90</w:t>
      </w:r>
      <w:r w:rsidRPr="00640047">
        <w:rPr>
          <w:rFonts w:ascii="Times New Roman" w:hAnsi="Times New Roman" w:cs="Times New Roman"/>
          <w:noProof/>
          <w:sz w:val="24"/>
          <w:szCs w:val="24"/>
          <w:lang w:val="en-GB"/>
        </w:rPr>
        <w:t xml:space="preserve">% of authorisations under the </w:t>
      </w:r>
      <w:r w:rsidR="00E3323E" w:rsidRPr="00640047">
        <w:rPr>
          <w:rFonts w:ascii="Times New Roman" w:hAnsi="Times New Roman" w:cs="Times New Roman"/>
          <w:noProof/>
          <w:sz w:val="24"/>
          <w:szCs w:val="24"/>
          <w:lang w:val="en-GB"/>
        </w:rPr>
        <w:t xml:space="preserve">scope of the </w:t>
      </w:r>
      <w:r w:rsidRPr="00640047">
        <w:rPr>
          <w:rFonts w:ascii="Times New Roman" w:hAnsi="Times New Roman" w:cs="Times New Roman"/>
          <w:noProof/>
          <w:sz w:val="24"/>
          <w:szCs w:val="24"/>
          <w:lang w:val="en-GB"/>
        </w:rPr>
        <w:t xml:space="preserve">Directive: Italy (146 099; 53%), France (41 700; 15%), Spain (20 810; 8%), </w:t>
      </w:r>
      <w:r w:rsidR="00B46F40" w:rsidRPr="00640047">
        <w:rPr>
          <w:rFonts w:ascii="Times New Roman" w:hAnsi="Times New Roman" w:cs="Times New Roman"/>
          <w:noProof/>
          <w:sz w:val="24"/>
          <w:szCs w:val="24"/>
          <w:lang w:val="en-GB"/>
        </w:rPr>
        <w:t xml:space="preserve">Croatia (16 555; 6%), </w:t>
      </w:r>
      <w:r w:rsidRPr="00640047">
        <w:rPr>
          <w:rFonts w:ascii="Times New Roman" w:hAnsi="Times New Roman" w:cs="Times New Roman"/>
          <w:noProof/>
          <w:sz w:val="24"/>
          <w:szCs w:val="24"/>
          <w:lang w:val="en-GB"/>
        </w:rPr>
        <w:t>Greece (15 206; 6%) and Bulgaria (9 542; 3%). Almost 70% of authorisations were issued to people from the following non-EU countries: Morocco (7</w:t>
      </w:r>
      <w:r w:rsidR="001F0FA8" w:rsidRPr="00640047">
        <w:rPr>
          <w:rFonts w:ascii="Times New Roman" w:hAnsi="Times New Roman" w:cs="Times New Roman"/>
          <w:noProof/>
          <w:sz w:val="24"/>
          <w:szCs w:val="24"/>
          <w:lang w:val="en-GB"/>
        </w:rPr>
        <w:t>6</w:t>
      </w:r>
      <w:r w:rsidRPr="00640047">
        <w:rPr>
          <w:rFonts w:ascii="Times New Roman" w:hAnsi="Times New Roman" w:cs="Times New Roman"/>
          <w:noProof/>
          <w:sz w:val="24"/>
          <w:szCs w:val="24"/>
          <w:lang w:val="en-GB"/>
        </w:rPr>
        <w:t xml:space="preserve"> 579; 28%), Bangladesh (53 567; 20%), India (39 137; 14%), Tunisia (12 675; 5%) and Ukraine (7 524; 3%). Except for Ukrainian workers, largely concentrated in Poland, </w:t>
      </w:r>
      <w:r w:rsidR="003D4454" w:rsidRPr="00640047">
        <w:rPr>
          <w:rFonts w:ascii="Times New Roman" w:hAnsi="Times New Roman" w:cs="Times New Roman"/>
          <w:noProof/>
          <w:sz w:val="24"/>
          <w:szCs w:val="24"/>
          <w:lang w:val="en-GB"/>
        </w:rPr>
        <w:t>other above</w:t>
      </w:r>
      <w:r w:rsidR="004948A2">
        <w:rPr>
          <w:rFonts w:ascii="Times New Roman" w:hAnsi="Times New Roman" w:cs="Times New Roman"/>
          <w:noProof/>
          <w:sz w:val="24"/>
          <w:szCs w:val="24"/>
          <w:lang w:val="en-GB"/>
        </w:rPr>
        <w:t>-</w:t>
      </w:r>
      <w:r w:rsidR="003D4454" w:rsidRPr="00640047">
        <w:rPr>
          <w:rFonts w:ascii="Times New Roman" w:hAnsi="Times New Roman" w:cs="Times New Roman"/>
          <w:noProof/>
          <w:sz w:val="24"/>
          <w:szCs w:val="24"/>
          <w:lang w:val="en-GB"/>
        </w:rPr>
        <w:t>mentioned nationalities</w:t>
      </w:r>
      <w:r w:rsidRPr="00640047">
        <w:rPr>
          <w:rFonts w:ascii="Times New Roman" w:hAnsi="Times New Roman" w:cs="Times New Roman"/>
          <w:noProof/>
          <w:sz w:val="24"/>
          <w:szCs w:val="24"/>
          <w:lang w:val="en-GB"/>
        </w:rPr>
        <w:t xml:space="preserve"> were predominantly employed in southern Europe, particularly Italy, France and Spain. </w:t>
      </w:r>
    </w:p>
    <w:p w14:paraId="1649CDCB" w14:textId="29DC296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2024, most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admitted under the Directive were men (at least 216</w:t>
      </w:r>
      <w:r w:rsidR="004948A2">
        <w:rPr>
          <w:rFonts w:ascii="Times New Roman" w:hAnsi="Times New Roman" w:cs="Times New Roman"/>
          <w:noProof/>
          <w:sz w:val="24"/>
          <w:szCs w:val="24"/>
          <w:lang w:val="en-GB"/>
        </w:rPr>
        <w:t> </w:t>
      </w:r>
      <w:r w:rsidRPr="00640047">
        <w:rPr>
          <w:rFonts w:ascii="Times New Roman" w:hAnsi="Times New Roman" w:cs="Times New Roman"/>
          <w:noProof/>
          <w:sz w:val="24"/>
          <w:szCs w:val="24"/>
          <w:lang w:val="en-GB"/>
        </w:rPr>
        <w:t>954), while women accounted for almost one fifth (at least 53 895, or 20%)</w:t>
      </w:r>
      <w:r w:rsidR="001F0FA8" w:rsidRPr="00640047">
        <w:rPr>
          <w:rStyle w:val="FootnoteReference"/>
          <w:rFonts w:ascii="Times New Roman" w:hAnsi="Times New Roman" w:cs="Times New Roman"/>
          <w:noProof/>
          <w:sz w:val="24"/>
          <w:szCs w:val="24"/>
          <w:lang w:val="en-GB"/>
        </w:rPr>
        <w:footnoteReference w:id="33"/>
      </w:r>
      <w:r w:rsidRPr="00640047">
        <w:rPr>
          <w:rFonts w:ascii="Times New Roman" w:hAnsi="Times New Roman" w:cs="Times New Roman"/>
          <w:noProof/>
          <w:sz w:val="24"/>
          <w:szCs w:val="24"/>
          <w:lang w:val="en-GB"/>
        </w:rPr>
        <w:t xml:space="preserve">. Although men predominated in most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women represented more than 88% of seasonal workers under the Directive in Poland (4 516) and more than 80% in Spain (16 677)</w:t>
      </w:r>
      <w:r w:rsidRPr="00640047">
        <w:rPr>
          <w:rStyle w:val="FootnoteReference"/>
          <w:rFonts w:ascii="Times New Roman" w:hAnsi="Times New Roman" w:cs="Times New Roman"/>
          <w:noProof/>
          <w:sz w:val="24"/>
          <w:szCs w:val="24"/>
          <w:lang w:val="en-GB"/>
        </w:rPr>
        <w:footnoteReference w:id="34"/>
      </w:r>
      <w:r w:rsidRPr="00640047">
        <w:rPr>
          <w:rFonts w:ascii="Times New Roman" w:hAnsi="Times New Roman" w:cs="Times New Roman"/>
          <w:noProof/>
          <w:sz w:val="24"/>
          <w:szCs w:val="24"/>
          <w:lang w:val="en-GB"/>
        </w:rPr>
        <w:t xml:space="preserve">. </w:t>
      </w:r>
    </w:p>
    <w:p w14:paraId="2868A509" w14:textId="25EC757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Eurostat data for 2024 show that authorisations are concentrated in agriculture, forestry and fishing (196 650; 72%) and accommodation and food service activities (47 203; 17%). Several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rely on parallel admission routes not governed by the Directive to meet seasonal labour needs. They also use students</w:t>
      </w:r>
      <w:bookmarkStart w:id="10" w:name="_Ref220418120"/>
      <w:r w:rsidRPr="00640047">
        <w:rPr>
          <w:rStyle w:val="FootnoteReference"/>
          <w:rFonts w:ascii="Times New Roman" w:hAnsi="Times New Roman" w:cs="Times New Roman"/>
          <w:noProof/>
          <w:lang w:val="en-GB"/>
        </w:rPr>
        <w:footnoteReference w:id="35"/>
      </w:r>
      <w:bookmarkEnd w:id="10"/>
      <w:r w:rsidRPr="00640047">
        <w:rPr>
          <w:rFonts w:ascii="Times New Roman" w:hAnsi="Times New Roman" w:cs="Times New Roman"/>
          <w:noProof/>
          <w:sz w:val="24"/>
          <w:szCs w:val="24"/>
          <w:lang w:val="en-GB"/>
        </w:rPr>
        <w:t>, applicants for, or beneficiaries of, international protection</w:t>
      </w:r>
      <w:bookmarkStart w:id="11" w:name="_Ref221275612"/>
      <w:r w:rsidRPr="00640047">
        <w:rPr>
          <w:rFonts w:ascii="Times New Roman" w:hAnsi="Times New Roman" w:cs="Times New Roman"/>
          <w:noProof/>
          <w:sz w:val="24"/>
          <w:szCs w:val="24"/>
          <w:vertAlign w:val="superscript"/>
          <w:lang w:val="en-GB"/>
        </w:rPr>
        <w:footnoteReference w:id="36"/>
      </w:r>
      <w:bookmarkEnd w:id="11"/>
      <w:r w:rsidRPr="00640047">
        <w:rPr>
          <w:rFonts w:ascii="Times New Roman" w:hAnsi="Times New Roman" w:cs="Times New Roman"/>
          <w:noProof/>
          <w:sz w:val="24"/>
          <w:szCs w:val="24"/>
          <w:lang w:val="en-GB"/>
        </w:rPr>
        <w:t xml:space="preserve"> from non-EU countries, and national seasonal work permits for people already present on their territory. Other </w:t>
      </w:r>
      <w:r w:rsidR="008B4B5D" w:rsidRPr="00640047">
        <w:rPr>
          <w:rFonts w:ascii="Times New Roman" w:hAnsi="Times New Roman" w:cs="Times New Roman"/>
          <w:noProof/>
          <w:sz w:val="24"/>
          <w:szCs w:val="24"/>
          <w:lang w:val="en-GB"/>
        </w:rPr>
        <w:t>third-country nationals</w:t>
      </w:r>
      <w:r w:rsidRPr="00640047">
        <w:rPr>
          <w:rFonts w:ascii="Times New Roman" w:hAnsi="Times New Roman" w:cs="Times New Roman"/>
          <w:noProof/>
          <w:sz w:val="24"/>
          <w:szCs w:val="24"/>
          <w:lang w:val="en-GB"/>
        </w:rPr>
        <w:t xml:space="preserve"> with the right to work or perform a remunerated activity</w:t>
      </w:r>
      <w:r w:rsidR="000F3B0D"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 xml:space="preserve">also work in seasonal sectors. The share of illegally employed workers from non-EU countries remains high in seasonal sectors in many </w:t>
      </w:r>
      <w:r w:rsidR="00D11EC4" w:rsidRPr="00640047">
        <w:rPr>
          <w:rFonts w:ascii="Times New Roman" w:hAnsi="Times New Roman" w:cs="Times New Roman"/>
          <w:noProof/>
          <w:sz w:val="24"/>
          <w:szCs w:val="24"/>
          <w:lang w:val="en-GB"/>
        </w:rPr>
        <w:t>Member States</w:t>
      </w:r>
      <w:r w:rsidR="009D5658" w:rsidRPr="00640047">
        <w:rPr>
          <w:rStyle w:val="FootnoteReference"/>
          <w:rFonts w:ascii="Times New Roman" w:hAnsi="Times New Roman" w:cs="Times New Roman"/>
          <w:noProof/>
          <w:sz w:val="24"/>
          <w:szCs w:val="24"/>
          <w:lang w:val="en-GB"/>
        </w:rPr>
        <w:footnoteReference w:id="37"/>
      </w:r>
      <w:r w:rsidRPr="00640047">
        <w:rPr>
          <w:rFonts w:ascii="Times New Roman" w:hAnsi="Times New Roman" w:cs="Times New Roman"/>
          <w:noProof/>
          <w:sz w:val="24"/>
          <w:szCs w:val="24"/>
          <w:lang w:val="en-GB"/>
        </w:rPr>
        <w:t>.</w:t>
      </w:r>
    </w:p>
    <w:p w14:paraId="51901E43" w14:textId="39478B5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Divergent national definitions</w:t>
      </w:r>
      <w:r w:rsidR="001A384F" w:rsidRPr="00640047">
        <w:rPr>
          <w:rFonts w:ascii="Times New Roman" w:hAnsi="Times New Roman" w:cs="Times New Roman"/>
          <w:noProof/>
          <w:sz w:val="24"/>
          <w:szCs w:val="24"/>
          <w:lang w:val="en-GB"/>
        </w:rPr>
        <w:t xml:space="preserve"> of seasonal sectors, which are</w:t>
      </w:r>
      <w:r w:rsidRPr="00640047">
        <w:rPr>
          <w:rFonts w:ascii="Times New Roman" w:hAnsi="Times New Roman" w:cs="Times New Roman"/>
          <w:noProof/>
          <w:sz w:val="24"/>
          <w:szCs w:val="24"/>
          <w:lang w:val="en-GB"/>
        </w:rPr>
        <w:t xml:space="preserve"> due to the wide discretion </w:t>
      </w:r>
      <w:r w:rsidR="001A384F" w:rsidRPr="00640047">
        <w:rPr>
          <w:rFonts w:ascii="Times New Roman" w:hAnsi="Times New Roman" w:cs="Times New Roman"/>
          <w:noProof/>
          <w:sz w:val="24"/>
          <w:szCs w:val="24"/>
          <w:lang w:val="en-GB"/>
        </w:rPr>
        <w:t xml:space="preserve">of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w:t>
      </w:r>
      <w:r w:rsidR="001A384F" w:rsidRPr="00640047">
        <w:rPr>
          <w:rFonts w:ascii="Times New Roman" w:hAnsi="Times New Roman" w:cs="Times New Roman"/>
          <w:noProof/>
          <w:sz w:val="24"/>
          <w:szCs w:val="24"/>
          <w:lang w:val="en-GB"/>
        </w:rPr>
        <w:t xml:space="preserve">left by </w:t>
      </w:r>
      <w:r w:rsidRPr="00640047">
        <w:rPr>
          <w:rFonts w:ascii="Times New Roman" w:hAnsi="Times New Roman" w:cs="Times New Roman"/>
          <w:noProof/>
          <w:sz w:val="24"/>
          <w:szCs w:val="24"/>
          <w:lang w:val="en-GB"/>
        </w:rPr>
        <w:t xml:space="preserve">the Directive and parallel admission </w:t>
      </w:r>
      <w:r w:rsidR="001A384F" w:rsidRPr="00640047">
        <w:rPr>
          <w:rFonts w:ascii="Times New Roman" w:hAnsi="Times New Roman" w:cs="Times New Roman"/>
          <w:noProof/>
          <w:sz w:val="24"/>
          <w:szCs w:val="24"/>
          <w:lang w:val="en-GB"/>
        </w:rPr>
        <w:t>pathways</w:t>
      </w:r>
      <w:r w:rsidRPr="00640047">
        <w:rPr>
          <w:rFonts w:ascii="Times New Roman" w:hAnsi="Times New Roman" w:cs="Times New Roman"/>
          <w:noProof/>
          <w:sz w:val="24"/>
          <w:szCs w:val="24"/>
          <w:lang w:val="en-GB"/>
        </w:rPr>
        <w:t xml:space="preserve"> for seasonal work, can result in uneven protection </w:t>
      </w:r>
      <w:r w:rsidR="001A384F" w:rsidRPr="00640047">
        <w:rPr>
          <w:rFonts w:ascii="Times New Roman" w:hAnsi="Times New Roman" w:cs="Times New Roman"/>
          <w:noProof/>
          <w:sz w:val="24"/>
          <w:szCs w:val="24"/>
          <w:lang w:val="en-GB"/>
        </w:rPr>
        <w:t>for workers</w:t>
      </w:r>
      <w:r w:rsidRPr="00640047">
        <w:rPr>
          <w:rFonts w:ascii="Times New Roman" w:hAnsi="Times New Roman" w:cs="Times New Roman"/>
          <w:noProof/>
          <w:sz w:val="24"/>
          <w:szCs w:val="24"/>
          <w:lang w:val="en-GB"/>
        </w:rPr>
        <w:t xml:space="preserve"> and make monitoring, inspection planning and data comparability across the EU difficult.</w:t>
      </w:r>
    </w:p>
    <w:p w14:paraId="20E5E1EF" w14:textId="77777777" w:rsidR="006976D7" w:rsidRPr="00640047"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Authorisations for seasonal work, admission criteria, procedures and fees</w:t>
      </w:r>
    </w:p>
    <w:p w14:paraId="2E194F63" w14:textId="129EFFF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12 of the Directive </w:t>
      </w:r>
      <w:r w:rsidR="00D11EC4" w:rsidRPr="00640047">
        <w:rPr>
          <w:rFonts w:ascii="Times New Roman" w:hAnsi="Times New Roman" w:cs="Times New Roman"/>
          <w:noProof/>
          <w:sz w:val="24"/>
          <w:szCs w:val="24"/>
          <w:lang w:val="en-GB"/>
        </w:rPr>
        <w:t>requires Member States</w:t>
      </w:r>
      <w:r w:rsidRPr="00640047">
        <w:rPr>
          <w:rFonts w:ascii="Times New Roman" w:hAnsi="Times New Roman" w:cs="Times New Roman"/>
          <w:noProof/>
          <w:sz w:val="24"/>
          <w:szCs w:val="24"/>
          <w:lang w:val="en-GB"/>
        </w:rPr>
        <w:t xml:space="preserve"> to issue an authorisation for seasonal work if the admission conditions are met and there are no grounds for rejection, subject, where relevant, to the availability of quotas. Almost all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transposed this obligation correctly.</w:t>
      </w:r>
    </w:p>
    <w:p w14:paraId="1C07605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According to Eurostat data, in 2024, most seasonal work authorisations concerned stays exceeding 90 days. Only 11% (30 843) were issued for stays not exceeding 90 days. Such short-stay authorisations were mainly issued by Bulgaria and Finland, where they accounted for 81% (7 744) and 74% (3 463) of their totals respectively</w:t>
      </w:r>
      <w:r w:rsidRPr="00640047">
        <w:rPr>
          <w:rStyle w:val="FootnoteReference"/>
          <w:rFonts w:ascii="Times New Roman" w:hAnsi="Times New Roman" w:cs="Times New Roman"/>
          <w:noProof/>
          <w:sz w:val="24"/>
          <w:szCs w:val="24"/>
          <w:lang w:val="en-GB"/>
        </w:rPr>
        <w:footnoteReference w:id="38"/>
      </w:r>
      <w:r w:rsidRPr="00640047">
        <w:rPr>
          <w:rFonts w:ascii="Times New Roman" w:hAnsi="Times New Roman" w:cs="Times New Roman"/>
          <w:noProof/>
          <w:sz w:val="24"/>
          <w:szCs w:val="24"/>
          <w:lang w:val="en-GB"/>
        </w:rPr>
        <w:t xml:space="preserve">. </w:t>
      </w:r>
    </w:p>
    <w:p w14:paraId="62076EC6"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Authorisations not exceeding 90 days – Article 5 and Article 12(1)</w:t>
      </w:r>
    </w:p>
    <w:p w14:paraId="52319039" w14:textId="7A36A19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For short-stay seasonal work, </w:t>
      </w:r>
      <w:r w:rsidR="00AE0520" w:rsidRPr="00640047">
        <w:rPr>
          <w:rFonts w:ascii="Times New Roman" w:hAnsi="Times New Roman" w:cs="Times New Roman"/>
          <w:noProof/>
          <w:sz w:val="24"/>
          <w:szCs w:val="24"/>
          <w:lang w:val="en-GB"/>
        </w:rPr>
        <w:t xml:space="preserve">not exceeding 90 days,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apply one or more of the three authorisation models set out in Article 12(1)</w:t>
      </w:r>
      <w:r w:rsidR="00AE0520" w:rsidRPr="00640047">
        <w:rPr>
          <w:rFonts w:ascii="Times New Roman" w:hAnsi="Times New Roman" w:cs="Times New Roman"/>
          <w:noProof/>
          <w:sz w:val="24"/>
          <w:szCs w:val="24"/>
          <w:lang w:val="en-GB"/>
        </w:rPr>
        <w:t xml:space="preserve"> of the Directive</w:t>
      </w:r>
      <w:r w:rsidRPr="00640047">
        <w:rPr>
          <w:rFonts w:ascii="Times New Roman" w:hAnsi="Times New Roman" w:cs="Times New Roman"/>
          <w:noProof/>
          <w:sz w:val="24"/>
          <w:szCs w:val="24"/>
          <w:lang w:val="en-GB"/>
        </w:rPr>
        <w:t>: a dedicated short-stay visa for seasonal work</w:t>
      </w:r>
      <w:r w:rsidRPr="00640047">
        <w:rPr>
          <w:rStyle w:val="FootnoteReference"/>
          <w:rFonts w:ascii="Times New Roman" w:eastAsia="Times New Roman" w:hAnsi="Times New Roman" w:cs="Times New Roman"/>
          <w:noProof/>
          <w:sz w:val="24"/>
          <w:szCs w:val="24"/>
          <w:lang w:val="en-GB"/>
        </w:rPr>
        <w:footnoteReference w:id="39"/>
      </w:r>
      <w:r w:rsidRPr="00640047">
        <w:rPr>
          <w:rFonts w:ascii="Times New Roman" w:hAnsi="Times New Roman" w:cs="Times New Roman"/>
          <w:noProof/>
          <w:sz w:val="24"/>
          <w:szCs w:val="24"/>
          <w:lang w:val="en-GB"/>
        </w:rPr>
        <w:t>, a combination of a short-stay visa and a work permit</w:t>
      </w:r>
      <w:r w:rsidRPr="00640047">
        <w:rPr>
          <w:rStyle w:val="FootnoteReference"/>
          <w:rFonts w:ascii="Times New Roman" w:eastAsia="Times New Roman" w:hAnsi="Times New Roman" w:cs="Times New Roman"/>
          <w:noProof/>
          <w:sz w:val="24"/>
          <w:szCs w:val="24"/>
          <w:lang w:val="en-GB"/>
        </w:rPr>
        <w:footnoteReference w:id="40"/>
      </w:r>
      <w:r w:rsidRPr="00640047">
        <w:rPr>
          <w:rFonts w:ascii="Times New Roman" w:hAnsi="Times New Roman" w:cs="Times New Roman"/>
          <w:noProof/>
          <w:sz w:val="24"/>
          <w:szCs w:val="24"/>
          <w:lang w:val="en-GB"/>
        </w:rPr>
        <w:t>, or a stand-alone work permit for people who don’t require a visa</w:t>
      </w:r>
      <w:r w:rsidRPr="00640047">
        <w:rPr>
          <w:rStyle w:val="FootnoteReference"/>
          <w:rFonts w:ascii="Times New Roman" w:eastAsia="Times New Roman" w:hAnsi="Times New Roman" w:cs="Times New Roman"/>
          <w:noProof/>
          <w:sz w:val="24"/>
          <w:szCs w:val="24"/>
          <w:lang w:val="en-GB"/>
        </w:rPr>
        <w:footnoteReference w:id="41"/>
      </w:r>
      <w:r w:rsidRPr="00640047">
        <w:rPr>
          <w:rFonts w:ascii="Times New Roman" w:hAnsi="Times New Roman" w:cs="Times New Roman"/>
          <w:noProof/>
          <w:sz w:val="24"/>
          <w:szCs w:val="24"/>
          <w:lang w:val="en-GB"/>
        </w:rPr>
        <w:t>. Procedures</w:t>
      </w:r>
      <w:r w:rsidR="00BF1C09" w:rsidRPr="00640047">
        <w:rPr>
          <w:rFonts w:ascii="Times New Roman" w:hAnsi="Times New Roman" w:cs="Times New Roman"/>
          <w:noProof/>
          <w:sz w:val="24"/>
          <w:szCs w:val="24"/>
          <w:lang w:val="en-GB"/>
        </w:rPr>
        <w:t xml:space="preserve"> for obtaining an authorisation</w:t>
      </w:r>
      <w:r w:rsidRPr="00640047">
        <w:rPr>
          <w:rFonts w:ascii="Times New Roman" w:hAnsi="Times New Roman" w:cs="Times New Roman"/>
          <w:noProof/>
          <w:sz w:val="24"/>
          <w:szCs w:val="24"/>
          <w:lang w:val="en-GB"/>
        </w:rPr>
        <w:t xml:space="preserve"> typically involve two steps, with employers often first seeking approval/a work permit from the competent labour authorities, and then, if required, a worker applying for a visa. </w:t>
      </w:r>
    </w:p>
    <w:p w14:paraId="5276C2EE" w14:textId="05AE6F30"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Documentation requirements </w:t>
      </w:r>
      <w:r w:rsidR="00B60C1F" w:rsidRPr="00640047">
        <w:rPr>
          <w:rFonts w:ascii="Times New Roman" w:hAnsi="Times New Roman" w:cs="Times New Roman"/>
          <w:noProof/>
          <w:sz w:val="24"/>
          <w:szCs w:val="24"/>
          <w:lang w:val="en-GB"/>
        </w:rPr>
        <w:t xml:space="preserve">for obtaining an authorisation </w:t>
      </w:r>
      <w:r w:rsidRPr="00640047">
        <w:rPr>
          <w:rFonts w:ascii="Times New Roman" w:hAnsi="Times New Roman" w:cs="Times New Roman"/>
          <w:noProof/>
          <w:sz w:val="24"/>
          <w:szCs w:val="24"/>
          <w:lang w:val="en-GB"/>
        </w:rPr>
        <w:t>have largely been streamlined</w:t>
      </w:r>
      <w:r w:rsidR="00B60C1F" w:rsidRPr="00640047">
        <w:rPr>
          <w:rFonts w:ascii="Times New Roman" w:hAnsi="Times New Roman" w:cs="Times New Roman"/>
          <w:noProof/>
          <w:sz w:val="24"/>
          <w:szCs w:val="24"/>
          <w:lang w:val="en-GB"/>
        </w:rPr>
        <w:t xml:space="preserve"> and harmonised</w:t>
      </w:r>
      <w:r w:rsidRPr="00640047">
        <w:rPr>
          <w:rFonts w:ascii="Times New Roman" w:hAnsi="Times New Roman" w:cs="Times New Roman"/>
          <w:noProof/>
          <w:sz w:val="24"/>
          <w:szCs w:val="24"/>
          <w:lang w:val="en-GB"/>
        </w:rPr>
        <w:t xml:space="preserve"> in line with the exhaustive list in Article 5</w:t>
      </w:r>
      <w:r w:rsidR="00C338AB" w:rsidRPr="00640047">
        <w:rPr>
          <w:rFonts w:ascii="Times New Roman" w:hAnsi="Times New Roman" w:cs="Times New Roman"/>
          <w:noProof/>
          <w:sz w:val="24"/>
          <w:szCs w:val="24"/>
          <w:lang w:val="en-GB"/>
        </w:rPr>
        <w:t xml:space="preserve"> of the Directive</w:t>
      </w:r>
      <w:r w:rsidRPr="00640047">
        <w:rPr>
          <w:rFonts w:ascii="Times New Roman" w:hAnsi="Times New Roman" w:cs="Times New Roman"/>
          <w:noProof/>
          <w:sz w:val="24"/>
          <w:szCs w:val="24"/>
          <w:lang w:val="en-GB"/>
        </w:rPr>
        <w:t xml:space="preserve">. However, the conformity assessment found that the national legislation of 16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was initially not compliant</w:t>
      </w:r>
      <w:r w:rsidR="001E1D27" w:rsidRPr="00640047">
        <w:rPr>
          <w:rFonts w:ascii="Times New Roman" w:hAnsi="Times New Roman" w:cs="Times New Roman"/>
          <w:noProof/>
          <w:sz w:val="24"/>
          <w:szCs w:val="24"/>
          <w:lang w:val="en-GB"/>
        </w:rPr>
        <w:t xml:space="preserve"> with the Directive</w:t>
      </w:r>
      <w:r w:rsidRPr="00640047">
        <w:rPr>
          <w:rFonts w:ascii="Times New Roman" w:hAnsi="Times New Roman" w:cs="Times New Roman"/>
          <w:noProof/>
          <w:sz w:val="24"/>
          <w:szCs w:val="24"/>
          <w:lang w:val="en-GB"/>
        </w:rPr>
        <w:t xml:space="preserve">. Six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required additional documents, such as health insurance covering the whole stay </w:t>
      </w:r>
      <w:r w:rsidR="00263239">
        <w:rPr>
          <w:rFonts w:ascii="Times New Roman" w:hAnsi="Times New Roman" w:cs="Times New Roman"/>
          <w:noProof/>
          <w:sz w:val="24"/>
          <w:szCs w:val="24"/>
          <w:lang w:val="en-GB"/>
        </w:rPr>
        <w:t>(</w:t>
      </w:r>
      <w:r w:rsidR="00702322" w:rsidRPr="00702322">
        <w:rPr>
          <w:rFonts w:ascii="Times New Roman" w:hAnsi="Times New Roman" w:cs="Times New Roman"/>
          <w:noProof/>
          <w:sz w:val="24"/>
          <w:szCs w:val="24"/>
          <w:lang w:val="en-GB"/>
        </w:rPr>
        <w:t>instead of requiring it only for periods during which the seasonal worker is not covered by the social security of the Member State</w:t>
      </w:r>
      <w:r w:rsidR="00263239">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proof of professional qualifications</w:t>
      </w:r>
      <w:r w:rsidR="00EC3182">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or financial guarantees</w:t>
      </w:r>
      <w:r w:rsidR="001869C1" w:rsidRPr="00640047">
        <w:rPr>
          <w:rFonts w:ascii="Times New Roman" w:hAnsi="Times New Roman" w:cs="Times New Roman"/>
          <w:noProof/>
          <w:sz w:val="24"/>
          <w:szCs w:val="24"/>
          <w:lang w:val="en-GB"/>
        </w:rPr>
        <w:t xml:space="preserve"> for their return</w:t>
      </w:r>
      <w:r w:rsidRPr="00640047">
        <w:rPr>
          <w:rFonts w:ascii="Times New Roman" w:hAnsi="Times New Roman" w:cs="Times New Roman"/>
          <w:noProof/>
          <w:sz w:val="24"/>
          <w:szCs w:val="24"/>
          <w:lang w:val="en-GB"/>
        </w:rPr>
        <w:t xml:space="preserve">. Nine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did not require </w:t>
      </w:r>
      <w:r w:rsidR="00123791" w:rsidRPr="00640047">
        <w:rPr>
          <w:rFonts w:ascii="Times New Roman" w:hAnsi="Times New Roman" w:cs="Times New Roman"/>
          <w:noProof/>
          <w:sz w:val="24"/>
          <w:szCs w:val="24"/>
          <w:lang w:val="en-GB"/>
        </w:rPr>
        <w:t xml:space="preserve">some of the mandatory documents, such as </w:t>
      </w:r>
      <w:r w:rsidRPr="00640047">
        <w:rPr>
          <w:rFonts w:ascii="Times New Roman" w:hAnsi="Times New Roman" w:cs="Times New Roman"/>
          <w:noProof/>
          <w:sz w:val="24"/>
          <w:szCs w:val="24"/>
          <w:lang w:val="en-GB"/>
        </w:rPr>
        <w:t xml:space="preserve">a work contract or binding job offer, evidence of sickness insurance or evidence of adequate accommodation. Subsequent transposition measures have addressed these shortcomings, but evidentiary requirements still vary from one </w:t>
      </w:r>
      <w:r w:rsidR="009E44B4">
        <w:rPr>
          <w:rFonts w:ascii="Times New Roman" w:hAnsi="Times New Roman" w:cs="Times New Roman"/>
          <w:noProof/>
          <w:sz w:val="24"/>
          <w:szCs w:val="24"/>
          <w:lang w:val="en-GB"/>
        </w:rPr>
        <w:t>Member State</w:t>
      </w:r>
      <w:r w:rsidRPr="00640047">
        <w:rPr>
          <w:rFonts w:ascii="Times New Roman" w:hAnsi="Times New Roman" w:cs="Times New Roman"/>
          <w:noProof/>
          <w:sz w:val="24"/>
          <w:szCs w:val="24"/>
          <w:lang w:val="en-GB"/>
        </w:rPr>
        <w:t xml:space="preserve"> to another</w:t>
      </w:r>
      <w:r w:rsidR="009E44B4">
        <w:rPr>
          <w:rFonts w:ascii="Times New Roman" w:hAnsi="Times New Roman" w:cs="Times New Roman"/>
          <w:noProof/>
          <w:sz w:val="24"/>
          <w:szCs w:val="24"/>
          <w:lang w:val="en-GB"/>
        </w:rPr>
        <w:t>: for example,</w:t>
      </w:r>
      <w:r w:rsidRPr="00640047">
        <w:rPr>
          <w:rFonts w:ascii="Times New Roman" w:hAnsi="Times New Roman" w:cs="Times New Roman"/>
          <w:noProof/>
          <w:sz w:val="24"/>
          <w:szCs w:val="24"/>
          <w:lang w:val="en-GB"/>
        </w:rPr>
        <w:t xml:space="preserve"> </w:t>
      </w:r>
      <w:r w:rsidR="009E44B4">
        <w:rPr>
          <w:rFonts w:ascii="Times New Roman" w:hAnsi="Times New Roman" w:cs="Times New Roman"/>
          <w:noProof/>
          <w:sz w:val="24"/>
          <w:szCs w:val="24"/>
          <w:lang w:val="en-GB"/>
        </w:rPr>
        <w:t>s</w:t>
      </w:r>
      <w:r w:rsidRPr="00640047">
        <w:rPr>
          <w:rFonts w:ascii="Times New Roman" w:hAnsi="Times New Roman" w:cs="Times New Roman"/>
          <w:noProof/>
          <w:sz w:val="24"/>
          <w:szCs w:val="24"/>
          <w:lang w:val="en-GB"/>
        </w:rPr>
        <w:t>ome require declarations from employers</w:t>
      </w:r>
      <w:r w:rsidRPr="00640047">
        <w:rPr>
          <w:rStyle w:val="FootnoteReference"/>
          <w:rFonts w:ascii="Times New Roman" w:hAnsi="Times New Roman" w:cs="Times New Roman"/>
          <w:noProof/>
          <w:sz w:val="24"/>
          <w:szCs w:val="24"/>
          <w:lang w:val="en-GB"/>
        </w:rPr>
        <w:footnoteReference w:id="42"/>
      </w:r>
      <w:r w:rsidRPr="00640047">
        <w:rPr>
          <w:rFonts w:ascii="Times New Roman" w:hAnsi="Times New Roman" w:cs="Times New Roman"/>
          <w:noProof/>
          <w:sz w:val="24"/>
          <w:szCs w:val="24"/>
          <w:lang w:val="en-GB"/>
        </w:rPr>
        <w:t>, whereas others require formalised contractual evidence</w:t>
      </w:r>
      <w:r w:rsidRPr="00640047">
        <w:rPr>
          <w:rStyle w:val="FootnoteReference"/>
          <w:rFonts w:ascii="Times New Roman" w:hAnsi="Times New Roman" w:cs="Times New Roman"/>
          <w:noProof/>
          <w:sz w:val="24"/>
          <w:szCs w:val="24"/>
          <w:lang w:val="en-GB"/>
        </w:rPr>
        <w:footnoteReference w:id="43"/>
      </w:r>
      <w:r w:rsidRPr="00640047">
        <w:rPr>
          <w:rFonts w:ascii="Times New Roman" w:hAnsi="Times New Roman" w:cs="Times New Roman"/>
          <w:noProof/>
          <w:sz w:val="24"/>
          <w:szCs w:val="24"/>
          <w:lang w:val="en-GB"/>
        </w:rPr>
        <w:t xml:space="preserve">. </w:t>
      </w:r>
      <w:r w:rsidR="00D90875" w:rsidRPr="00640047">
        <w:rPr>
          <w:rFonts w:ascii="Times New Roman" w:hAnsi="Times New Roman" w:cs="Times New Roman"/>
          <w:noProof/>
          <w:sz w:val="24"/>
          <w:szCs w:val="24"/>
          <w:lang w:val="en-GB"/>
        </w:rPr>
        <w:t xml:space="preserve">Adequate </w:t>
      </w:r>
      <w:r w:rsidRPr="00640047">
        <w:rPr>
          <w:rFonts w:ascii="Times New Roman" w:hAnsi="Times New Roman" w:cs="Times New Roman"/>
          <w:noProof/>
          <w:sz w:val="24"/>
          <w:szCs w:val="24"/>
          <w:lang w:val="en-GB"/>
        </w:rPr>
        <w:t xml:space="preserve">pre-admission checks </w:t>
      </w:r>
      <w:r w:rsidR="00EF367C" w:rsidRPr="00640047">
        <w:rPr>
          <w:rFonts w:ascii="Times New Roman" w:hAnsi="Times New Roman" w:cs="Times New Roman"/>
          <w:noProof/>
          <w:sz w:val="24"/>
          <w:szCs w:val="24"/>
          <w:lang w:val="en-GB"/>
        </w:rPr>
        <w:t xml:space="preserve">by the relevant national authorities </w:t>
      </w:r>
      <w:r w:rsidRPr="00640047">
        <w:rPr>
          <w:rFonts w:ascii="Times New Roman" w:hAnsi="Times New Roman" w:cs="Times New Roman"/>
          <w:noProof/>
          <w:sz w:val="24"/>
          <w:szCs w:val="24"/>
          <w:lang w:val="en-GB"/>
        </w:rPr>
        <w:t xml:space="preserve">remain essential to ensure decent working and living conditions, protect workers and prevent abuse and fraud, as demonstrated by more stringent pre-admission checks in some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which have led to higher application rejection rates</w:t>
      </w:r>
      <w:r w:rsidRPr="00640047">
        <w:rPr>
          <w:rStyle w:val="FootnoteReference"/>
          <w:rFonts w:ascii="Times New Roman" w:hAnsi="Times New Roman" w:cs="Times New Roman"/>
          <w:noProof/>
          <w:sz w:val="24"/>
          <w:szCs w:val="24"/>
          <w:lang w:val="en-GB"/>
        </w:rPr>
        <w:footnoteReference w:id="44"/>
      </w:r>
      <w:r w:rsidRPr="00640047">
        <w:rPr>
          <w:rFonts w:ascii="Times New Roman" w:hAnsi="Times New Roman" w:cs="Times New Roman"/>
          <w:noProof/>
          <w:sz w:val="24"/>
          <w:szCs w:val="24"/>
          <w:lang w:val="en-GB"/>
        </w:rPr>
        <w:t>.</w:t>
      </w:r>
    </w:p>
    <w:p w14:paraId="312117B4"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Authorisations exceeding 90 days – Article 6 and Article 12(2)</w:t>
      </w:r>
    </w:p>
    <w:p w14:paraId="5D9715CD" w14:textId="048CB47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2024,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issued 240 104 seasonal work authorisations for stays exceeding 90 days, including 65 942 for stays of 91 days to five months and 174 162 for stays of 91 days to nine months. For this kind of authorisation,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chosen the option under Article 12(2) </w:t>
      </w:r>
      <w:r w:rsidR="004309C1"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that best fits their existing national migration arrangements and labour market management: some use long-stay visas</w:t>
      </w:r>
      <w:r w:rsidRPr="00640047">
        <w:rPr>
          <w:rStyle w:val="FootnoteReference"/>
          <w:rFonts w:ascii="Times New Roman" w:eastAsia="Times New Roman" w:hAnsi="Times New Roman" w:cs="Times New Roman"/>
          <w:noProof/>
          <w:sz w:val="24"/>
          <w:szCs w:val="24"/>
          <w:lang w:val="en-GB"/>
        </w:rPr>
        <w:footnoteReference w:id="45"/>
      </w:r>
      <w:r w:rsidRPr="00640047">
        <w:rPr>
          <w:rFonts w:ascii="Times New Roman" w:hAnsi="Times New Roman" w:cs="Times New Roman"/>
          <w:noProof/>
          <w:sz w:val="24"/>
          <w:szCs w:val="24"/>
          <w:lang w:val="en-GB"/>
        </w:rPr>
        <w:t>, some single residence and work permits</w:t>
      </w:r>
      <w:r w:rsidRPr="00640047">
        <w:rPr>
          <w:rStyle w:val="FootnoteReference"/>
          <w:rFonts w:ascii="Times New Roman" w:eastAsia="Times New Roman" w:hAnsi="Times New Roman" w:cs="Times New Roman"/>
          <w:noProof/>
          <w:sz w:val="24"/>
          <w:szCs w:val="24"/>
          <w:lang w:val="en-GB"/>
        </w:rPr>
        <w:footnoteReference w:id="46"/>
      </w:r>
      <w:r w:rsidRPr="00640047">
        <w:rPr>
          <w:rFonts w:ascii="Times New Roman" w:hAnsi="Times New Roman" w:cs="Times New Roman"/>
          <w:noProof/>
          <w:sz w:val="24"/>
          <w:szCs w:val="24"/>
          <w:lang w:val="en-GB"/>
        </w:rPr>
        <w:t>, requiring a visa only as an entry formality, if at all, and most combine long-stay visas with residence permits</w:t>
      </w:r>
      <w:r w:rsidRPr="00640047">
        <w:rPr>
          <w:rStyle w:val="FootnoteReference"/>
          <w:rFonts w:ascii="Times New Roman" w:eastAsia="Times New Roman" w:hAnsi="Times New Roman" w:cs="Times New Roman"/>
          <w:noProof/>
          <w:sz w:val="24"/>
          <w:szCs w:val="24"/>
          <w:lang w:val="en-GB"/>
        </w:rPr>
        <w:footnoteReference w:id="47"/>
      </w:r>
      <w:r w:rsidRPr="00640047">
        <w:rPr>
          <w:rFonts w:ascii="Times New Roman" w:hAnsi="Times New Roman" w:cs="Times New Roman"/>
          <w:noProof/>
          <w:sz w:val="24"/>
          <w:szCs w:val="24"/>
          <w:lang w:val="en-GB"/>
        </w:rPr>
        <w:t xml:space="preserve">. This has meant that procedures have continued to vary greatly across the EU. At the same time, documentation requirements for these long-stay authorisations </w:t>
      </w:r>
      <w:r w:rsidR="00AB23A3" w:rsidRPr="00640047">
        <w:rPr>
          <w:rFonts w:ascii="Times New Roman" w:hAnsi="Times New Roman" w:cs="Times New Roman"/>
          <w:noProof/>
          <w:sz w:val="24"/>
          <w:szCs w:val="24"/>
          <w:lang w:val="en-GB"/>
        </w:rPr>
        <w:t xml:space="preserve">are also streamlined and harmonised in line with the exhaustive list in Article 6. Member States </w:t>
      </w:r>
      <w:r w:rsidRPr="00640047">
        <w:rPr>
          <w:rFonts w:ascii="Times New Roman" w:hAnsi="Times New Roman" w:cs="Times New Roman"/>
          <w:noProof/>
          <w:sz w:val="24"/>
          <w:szCs w:val="24"/>
          <w:lang w:val="en-GB"/>
        </w:rPr>
        <w:t xml:space="preserve">have largely aligned </w:t>
      </w:r>
      <w:r w:rsidR="00AB23A3" w:rsidRPr="00640047">
        <w:rPr>
          <w:rFonts w:ascii="Times New Roman" w:hAnsi="Times New Roman" w:cs="Times New Roman"/>
          <w:noProof/>
          <w:sz w:val="24"/>
          <w:szCs w:val="24"/>
          <w:lang w:val="en-GB"/>
        </w:rPr>
        <w:t xml:space="preserve">their legislation </w:t>
      </w:r>
      <w:r w:rsidRPr="00640047">
        <w:rPr>
          <w:rFonts w:ascii="Times New Roman" w:hAnsi="Times New Roman" w:cs="Times New Roman"/>
          <w:noProof/>
          <w:sz w:val="24"/>
          <w:szCs w:val="24"/>
          <w:lang w:val="en-GB"/>
        </w:rPr>
        <w:t>with Article 6</w:t>
      </w:r>
      <w:r w:rsidR="004309C1" w:rsidRPr="00640047">
        <w:rPr>
          <w:rFonts w:ascii="Times New Roman" w:hAnsi="Times New Roman" w:cs="Times New Roman"/>
          <w:noProof/>
          <w:sz w:val="24"/>
          <w:szCs w:val="24"/>
          <w:lang w:val="en-GB"/>
        </w:rPr>
        <w:t xml:space="preserve"> of the Directive</w:t>
      </w:r>
      <w:r w:rsidRPr="00640047">
        <w:rPr>
          <w:rFonts w:ascii="Times New Roman" w:hAnsi="Times New Roman" w:cs="Times New Roman"/>
          <w:noProof/>
          <w:sz w:val="24"/>
          <w:szCs w:val="24"/>
          <w:lang w:val="en-GB"/>
        </w:rPr>
        <w:t>, following the correction of initial instances of incorrect transposition.</w:t>
      </w:r>
    </w:p>
    <w:p w14:paraId="082C494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Obligation to notify the decision on an application within 90 days – Article 18(1)</w:t>
      </w:r>
    </w:p>
    <w:p w14:paraId="26038FD8" w14:textId="6DEFFEA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To provide more legal certainty and enable employers and workers to plan within the short and time-sensitive seasonal window, Article 18(1) </w:t>
      </w:r>
      <w:r w:rsidR="004309C1"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requires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to notify applicants in writing of a decision regarding their application as soon as possible and, at the latest, within 90 days of the date of submission of a complete application. Transposition </w:t>
      </w:r>
      <w:r w:rsidR="00A757EF" w:rsidRPr="00640047">
        <w:rPr>
          <w:rFonts w:ascii="Times New Roman" w:hAnsi="Times New Roman" w:cs="Times New Roman"/>
          <w:noProof/>
          <w:sz w:val="24"/>
          <w:szCs w:val="24"/>
          <w:lang w:val="en-GB"/>
        </w:rPr>
        <w:t xml:space="preserve">of this provision </w:t>
      </w:r>
      <w:r w:rsidRPr="00640047">
        <w:rPr>
          <w:rFonts w:ascii="Times New Roman" w:hAnsi="Times New Roman" w:cs="Times New Roman"/>
          <w:noProof/>
          <w:sz w:val="24"/>
          <w:szCs w:val="24"/>
          <w:lang w:val="en-GB"/>
        </w:rPr>
        <w:t xml:space="preserve">is largely compliant across the EU, with initially </w:t>
      </w:r>
      <w:r w:rsidR="0062406D">
        <w:rPr>
          <w:rFonts w:ascii="Times New Roman" w:hAnsi="Times New Roman" w:cs="Times New Roman"/>
          <w:noProof/>
          <w:sz w:val="24"/>
          <w:szCs w:val="24"/>
          <w:lang w:val="en-GB"/>
        </w:rPr>
        <w:t xml:space="preserve">some instances of </w:t>
      </w:r>
      <w:r w:rsidRPr="00640047">
        <w:rPr>
          <w:rFonts w:ascii="Times New Roman" w:hAnsi="Times New Roman" w:cs="Times New Roman"/>
          <w:noProof/>
          <w:sz w:val="24"/>
          <w:szCs w:val="24"/>
          <w:lang w:val="en-GB"/>
        </w:rPr>
        <w:t xml:space="preserve">incorrect transposition in six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such as</w:t>
      </w:r>
      <w:r w:rsidR="002447FA">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the start of the deadline for the adoption of a decision on the application only after notification of the completeness of the application to the applicant, a requirement for timely adoption</w:t>
      </w:r>
      <w:r w:rsidR="00DB0AF6" w:rsidRPr="00640047">
        <w:rPr>
          <w:rFonts w:ascii="Times New Roman" w:hAnsi="Times New Roman" w:cs="Times New Roman"/>
          <w:noProof/>
          <w:sz w:val="24"/>
          <w:szCs w:val="24"/>
          <w:lang w:val="en-GB"/>
        </w:rPr>
        <w:t xml:space="preserve"> of the decision</w:t>
      </w:r>
      <w:r w:rsidRPr="00640047">
        <w:rPr>
          <w:rFonts w:ascii="Times New Roman" w:hAnsi="Times New Roman" w:cs="Times New Roman"/>
          <w:noProof/>
          <w:sz w:val="24"/>
          <w:szCs w:val="24"/>
          <w:lang w:val="en-GB"/>
        </w:rPr>
        <w:t xml:space="preserve"> instead of timely notification</w:t>
      </w:r>
      <w:r w:rsidR="00DB0AF6" w:rsidRPr="00640047">
        <w:rPr>
          <w:rFonts w:ascii="Times New Roman" w:hAnsi="Times New Roman" w:cs="Times New Roman"/>
          <w:noProof/>
          <w:sz w:val="24"/>
          <w:szCs w:val="24"/>
          <w:lang w:val="en-GB"/>
        </w:rPr>
        <w:t xml:space="preserve"> to the applicant</w:t>
      </w:r>
      <w:r w:rsidRPr="00640047">
        <w:rPr>
          <w:rFonts w:ascii="Times New Roman" w:hAnsi="Times New Roman" w:cs="Times New Roman"/>
          <w:noProof/>
          <w:sz w:val="24"/>
          <w:szCs w:val="24"/>
          <w:lang w:val="en-GB"/>
        </w:rPr>
        <w:t>, the possibility of unjustified extensions</w:t>
      </w:r>
      <w:r w:rsidR="000E2E46">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and no obligation to notify a refusal in writing.</w:t>
      </w:r>
    </w:p>
    <w:p w14:paraId="71B218A6" w14:textId="5D4BD0E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In practice, processing times still vary significantly</w:t>
      </w:r>
      <w:r w:rsidR="00E25F1E" w:rsidRPr="00640047">
        <w:rPr>
          <w:rFonts w:ascii="Times New Roman" w:hAnsi="Times New Roman" w:cs="Times New Roman"/>
          <w:noProof/>
          <w:sz w:val="24"/>
          <w:szCs w:val="24"/>
          <w:lang w:val="en-GB"/>
        </w:rPr>
        <w:t xml:space="preserve"> amongst Member States</w:t>
      </w:r>
      <w:r w:rsidRPr="00640047">
        <w:rPr>
          <w:rFonts w:ascii="Times New Roman" w:hAnsi="Times New Roman" w:cs="Times New Roman"/>
          <w:noProof/>
          <w:sz w:val="24"/>
          <w:szCs w:val="24"/>
          <w:lang w:val="en-GB"/>
        </w:rPr>
        <w:t>, reflecting different administrative set-ups, the number of authorities involved, the use of labour market tests or quotas</w:t>
      </w:r>
      <w:r w:rsidRPr="00640047">
        <w:rPr>
          <w:rStyle w:val="FootnoteReference"/>
          <w:rFonts w:ascii="Times New Roman" w:eastAsia="Times New Roman" w:hAnsi="Times New Roman" w:cs="Times New Roman"/>
          <w:noProof/>
          <w:sz w:val="24"/>
          <w:szCs w:val="24"/>
          <w:lang w:val="en-GB"/>
        </w:rPr>
        <w:footnoteReference w:id="48"/>
      </w:r>
      <w:r w:rsidRPr="00640047">
        <w:rPr>
          <w:rFonts w:ascii="Times New Roman" w:hAnsi="Times New Roman" w:cs="Times New Roman"/>
          <w:noProof/>
          <w:sz w:val="24"/>
          <w:szCs w:val="24"/>
          <w:lang w:val="en-GB"/>
        </w:rPr>
        <w:t>, regionalised procedures, levels of digitalisation and available resources. Streamlined online application models, especially for stays not exceeding 90 days, tend to deliver the fastest outcomes</w:t>
      </w:r>
      <w:r w:rsidRPr="00640047">
        <w:rPr>
          <w:rStyle w:val="FootnoteReference"/>
          <w:rFonts w:ascii="Times New Roman" w:eastAsia="Times New Roman" w:hAnsi="Times New Roman" w:cs="Times New Roman"/>
          <w:noProof/>
          <w:sz w:val="24"/>
          <w:szCs w:val="24"/>
          <w:lang w:val="en-GB"/>
        </w:rPr>
        <w:footnoteReference w:id="49"/>
      </w:r>
      <w:r w:rsidRPr="00640047">
        <w:rPr>
          <w:rFonts w:ascii="Times New Roman" w:hAnsi="Times New Roman" w:cs="Times New Roman"/>
          <w:noProof/>
          <w:sz w:val="24"/>
          <w:szCs w:val="24"/>
          <w:lang w:val="en-GB"/>
        </w:rPr>
        <w:t>, while quota-bound, multi-authority permit procedures, often managed at least partly locally or regionally, are more time-consuming</w:t>
      </w:r>
      <w:r w:rsidRPr="00640047">
        <w:rPr>
          <w:rStyle w:val="FootnoteReference"/>
          <w:rFonts w:ascii="Times New Roman" w:hAnsi="Times New Roman" w:cs="Times New Roman"/>
          <w:noProof/>
          <w:sz w:val="24"/>
          <w:szCs w:val="24"/>
          <w:lang w:val="en-GB"/>
        </w:rPr>
        <w:footnoteReference w:id="50"/>
      </w:r>
      <w:r w:rsidRPr="00640047">
        <w:rPr>
          <w:rFonts w:ascii="Times New Roman" w:hAnsi="Times New Roman" w:cs="Times New Roman"/>
          <w:noProof/>
          <w:sz w:val="24"/>
          <w:szCs w:val="24"/>
          <w:lang w:val="en-GB"/>
        </w:rPr>
        <w:t xml:space="preserve">. Employers and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representatives noted that in some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complex or length</w:t>
      </w:r>
      <w:r w:rsidR="00F31D8E" w:rsidRPr="00640047">
        <w:rPr>
          <w:rFonts w:ascii="Times New Roman" w:hAnsi="Times New Roman" w:cs="Times New Roman"/>
          <w:noProof/>
          <w:sz w:val="24"/>
          <w:szCs w:val="24"/>
          <w:lang w:val="en-GB"/>
        </w:rPr>
        <w:t>y</w:t>
      </w:r>
      <w:r w:rsidRPr="00640047">
        <w:rPr>
          <w:rFonts w:ascii="Times New Roman" w:hAnsi="Times New Roman" w:cs="Times New Roman"/>
          <w:noProof/>
          <w:sz w:val="24"/>
          <w:szCs w:val="24"/>
          <w:lang w:val="en-GB"/>
        </w:rPr>
        <w:t xml:space="preserve"> procedures still in place can hinder the legal recruitment of </w:t>
      </w:r>
      <w:bookmarkStart w:id="12" w:name="_Ref220419113"/>
      <w:r w:rsidR="009C2946" w:rsidRPr="00640047">
        <w:rPr>
          <w:rFonts w:ascii="Times New Roman" w:hAnsi="Times New Roman" w:cs="Times New Roman"/>
          <w:noProof/>
          <w:sz w:val="24"/>
          <w:szCs w:val="24"/>
          <w:lang w:val="en-GB"/>
        </w:rPr>
        <w:t>third-country seasonal workers</w:t>
      </w:r>
      <w:r w:rsidRPr="00640047">
        <w:rPr>
          <w:rStyle w:val="FootnoteReference"/>
          <w:rFonts w:ascii="Times New Roman" w:hAnsi="Times New Roman" w:cs="Times New Roman"/>
          <w:noProof/>
          <w:sz w:val="24"/>
          <w:szCs w:val="24"/>
          <w:lang w:val="en-GB"/>
        </w:rPr>
        <w:footnoteReference w:id="51"/>
      </w:r>
      <w:bookmarkEnd w:id="12"/>
      <w:r w:rsidRPr="00640047">
        <w:rPr>
          <w:rFonts w:ascii="Times New Roman" w:hAnsi="Times New Roman" w:cs="Times New Roman"/>
          <w:noProof/>
          <w:sz w:val="24"/>
          <w:szCs w:val="24"/>
          <w:lang w:val="en-GB"/>
        </w:rPr>
        <w:t xml:space="preserve">. </w:t>
      </w:r>
      <w:r w:rsidR="005838DE" w:rsidRPr="00640047">
        <w:rPr>
          <w:rFonts w:ascii="Times New Roman" w:hAnsi="Times New Roman" w:cs="Times New Roman"/>
          <w:noProof/>
          <w:sz w:val="24"/>
          <w:szCs w:val="24"/>
          <w:lang w:val="en-GB"/>
        </w:rPr>
        <w:t>The</w:t>
      </w:r>
      <w:r w:rsidRPr="00640047">
        <w:rPr>
          <w:rFonts w:ascii="Times New Roman" w:hAnsi="Times New Roman" w:cs="Times New Roman"/>
          <w:noProof/>
          <w:sz w:val="24"/>
          <w:szCs w:val="24"/>
          <w:lang w:val="en-GB"/>
        </w:rPr>
        <w:t xml:space="preserve"> forthcoming Commission/OECD study </w:t>
      </w:r>
      <w:r w:rsidR="005838DE" w:rsidRPr="00640047">
        <w:rPr>
          <w:rFonts w:ascii="Times New Roman" w:hAnsi="Times New Roman" w:cs="Times New Roman"/>
          <w:noProof/>
          <w:sz w:val="24"/>
          <w:szCs w:val="24"/>
          <w:lang w:val="en-GB"/>
        </w:rPr>
        <w:t xml:space="preserve">“Making Migration Work: Admitting Labour Migrants” </w:t>
      </w:r>
      <w:r w:rsidRPr="00640047">
        <w:rPr>
          <w:rFonts w:ascii="Times New Roman" w:hAnsi="Times New Roman" w:cs="Times New Roman"/>
          <w:noProof/>
          <w:sz w:val="24"/>
          <w:szCs w:val="24"/>
          <w:lang w:val="en-GB"/>
        </w:rPr>
        <w:t xml:space="preserve">is expected to provide further insight into composition and current length of admission procedures in the Member States. </w:t>
      </w:r>
    </w:p>
    <w:p w14:paraId="58688792"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Grounds for rejection and withdrawal – Articles 8 and 9</w:t>
      </w:r>
    </w:p>
    <w:p w14:paraId="3D25E234" w14:textId="4D525237" w:rsidR="006976D7" w:rsidRPr="00640047" w:rsidRDefault="00D11EC4"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have had to bring national rules on rejection and withdrawal into line with the exhaustive grounds </w:t>
      </w:r>
      <w:r w:rsidR="006007FC" w:rsidRPr="00640047">
        <w:rPr>
          <w:rFonts w:ascii="Times New Roman" w:hAnsi="Times New Roman" w:cs="Times New Roman"/>
          <w:noProof/>
          <w:sz w:val="24"/>
          <w:szCs w:val="24"/>
          <w:lang w:val="en-GB"/>
        </w:rPr>
        <w:t xml:space="preserve">set out </w:t>
      </w:r>
      <w:r w:rsidR="006976D7" w:rsidRPr="00640047">
        <w:rPr>
          <w:rFonts w:ascii="Times New Roman" w:hAnsi="Times New Roman" w:cs="Times New Roman"/>
          <w:noProof/>
          <w:sz w:val="24"/>
          <w:szCs w:val="24"/>
          <w:lang w:val="en-GB"/>
        </w:rPr>
        <w:t>in Articles 8 and 9</w:t>
      </w:r>
      <w:r w:rsidR="006007FC" w:rsidRPr="00640047">
        <w:rPr>
          <w:rFonts w:ascii="Times New Roman" w:hAnsi="Times New Roman" w:cs="Times New Roman"/>
          <w:noProof/>
          <w:sz w:val="24"/>
          <w:szCs w:val="24"/>
          <w:lang w:val="en-GB"/>
        </w:rPr>
        <w:t xml:space="preserve"> of the Directive</w:t>
      </w:r>
      <w:r w:rsidR="006976D7" w:rsidRPr="00640047">
        <w:rPr>
          <w:rFonts w:ascii="Times New Roman" w:hAnsi="Times New Roman" w:cs="Times New Roman"/>
          <w:noProof/>
          <w:sz w:val="24"/>
          <w:szCs w:val="24"/>
          <w:lang w:val="en-GB"/>
        </w:rPr>
        <w:t xml:space="preserve">. Initially, 11 </w:t>
      </w:r>
      <w:r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added or kept grounds not </w:t>
      </w:r>
      <w:r w:rsidR="00757BE0" w:rsidRPr="00640047">
        <w:rPr>
          <w:rFonts w:ascii="Times New Roman" w:hAnsi="Times New Roman" w:cs="Times New Roman"/>
          <w:noProof/>
          <w:sz w:val="24"/>
          <w:szCs w:val="24"/>
          <w:lang w:val="en-GB"/>
        </w:rPr>
        <w:t xml:space="preserve">provided for </w:t>
      </w:r>
      <w:r w:rsidR="006976D7" w:rsidRPr="00640047">
        <w:rPr>
          <w:rFonts w:ascii="Times New Roman" w:hAnsi="Times New Roman" w:cs="Times New Roman"/>
          <w:noProof/>
          <w:sz w:val="24"/>
          <w:szCs w:val="24"/>
          <w:lang w:val="en-GB"/>
        </w:rPr>
        <w:t>in the Directive or failed to transpose certain mandatory grounds, including grounds linked to business inactivity or prior sanctions for undeclared work or breaches of the Directive. Most of these instances of incorrect transposition have since been corrected.</w:t>
      </w:r>
    </w:p>
    <w:p w14:paraId="7163A986" w14:textId="181CFDC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Eurostat records 11 101 seasonal work authorisations withdrawn in 2024. Only 10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reported withdrawals, with nearly 90% </w:t>
      </w:r>
      <w:r w:rsidR="00F729DE" w:rsidRPr="00640047">
        <w:rPr>
          <w:rFonts w:ascii="Times New Roman" w:hAnsi="Times New Roman" w:cs="Times New Roman"/>
          <w:noProof/>
          <w:sz w:val="24"/>
          <w:szCs w:val="24"/>
          <w:lang w:val="en-GB"/>
        </w:rPr>
        <w:t xml:space="preserve">of the overall withdrawals in the EU </w:t>
      </w:r>
      <w:r w:rsidRPr="00640047">
        <w:rPr>
          <w:rFonts w:ascii="Times New Roman" w:hAnsi="Times New Roman" w:cs="Times New Roman"/>
          <w:noProof/>
          <w:sz w:val="24"/>
          <w:szCs w:val="24"/>
          <w:lang w:val="en-GB"/>
        </w:rPr>
        <w:t>concentrated in two countries: Greece (7 917, 71% of all withdrawals, equivalent to 52% of permits issued by Greece) and Croatia (2 015, 18% of withdrawals, equivalent to 12% of permits issued by Croatia</w:t>
      </w:r>
      <w:r w:rsidRPr="00640047">
        <w:rPr>
          <w:rStyle w:val="FootnoteReference"/>
          <w:rFonts w:ascii="Times New Roman" w:hAnsi="Times New Roman" w:cs="Times New Roman"/>
          <w:noProof/>
          <w:sz w:val="24"/>
          <w:szCs w:val="24"/>
          <w:lang w:val="en-GB"/>
        </w:rPr>
        <w:footnoteReference w:id="52"/>
      </w:r>
      <w:r w:rsidRPr="00640047">
        <w:rPr>
          <w:rFonts w:ascii="Times New Roman" w:hAnsi="Times New Roman" w:cs="Times New Roman"/>
          <w:noProof/>
          <w:sz w:val="24"/>
          <w:szCs w:val="24"/>
          <w:lang w:val="en-GB"/>
        </w:rPr>
        <w:t xml:space="preserve">). Greece also reported the withdrawal of </w:t>
      </w:r>
      <w:r w:rsidR="00BA4D2C" w:rsidRPr="00640047">
        <w:rPr>
          <w:rFonts w:ascii="Times New Roman" w:hAnsi="Times New Roman" w:cs="Times New Roman"/>
          <w:noProof/>
          <w:sz w:val="24"/>
          <w:szCs w:val="24"/>
          <w:lang w:val="en-GB"/>
        </w:rPr>
        <w:t>84</w:t>
      </w:r>
      <w:r w:rsidRPr="00640047">
        <w:rPr>
          <w:rFonts w:ascii="Times New Roman" w:hAnsi="Times New Roman" w:cs="Times New Roman"/>
          <w:noProof/>
          <w:sz w:val="24"/>
          <w:szCs w:val="24"/>
          <w:lang w:val="en-GB"/>
        </w:rPr>
        <w:t>% of permits in 2023. Italy (440) and Lithuania (346) also reported significant numbers of withdrawals</w:t>
      </w:r>
      <w:r w:rsidR="00A929EA" w:rsidRPr="00640047">
        <w:rPr>
          <w:rFonts w:ascii="Times New Roman" w:hAnsi="Times New Roman" w:cs="Times New Roman"/>
          <w:noProof/>
          <w:sz w:val="24"/>
          <w:szCs w:val="24"/>
          <w:lang w:val="en-GB"/>
        </w:rPr>
        <w:t xml:space="preserve"> in 2024</w:t>
      </w:r>
      <w:r w:rsidRPr="00640047">
        <w:rPr>
          <w:rFonts w:ascii="Times New Roman" w:hAnsi="Times New Roman" w:cs="Times New Roman"/>
          <w:noProof/>
          <w:sz w:val="24"/>
          <w:szCs w:val="24"/>
          <w:lang w:val="en-GB"/>
        </w:rPr>
        <w:t xml:space="preserve">, while they remained low or non-existent in most other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despite the high-risk nature of seasonal sectors. This divergence may reflect incomplete reporting to Eurostat, the short duration of authorisations, more often expiring rather than being withdrawn, and, in some cases, limited inspection activity, with correspondingly low detection, sanctioning and withdrawal rates.</w:t>
      </w:r>
    </w:p>
    <w:p w14:paraId="176B623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Proportionate fees – Article 19</w:t>
      </w:r>
    </w:p>
    <w:p w14:paraId="0DA34DB8" w14:textId="30601180"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19 </w:t>
      </w:r>
      <w:r w:rsidR="000B6EDA"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allows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to charge fees for processing seasonal work applications, provided they are not disproportionate or excessive. Fees generally appear proportionate, but three </w:t>
      </w:r>
      <w:r w:rsidR="00D11EC4" w:rsidRPr="00640047">
        <w:rPr>
          <w:rFonts w:ascii="Times New Roman" w:hAnsi="Times New Roman" w:cs="Times New Roman"/>
          <w:noProof/>
          <w:sz w:val="24"/>
          <w:szCs w:val="24"/>
          <w:lang w:val="en-GB"/>
        </w:rPr>
        <w:t>Member States</w:t>
      </w:r>
      <w:r w:rsidRPr="00640047">
        <w:rPr>
          <w:rStyle w:val="FootnoteReference"/>
          <w:rFonts w:ascii="Times New Roman" w:eastAsia="Times New Roman" w:hAnsi="Times New Roman" w:cs="Times New Roman"/>
          <w:noProof/>
          <w:sz w:val="24"/>
          <w:szCs w:val="24"/>
          <w:lang w:val="en-GB"/>
        </w:rPr>
        <w:footnoteReference w:id="53"/>
      </w:r>
      <w:r w:rsidRPr="00640047">
        <w:rPr>
          <w:rFonts w:ascii="Times New Roman" w:hAnsi="Times New Roman" w:cs="Times New Roman"/>
          <w:noProof/>
          <w:sz w:val="24"/>
          <w:szCs w:val="24"/>
          <w:lang w:val="en-GB"/>
        </w:rPr>
        <w:t xml:space="preserve"> charge comparatively high fees for authorisations exceeding 90 days. Several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allocate part of the costs to employers</w:t>
      </w:r>
      <w:r w:rsidRPr="00640047">
        <w:rPr>
          <w:rStyle w:val="FootnoteReference"/>
          <w:rFonts w:ascii="Times New Roman" w:eastAsia="Times New Roman" w:hAnsi="Times New Roman" w:cs="Times New Roman"/>
          <w:noProof/>
          <w:sz w:val="24"/>
          <w:szCs w:val="24"/>
          <w:lang w:val="en-GB"/>
        </w:rPr>
        <w:footnoteReference w:id="54"/>
      </w:r>
      <w:r w:rsidRPr="00640047">
        <w:rPr>
          <w:rFonts w:ascii="Times New Roman" w:hAnsi="Times New Roman" w:cs="Times New Roman"/>
          <w:noProof/>
          <w:sz w:val="24"/>
          <w:szCs w:val="24"/>
          <w:lang w:val="en-GB"/>
        </w:rPr>
        <w:t xml:space="preserve">. Licensed intermediaries operating in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are often prohibited from charging workers. </w:t>
      </w:r>
      <w:bookmarkStart w:id="13" w:name="_Hlk222418946"/>
      <w:r w:rsidRPr="00640047">
        <w:rPr>
          <w:rFonts w:ascii="Times New Roman" w:hAnsi="Times New Roman" w:cs="Times New Roman"/>
          <w:noProof/>
          <w:sz w:val="24"/>
          <w:szCs w:val="24"/>
          <w:lang w:val="en-GB"/>
        </w:rPr>
        <w:t>However, documented abuses persist, primarily, though not exclusively, in countries of origin, by unlicensed intermediaries during recruitment and admission, sometimes also during employment</w:t>
      </w:r>
      <w:bookmarkStart w:id="14" w:name="_Ref220419329"/>
      <w:r w:rsidRPr="00640047">
        <w:rPr>
          <w:rStyle w:val="FootnoteReference"/>
          <w:rFonts w:ascii="Times New Roman" w:hAnsi="Times New Roman" w:cs="Times New Roman"/>
          <w:noProof/>
          <w:sz w:val="24"/>
          <w:szCs w:val="24"/>
          <w:lang w:val="en-GB"/>
        </w:rPr>
        <w:footnoteReference w:id="55"/>
      </w:r>
      <w:bookmarkEnd w:id="14"/>
      <w:r w:rsidRPr="00640047">
        <w:rPr>
          <w:rFonts w:ascii="Times New Roman" w:hAnsi="Times New Roman" w:cs="Times New Roman"/>
          <w:noProof/>
          <w:sz w:val="24"/>
          <w:szCs w:val="24"/>
          <w:lang w:val="en-GB"/>
        </w:rPr>
        <w:t>, underscoring the need to strengthen cooperation with those countries and to step up oversight.</w:t>
      </w:r>
      <w:bookmarkEnd w:id="13"/>
    </w:p>
    <w:p w14:paraId="4CE943BD" w14:textId="77777777" w:rsidR="006976D7" w:rsidRPr="00640047"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Extension of stay, change of employer and facilitation of circular migration</w:t>
      </w:r>
    </w:p>
    <w:p w14:paraId="2BD896D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Extension of stay with the same or a different employer – Article 15</w:t>
      </w:r>
    </w:p>
    <w:p w14:paraId="2F1F35CF" w14:textId="626E7E4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15 </w:t>
      </w:r>
      <w:r w:rsidR="00621664"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requires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to ensure that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can, within the maximum period of five to nine months laid down in Article 14, extend their stay with the same employer at least once</w:t>
      </w:r>
      <w:r w:rsidR="00766F47" w:rsidRPr="00640047">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and change employer at least once</w:t>
      </w:r>
      <w:r w:rsidR="00766F47" w:rsidRPr="00640047">
        <w:rPr>
          <w:rFonts w:ascii="Times New Roman" w:hAnsi="Times New Roman" w:cs="Times New Roman"/>
          <w:noProof/>
          <w:sz w:val="24"/>
          <w:szCs w:val="24"/>
          <w:lang w:val="en-GB"/>
        </w:rPr>
        <w:t xml:space="preserve">.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w:t>
      </w:r>
      <w:r w:rsidR="00766F47" w:rsidRPr="00640047">
        <w:rPr>
          <w:rFonts w:ascii="Times New Roman" w:hAnsi="Times New Roman" w:cs="Times New Roman"/>
          <w:noProof/>
          <w:sz w:val="24"/>
          <w:szCs w:val="24"/>
          <w:lang w:val="en-GB"/>
        </w:rPr>
        <w:t xml:space="preserve">may </w:t>
      </w:r>
      <w:r w:rsidRPr="00640047">
        <w:rPr>
          <w:rFonts w:ascii="Times New Roman" w:hAnsi="Times New Roman" w:cs="Times New Roman"/>
          <w:noProof/>
          <w:sz w:val="24"/>
          <w:szCs w:val="24"/>
          <w:lang w:val="en-GB"/>
        </w:rPr>
        <w:t>permit multiple extensions. The provision aims to secure labour supply and make workers less vulnerable by limiting their dependency on a single employer.</w:t>
      </w:r>
    </w:p>
    <w:p w14:paraId="5B60042A" w14:textId="55FF80A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All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allow at least one extension of a stay with the same employer and, in most cases, multiple extensions</w:t>
      </w:r>
      <w:r w:rsidRPr="00640047">
        <w:rPr>
          <w:rStyle w:val="FootnoteReference"/>
          <w:rFonts w:ascii="Times New Roman" w:eastAsia="Times New Roman" w:hAnsi="Times New Roman" w:cs="Times New Roman"/>
          <w:noProof/>
          <w:sz w:val="24"/>
          <w:szCs w:val="24"/>
          <w:lang w:val="en-GB"/>
        </w:rPr>
        <w:footnoteReference w:id="56"/>
      </w:r>
      <w:r w:rsidRPr="00640047">
        <w:rPr>
          <w:rFonts w:ascii="Times New Roman" w:hAnsi="Times New Roman" w:cs="Times New Roman"/>
          <w:noProof/>
          <w:sz w:val="24"/>
          <w:szCs w:val="24"/>
          <w:lang w:val="en-GB"/>
        </w:rPr>
        <w:t xml:space="preserve">. Initial compliance issues in the case of six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such as limiting extensions to stays above or below 90 days, treating extensions as optional, or adding conditions not </w:t>
      </w:r>
      <w:r w:rsidR="004B27D4" w:rsidRPr="00640047">
        <w:rPr>
          <w:rFonts w:ascii="Times New Roman" w:hAnsi="Times New Roman" w:cs="Times New Roman"/>
          <w:noProof/>
          <w:sz w:val="24"/>
          <w:szCs w:val="24"/>
          <w:lang w:val="en-GB"/>
        </w:rPr>
        <w:t>provide</w:t>
      </w:r>
      <w:r w:rsidR="003300E5">
        <w:rPr>
          <w:rFonts w:ascii="Times New Roman" w:hAnsi="Times New Roman" w:cs="Times New Roman"/>
          <w:noProof/>
          <w:sz w:val="24"/>
          <w:szCs w:val="24"/>
          <w:lang w:val="en-GB"/>
        </w:rPr>
        <w:t>d</w:t>
      </w:r>
      <w:r w:rsidR="004B27D4" w:rsidRPr="00640047">
        <w:rPr>
          <w:rFonts w:ascii="Times New Roman" w:hAnsi="Times New Roman" w:cs="Times New Roman"/>
          <w:noProof/>
          <w:sz w:val="24"/>
          <w:szCs w:val="24"/>
          <w:lang w:val="en-GB"/>
        </w:rPr>
        <w:t xml:space="preserve"> for </w:t>
      </w:r>
      <w:r w:rsidRPr="00640047">
        <w:rPr>
          <w:rFonts w:ascii="Times New Roman" w:hAnsi="Times New Roman" w:cs="Times New Roman"/>
          <w:noProof/>
          <w:sz w:val="24"/>
          <w:szCs w:val="24"/>
          <w:lang w:val="en-GB"/>
        </w:rPr>
        <w:t>in Article 15(1)</w:t>
      </w:r>
      <w:r w:rsidR="004B27D4" w:rsidRPr="00640047">
        <w:rPr>
          <w:rFonts w:ascii="Times New Roman" w:hAnsi="Times New Roman" w:cs="Times New Roman"/>
          <w:noProof/>
          <w:sz w:val="24"/>
          <w:szCs w:val="24"/>
          <w:lang w:val="en-GB"/>
        </w:rPr>
        <w:t xml:space="preserve"> of the Directive</w:t>
      </w:r>
      <w:r w:rsidRPr="00640047">
        <w:rPr>
          <w:rFonts w:ascii="Times New Roman" w:hAnsi="Times New Roman" w:cs="Times New Roman"/>
          <w:noProof/>
          <w:sz w:val="24"/>
          <w:szCs w:val="24"/>
          <w:lang w:val="en-GB"/>
        </w:rPr>
        <w:t xml:space="preserve">, have largely been rectified. </w:t>
      </w:r>
    </w:p>
    <w:p w14:paraId="0D8CA16B" w14:textId="61E3A51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All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also allow at least one change of employer, and most</w:t>
      </w:r>
      <w:r w:rsidRPr="00640047">
        <w:rPr>
          <w:rStyle w:val="FootnoteReference"/>
          <w:rFonts w:ascii="Times New Roman" w:eastAsia="Times New Roman" w:hAnsi="Times New Roman" w:cs="Times New Roman"/>
          <w:noProof/>
          <w:sz w:val="24"/>
          <w:szCs w:val="24"/>
          <w:lang w:val="en-GB"/>
        </w:rPr>
        <w:footnoteReference w:id="57"/>
      </w:r>
      <w:r w:rsidRPr="00640047">
        <w:rPr>
          <w:rFonts w:ascii="Times New Roman" w:hAnsi="Times New Roman" w:cs="Times New Roman"/>
          <w:noProof/>
          <w:sz w:val="24"/>
          <w:szCs w:val="24"/>
          <w:lang w:val="en-GB"/>
        </w:rPr>
        <w:t xml:space="preserve"> allow multiple changes within the maximum period. Similar initial non-compliance issues were detected in the national law of eight </w:t>
      </w:r>
      <w:r w:rsidR="00D11EC4"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as the ones reported for extensions with the same employer, and these have been addressed.</w:t>
      </w:r>
    </w:p>
    <w:p w14:paraId="67193766" w14:textId="51C4E42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many systems, each change of employer requires a new authorisation. Only a limited number of </w:t>
      </w:r>
      <w:r w:rsidR="00D11EC4" w:rsidRPr="00640047">
        <w:rPr>
          <w:rFonts w:ascii="Times New Roman" w:hAnsi="Times New Roman" w:cs="Times New Roman"/>
          <w:noProof/>
          <w:sz w:val="24"/>
          <w:szCs w:val="24"/>
          <w:lang w:val="en-GB"/>
        </w:rPr>
        <w:t>Member States</w:t>
      </w:r>
      <w:r w:rsidRPr="00640047">
        <w:rPr>
          <w:rStyle w:val="FootnoteReference"/>
          <w:rFonts w:ascii="Times New Roman" w:eastAsia="Times New Roman" w:hAnsi="Times New Roman" w:cs="Times New Roman"/>
          <w:noProof/>
          <w:sz w:val="24"/>
          <w:szCs w:val="24"/>
          <w:lang w:val="en-GB"/>
        </w:rPr>
        <w:footnoteReference w:id="58"/>
      </w:r>
      <w:r w:rsidRPr="00640047">
        <w:rPr>
          <w:rFonts w:ascii="Times New Roman" w:hAnsi="Times New Roman" w:cs="Times New Roman"/>
          <w:noProof/>
          <w:sz w:val="24"/>
          <w:szCs w:val="24"/>
          <w:lang w:val="en-GB"/>
        </w:rPr>
        <w:t xml:space="preserve"> permit changes under the same authorisation, sometimes by means of a simplified application to add an employer</w:t>
      </w:r>
      <w:r w:rsidRPr="00640047">
        <w:rPr>
          <w:rStyle w:val="FootnoteReference"/>
          <w:rFonts w:ascii="Times New Roman" w:hAnsi="Times New Roman" w:cs="Times New Roman"/>
          <w:noProof/>
          <w:sz w:val="24"/>
          <w:szCs w:val="24"/>
          <w:lang w:val="en-GB"/>
        </w:rPr>
        <w:footnoteReference w:id="59"/>
      </w:r>
      <w:r w:rsidRPr="00640047">
        <w:rPr>
          <w:rFonts w:ascii="Times New Roman" w:hAnsi="Times New Roman" w:cs="Times New Roman"/>
          <w:noProof/>
          <w:sz w:val="24"/>
          <w:szCs w:val="24"/>
          <w:lang w:val="en-GB"/>
        </w:rPr>
        <w:t xml:space="preserve"> or a take-over notification procedure</w:t>
      </w:r>
      <w:r w:rsidRPr="00640047">
        <w:rPr>
          <w:rStyle w:val="FootnoteReference"/>
          <w:rFonts w:ascii="Times New Roman" w:hAnsi="Times New Roman" w:cs="Times New Roman"/>
          <w:noProof/>
          <w:sz w:val="24"/>
          <w:szCs w:val="24"/>
          <w:lang w:val="en-GB"/>
        </w:rPr>
        <w:footnoteReference w:id="60"/>
      </w:r>
      <w:r w:rsidRPr="00640047">
        <w:rPr>
          <w:rFonts w:ascii="Times New Roman" w:hAnsi="Times New Roman" w:cs="Times New Roman"/>
          <w:noProof/>
          <w:sz w:val="24"/>
          <w:szCs w:val="24"/>
          <w:lang w:val="en-GB"/>
        </w:rPr>
        <w:t xml:space="preserve">. Digitalisation, tighter decision deadlines and, in some cases, the removal of quota checks, have facilitated renewals in several </w:t>
      </w:r>
      <w:r w:rsidR="00D11EC4" w:rsidRPr="00640047">
        <w:rPr>
          <w:rFonts w:ascii="Times New Roman" w:hAnsi="Times New Roman" w:cs="Times New Roman"/>
          <w:noProof/>
          <w:sz w:val="24"/>
          <w:szCs w:val="24"/>
          <w:lang w:val="en-GB"/>
        </w:rPr>
        <w:t>Member States</w:t>
      </w:r>
      <w:r w:rsidRPr="00640047">
        <w:rPr>
          <w:rStyle w:val="FootnoteReference"/>
          <w:rFonts w:ascii="Times New Roman" w:hAnsi="Times New Roman" w:cs="Times New Roman"/>
          <w:noProof/>
          <w:sz w:val="24"/>
          <w:szCs w:val="24"/>
          <w:lang w:val="en-GB"/>
        </w:rPr>
        <w:footnoteReference w:id="61"/>
      </w:r>
      <w:r w:rsidRPr="00640047">
        <w:rPr>
          <w:rFonts w:ascii="Times New Roman" w:hAnsi="Times New Roman" w:cs="Times New Roman"/>
          <w:noProof/>
          <w:sz w:val="24"/>
          <w:szCs w:val="24"/>
          <w:lang w:val="en-GB"/>
        </w:rPr>
        <w:t>.</w:t>
      </w:r>
    </w:p>
    <w:p w14:paraId="4D6F205E" w14:textId="2FAE7130" w:rsidR="006976D7" w:rsidRPr="00640047" w:rsidRDefault="00102451"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Under </w:t>
      </w:r>
      <w:r w:rsidR="006976D7" w:rsidRPr="00640047">
        <w:rPr>
          <w:rFonts w:ascii="Times New Roman" w:hAnsi="Times New Roman" w:cs="Times New Roman"/>
          <w:noProof/>
          <w:sz w:val="24"/>
          <w:szCs w:val="24"/>
          <w:lang w:val="en-GB"/>
        </w:rPr>
        <w:t xml:space="preserve">Article 18(2) </w:t>
      </w:r>
      <w:r w:rsidR="00DD2DCA" w:rsidRPr="00640047">
        <w:rPr>
          <w:rFonts w:ascii="Times New Roman" w:hAnsi="Times New Roman" w:cs="Times New Roman"/>
          <w:noProof/>
          <w:sz w:val="24"/>
          <w:szCs w:val="24"/>
          <w:lang w:val="en-GB"/>
        </w:rPr>
        <w:t>of the Directive</w:t>
      </w:r>
      <w:r w:rsidRPr="00640047">
        <w:rPr>
          <w:rFonts w:ascii="Times New Roman" w:hAnsi="Times New Roman" w:cs="Times New Roman"/>
          <w:noProof/>
          <w:sz w:val="24"/>
          <w:szCs w:val="24"/>
          <w:lang w:val="en-GB"/>
        </w:rPr>
        <w:t>,</w:t>
      </w:r>
      <w:r w:rsidR="00DD2DCA" w:rsidRPr="00640047">
        <w:rPr>
          <w:rFonts w:ascii="Times New Roman" w:hAnsi="Times New Roman" w:cs="Times New Roman"/>
          <w:noProof/>
          <w:sz w:val="24"/>
          <w:szCs w:val="24"/>
          <w:lang w:val="en-GB"/>
        </w:rPr>
        <w:t xml:space="preserve"> </w:t>
      </w:r>
      <w:r w:rsidR="00D11EC4"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shall</w:t>
      </w:r>
      <w:r w:rsidR="006976D7" w:rsidRPr="00640047">
        <w:rPr>
          <w:rFonts w:ascii="Times New Roman" w:hAnsi="Times New Roman" w:cs="Times New Roman"/>
          <w:noProof/>
          <w:sz w:val="24"/>
          <w:szCs w:val="24"/>
          <w:lang w:val="en-GB"/>
        </w:rPr>
        <w:t xml:space="preserve"> take all reasonable steps to ensure that seasonal workers can continue working with the same or a different employer while an application for extension or renewal is being processed. Three </w:t>
      </w:r>
      <w:r w:rsidR="00D11EC4"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initially fel</w:t>
      </w:r>
      <w:r w:rsidR="00CE2409" w:rsidRPr="00640047">
        <w:rPr>
          <w:rFonts w:ascii="Times New Roman" w:hAnsi="Times New Roman" w:cs="Times New Roman"/>
          <w:noProof/>
          <w:sz w:val="24"/>
          <w:szCs w:val="24"/>
          <w:lang w:val="en-GB"/>
        </w:rPr>
        <w:t>t</w:t>
      </w:r>
      <w:r w:rsidR="006976D7" w:rsidRPr="00640047">
        <w:rPr>
          <w:rFonts w:ascii="Times New Roman" w:hAnsi="Times New Roman" w:cs="Times New Roman"/>
          <w:noProof/>
          <w:sz w:val="24"/>
          <w:szCs w:val="24"/>
          <w:lang w:val="en-GB"/>
        </w:rPr>
        <w:t xml:space="preserve"> short of ensuring full compliance, but they have now addressed the matter. </w:t>
      </w:r>
    </w:p>
    <w:p w14:paraId="3B398799" w14:textId="22BE34B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Renewals and employer changes appear nevertheless to remain exceptional in practice. In 2024, 11 Member States reported 6 682 renewed seasonal work authorisations, mainly in Austria (4 408)</w:t>
      </w:r>
      <w:r w:rsidRPr="00640047">
        <w:rPr>
          <w:rStyle w:val="FootnoteReference"/>
          <w:rFonts w:ascii="Times New Roman" w:hAnsi="Times New Roman" w:cs="Times New Roman"/>
          <w:noProof/>
          <w:sz w:val="24"/>
          <w:szCs w:val="24"/>
          <w:lang w:val="en-GB"/>
        </w:rPr>
        <w:footnoteReference w:id="62"/>
      </w:r>
      <w:r w:rsidRPr="00640047">
        <w:rPr>
          <w:rFonts w:ascii="Times New Roman" w:hAnsi="Times New Roman" w:cs="Times New Roman"/>
          <w:noProof/>
          <w:sz w:val="24"/>
          <w:szCs w:val="24"/>
          <w:lang w:val="en-GB"/>
        </w:rPr>
        <w:t>.  This limited uptake suggests that, to date, the right to change employer has not yet reached its full potential for the retention of experienced seasonal workers, pointing to the need to address practical barriers, such as unawareness of the possibility of changing employer and renewal procedures for short seasons that are too complex.</w:t>
      </w:r>
    </w:p>
    <w:p w14:paraId="2913BD11"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Supporting circular migration – Article 16</w:t>
      </w:r>
    </w:p>
    <w:p w14:paraId="75490FC3" w14:textId="0180B852" w:rsidR="006976D7" w:rsidRPr="00640047" w:rsidRDefault="00D911FD" w:rsidP="006976D7">
      <w:pPr>
        <w:pStyle w:val="ListParagraph"/>
        <w:spacing w:after="120" w:line="276" w:lineRule="auto"/>
        <w:ind w:left="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Under </w:t>
      </w:r>
      <w:r w:rsidR="006976D7" w:rsidRPr="00640047">
        <w:rPr>
          <w:rFonts w:ascii="Times New Roman" w:hAnsi="Times New Roman" w:cs="Times New Roman"/>
          <w:noProof/>
          <w:sz w:val="24"/>
          <w:szCs w:val="24"/>
          <w:lang w:val="en-GB"/>
        </w:rPr>
        <w:t xml:space="preserve">Article 16 </w:t>
      </w:r>
      <w:r w:rsidR="00D675C0" w:rsidRPr="00640047">
        <w:rPr>
          <w:rFonts w:ascii="Times New Roman" w:hAnsi="Times New Roman" w:cs="Times New Roman"/>
          <w:noProof/>
          <w:sz w:val="24"/>
          <w:szCs w:val="24"/>
          <w:lang w:val="en-GB"/>
        </w:rPr>
        <w:t>of the Directive</w:t>
      </w:r>
      <w:r w:rsidRPr="00640047">
        <w:rPr>
          <w:rFonts w:ascii="Times New Roman" w:hAnsi="Times New Roman" w:cs="Times New Roman"/>
          <w:noProof/>
          <w:sz w:val="24"/>
          <w:szCs w:val="24"/>
          <w:lang w:val="en-GB"/>
        </w:rPr>
        <w:t xml:space="preserve">, </w:t>
      </w:r>
      <w:r w:rsidR="004C14D0"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 xml:space="preserve">shall </w:t>
      </w:r>
      <w:r w:rsidR="006976D7" w:rsidRPr="00640047">
        <w:rPr>
          <w:rFonts w:ascii="Times New Roman" w:hAnsi="Times New Roman" w:cs="Times New Roman"/>
          <w:noProof/>
          <w:sz w:val="24"/>
          <w:szCs w:val="24"/>
          <w:lang w:val="en-GB"/>
        </w:rPr>
        <w:t xml:space="preserve">facilitate the re-entry of bona fide seasonal workers who have been admitted at least once within the previous five years and complied with the obligations of their stay. </w:t>
      </w:r>
      <w:r w:rsidR="00D675C0" w:rsidRPr="00640047">
        <w:rPr>
          <w:rFonts w:ascii="Times New Roman" w:hAnsi="Times New Roman" w:cs="Times New Roman"/>
          <w:noProof/>
          <w:sz w:val="24"/>
          <w:szCs w:val="24"/>
          <w:lang w:val="en-GB"/>
        </w:rPr>
        <w:t xml:space="preserve">The compliance assessment </w:t>
      </w:r>
      <w:r w:rsidR="006976D7" w:rsidRPr="00640047">
        <w:rPr>
          <w:rFonts w:ascii="Times New Roman" w:hAnsi="Times New Roman" w:cs="Times New Roman"/>
          <w:noProof/>
          <w:sz w:val="24"/>
          <w:szCs w:val="24"/>
          <w:lang w:val="en-GB"/>
        </w:rPr>
        <w:t xml:space="preserve">showed that seven </w:t>
      </w:r>
      <w:r w:rsidR="004C14D0"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did not provide for any facilitation or limited it to specific subcategories (notably stays exceeding 90 days or repeat employment with the same employer). In this context, facilitation typically takes the form of faster processing</w:t>
      </w:r>
      <w:r w:rsidR="006976D7" w:rsidRPr="00640047">
        <w:rPr>
          <w:rStyle w:val="FootnoteReference"/>
          <w:rFonts w:ascii="Times New Roman" w:eastAsia="Times New Roman" w:hAnsi="Times New Roman" w:cs="Times New Roman"/>
          <w:noProof/>
          <w:sz w:val="24"/>
          <w:szCs w:val="24"/>
          <w:lang w:val="en-GB"/>
        </w:rPr>
        <w:footnoteReference w:id="63"/>
      </w:r>
      <w:r w:rsidR="006976D7" w:rsidRPr="00640047">
        <w:rPr>
          <w:rFonts w:ascii="Times New Roman" w:hAnsi="Times New Roman" w:cs="Times New Roman"/>
          <w:noProof/>
          <w:sz w:val="24"/>
          <w:szCs w:val="24"/>
          <w:lang w:val="en-GB"/>
        </w:rPr>
        <w:t>, priority handling</w:t>
      </w:r>
      <w:r w:rsidR="006976D7" w:rsidRPr="00640047">
        <w:rPr>
          <w:rStyle w:val="FootnoteReference"/>
          <w:rFonts w:ascii="Times New Roman" w:eastAsia="Times New Roman" w:hAnsi="Times New Roman" w:cs="Times New Roman"/>
          <w:noProof/>
          <w:sz w:val="24"/>
          <w:szCs w:val="24"/>
          <w:lang w:val="en-GB"/>
        </w:rPr>
        <w:footnoteReference w:id="64"/>
      </w:r>
      <w:r w:rsidR="006976D7" w:rsidRPr="00640047">
        <w:rPr>
          <w:rFonts w:ascii="Times New Roman" w:hAnsi="Times New Roman" w:cs="Times New Roman"/>
          <w:noProof/>
          <w:sz w:val="24"/>
          <w:szCs w:val="24"/>
          <w:lang w:val="en-GB"/>
        </w:rPr>
        <w:t>, documentation facilitations</w:t>
      </w:r>
      <w:r w:rsidR="006976D7" w:rsidRPr="00640047">
        <w:rPr>
          <w:rStyle w:val="FootnoteReference"/>
          <w:rFonts w:ascii="Times New Roman" w:eastAsia="Times New Roman" w:hAnsi="Times New Roman" w:cs="Times New Roman"/>
          <w:noProof/>
          <w:sz w:val="24"/>
          <w:szCs w:val="24"/>
          <w:lang w:val="en-GB"/>
        </w:rPr>
        <w:footnoteReference w:id="65"/>
      </w:r>
      <w:r w:rsidR="006976D7" w:rsidRPr="00640047">
        <w:rPr>
          <w:rFonts w:ascii="Times New Roman" w:hAnsi="Times New Roman" w:cs="Times New Roman"/>
          <w:noProof/>
          <w:sz w:val="24"/>
          <w:szCs w:val="24"/>
          <w:lang w:val="en-GB"/>
        </w:rPr>
        <w:t xml:space="preserve"> and, in a limited number of cases, multi-season authorisations</w:t>
      </w:r>
      <w:r w:rsidR="006976D7" w:rsidRPr="00640047">
        <w:rPr>
          <w:rStyle w:val="FootnoteReference"/>
          <w:rFonts w:ascii="Times New Roman" w:eastAsia="Times New Roman" w:hAnsi="Times New Roman" w:cs="Times New Roman"/>
          <w:noProof/>
          <w:sz w:val="24"/>
          <w:szCs w:val="24"/>
          <w:lang w:val="en-GB"/>
        </w:rPr>
        <w:footnoteReference w:id="66"/>
      </w:r>
      <w:r w:rsidR="006976D7" w:rsidRPr="00640047">
        <w:rPr>
          <w:rFonts w:ascii="Times New Roman" w:hAnsi="Times New Roman" w:cs="Times New Roman"/>
          <w:noProof/>
          <w:sz w:val="24"/>
          <w:szCs w:val="24"/>
          <w:lang w:val="en-GB"/>
        </w:rPr>
        <w:t>. By rewarding compliance, these arrangements can increase the number of orderly returns and promote predictable legal re-entry. There is good practice in this regard in France, combining a multi-season authorisation with the obligation to register the return to the country of origin within 15 days of the work contract’s expiring, to prevent overstaying</w:t>
      </w:r>
      <w:r w:rsidR="00AF0A84" w:rsidRPr="00640047">
        <w:rPr>
          <w:rStyle w:val="FootnoteReference"/>
          <w:rFonts w:ascii="Times New Roman" w:hAnsi="Times New Roman" w:cs="Times New Roman"/>
          <w:noProof/>
          <w:sz w:val="24"/>
          <w:szCs w:val="24"/>
          <w:lang w:val="en-GB"/>
        </w:rPr>
        <w:footnoteReference w:id="67"/>
      </w:r>
      <w:r w:rsidR="006976D7" w:rsidRPr="00640047">
        <w:rPr>
          <w:rFonts w:ascii="Times New Roman" w:hAnsi="Times New Roman" w:cs="Times New Roman"/>
          <w:noProof/>
          <w:sz w:val="24"/>
          <w:szCs w:val="24"/>
          <w:lang w:val="en-GB"/>
        </w:rPr>
        <w:t xml:space="preserve">. </w:t>
      </w:r>
    </w:p>
    <w:p w14:paraId="0EEE9CD6" w14:textId="695C5594" w:rsidR="006976D7" w:rsidRPr="00640047" w:rsidRDefault="006976D7" w:rsidP="006976D7">
      <w:pPr>
        <w:autoSpaceDE w:val="0"/>
        <w:autoSpaceDN w:val="0"/>
        <w:adjustRightInd w:val="0"/>
        <w:spacing w:after="120" w:line="276" w:lineRule="auto"/>
        <w:jc w:val="both"/>
        <w:rPr>
          <w:rFonts w:ascii="Times New Roman" w:hAnsi="Times New Roman"/>
          <w:noProof/>
          <w:sz w:val="24"/>
          <w:lang w:val="en-GB"/>
        </w:rPr>
      </w:pPr>
      <w:r w:rsidRPr="00640047">
        <w:rPr>
          <w:rFonts w:ascii="Times New Roman" w:hAnsi="Times New Roman"/>
          <w:noProof/>
          <w:sz w:val="24"/>
          <w:lang w:val="en-GB"/>
        </w:rPr>
        <w:t xml:space="preserve">Some </w:t>
      </w:r>
      <w:r w:rsidR="004C14D0" w:rsidRPr="00640047">
        <w:rPr>
          <w:rFonts w:ascii="Times New Roman" w:hAnsi="Times New Roman"/>
          <w:noProof/>
          <w:sz w:val="24"/>
          <w:lang w:val="en-GB"/>
        </w:rPr>
        <w:t>Member States</w:t>
      </w:r>
      <w:r w:rsidRPr="00640047">
        <w:rPr>
          <w:rStyle w:val="FootnoteReference"/>
          <w:rFonts w:ascii="Times New Roman" w:eastAsia="Times New Roman" w:hAnsi="Times New Roman" w:cs="Times New Roman"/>
          <w:noProof/>
          <w:sz w:val="24"/>
          <w:szCs w:val="24"/>
          <w:lang w:val="en-GB"/>
        </w:rPr>
        <w:footnoteReference w:id="68"/>
      </w:r>
      <w:r w:rsidRPr="00640047">
        <w:rPr>
          <w:rFonts w:ascii="Times New Roman" w:hAnsi="Times New Roman"/>
          <w:noProof/>
          <w:sz w:val="24"/>
          <w:lang w:val="en-GB"/>
        </w:rPr>
        <w:t xml:space="preserve"> have also established bilateral seasonal worker schemes with specific non-EU countries. Such schemes can provide safer and more reliable circular pathways by setting quotas, standardising recruitment, supporting circular migration and embedding safeguards through model contracts, housing commitments and social security arrangements</w:t>
      </w:r>
      <w:r w:rsidRPr="00640047">
        <w:rPr>
          <w:rFonts w:ascii="Times New Roman" w:hAnsi="Times New Roman" w:cs="Times New Roman"/>
          <w:noProof/>
          <w:sz w:val="24"/>
          <w:szCs w:val="24"/>
          <w:lang w:val="en-GB"/>
        </w:rPr>
        <w:t xml:space="preserve">. </w:t>
      </w:r>
      <w:r w:rsidRPr="00640047">
        <w:rPr>
          <w:rFonts w:ascii="Times New Roman" w:hAnsi="Times New Roman"/>
          <w:noProof/>
          <w:sz w:val="24"/>
          <w:szCs w:val="24"/>
          <w:lang w:val="en-GB"/>
        </w:rPr>
        <w:t>Talent partnerships with Tunisia, Morocco, Egypt, Bangladesh and Pakistan</w:t>
      </w:r>
      <w:r w:rsidR="00952D7E" w:rsidRPr="00640047">
        <w:rPr>
          <w:rStyle w:val="FootnoteReference"/>
          <w:rFonts w:ascii="Times New Roman" w:hAnsi="Times New Roman"/>
          <w:noProof/>
          <w:sz w:val="24"/>
          <w:szCs w:val="24"/>
          <w:lang w:val="en-GB"/>
        </w:rPr>
        <w:footnoteReference w:id="69"/>
      </w:r>
      <w:r w:rsidRPr="00640047">
        <w:rPr>
          <w:rFonts w:ascii="Times New Roman" w:hAnsi="Times New Roman"/>
          <w:noProof/>
          <w:sz w:val="24"/>
          <w:szCs w:val="24"/>
          <w:lang w:val="en-GB"/>
        </w:rPr>
        <w:t xml:space="preserve"> also provide </w:t>
      </w:r>
      <w:r w:rsidRPr="00640047">
        <w:rPr>
          <w:rFonts w:ascii="Times New Roman" w:hAnsi="Times New Roman" w:cs="Times New Roman"/>
          <w:noProof/>
          <w:sz w:val="24"/>
          <w:szCs w:val="24"/>
          <w:lang w:val="en-GB"/>
        </w:rPr>
        <w:t xml:space="preserve">circular </w:t>
      </w:r>
      <w:r w:rsidRPr="00640047">
        <w:rPr>
          <w:rFonts w:ascii="Times New Roman" w:hAnsi="Times New Roman"/>
          <w:noProof/>
          <w:sz w:val="24"/>
          <w:szCs w:val="24"/>
          <w:lang w:val="en-GB"/>
        </w:rPr>
        <w:t>seasonal labour mobility in agriculture and tourism and help to operationalise fair and sustainable circular migration in line with the Directive.</w:t>
      </w:r>
      <w:r w:rsidRPr="00640047">
        <w:rPr>
          <w:rFonts w:ascii="Times New Roman" w:hAnsi="Times New Roman" w:cs="Times New Roman"/>
          <w:noProof/>
          <w:sz w:val="24"/>
          <w:szCs w:val="24"/>
          <w:lang w:val="en-GB"/>
        </w:rPr>
        <w:t xml:space="preserve"> The EU-India Memorandum of Understanding (MoU) on a comprehensive framework of cooperation for mobility</w:t>
      </w:r>
      <w:r w:rsidR="00EB3D28" w:rsidRPr="00640047">
        <w:rPr>
          <w:rStyle w:val="FootnoteReference"/>
          <w:rFonts w:ascii="Times New Roman" w:hAnsi="Times New Roman" w:cs="Times New Roman"/>
          <w:noProof/>
          <w:sz w:val="24"/>
          <w:szCs w:val="24"/>
          <w:lang w:val="en-GB"/>
        </w:rPr>
        <w:footnoteReference w:id="70"/>
      </w:r>
      <w:r w:rsidRPr="00640047">
        <w:rPr>
          <w:rFonts w:ascii="Times New Roman" w:hAnsi="Times New Roman" w:cs="Times New Roman"/>
          <w:noProof/>
          <w:sz w:val="24"/>
          <w:szCs w:val="24"/>
          <w:lang w:val="en-GB"/>
        </w:rPr>
        <w:t xml:space="preserve"> seeks to facilitate the circular mobility of seasonal workers from India to the EU in line with the Directive. The Commission supports the development and operationalisation of such circular mobility schemes for seasonal work through targeted funding</w:t>
      </w:r>
      <w:r w:rsidRPr="00640047">
        <w:rPr>
          <w:rStyle w:val="FootnoteReference"/>
          <w:rFonts w:ascii="Times New Roman" w:eastAsiaTheme="minorEastAsia" w:hAnsi="Times New Roman" w:cs="Times New Roman"/>
          <w:noProof/>
          <w:sz w:val="24"/>
          <w:szCs w:val="24"/>
          <w:lang w:val="en-GB"/>
        </w:rPr>
        <w:footnoteReference w:id="71"/>
      </w:r>
      <w:r w:rsidRPr="00640047">
        <w:rPr>
          <w:rFonts w:ascii="Times New Roman" w:hAnsi="Times New Roman" w:cs="Times New Roman"/>
          <w:noProof/>
          <w:sz w:val="24"/>
          <w:szCs w:val="24"/>
          <w:lang w:val="en-GB"/>
        </w:rPr>
        <w:t xml:space="preserve">, including under the Migration Partnership Facility. Two EU-funded sector-specific SaFE (Seasonal and Fair Employment) blueprints are currently being developed for agriculture and tourism to give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practical guidance on this</w:t>
      </w:r>
      <w:r w:rsidRPr="00640047">
        <w:rPr>
          <w:rStyle w:val="FootnoteReference"/>
          <w:rFonts w:ascii="Times New Roman" w:hAnsi="Times New Roman" w:cs="Times New Roman"/>
          <w:noProof/>
          <w:sz w:val="24"/>
          <w:szCs w:val="24"/>
          <w:lang w:val="en-GB"/>
        </w:rPr>
        <w:footnoteReference w:id="72"/>
      </w:r>
      <w:r w:rsidRPr="00640047">
        <w:rPr>
          <w:rFonts w:ascii="Times New Roman" w:hAnsi="Times New Roman" w:cs="Times New Roman"/>
          <w:noProof/>
          <w:sz w:val="24"/>
          <w:szCs w:val="24"/>
          <w:lang w:val="en-GB"/>
        </w:rPr>
        <w:t>.</w:t>
      </w:r>
    </w:p>
    <w:p w14:paraId="73036DEB" w14:textId="0DA6DE77" w:rsidR="006976D7" w:rsidRPr="00640047" w:rsidRDefault="006976D7" w:rsidP="006976D7">
      <w:pPr>
        <w:pStyle w:val="ListParagraph"/>
        <w:numPr>
          <w:ilvl w:val="0"/>
          <w:numId w:val="14"/>
        </w:numPr>
        <w:spacing w:after="120" w:line="276" w:lineRule="auto"/>
        <w:contextualSpacing w:val="0"/>
        <w:jc w:val="both"/>
        <w:rPr>
          <w:rFonts w:ascii="Times New Roman" w:hAnsi="Times New Roman"/>
          <w:b/>
          <w:i/>
          <w:noProof/>
          <w:sz w:val="24"/>
          <w:lang w:val="en-GB"/>
        </w:rPr>
      </w:pPr>
      <w:r w:rsidRPr="00640047">
        <w:rPr>
          <w:rFonts w:ascii="Times New Roman" w:hAnsi="Times New Roman"/>
          <w:b/>
          <w:i/>
          <w:noProof/>
          <w:sz w:val="24"/>
          <w:lang w:val="en-GB"/>
        </w:rPr>
        <w:t xml:space="preserve">Better protection of </w:t>
      </w:r>
      <w:r w:rsidR="009C2946" w:rsidRPr="00640047">
        <w:rPr>
          <w:rFonts w:ascii="Times New Roman" w:hAnsi="Times New Roman"/>
          <w:b/>
          <w:i/>
          <w:noProof/>
          <w:sz w:val="24"/>
          <w:lang w:val="en-GB"/>
        </w:rPr>
        <w:t>third-country seasonal workers</w:t>
      </w:r>
    </w:p>
    <w:p w14:paraId="659CC8B4" w14:textId="2247373D"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bookmarkStart w:id="15" w:name="_Hlk216703267"/>
      <w:r w:rsidRPr="00640047">
        <w:rPr>
          <w:rFonts w:ascii="Times New Roman" w:hAnsi="Times New Roman" w:cs="Times New Roman"/>
          <w:noProof/>
          <w:sz w:val="24"/>
          <w:szCs w:val="24"/>
          <w:lang w:val="en-GB"/>
        </w:rPr>
        <w:t xml:space="preserve">The Directive establishes a comprehensive framework for ensuring fair working and adequate living conditions for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By making it mandatory for Member States to provide accessible information on rights, obligations and complaint mechanisms, and by strengthening monitoring, inspections and sanctions, the Directive also seeks to empower workers to enforce their rights and to ensure that employers comply with the Directive, while deterring abusive practices.  </w:t>
      </w:r>
    </w:p>
    <w:p w14:paraId="4ACC96CE" w14:textId="6F03DB5B"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For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who fall within the scope of the Directive, its transposition</w:t>
      </w:r>
      <w:r w:rsidR="00F02368" w:rsidRPr="00640047">
        <w:rPr>
          <w:rFonts w:ascii="Times New Roman" w:hAnsi="Times New Roman" w:cs="Times New Roman"/>
          <w:noProof/>
          <w:sz w:val="24"/>
          <w:szCs w:val="24"/>
          <w:lang w:val="en-GB"/>
        </w:rPr>
        <w:t xml:space="preserve"> and application</w:t>
      </w:r>
      <w:r w:rsidRPr="00640047">
        <w:rPr>
          <w:rFonts w:ascii="Times New Roman" w:hAnsi="Times New Roman" w:cs="Times New Roman"/>
          <w:noProof/>
          <w:sz w:val="24"/>
          <w:szCs w:val="24"/>
          <w:lang w:val="en-GB"/>
        </w:rPr>
        <w:t xml:space="preserve"> ha</w:t>
      </w:r>
      <w:r w:rsidR="00F02368" w:rsidRPr="00640047">
        <w:rPr>
          <w:rFonts w:ascii="Times New Roman" w:hAnsi="Times New Roman" w:cs="Times New Roman"/>
          <w:noProof/>
          <w:sz w:val="24"/>
          <w:szCs w:val="24"/>
          <w:lang w:val="en-GB"/>
        </w:rPr>
        <w:t>ve</w:t>
      </w:r>
      <w:r w:rsidRPr="00640047">
        <w:rPr>
          <w:rFonts w:ascii="Times New Roman" w:hAnsi="Times New Roman" w:cs="Times New Roman"/>
          <w:noProof/>
          <w:sz w:val="24"/>
          <w:szCs w:val="24"/>
          <w:lang w:val="en-GB"/>
        </w:rPr>
        <w:t xml:space="preserve"> increased the level of legal protection compared with the pre-Directive situation. Nevertheless, significant shortcomings persist across Member States in relation to labour exploitation, workers’ rights and adequate accommodation, as well as to accessing social security </w:t>
      </w:r>
      <w:r w:rsidR="00F02368" w:rsidRPr="00640047">
        <w:rPr>
          <w:rFonts w:ascii="Times New Roman" w:hAnsi="Times New Roman" w:cs="Times New Roman"/>
          <w:noProof/>
          <w:sz w:val="24"/>
          <w:szCs w:val="24"/>
          <w:lang w:val="en-GB"/>
        </w:rPr>
        <w:t xml:space="preserve">and </w:t>
      </w:r>
      <w:r w:rsidRPr="00640047">
        <w:rPr>
          <w:rFonts w:ascii="Times New Roman" w:hAnsi="Times New Roman" w:cs="Times New Roman"/>
          <w:noProof/>
          <w:sz w:val="24"/>
          <w:szCs w:val="24"/>
          <w:lang w:val="en-GB"/>
        </w:rPr>
        <w:t xml:space="preserve">continue to be reported in seasonal sectors. </w:t>
      </w:r>
    </w:p>
    <w:p w14:paraId="25C22884" w14:textId="14EDD4B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The scope of the Directive and the lack of disaggregated and comparable data</w:t>
      </w:r>
      <w:r w:rsidRPr="00640047">
        <w:rPr>
          <w:rStyle w:val="FootnoteReference"/>
          <w:rFonts w:ascii="Times New Roman" w:hAnsi="Times New Roman" w:cs="Times New Roman"/>
          <w:noProof/>
          <w:sz w:val="24"/>
          <w:szCs w:val="24"/>
          <w:lang w:val="en-GB"/>
        </w:rPr>
        <w:footnoteReference w:id="73"/>
      </w:r>
      <w:r w:rsidRPr="00640047">
        <w:rPr>
          <w:rFonts w:ascii="Times New Roman" w:hAnsi="Times New Roman" w:cs="Times New Roman"/>
          <w:noProof/>
          <w:sz w:val="24"/>
          <w:szCs w:val="24"/>
          <w:lang w:val="en-GB"/>
        </w:rPr>
        <w:t xml:space="preserve"> make it difficult to precisely quantify shortcomings affecting seasonal workers the Directive covers. Inspection and statistical data are rarely disaggregated </w:t>
      </w:r>
      <w:r w:rsidR="00D83543" w:rsidRPr="00640047">
        <w:rPr>
          <w:rFonts w:ascii="Times New Roman" w:hAnsi="Times New Roman" w:cs="Times New Roman"/>
          <w:noProof/>
          <w:sz w:val="24"/>
          <w:szCs w:val="24"/>
          <w:lang w:val="en-GB"/>
        </w:rPr>
        <w:t>based on the</w:t>
      </w:r>
      <w:r w:rsidRPr="00640047">
        <w:rPr>
          <w:rFonts w:ascii="Times New Roman" w:hAnsi="Times New Roman" w:cs="Times New Roman"/>
          <w:noProof/>
          <w:sz w:val="24"/>
          <w:szCs w:val="24"/>
          <w:lang w:val="en-GB"/>
        </w:rPr>
        <w:t xml:space="preserve"> </w:t>
      </w:r>
      <w:r w:rsidR="00D83543" w:rsidRPr="00640047">
        <w:rPr>
          <w:rFonts w:ascii="Times New Roman" w:hAnsi="Times New Roman" w:cs="Times New Roman"/>
          <w:noProof/>
          <w:sz w:val="24"/>
          <w:szCs w:val="24"/>
          <w:lang w:val="en-GB"/>
        </w:rPr>
        <w:t xml:space="preserve">specific </w:t>
      </w:r>
      <w:r w:rsidRPr="00640047">
        <w:rPr>
          <w:rFonts w:ascii="Times New Roman" w:hAnsi="Times New Roman" w:cs="Times New Roman"/>
          <w:noProof/>
          <w:sz w:val="24"/>
          <w:szCs w:val="24"/>
          <w:lang w:val="en-GB"/>
        </w:rPr>
        <w:t>legal status</w:t>
      </w:r>
      <w:r w:rsidR="00D83543" w:rsidRPr="00640047">
        <w:rPr>
          <w:rFonts w:ascii="Times New Roman" w:hAnsi="Times New Roman" w:cs="Times New Roman"/>
          <w:noProof/>
          <w:sz w:val="24"/>
          <w:szCs w:val="24"/>
          <w:lang w:val="en-GB"/>
        </w:rPr>
        <w:t>es of the affected workers</w:t>
      </w:r>
      <w:r w:rsidRPr="00640047">
        <w:rPr>
          <w:rFonts w:ascii="Times New Roman" w:hAnsi="Times New Roman" w:cs="Times New Roman"/>
          <w:noProof/>
          <w:sz w:val="24"/>
          <w:szCs w:val="24"/>
          <w:lang w:val="en-GB"/>
        </w:rPr>
        <w:t xml:space="preserve">. Given the documented prevalence of risks in seasonal work and the indications consistently given by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 it is reasonable to conclude that workers under the Directive’s scope are also affected by such risks, even though they might not often be the </w:t>
      </w:r>
      <w:r w:rsidR="00E55C7F" w:rsidRPr="00640047">
        <w:rPr>
          <w:rFonts w:ascii="Times New Roman" w:hAnsi="Times New Roman" w:cs="Times New Roman"/>
          <w:noProof/>
          <w:sz w:val="24"/>
          <w:szCs w:val="24"/>
          <w:lang w:val="en-GB"/>
        </w:rPr>
        <w:t>m</w:t>
      </w:r>
      <w:r w:rsidR="00C86D7F">
        <w:rPr>
          <w:rFonts w:ascii="Times New Roman" w:hAnsi="Times New Roman" w:cs="Times New Roman"/>
          <w:noProof/>
          <w:sz w:val="24"/>
          <w:szCs w:val="24"/>
          <w:lang w:val="en-GB"/>
        </w:rPr>
        <w:t>o</w:t>
      </w:r>
      <w:r w:rsidR="00E55C7F" w:rsidRPr="00640047">
        <w:rPr>
          <w:rFonts w:ascii="Times New Roman" w:hAnsi="Times New Roman" w:cs="Times New Roman"/>
          <w:noProof/>
          <w:sz w:val="24"/>
          <w:szCs w:val="24"/>
          <w:lang w:val="en-GB"/>
        </w:rPr>
        <w:t>st</w:t>
      </w:r>
      <w:r w:rsidRPr="00640047">
        <w:rPr>
          <w:rFonts w:ascii="Times New Roman" w:hAnsi="Times New Roman" w:cs="Times New Roman"/>
          <w:noProof/>
          <w:sz w:val="24"/>
          <w:szCs w:val="24"/>
          <w:lang w:val="en-GB"/>
        </w:rPr>
        <w:t xml:space="preserve"> </w:t>
      </w:r>
      <w:r w:rsidR="00E55C7F" w:rsidRPr="00640047">
        <w:rPr>
          <w:rFonts w:ascii="Times New Roman" w:hAnsi="Times New Roman" w:cs="Times New Roman"/>
          <w:noProof/>
          <w:sz w:val="24"/>
          <w:szCs w:val="24"/>
          <w:lang w:val="en-GB"/>
        </w:rPr>
        <w:t xml:space="preserve">affected </w:t>
      </w:r>
      <w:r w:rsidRPr="00640047">
        <w:rPr>
          <w:rFonts w:ascii="Times New Roman" w:hAnsi="Times New Roman" w:cs="Times New Roman"/>
          <w:noProof/>
          <w:sz w:val="24"/>
          <w:szCs w:val="24"/>
          <w:lang w:val="en-GB"/>
        </w:rPr>
        <w:t>due to the Directive’s protective framework</w:t>
      </w:r>
      <w:bookmarkStart w:id="16" w:name="_Ref220426270"/>
      <w:r w:rsidRPr="00640047">
        <w:rPr>
          <w:rStyle w:val="FootnoteReference"/>
          <w:rFonts w:ascii="Times New Roman" w:hAnsi="Times New Roman" w:cs="Times New Roman"/>
          <w:noProof/>
          <w:sz w:val="24"/>
          <w:szCs w:val="24"/>
          <w:lang w:val="en-GB"/>
        </w:rPr>
        <w:footnoteReference w:id="74"/>
      </w:r>
      <w:bookmarkEnd w:id="16"/>
      <w:r w:rsidRPr="00640047">
        <w:rPr>
          <w:rFonts w:ascii="Times New Roman" w:hAnsi="Times New Roman" w:cs="Times New Roman"/>
          <w:noProof/>
          <w:sz w:val="24"/>
          <w:szCs w:val="24"/>
          <w:lang w:val="en-GB"/>
        </w:rPr>
        <w:t xml:space="preserve">. In this context, the Commission has identified the following four priority areas where more needs to be done to ensure fair working and decent living conditions in line with the Directive’s objectives. </w:t>
      </w:r>
    </w:p>
    <w:bookmarkEnd w:id="15"/>
    <w:p w14:paraId="249914F7" w14:textId="33288374"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 xml:space="preserve">Enabling </w:t>
      </w:r>
      <w:r w:rsidR="009C2946" w:rsidRPr="00640047">
        <w:rPr>
          <w:rFonts w:ascii="Times New Roman" w:eastAsia="Times New Roman" w:hAnsi="Times New Roman" w:cs="Times New Roman"/>
          <w:b/>
          <w:bCs/>
          <w:i/>
          <w:iCs/>
          <w:noProof/>
          <w:sz w:val="24"/>
          <w:szCs w:val="24"/>
          <w:lang w:val="en-GB"/>
        </w:rPr>
        <w:t>third-country seasonal workers</w:t>
      </w:r>
      <w:r w:rsidRPr="00640047">
        <w:rPr>
          <w:rFonts w:ascii="Times New Roman" w:eastAsia="Times New Roman" w:hAnsi="Times New Roman" w:cs="Times New Roman"/>
          <w:b/>
          <w:bCs/>
          <w:i/>
          <w:iCs/>
          <w:noProof/>
          <w:sz w:val="24"/>
          <w:szCs w:val="24"/>
          <w:lang w:val="en-GB"/>
        </w:rPr>
        <w:t xml:space="preserve"> to enforce their rights</w:t>
      </w:r>
    </w:p>
    <w:p w14:paraId="1FC6065F"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bookmarkStart w:id="17" w:name="_Hlk216706800"/>
      <w:r w:rsidRPr="00640047">
        <w:rPr>
          <w:rFonts w:ascii="Times New Roman" w:hAnsi="Times New Roman" w:cs="Times New Roman"/>
          <w:i/>
          <w:iCs/>
          <w:noProof/>
          <w:sz w:val="24"/>
          <w:szCs w:val="24"/>
          <w:lang w:val="en-GB"/>
        </w:rPr>
        <w:t>Provision of information – Article 11</w:t>
      </w:r>
    </w:p>
    <w:p w14:paraId="0AEF3EA9" w14:textId="0FEC321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Article 11(1)</w:t>
      </w:r>
      <w:r w:rsidR="003C507F" w:rsidRPr="00640047">
        <w:rPr>
          <w:rFonts w:ascii="Times New Roman" w:hAnsi="Times New Roman" w:cs="Times New Roman"/>
          <w:noProof/>
          <w:sz w:val="24"/>
          <w:szCs w:val="24"/>
          <w:lang w:val="en-GB"/>
        </w:rPr>
        <w:t xml:space="preserve"> of the Directive</w:t>
      </w:r>
      <w:r w:rsidRPr="00640047">
        <w:rPr>
          <w:rFonts w:ascii="Times New Roman" w:hAnsi="Times New Roman" w:cs="Times New Roman"/>
          <w:noProof/>
          <w:sz w:val="24"/>
          <w:szCs w:val="24"/>
          <w:lang w:val="en-GB"/>
        </w:rPr>
        <w:t xml:space="preserve"> </w:t>
      </w:r>
      <w:r w:rsidR="004C14D0" w:rsidRPr="00640047">
        <w:rPr>
          <w:rFonts w:ascii="Times New Roman" w:hAnsi="Times New Roman" w:cs="Times New Roman"/>
          <w:noProof/>
          <w:sz w:val="24"/>
          <w:szCs w:val="24"/>
          <w:lang w:val="en-GB"/>
        </w:rPr>
        <w:t>requires Member States</w:t>
      </w:r>
      <w:r w:rsidRPr="00640047">
        <w:rPr>
          <w:rFonts w:ascii="Times New Roman" w:hAnsi="Times New Roman" w:cs="Times New Roman"/>
          <w:noProof/>
          <w:sz w:val="24"/>
          <w:szCs w:val="24"/>
          <w:lang w:val="en-GB"/>
        </w:rPr>
        <w:t xml:space="preserve"> to make easily accessible to applicants all information on the documentation required and the conditions of entry and stay, including rights, obligations and procedural safeguards. Article 11(2) </w:t>
      </w:r>
      <w:r w:rsidR="0096612F"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requires that, </w:t>
      </w:r>
      <w:r w:rsidR="00822B66" w:rsidRPr="00640047">
        <w:rPr>
          <w:rFonts w:ascii="Times New Roman" w:hAnsi="Times New Roman" w:cs="Times New Roman"/>
          <w:noProof/>
          <w:sz w:val="24"/>
          <w:szCs w:val="24"/>
          <w:lang w:val="en-GB"/>
        </w:rPr>
        <w:t xml:space="preserve">when an </w:t>
      </w:r>
      <w:r w:rsidRPr="00640047">
        <w:rPr>
          <w:rFonts w:ascii="Times New Roman" w:hAnsi="Times New Roman" w:cs="Times New Roman"/>
          <w:noProof/>
          <w:sz w:val="24"/>
          <w:szCs w:val="24"/>
          <w:lang w:val="en-GB"/>
        </w:rPr>
        <w:t>authorisation</w:t>
      </w:r>
      <w:r w:rsidR="00822B66" w:rsidRPr="00640047">
        <w:rPr>
          <w:rFonts w:ascii="Times New Roman" w:hAnsi="Times New Roman" w:cs="Times New Roman"/>
          <w:noProof/>
          <w:sz w:val="24"/>
          <w:szCs w:val="24"/>
          <w:lang w:val="en-GB"/>
        </w:rPr>
        <w:t xml:space="preserve"> is issued</w:t>
      </w:r>
      <w:r w:rsidRPr="00640047">
        <w:rPr>
          <w:rFonts w:ascii="Times New Roman" w:hAnsi="Times New Roman" w:cs="Times New Roman"/>
          <w:noProof/>
          <w:sz w:val="24"/>
          <w:szCs w:val="24"/>
          <w:lang w:val="en-GB"/>
        </w:rPr>
        <w:t xml:space="preserv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give this information on rights and obligations, including complaint procedures, to workers in writing. Most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fulfil these obligations, although several have not transposed Article 11(1) explicitly and 16 </w:t>
      </w:r>
      <w:r w:rsidR="00A05F3E" w:rsidRPr="00640047">
        <w:rPr>
          <w:rFonts w:ascii="Times New Roman" w:hAnsi="Times New Roman" w:cs="Times New Roman"/>
          <w:noProof/>
          <w:sz w:val="24"/>
          <w:szCs w:val="24"/>
          <w:lang w:val="en-GB"/>
        </w:rPr>
        <w:t xml:space="preserve">of them </w:t>
      </w:r>
      <w:r w:rsidRPr="00640047">
        <w:rPr>
          <w:rFonts w:ascii="Times New Roman" w:hAnsi="Times New Roman" w:cs="Times New Roman"/>
          <w:noProof/>
          <w:sz w:val="24"/>
          <w:szCs w:val="24"/>
          <w:lang w:val="en-GB"/>
        </w:rPr>
        <w:t>originally failed to transpose it correctly.</w:t>
      </w:r>
      <w:r w:rsidR="003C7BB1" w:rsidRPr="00640047">
        <w:rPr>
          <w:rFonts w:ascii="Times New Roman" w:hAnsi="Times New Roman" w:cs="Times New Roman"/>
          <w:noProof/>
          <w:sz w:val="24"/>
          <w:szCs w:val="24"/>
          <w:lang w:val="en-GB"/>
        </w:rPr>
        <w:t xml:space="preserve"> As a result of enforcement e</w:t>
      </w:r>
      <w:r w:rsidR="00A05F3E" w:rsidRPr="00640047">
        <w:rPr>
          <w:rFonts w:ascii="Times New Roman" w:hAnsi="Times New Roman" w:cs="Times New Roman"/>
          <w:noProof/>
          <w:sz w:val="24"/>
          <w:szCs w:val="24"/>
          <w:lang w:val="en-GB"/>
        </w:rPr>
        <w:t>ffort</w:t>
      </w:r>
      <w:r w:rsidR="00835200">
        <w:rPr>
          <w:rFonts w:ascii="Times New Roman" w:hAnsi="Times New Roman" w:cs="Times New Roman"/>
          <w:noProof/>
          <w:sz w:val="24"/>
          <w:szCs w:val="24"/>
          <w:lang w:val="en-GB"/>
        </w:rPr>
        <w:t>s</w:t>
      </w:r>
      <w:r w:rsidR="003C7BB1" w:rsidRPr="00640047">
        <w:rPr>
          <w:rFonts w:ascii="Times New Roman" w:hAnsi="Times New Roman" w:cs="Times New Roman"/>
          <w:noProof/>
          <w:sz w:val="24"/>
          <w:szCs w:val="24"/>
          <w:lang w:val="en-GB"/>
        </w:rPr>
        <w:t xml:space="preserve">, the situation has improved in many </w:t>
      </w:r>
      <w:r w:rsidR="004C14D0" w:rsidRPr="00640047">
        <w:rPr>
          <w:rFonts w:ascii="Times New Roman" w:hAnsi="Times New Roman" w:cs="Times New Roman"/>
          <w:noProof/>
          <w:sz w:val="24"/>
          <w:szCs w:val="24"/>
          <w:lang w:val="en-GB"/>
        </w:rPr>
        <w:t>Member States</w:t>
      </w:r>
      <w:r w:rsidR="003C7BB1" w:rsidRPr="00640047">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In practice, all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provide online information for applicants, but its completeness and accessibility vary. Procedural aspects are usually well documented, but information on the following key rights often remain absent: the right to change employer (Article 15(3)), the facilitation of re-entry (Article 16), the safeguard against the interruption of work if a decision on an extension is pending or while awaiting a decision on an application to change employer (Article 18(2)), detailed housing safeguards (Article 20), the overview of all equal treatment rights (Article 23), and the right to compensation (Article 17(2)). Many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 have </w:t>
      </w:r>
      <w:r w:rsidRPr="00640047">
        <w:rPr>
          <w:rFonts w:ascii="Times New Roman" w:eastAsiaTheme="minorEastAsia" w:hAnsi="Times New Roman" w:cs="Times New Roman"/>
          <w:noProof/>
          <w:sz w:val="24"/>
          <w:szCs w:val="24"/>
          <w:lang w:val="en-GB"/>
        </w:rPr>
        <w:t xml:space="preserve">identified </w:t>
      </w:r>
      <w:r w:rsidRPr="00640047">
        <w:rPr>
          <w:rFonts w:ascii="Times New Roman" w:hAnsi="Times New Roman" w:cs="Times New Roman"/>
          <w:noProof/>
          <w:sz w:val="24"/>
          <w:szCs w:val="24"/>
          <w:lang w:val="en-GB"/>
        </w:rPr>
        <w:t>better information provision for seasonal workers as a priority</w:t>
      </w:r>
      <w:bookmarkStart w:id="18" w:name="_Ref220421960"/>
      <w:r w:rsidRPr="00640047">
        <w:rPr>
          <w:rStyle w:val="FootnoteReference"/>
          <w:rFonts w:ascii="Times New Roman" w:hAnsi="Times New Roman" w:cs="Times New Roman"/>
          <w:noProof/>
          <w:sz w:val="24"/>
          <w:szCs w:val="24"/>
          <w:lang w:val="en-GB"/>
        </w:rPr>
        <w:footnoteReference w:id="75"/>
      </w:r>
      <w:bookmarkEnd w:id="18"/>
      <w:r w:rsidRPr="00640047">
        <w:rPr>
          <w:rFonts w:ascii="Times New Roman" w:hAnsi="Times New Roman" w:cs="Times New Roman"/>
          <w:noProof/>
          <w:sz w:val="24"/>
          <w:szCs w:val="24"/>
          <w:lang w:val="en-GB"/>
        </w:rPr>
        <w:t>.</w:t>
      </w:r>
    </w:p>
    <w:p w14:paraId="17438C33" w14:textId="593578B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terms of good practices, a few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provide a single, multilingual, user-friendly portal consolidating information on all rights and explaining complaint and redress mechanisms</w:t>
      </w:r>
      <w:r w:rsidRPr="00640047">
        <w:rPr>
          <w:rStyle w:val="FootnoteReference"/>
          <w:rFonts w:ascii="Times New Roman" w:hAnsi="Times New Roman" w:cs="Times New Roman"/>
          <w:noProof/>
          <w:sz w:val="24"/>
          <w:szCs w:val="24"/>
          <w:lang w:val="en-GB"/>
        </w:rPr>
        <w:footnoteReference w:id="76"/>
      </w:r>
      <w:r w:rsidRPr="00640047">
        <w:rPr>
          <w:rFonts w:ascii="Times New Roman" w:eastAsiaTheme="minorEastAsia" w:hAnsi="Times New Roman" w:cs="Times New Roman"/>
          <w:noProof/>
          <w:sz w:val="24"/>
          <w:szCs w:val="24"/>
          <w:lang w:val="en-GB"/>
        </w:rPr>
        <w:t>.</w:t>
      </w:r>
    </w:p>
    <w:p w14:paraId="156639DA" w14:textId="405647C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eastAsiaTheme="minorEastAsia" w:hAnsi="Times New Roman" w:cs="Times New Roman"/>
          <w:noProof/>
          <w:sz w:val="24"/>
          <w:szCs w:val="24"/>
          <w:lang w:val="en-GB"/>
        </w:rPr>
        <w:t>With regard to the</w:t>
      </w:r>
      <w:r w:rsidR="003C7BB1" w:rsidRPr="00640047">
        <w:rPr>
          <w:rFonts w:ascii="Times New Roman" w:eastAsiaTheme="minorEastAsia" w:hAnsi="Times New Roman" w:cs="Times New Roman"/>
          <w:noProof/>
          <w:sz w:val="24"/>
          <w:szCs w:val="24"/>
          <w:lang w:val="en-GB"/>
        </w:rPr>
        <w:t xml:space="preserve"> </w:t>
      </w:r>
      <w:r w:rsidRPr="00640047">
        <w:rPr>
          <w:rFonts w:ascii="Times New Roman" w:eastAsiaTheme="minorEastAsia" w:hAnsi="Times New Roman" w:cs="Times New Roman"/>
          <w:noProof/>
          <w:sz w:val="24"/>
          <w:szCs w:val="24"/>
          <w:lang w:val="en-GB"/>
        </w:rPr>
        <w:t>obligation</w:t>
      </w:r>
      <w:r w:rsidR="001329EB" w:rsidRPr="00640047">
        <w:rPr>
          <w:rFonts w:ascii="Times New Roman" w:eastAsiaTheme="minorEastAsia" w:hAnsi="Times New Roman" w:cs="Times New Roman"/>
          <w:noProof/>
          <w:sz w:val="24"/>
          <w:szCs w:val="24"/>
          <w:lang w:val="en-GB"/>
        </w:rPr>
        <w:t xml:space="preserve"> set out in Article 11(2) of the Directive</w:t>
      </w:r>
      <w:r w:rsidRPr="00640047">
        <w:rPr>
          <w:rFonts w:ascii="Times New Roman" w:eastAsiaTheme="minorEastAsia" w:hAnsi="Times New Roman" w:cs="Times New Roman"/>
          <w:noProof/>
          <w:sz w:val="24"/>
          <w:szCs w:val="24"/>
          <w:lang w:val="en-GB"/>
        </w:rPr>
        <w:t xml:space="preserve">, some </w:t>
      </w:r>
      <w:r w:rsidR="004C14D0" w:rsidRPr="00640047">
        <w:rPr>
          <w:rFonts w:ascii="Times New Roman" w:eastAsiaTheme="minorEastAsia" w:hAnsi="Times New Roman" w:cs="Times New Roman"/>
          <w:noProof/>
          <w:sz w:val="24"/>
          <w:szCs w:val="24"/>
          <w:lang w:val="en-GB"/>
        </w:rPr>
        <w:t>Member States</w:t>
      </w:r>
      <w:r w:rsidRPr="00640047">
        <w:rPr>
          <w:rFonts w:ascii="Times New Roman" w:eastAsiaTheme="minorEastAsia" w:hAnsi="Times New Roman" w:cs="Times New Roman"/>
          <w:noProof/>
          <w:sz w:val="24"/>
          <w:szCs w:val="24"/>
          <w:lang w:val="en-GB"/>
        </w:rPr>
        <w:t xml:space="preserve"> require that a written notice on rights and complaint </w:t>
      </w:r>
      <w:r w:rsidR="001329EB" w:rsidRPr="00640047">
        <w:rPr>
          <w:rFonts w:ascii="Times New Roman" w:eastAsiaTheme="minorEastAsia" w:hAnsi="Times New Roman" w:cs="Times New Roman"/>
          <w:noProof/>
          <w:sz w:val="24"/>
          <w:szCs w:val="24"/>
          <w:lang w:val="en-GB"/>
        </w:rPr>
        <w:t>procedures</w:t>
      </w:r>
      <w:r w:rsidRPr="00640047">
        <w:rPr>
          <w:rFonts w:ascii="Times New Roman" w:eastAsiaTheme="minorEastAsia" w:hAnsi="Times New Roman" w:cs="Times New Roman"/>
          <w:noProof/>
          <w:sz w:val="24"/>
          <w:szCs w:val="24"/>
          <w:lang w:val="en-GB"/>
        </w:rPr>
        <w:t xml:space="preserve"> accompany decisions and be delivered at the same time that a visa and/or residence permit is issued and directly handed out to </w:t>
      </w:r>
      <w:r w:rsidR="009C2946" w:rsidRPr="00640047">
        <w:rPr>
          <w:rFonts w:ascii="Times New Roman" w:eastAsiaTheme="minorEastAsia" w:hAnsi="Times New Roman" w:cs="Times New Roman"/>
          <w:noProof/>
          <w:sz w:val="24"/>
          <w:szCs w:val="24"/>
          <w:lang w:val="en-GB"/>
        </w:rPr>
        <w:t>third-country seasonal workers</w:t>
      </w:r>
      <w:r w:rsidRPr="00640047">
        <w:rPr>
          <w:rStyle w:val="FootnoteReference"/>
          <w:rFonts w:ascii="Times New Roman" w:hAnsi="Times New Roman" w:cs="Times New Roman"/>
          <w:noProof/>
          <w:sz w:val="24"/>
          <w:szCs w:val="24"/>
          <w:lang w:val="en-GB"/>
        </w:rPr>
        <w:footnoteReference w:id="77"/>
      </w:r>
      <w:r w:rsidRPr="00640047">
        <w:rPr>
          <w:rFonts w:ascii="Times New Roman" w:eastAsiaTheme="minorEastAsia" w:hAnsi="Times New Roman" w:cs="Times New Roman"/>
          <w:noProof/>
          <w:sz w:val="24"/>
          <w:szCs w:val="24"/>
          <w:lang w:val="en-GB"/>
        </w:rPr>
        <w:t>.</w:t>
      </w:r>
      <w:r w:rsidRPr="00640047">
        <w:rPr>
          <w:rFonts w:ascii="Times New Roman" w:hAnsi="Times New Roman" w:cs="Times New Roman"/>
          <w:noProof/>
          <w:sz w:val="24"/>
          <w:szCs w:val="24"/>
          <w:lang w:val="en-GB"/>
        </w:rPr>
        <w:t xml:space="preserve"> Employer-</w:t>
      </w:r>
      <w:r w:rsidRPr="00640047" w:rsidDel="000330E1">
        <w:rPr>
          <w:rFonts w:ascii="Times New Roman" w:hAnsi="Times New Roman" w:cs="Times New Roman"/>
          <w:noProof/>
          <w:sz w:val="24"/>
          <w:szCs w:val="24"/>
          <w:lang w:val="en-GB"/>
        </w:rPr>
        <w:t xml:space="preserve">driven models that rely on employers to inform workers </w:t>
      </w:r>
      <w:r w:rsidRPr="00640047">
        <w:rPr>
          <w:rFonts w:ascii="Times New Roman" w:hAnsi="Times New Roman" w:cs="Times New Roman"/>
          <w:noProof/>
          <w:sz w:val="24"/>
          <w:szCs w:val="24"/>
          <w:lang w:val="en-GB"/>
        </w:rPr>
        <w:t xml:space="preserve">of their rights </w:t>
      </w:r>
      <w:r w:rsidRPr="00640047" w:rsidDel="000330E1">
        <w:rPr>
          <w:rFonts w:ascii="Times New Roman" w:hAnsi="Times New Roman" w:cs="Times New Roman"/>
          <w:noProof/>
          <w:sz w:val="24"/>
          <w:szCs w:val="24"/>
          <w:lang w:val="en-GB"/>
        </w:rPr>
        <w:t>without systematic verification or sanctions</w:t>
      </w:r>
      <w:r w:rsidRPr="00640047">
        <w:rPr>
          <w:rFonts w:ascii="Times New Roman" w:hAnsi="Times New Roman" w:cs="Times New Roman"/>
          <w:noProof/>
          <w:sz w:val="24"/>
          <w:szCs w:val="24"/>
          <w:lang w:val="en-GB"/>
        </w:rPr>
        <w:t xml:space="preserve"> can</w:t>
      </w:r>
      <w:r w:rsidRPr="00640047" w:rsidDel="000330E1">
        <w:rPr>
          <w:rFonts w:ascii="Times New Roman" w:hAnsi="Times New Roman" w:cs="Times New Roman"/>
          <w:noProof/>
          <w:sz w:val="24"/>
          <w:szCs w:val="24"/>
          <w:lang w:val="en-GB"/>
        </w:rPr>
        <w:t xml:space="preserve"> have difficulties ensuring that the information </w:t>
      </w:r>
      <w:r w:rsidRPr="00640047">
        <w:rPr>
          <w:rFonts w:ascii="Times New Roman" w:hAnsi="Times New Roman" w:cs="Times New Roman"/>
          <w:noProof/>
          <w:sz w:val="24"/>
          <w:szCs w:val="24"/>
          <w:lang w:val="en-GB"/>
        </w:rPr>
        <w:t xml:space="preserve">actually </w:t>
      </w:r>
      <w:r w:rsidRPr="00640047" w:rsidDel="000330E1">
        <w:rPr>
          <w:rFonts w:ascii="Times New Roman" w:hAnsi="Times New Roman" w:cs="Times New Roman"/>
          <w:noProof/>
          <w:sz w:val="24"/>
          <w:szCs w:val="24"/>
          <w:lang w:val="en-GB"/>
        </w:rPr>
        <w:t>reaches the worker</w:t>
      </w:r>
      <w:r w:rsidRPr="00640047">
        <w:rPr>
          <w:rFonts w:ascii="Times New Roman" w:hAnsi="Times New Roman" w:cs="Times New Roman"/>
          <w:noProof/>
          <w:sz w:val="24"/>
          <w:szCs w:val="24"/>
          <w:lang w:val="en-GB"/>
        </w:rPr>
        <w:t>.</w:t>
      </w:r>
    </w:p>
    <w:p w14:paraId="0DC611F3"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Effective mechanisms for lodging complaints and seeking legal redress – Article 25</w:t>
      </w:r>
    </w:p>
    <w:p w14:paraId="02AB6223" w14:textId="45DBE73B" w:rsidR="006976D7" w:rsidRPr="00640047" w:rsidRDefault="006976D7" w:rsidP="00100C76">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25 </w:t>
      </w:r>
      <w:r w:rsidR="001329EB"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requires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to ensure that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can lodge complaints and seek legal redress effectively. All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formally provide complaint and redress </w:t>
      </w:r>
      <w:r w:rsidR="00F45D70" w:rsidRPr="00640047">
        <w:rPr>
          <w:rFonts w:ascii="Times New Roman" w:hAnsi="Times New Roman" w:cs="Times New Roman"/>
          <w:noProof/>
          <w:sz w:val="24"/>
          <w:szCs w:val="24"/>
          <w:lang w:val="en-GB"/>
        </w:rPr>
        <w:t>mechanisms</w:t>
      </w:r>
      <w:r w:rsidRPr="00640047">
        <w:rPr>
          <w:rFonts w:ascii="Times New Roman" w:hAnsi="Times New Roman" w:cs="Times New Roman"/>
          <w:noProof/>
          <w:sz w:val="24"/>
          <w:szCs w:val="24"/>
          <w:lang w:val="en-GB"/>
        </w:rPr>
        <w:t xml:space="preserve">, allow representation </w:t>
      </w:r>
      <w:r w:rsidR="00100C76" w:rsidRPr="00640047">
        <w:rPr>
          <w:rFonts w:ascii="Times New Roman" w:hAnsi="Times New Roman" w:cs="Times New Roman"/>
          <w:noProof/>
          <w:sz w:val="24"/>
          <w:szCs w:val="24"/>
          <w:lang w:val="en-GB"/>
        </w:rPr>
        <w:t xml:space="preserve">by </w:t>
      </w:r>
      <w:r w:rsidR="00100C76" w:rsidRPr="00D572B5">
        <w:rPr>
          <w:rFonts w:ascii="Times New Roman" w:hAnsi="Times New Roman" w:cs="Times New Roman"/>
          <w:noProof/>
          <w:sz w:val="24"/>
          <w:szCs w:val="24"/>
          <w:lang w:val="en-GB"/>
        </w:rPr>
        <w:t>third parties</w:t>
      </w:r>
      <w:r w:rsidR="00100C76" w:rsidRPr="00640047">
        <w:rPr>
          <w:rFonts w:ascii="Times New Roman" w:hAnsi="Times New Roman" w:cs="Times New Roman"/>
          <w:noProof/>
          <w:sz w:val="24"/>
          <w:szCs w:val="24"/>
          <w:lang w:val="en-GB"/>
        </w:rPr>
        <w:t>,</w:t>
      </w:r>
      <w:r w:rsidR="00100C76" w:rsidRPr="00D572B5">
        <w:rPr>
          <w:rFonts w:ascii="Times New Roman" w:hAnsi="Times New Roman" w:cs="Times New Roman"/>
          <w:noProof/>
          <w:sz w:val="24"/>
          <w:szCs w:val="24"/>
          <w:lang w:val="en-GB"/>
        </w:rPr>
        <w:t xml:space="preserve"> which have, in accordance with the criteria laid down by their national law, a legitimate interest in ensuring compliance with this Directive</w:t>
      </w:r>
      <w:r w:rsidR="00100C76"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and offer safeguards against retaliation equal to those for nationals. However, these systems’ practical accessibility and effectiveness vary from one country to another.</w:t>
      </w:r>
    </w:p>
    <w:p w14:paraId="03E07770" w14:textId="31AC91A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In several </w:t>
      </w:r>
      <w:r w:rsidR="004C14D0" w:rsidRPr="00640047">
        <w:rPr>
          <w:rFonts w:ascii="Times New Roman" w:hAnsi="Times New Roman" w:cs="Times New Roman"/>
          <w:noProof/>
          <w:sz w:val="24"/>
          <w:szCs w:val="24"/>
          <w:lang w:val="en-GB"/>
        </w:rPr>
        <w:t>Member States</w:t>
      </w:r>
      <w:r w:rsidRPr="00640047">
        <w:rPr>
          <w:rStyle w:val="FootnoteReference"/>
          <w:rFonts w:ascii="Times New Roman" w:hAnsi="Times New Roman" w:cs="Times New Roman"/>
          <w:noProof/>
          <w:sz w:val="24"/>
          <w:szCs w:val="24"/>
          <w:lang w:val="en-GB"/>
        </w:rPr>
        <w:footnoteReference w:id="78"/>
      </w:r>
      <w:r w:rsidRPr="00640047">
        <w:rPr>
          <w:rFonts w:ascii="Times New Roman" w:hAnsi="Times New Roman" w:cs="Times New Roman"/>
          <w:noProof/>
          <w:sz w:val="24"/>
          <w:szCs w:val="24"/>
          <w:lang w:val="en-GB"/>
        </w:rPr>
        <w:t xml:space="preserve">, complaint and redress mechanisms remain difficult to use due to language and digital barriers, the limited visibility of available redress options and of support to access them, and/or the absence of clear complaint channels in case of inadequate accommodation. By contrast, other </w:t>
      </w:r>
      <w:r w:rsidR="004C14D0" w:rsidRPr="00640047">
        <w:rPr>
          <w:rFonts w:ascii="Times New Roman" w:hAnsi="Times New Roman" w:cs="Times New Roman"/>
          <w:noProof/>
          <w:sz w:val="24"/>
          <w:szCs w:val="24"/>
          <w:lang w:val="en-GB"/>
        </w:rPr>
        <w:t>Member States</w:t>
      </w:r>
      <w:r w:rsidRPr="00640047">
        <w:rPr>
          <w:rStyle w:val="FootnoteReference"/>
          <w:rFonts w:ascii="Times New Roman" w:hAnsi="Times New Roman" w:cs="Times New Roman"/>
          <w:noProof/>
          <w:sz w:val="24"/>
          <w:szCs w:val="24"/>
          <w:lang w:val="en-GB"/>
        </w:rPr>
        <w:footnoteReference w:id="79"/>
      </w:r>
      <w:r w:rsidRPr="00640047">
        <w:rPr>
          <w:rFonts w:ascii="Times New Roman" w:hAnsi="Times New Roman" w:cs="Times New Roman"/>
          <w:noProof/>
          <w:sz w:val="24"/>
          <w:szCs w:val="24"/>
          <w:lang w:val="en-GB"/>
        </w:rPr>
        <w:t xml:space="preserve"> have introduced user-friendly portals, multilingual helplines, simplified mandates for representation, anonymous reporting options, explicit accommodation-related complaint mechanisms and/or expedited, low-cost dispute mechanisms, to improve access to complaint and redress mechanisms.</w:t>
      </w:r>
    </w:p>
    <w:p w14:paraId="64014FA0" w14:textId="17626B2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Despite these arrangements, the violation of </w:t>
      </w:r>
      <w:r w:rsidR="00CC2789" w:rsidRPr="00640047">
        <w:rPr>
          <w:rFonts w:ascii="Times New Roman" w:hAnsi="Times New Roman" w:cs="Times New Roman"/>
          <w:noProof/>
          <w:sz w:val="24"/>
          <w:szCs w:val="24"/>
          <w:lang w:val="en-GB"/>
        </w:rPr>
        <w:t>seasonal workers’ rights</w:t>
      </w:r>
      <w:r w:rsidRPr="00640047">
        <w:rPr>
          <w:rFonts w:ascii="Times New Roman" w:hAnsi="Times New Roman" w:cs="Times New Roman"/>
          <w:noProof/>
          <w:sz w:val="24"/>
          <w:szCs w:val="24"/>
          <w:lang w:val="en-GB"/>
        </w:rPr>
        <w:t xml:space="preserve"> </w:t>
      </w:r>
      <w:r w:rsidR="00A349AC" w:rsidRPr="00640047">
        <w:rPr>
          <w:rFonts w:ascii="Times New Roman" w:hAnsi="Times New Roman" w:cs="Times New Roman"/>
          <w:noProof/>
          <w:sz w:val="24"/>
          <w:szCs w:val="24"/>
          <w:lang w:val="en-GB"/>
        </w:rPr>
        <w:t xml:space="preserve">is likely to </w:t>
      </w:r>
      <w:r w:rsidRPr="00640047">
        <w:rPr>
          <w:rFonts w:ascii="Times New Roman" w:hAnsi="Times New Roman" w:cs="Times New Roman"/>
          <w:noProof/>
          <w:sz w:val="24"/>
          <w:szCs w:val="24"/>
          <w:lang w:val="en-GB"/>
        </w:rPr>
        <w:t>remain underreported. Seasonal workers’ short stay, limited awareness of their rights, their perceived dependence on employers, cultural and linguistic barriers, and the perceived risks associated with contacting enforcement bodies may often deter workers from making complaints. The difficulty of conducting legal proceedings from their country of origin, of proving violations, of getting compensation or backpay, and the time it takes to do so, as well as the costs of doing so, are further deterrents</w:t>
      </w:r>
      <w:r w:rsidRPr="00640047">
        <w:rPr>
          <w:rStyle w:val="FootnoteReference"/>
          <w:rFonts w:ascii="Times New Roman" w:hAnsi="Times New Roman" w:cs="Times New Roman"/>
          <w:noProof/>
          <w:sz w:val="24"/>
          <w:szCs w:val="24"/>
          <w:lang w:val="en-GB"/>
        </w:rPr>
        <w:footnoteReference w:id="80"/>
      </w:r>
      <w:r w:rsidRPr="00640047">
        <w:rPr>
          <w:rFonts w:ascii="Times New Roman" w:hAnsi="Times New Roman" w:cs="Times New Roman"/>
          <w:noProof/>
          <w:sz w:val="24"/>
          <w:szCs w:val="24"/>
          <w:lang w:val="en-GB"/>
        </w:rPr>
        <w:t xml:space="preserve">. Trade unions and non-governmental organisations provide essential information, mediation and representation, but their outreach to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is uneven and union membership among this group remains low</w:t>
      </w:r>
      <w:r w:rsidRPr="00640047">
        <w:rPr>
          <w:rStyle w:val="FootnoteReference"/>
          <w:rFonts w:ascii="Times New Roman" w:hAnsi="Times New Roman" w:cs="Times New Roman"/>
          <w:noProof/>
          <w:sz w:val="24"/>
          <w:szCs w:val="24"/>
          <w:lang w:val="en-GB"/>
        </w:rPr>
        <w:footnoteReference w:id="81"/>
      </w:r>
      <w:r w:rsidRPr="00640047">
        <w:rPr>
          <w:rFonts w:ascii="Times New Roman" w:hAnsi="Times New Roman" w:cs="Times New Roman"/>
          <w:noProof/>
          <w:sz w:val="24"/>
          <w:szCs w:val="24"/>
          <w:lang w:val="en-GB"/>
        </w:rPr>
        <w:t xml:space="preserve">. Where workers refrain from reporting abuses, inspectorates lose an important source of intelligence. This undermines early detection and shifts enforcement to proactive and risk-based inspections and alternative data sources. Better enabling and supporting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to lodge complaints and seek legal redress has also been identified as essential by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w:t>
      </w:r>
      <w:bookmarkStart w:id="19" w:name="_Ref220423716"/>
      <w:r w:rsidRPr="00640047">
        <w:rPr>
          <w:rStyle w:val="FootnoteReference"/>
          <w:rFonts w:ascii="Times New Roman" w:hAnsi="Times New Roman" w:cs="Times New Roman"/>
          <w:noProof/>
          <w:sz w:val="24"/>
          <w:szCs w:val="24"/>
          <w:lang w:val="en-GB"/>
        </w:rPr>
        <w:footnoteReference w:id="82"/>
      </w:r>
      <w:bookmarkEnd w:id="19"/>
      <w:r w:rsidRPr="00640047">
        <w:rPr>
          <w:rFonts w:ascii="Times New Roman" w:hAnsi="Times New Roman" w:cs="Times New Roman"/>
          <w:noProof/>
          <w:sz w:val="24"/>
          <w:szCs w:val="24"/>
          <w:lang w:val="en-GB"/>
        </w:rPr>
        <w:t>.</w:t>
      </w:r>
    </w:p>
    <w:bookmarkEnd w:id="17"/>
    <w:p w14:paraId="215894AE" w14:textId="77777777"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Strengthening monitoring, inspections and sanctions</w:t>
      </w:r>
    </w:p>
    <w:p w14:paraId="5E4C8BBC" w14:textId="77777777" w:rsidR="006976D7" w:rsidRPr="00640047" w:rsidRDefault="006976D7" w:rsidP="006976D7">
      <w:pPr>
        <w:autoSpaceDE w:val="0"/>
        <w:autoSpaceDN w:val="0"/>
        <w:adjustRightInd w:val="0"/>
        <w:spacing w:after="120" w:line="276" w:lineRule="auto"/>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Monitoring, assessment and inspections – Article 24</w:t>
      </w:r>
    </w:p>
    <w:p w14:paraId="399991CD" w14:textId="633A07B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24 </w:t>
      </w:r>
      <w:r w:rsidR="00A17647"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requires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to adopt measures to prevent and detect abuses and to sanction violations of the Directive, including through monitoring, assessment and, where appropriate, inspections with effective access to workplaces and, with the consent of workers, to accommodation. </w:t>
      </w:r>
    </w:p>
    <w:p w14:paraId="537B2B88" w14:textId="18AF901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All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formally make provision for such measures, but their practical effectiveness varies considerably. According to various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 labour inspections in seasonal sectors often remain insufficient in terms of coverage and frequency, particularly during peak seasons</w:t>
      </w:r>
      <w:bookmarkStart w:id="20" w:name="_Ref220424294"/>
      <w:r w:rsidRPr="00640047">
        <w:rPr>
          <w:rStyle w:val="FootnoteReference"/>
          <w:rFonts w:ascii="Times New Roman" w:hAnsi="Times New Roman" w:cs="Times New Roman"/>
          <w:noProof/>
          <w:sz w:val="24"/>
          <w:szCs w:val="24"/>
          <w:lang w:val="en-GB"/>
        </w:rPr>
        <w:footnoteReference w:id="83"/>
      </w:r>
      <w:bookmarkEnd w:id="20"/>
      <w:r w:rsidRPr="00640047">
        <w:rPr>
          <w:rFonts w:ascii="Times New Roman" w:hAnsi="Times New Roman" w:cs="Times New Roman"/>
          <w:noProof/>
          <w:sz w:val="24"/>
          <w:szCs w:val="24"/>
          <w:lang w:val="en-GB"/>
        </w:rPr>
        <w:t>. Effectiveness is determined by the available resources, the targeting of and the balance struck between complaint-driven and proactive risk-based inspections, cooperation between agencies, and the involvement of interpreters, cultural mediators and trade unions. Access to back-pay, compensation and support to find alternative employment can also affect workers’ willingness to make complaints about employers.</w:t>
      </w:r>
    </w:p>
    <w:p w14:paraId="3741D3E1" w14:textId="6726A5E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strengthened their approach through strict general monitoring</w:t>
      </w:r>
      <w:r w:rsidRPr="00640047">
        <w:rPr>
          <w:rStyle w:val="FootnoteReference"/>
          <w:rFonts w:ascii="Times New Roman" w:hAnsi="Times New Roman" w:cs="Times New Roman"/>
          <w:noProof/>
          <w:sz w:val="24"/>
          <w:szCs w:val="24"/>
          <w:lang w:val="en-GB"/>
        </w:rPr>
        <w:footnoteReference w:id="84"/>
      </w:r>
      <w:r w:rsidRPr="00640047">
        <w:rPr>
          <w:rFonts w:ascii="Times New Roman" w:hAnsi="Times New Roman" w:cs="Times New Roman"/>
          <w:noProof/>
          <w:sz w:val="24"/>
          <w:szCs w:val="24"/>
          <w:lang w:val="en-GB"/>
        </w:rPr>
        <w:t xml:space="preserve">, risk-based systems, unannounced inspections, multi-agency operations and regular seasonal </w:t>
      </w:r>
      <w:r w:rsidR="00D41911" w:rsidRPr="00640047">
        <w:rPr>
          <w:rFonts w:ascii="Times New Roman" w:hAnsi="Times New Roman" w:cs="Times New Roman"/>
          <w:noProof/>
          <w:sz w:val="24"/>
          <w:szCs w:val="24"/>
          <w:lang w:val="en-GB"/>
        </w:rPr>
        <w:t xml:space="preserve">inspection </w:t>
      </w:r>
      <w:r w:rsidRPr="00640047">
        <w:rPr>
          <w:rFonts w:ascii="Times New Roman" w:hAnsi="Times New Roman" w:cs="Times New Roman"/>
          <w:noProof/>
          <w:sz w:val="24"/>
          <w:szCs w:val="24"/>
          <w:lang w:val="en-GB"/>
        </w:rPr>
        <w:t>campaigns</w:t>
      </w:r>
      <w:r w:rsidRPr="00640047">
        <w:rPr>
          <w:rStyle w:val="FootnoteReference"/>
          <w:rFonts w:ascii="Times New Roman" w:hAnsi="Times New Roman" w:cs="Times New Roman"/>
          <w:noProof/>
          <w:sz w:val="24"/>
          <w:szCs w:val="24"/>
          <w:lang w:val="en-GB"/>
        </w:rPr>
        <w:footnoteReference w:id="85"/>
      </w:r>
      <w:r w:rsidRPr="00640047">
        <w:rPr>
          <w:rFonts w:ascii="Times New Roman" w:hAnsi="Times New Roman" w:cs="Times New Roman"/>
          <w:noProof/>
          <w:sz w:val="24"/>
          <w:szCs w:val="24"/>
          <w:lang w:val="en-GB"/>
        </w:rPr>
        <w:t xml:space="preserve">, but others continue to be hampered by resource constraints, fragmented mandates, insufficient risk-related targeting of inspections and uneven coverage across seasonal sectors. </w:t>
      </w:r>
      <w:r w:rsidR="009B3003" w:rsidRPr="00640047">
        <w:rPr>
          <w:rFonts w:ascii="Times New Roman" w:hAnsi="Times New Roman" w:cs="Times New Roman"/>
          <w:noProof/>
          <w:sz w:val="24"/>
          <w:szCs w:val="24"/>
          <w:lang w:val="en-GB"/>
        </w:rPr>
        <w:t xml:space="preserve"> To better detect and address the exploitation of workers, including legally employed </w:t>
      </w:r>
      <w:r w:rsidR="009C2946" w:rsidRPr="00640047">
        <w:rPr>
          <w:rFonts w:ascii="Times New Roman" w:hAnsi="Times New Roman" w:cs="Times New Roman"/>
          <w:noProof/>
          <w:sz w:val="24"/>
          <w:szCs w:val="24"/>
          <w:lang w:val="en-GB"/>
        </w:rPr>
        <w:t>third-country seasonal workers</w:t>
      </w:r>
      <w:r w:rsidR="009B3003" w:rsidRPr="00640047">
        <w:rPr>
          <w:rFonts w:ascii="Times New Roman" w:hAnsi="Times New Roman" w:cs="Times New Roman"/>
          <w:noProof/>
          <w:sz w:val="24"/>
          <w:szCs w:val="24"/>
          <w:lang w:val="en-GB"/>
        </w:rPr>
        <w:t>, and provide support, t</w:t>
      </w:r>
      <w:r w:rsidRPr="00640047">
        <w:rPr>
          <w:rFonts w:ascii="Times New Roman" w:hAnsi="Times New Roman" w:cs="Times New Roman"/>
          <w:noProof/>
          <w:sz w:val="24"/>
          <w:szCs w:val="24"/>
          <w:lang w:val="en-GB"/>
        </w:rPr>
        <w:t>he EU Fundamental Rights Agency (FRA) and the European Labour Authority (ELA) have developed practical guidance for labour inspectorates</w:t>
      </w:r>
      <w:bookmarkStart w:id="21" w:name="_Ref220432192"/>
      <w:r w:rsidRPr="00640047">
        <w:rPr>
          <w:rStyle w:val="FootnoteReference"/>
          <w:rFonts w:ascii="Times New Roman" w:hAnsi="Times New Roman" w:cs="Times New Roman"/>
          <w:noProof/>
          <w:sz w:val="24"/>
          <w:szCs w:val="24"/>
          <w:lang w:val="en-GB"/>
        </w:rPr>
        <w:footnoteReference w:id="86"/>
      </w:r>
      <w:bookmarkEnd w:id="21"/>
      <w:r w:rsidRPr="00640047">
        <w:rPr>
          <w:rFonts w:ascii="Times New Roman" w:hAnsi="Times New Roman" w:cs="Times New Roman"/>
          <w:noProof/>
          <w:sz w:val="24"/>
          <w:szCs w:val="24"/>
          <w:lang w:val="en-GB"/>
        </w:rPr>
        <w:t>. The guidance provides concrete tools for implementing worker-centred inspection practices.</w:t>
      </w:r>
    </w:p>
    <w:p w14:paraId="736A1F8C" w14:textId="6515151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By contrast, the monitoring and inspection of </w:t>
      </w:r>
      <w:r w:rsidR="004257BE" w:rsidRPr="00640047">
        <w:rPr>
          <w:rFonts w:ascii="Times New Roman" w:hAnsi="Times New Roman" w:cs="Times New Roman"/>
          <w:noProof/>
          <w:sz w:val="24"/>
          <w:szCs w:val="24"/>
          <w:lang w:val="en-GB"/>
        </w:rPr>
        <w:t xml:space="preserve">the seasonal worker’s accommodation </w:t>
      </w:r>
      <w:r w:rsidRPr="00640047">
        <w:rPr>
          <w:rFonts w:ascii="Times New Roman" w:hAnsi="Times New Roman" w:cs="Times New Roman"/>
          <w:noProof/>
          <w:sz w:val="24"/>
          <w:szCs w:val="24"/>
          <w:lang w:val="en-GB"/>
        </w:rPr>
        <w:t xml:space="preserve">and of employers’ fulfilment of their obligations under Article 20(2) </w:t>
      </w:r>
      <w:r w:rsidR="006C5026" w:rsidRPr="00640047">
        <w:rPr>
          <w:rFonts w:ascii="Times New Roman" w:hAnsi="Times New Roman" w:cs="Times New Roman"/>
          <w:noProof/>
          <w:sz w:val="24"/>
          <w:szCs w:val="24"/>
          <w:lang w:val="en-GB"/>
        </w:rPr>
        <w:t>of the Directive</w:t>
      </w:r>
      <w:r w:rsidR="00964139"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remain weaker and more fragmented. Housing checks are frequently divided among several authorities</w:t>
      </w:r>
      <w:r w:rsidRPr="00640047">
        <w:rPr>
          <w:rStyle w:val="FootnoteReference"/>
          <w:rFonts w:ascii="Times New Roman" w:hAnsi="Times New Roman" w:cs="Times New Roman"/>
          <w:noProof/>
          <w:sz w:val="24"/>
          <w:szCs w:val="24"/>
          <w:lang w:val="en-GB"/>
        </w:rPr>
        <w:footnoteReference w:id="87"/>
      </w:r>
      <w:r w:rsidRPr="00640047">
        <w:rPr>
          <w:rFonts w:ascii="Times New Roman" w:hAnsi="Times New Roman" w:cs="Times New Roman"/>
          <w:noProof/>
          <w:sz w:val="24"/>
          <w:szCs w:val="24"/>
          <w:lang w:val="en-GB"/>
        </w:rPr>
        <w:t>, sometimes without formalised cooperation. Routine proactive inspections are rare, with enforcement sometimes triggered only by complaints</w:t>
      </w:r>
      <w:r w:rsidRPr="00640047">
        <w:rPr>
          <w:rStyle w:val="FootnoteReference"/>
          <w:rFonts w:ascii="Times New Roman" w:hAnsi="Times New Roman" w:cs="Times New Roman"/>
          <w:noProof/>
          <w:sz w:val="24"/>
          <w:szCs w:val="24"/>
          <w:lang w:val="en-GB"/>
        </w:rPr>
        <w:footnoteReference w:id="88"/>
      </w:r>
      <w:r w:rsidRPr="00640047">
        <w:rPr>
          <w:rFonts w:ascii="Times New Roman" w:hAnsi="Times New Roman" w:cs="Times New Roman"/>
          <w:noProof/>
          <w:sz w:val="24"/>
          <w:szCs w:val="24"/>
          <w:lang w:val="en-GB"/>
        </w:rPr>
        <w:t xml:space="preserve"> (that seasonal workers are unlikely to make). Ambiguous adequacy standards further undermine effective enforcement in 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Some countries have good practices in place, such as integrating housing checks into workplace inspections, doing systematic inspections on arrival or using innovative tools to detect suspicious housing arrangements, but accommodation-related controls </w:t>
      </w:r>
      <w:r w:rsidR="002B2145" w:rsidRPr="00640047">
        <w:rPr>
          <w:rFonts w:ascii="Times New Roman" w:hAnsi="Times New Roman" w:cs="Times New Roman"/>
          <w:noProof/>
          <w:sz w:val="24"/>
          <w:szCs w:val="24"/>
          <w:lang w:val="en-GB"/>
        </w:rPr>
        <w:t xml:space="preserve">seem to </w:t>
      </w:r>
      <w:r w:rsidRPr="00640047">
        <w:rPr>
          <w:rFonts w:ascii="Times New Roman" w:hAnsi="Times New Roman" w:cs="Times New Roman"/>
          <w:noProof/>
          <w:sz w:val="24"/>
          <w:szCs w:val="24"/>
          <w:lang w:val="en-GB"/>
        </w:rPr>
        <w:t xml:space="preserve">generally lag behind workplace inspections. </w:t>
      </w:r>
    </w:p>
    <w:p w14:paraId="494942A2" w14:textId="5BB8D1F3"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Stepping up effective risk-based monitoring and inspections has been acknowledged as one of the main ways of preventing and fighting exploitation and inadequate accommodation in seasonal sectors by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w:t>
      </w:r>
      <w:r w:rsidRPr="00640047">
        <w:rPr>
          <w:rStyle w:val="FootnoteReference"/>
          <w:rFonts w:ascii="Times New Roman" w:hAnsi="Times New Roman" w:cs="Times New Roman"/>
          <w:noProof/>
          <w:sz w:val="24"/>
          <w:szCs w:val="24"/>
          <w:lang w:val="en-GB"/>
        </w:rPr>
        <w:footnoteReference w:id="89"/>
      </w:r>
      <w:r w:rsidRPr="00640047">
        <w:rPr>
          <w:rFonts w:ascii="Times New Roman" w:hAnsi="Times New Roman" w:cs="Times New Roman"/>
          <w:noProof/>
          <w:sz w:val="24"/>
          <w:szCs w:val="24"/>
          <w:lang w:val="en-GB"/>
        </w:rPr>
        <w:t>. The European Federation of Food, Agriculture and Tourism Trade Unions (EFFAT) and Solidar call for the strengthening of the ELA’s mandate in this regard</w:t>
      </w:r>
      <w:r w:rsidRPr="00640047">
        <w:rPr>
          <w:rStyle w:val="FootnoteReference"/>
          <w:rFonts w:ascii="Times New Roman" w:hAnsi="Times New Roman" w:cs="Times New Roman"/>
          <w:noProof/>
          <w:sz w:val="24"/>
          <w:szCs w:val="24"/>
          <w:lang w:val="en-GB"/>
        </w:rPr>
        <w:footnoteReference w:id="90"/>
      </w:r>
      <w:r w:rsidRPr="00640047">
        <w:rPr>
          <w:rFonts w:ascii="Times New Roman" w:hAnsi="Times New Roman" w:cs="Times New Roman"/>
          <w:noProof/>
          <w:sz w:val="24"/>
          <w:szCs w:val="24"/>
          <w:lang w:val="en-GB"/>
        </w:rPr>
        <w:t>.</w:t>
      </w:r>
    </w:p>
    <w:p w14:paraId="1A8E1599"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lang w:val="en-GB"/>
        </w:rPr>
      </w:pPr>
      <w:r w:rsidRPr="00640047">
        <w:rPr>
          <w:rFonts w:ascii="Times New Roman" w:hAnsi="Times New Roman" w:cs="Times New Roman"/>
          <w:i/>
          <w:iCs/>
          <w:noProof/>
          <w:sz w:val="24"/>
          <w:szCs w:val="24"/>
          <w:lang w:val="en-GB"/>
        </w:rPr>
        <w:t>Effective, proportionate and dissuasive sanctions, including compensation – Article 17</w:t>
      </w:r>
    </w:p>
    <w:p w14:paraId="57DF52C4" w14:textId="23F5E82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The sanction frameworks legally established by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broadly meet the requirements </w:t>
      </w:r>
      <w:r w:rsidR="00C11CA5" w:rsidRPr="00640047">
        <w:rPr>
          <w:rFonts w:ascii="Times New Roman" w:hAnsi="Times New Roman" w:cs="Times New Roman"/>
          <w:noProof/>
          <w:sz w:val="24"/>
          <w:szCs w:val="24"/>
          <w:lang w:val="en-GB"/>
        </w:rPr>
        <w:t xml:space="preserve">set out in </w:t>
      </w:r>
      <w:r w:rsidRPr="00640047">
        <w:rPr>
          <w:rFonts w:ascii="Times New Roman" w:hAnsi="Times New Roman" w:cs="Times New Roman"/>
          <w:noProof/>
          <w:sz w:val="24"/>
          <w:szCs w:val="24"/>
          <w:lang w:val="en-GB"/>
        </w:rPr>
        <w:t xml:space="preserve">Article 17(1) </w:t>
      </w:r>
      <w:r w:rsidR="00C11CA5"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to ensure effective, proportionate and dissuasive sanctions for </w:t>
      </w:r>
      <w:r w:rsidR="00D80DD9" w:rsidRPr="00640047">
        <w:rPr>
          <w:rFonts w:ascii="Times New Roman" w:hAnsi="Times New Roman" w:cs="Times New Roman"/>
          <w:noProof/>
          <w:sz w:val="24"/>
          <w:szCs w:val="24"/>
          <w:lang w:val="en-GB"/>
        </w:rPr>
        <w:t xml:space="preserve">the non-fulfilment by the </w:t>
      </w:r>
      <w:r w:rsidRPr="00640047">
        <w:rPr>
          <w:rFonts w:ascii="Times New Roman" w:hAnsi="Times New Roman" w:cs="Times New Roman"/>
          <w:noProof/>
          <w:sz w:val="24"/>
          <w:szCs w:val="24"/>
          <w:lang w:val="en-GB"/>
        </w:rPr>
        <w:t>employers</w:t>
      </w:r>
      <w:r w:rsidR="00D80DD9" w:rsidRPr="00640047">
        <w:rPr>
          <w:rFonts w:ascii="Times New Roman" w:hAnsi="Times New Roman" w:cs="Times New Roman"/>
          <w:noProof/>
          <w:sz w:val="24"/>
          <w:szCs w:val="24"/>
          <w:lang w:val="en-GB"/>
        </w:rPr>
        <w:t xml:space="preserve"> of their obligations,</w:t>
      </w:r>
      <w:r w:rsidRPr="00640047">
        <w:rPr>
          <w:rFonts w:ascii="Times New Roman" w:hAnsi="Times New Roman" w:cs="Times New Roman"/>
          <w:noProof/>
          <w:sz w:val="24"/>
          <w:szCs w:val="24"/>
          <w:lang w:val="en-GB"/>
        </w:rPr>
        <w:t xml:space="preserve"> including the possibility </w:t>
      </w:r>
      <w:r w:rsidR="00D80DD9" w:rsidRPr="00640047">
        <w:rPr>
          <w:rFonts w:ascii="Times New Roman" w:hAnsi="Times New Roman" w:cs="Times New Roman"/>
          <w:noProof/>
          <w:sz w:val="24"/>
          <w:szCs w:val="24"/>
          <w:lang w:val="en-GB"/>
        </w:rPr>
        <w:t>to refuse or withdraw the authorisation for the purpose of seasonal work</w:t>
      </w:r>
      <w:r w:rsidRPr="00640047">
        <w:rPr>
          <w:rFonts w:ascii="Times New Roman" w:hAnsi="Times New Roman" w:cs="Times New Roman"/>
          <w:noProof/>
          <w:sz w:val="24"/>
          <w:szCs w:val="24"/>
          <w:lang w:val="en-GB"/>
        </w:rPr>
        <w:t xml:space="preserve"> or, in serious cases, </w:t>
      </w:r>
      <w:r w:rsidR="00FD4643" w:rsidRPr="00640047">
        <w:rPr>
          <w:rFonts w:ascii="Times New Roman" w:hAnsi="Times New Roman" w:cs="Times New Roman"/>
          <w:noProof/>
          <w:sz w:val="24"/>
          <w:szCs w:val="24"/>
          <w:lang w:val="en-GB"/>
        </w:rPr>
        <w:t>exclusion of employers</w:t>
      </w:r>
      <w:r w:rsidRPr="00640047">
        <w:rPr>
          <w:rFonts w:ascii="Times New Roman" w:hAnsi="Times New Roman" w:cs="Times New Roman"/>
          <w:noProof/>
          <w:sz w:val="24"/>
          <w:szCs w:val="24"/>
          <w:lang w:val="en-GB"/>
        </w:rPr>
        <w:t xml:space="preserve"> from employing seasonal workers. However, according to some stakeholders the deterrent effect of sanctions appears to remain limited in some </w:t>
      </w:r>
      <w:r w:rsidR="004C14D0" w:rsidRPr="00640047">
        <w:rPr>
          <w:rFonts w:ascii="Times New Roman" w:hAnsi="Times New Roman" w:cs="Times New Roman"/>
          <w:noProof/>
          <w:sz w:val="24"/>
          <w:szCs w:val="24"/>
          <w:lang w:val="en-GB"/>
        </w:rPr>
        <w:t>Member States</w:t>
      </w:r>
      <w:r w:rsidRPr="00640047">
        <w:rPr>
          <w:rStyle w:val="FootnoteReference"/>
          <w:rFonts w:ascii="Times New Roman" w:hAnsi="Times New Roman" w:cs="Times New Roman"/>
          <w:noProof/>
          <w:sz w:val="24"/>
          <w:szCs w:val="24"/>
          <w:lang w:val="en-GB"/>
        </w:rPr>
        <w:footnoteReference w:id="91"/>
      </w:r>
      <w:r w:rsidRPr="00640047">
        <w:rPr>
          <w:rFonts w:ascii="Times New Roman" w:hAnsi="Times New Roman" w:cs="Times New Roman"/>
          <w:noProof/>
          <w:sz w:val="24"/>
          <w:szCs w:val="24"/>
          <w:lang w:val="en-GB"/>
        </w:rPr>
        <w:t xml:space="preserve">. All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administrative or criminal sanctions</w:t>
      </w:r>
      <w:r w:rsidR="008C27FC" w:rsidRPr="00640047">
        <w:rPr>
          <w:rFonts w:ascii="Times New Roman" w:hAnsi="Times New Roman" w:cs="Times New Roman"/>
          <w:noProof/>
          <w:sz w:val="24"/>
          <w:szCs w:val="24"/>
          <w:lang w:val="en-GB"/>
        </w:rPr>
        <w:t xml:space="preserve"> for employers infringing their obligations under the Directive</w:t>
      </w:r>
      <w:r w:rsidRPr="00640047">
        <w:rPr>
          <w:rFonts w:ascii="Times New Roman" w:hAnsi="Times New Roman" w:cs="Times New Roman"/>
          <w:noProof/>
          <w:sz w:val="24"/>
          <w:szCs w:val="24"/>
          <w:lang w:val="en-GB"/>
        </w:rPr>
        <w:t xml:space="preserve"> in place, which are often scaled for each worker affected by</w:t>
      </w:r>
      <w:r w:rsidR="00D21FAE" w:rsidRPr="00640047">
        <w:rPr>
          <w:rFonts w:ascii="Times New Roman" w:hAnsi="Times New Roman" w:cs="Times New Roman"/>
          <w:noProof/>
          <w:sz w:val="24"/>
          <w:szCs w:val="24"/>
          <w:lang w:val="en-GB"/>
        </w:rPr>
        <w:t xml:space="preserve"> the </w:t>
      </w:r>
      <w:r w:rsidRPr="00640047">
        <w:rPr>
          <w:rFonts w:ascii="Times New Roman" w:hAnsi="Times New Roman" w:cs="Times New Roman"/>
          <w:noProof/>
          <w:sz w:val="24"/>
          <w:szCs w:val="24"/>
          <w:lang w:val="en-GB"/>
        </w:rPr>
        <w:t>infringements, and supplemented by ancillary measures such as the closure of unsafe premises or delisting from certification schemes. However, their deterrent effect may vary due to divergent levels of fines, the uneven visibility of applicable rules</w:t>
      </w:r>
      <w:r w:rsidRPr="00640047">
        <w:rPr>
          <w:rStyle w:val="FootnoteReference"/>
          <w:rFonts w:ascii="Times New Roman" w:hAnsi="Times New Roman" w:cs="Times New Roman"/>
          <w:noProof/>
          <w:sz w:val="24"/>
          <w:szCs w:val="24"/>
          <w:lang w:val="en-GB"/>
        </w:rPr>
        <w:footnoteReference w:id="92"/>
      </w:r>
      <w:r w:rsidRPr="00640047">
        <w:rPr>
          <w:rFonts w:ascii="Times New Roman" w:hAnsi="Times New Roman" w:cs="Times New Roman"/>
          <w:noProof/>
          <w:sz w:val="24"/>
          <w:szCs w:val="24"/>
          <w:lang w:val="en-GB"/>
        </w:rPr>
        <w:t xml:space="preserve">, the complexity and length of procedures taking into account short seasonal periods, and the targeting and frequency of fines. Initially, eight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did not have sanctions in place for inadequate employer-arranged accommodation</w:t>
      </w:r>
      <w:r w:rsidR="00C139CF" w:rsidRPr="00640047">
        <w:rPr>
          <w:rFonts w:ascii="Times New Roman" w:hAnsi="Times New Roman" w:cs="Times New Roman"/>
          <w:noProof/>
          <w:sz w:val="24"/>
          <w:szCs w:val="24"/>
          <w:lang w:val="en-GB"/>
        </w:rPr>
        <w:t xml:space="preserve"> but have transposed this obligation under the Directive in the meantime.</w:t>
      </w:r>
      <w:r w:rsidRPr="00640047">
        <w:rPr>
          <w:rFonts w:ascii="Times New Roman" w:hAnsi="Times New Roman" w:cs="Times New Roman"/>
          <w:noProof/>
          <w:sz w:val="24"/>
          <w:szCs w:val="24"/>
          <w:lang w:val="en-GB"/>
        </w:rPr>
        <w:t xml:space="preserve"> In some </w:t>
      </w:r>
      <w:r w:rsidR="004C14D0" w:rsidRPr="00640047">
        <w:rPr>
          <w:rFonts w:ascii="Times New Roman" w:hAnsi="Times New Roman" w:cs="Times New Roman"/>
          <w:noProof/>
          <w:sz w:val="24"/>
          <w:szCs w:val="24"/>
          <w:lang w:val="en-GB"/>
        </w:rPr>
        <w:t>Member States</w:t>
      </w:r>
      <w:r w:rsidRPr="00640047">
        <w:rPr>
          <w:rStyle w:val="FootnoteReference"/>
          <w:rFonts w:ascii="Times New Roman" w:hAnsi="Times New Roman" w:cs="Times New Roman"/>
          <w:noProof/>
          <w:sz w:val="24"/>
          <w:szCs w:val="24"/>
          <w:lang w:val="en-GB"/>
        </w:rPr>
        <w:footnoteReference w:id="93"/>
      </w:r>
      <w:r w:rsidRPr="00640047">
        <w:rPr>
          <w:rFonts w:ascii="Times New Roman" w:hAnsi="Times New Roman" w:cs="Times New Roman"/>
          <w:noProof/>
          <w:sz w:val="24"/>
          <w:szCs w:val="24"/>
          <w:lang w:val="en-GB"/>
        </w:rPr>
        <w:t xml:space="preserve">, specific fines for breaches of housing obligations remain relatively low and therefore risk not having a deterrent effect. </w:t>
      </w:r>
    </w:p>
    <w:p w14:paraId="2D770E48" w14:textId="6506EED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17(2) of the Directive makes provision for the right to compensation for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in situations in which an authorisation is withdrawn for certain employer-related reasons. In these situations, the employer must compensate the worker for any outstanding amount that would still have been owed if the authorisation had not been withdrawn.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transposed this right in different ways, with some making provision for an explicit right</w:t>
      </w:r>
      <w:r w:rsidRPr="00640047">
        <w:rPr>
          <w:rStyle w:val="FootnoteReference"/>
          <w:rFonts w:ascii="Times New Roman" w:hAnsi="Times New Roman" w:cs="Times New Roman"/>
          <w:noProof/>
          <w:sz w:val="24"/>
          <w:szCs w:val="24"/>
          <w:lang w:val="en-GB"/>
        </w:rPr>
        <w:footnoteReference w:id="94"/>
      </w:r>
      <w:r w:rsidRPr="00640047">
        <w:rPr>
          <w:rFonts w:ascii="Times New Roman" w:hAnsi="Times New Roman" w:cs="Times New Roman"/>
          <w:noProof/>
          <w:sz w:val="24"/>
          <w:szCs w:val="24"/>
          <w:lang w:val="en-GB"/>
        </w:rPr>
        <w:t xml:space="preserve"> and others using general labour and</w:t>
      </w:r>
      <w:r w:rsidR="00030390" w:rsidRPr="00137972">
        <w:rPr>
          <w:rFonts w:ascii="Times New Roman" w:hAnsi="Times New Roman" w:cs="Times New Roman"/>
          <w:noProof/>
          <w:sz w:val="24"/>
          <w:szCs w:val="24"/>
          <w:lang w:val="en-GB"/>
        </w:rPr>
        <w:t>/or</w:t>
      </w:r>
      <w:r w:rsidRPr="00640047">
        <w:rPr>
          <w:rFonts w:ascii="Times New Roman" w:hAnsi="Times New Roman" w:cs="Times New Roman"/>
          <w:noProof/>
          <w:sz w:val="24"/>
          <w:szCs w:val="24"/>
          <w:lang w:val="en-GB"/>
        </w:rPr>
        <w:t xml:space="preserve"> civil law provisions</w:t>
      </w:r>
      <w:r w:rsidRPr="00640047">
        <w:rPr>
          <w:rStyle w:val="FootnoteReference"/>
          <w:rFonts w:ascii="Times New Roman" w:hAnsi="Times New Roman" w:cs="Times New Roman"/>
          <w:noProof/>
          <w:sz w:val="24"/>
          <w:szCs w:val="24"/>
          <w:lang w:val="en-GB"/>
        </w:rPr>
        <w:footnoteReference w:id="95"/>
      </w:r>
      <w:r w:rsidRPr="00640047">
        <w:rPr>
          <w:rFonts w:ascii="Times New Roman" w:hAnsi="Times New Roman" w:cs="Times New Roman"/>
          <w:noProof/>
          <w:sz w:val="24"/>
          <w:szCs w:val="24"/>
          <w:lang w:val="en-GB"/>
        </w:rPr>
        <w:t xml:space="preserve">. The right’s practical relevance remains low in most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given the short stays of seasonal workers and the infrequency of authorisation withdrawals</w:t>
      </w:r>
      <w:r w:rsidRPr="00640047">
        <w:rPr>
          <w:rStyle w:val="FootnoteReference"/>
          <w:rFonts w:ascii="Times New Roman" w:hAnsi="Times New Roman" w:cs="Times New Roman"/>
          <w:noProof/>
          <w:sz w:val="24"/>
          <w:szCs w:val="24"/>
          <w:lang w:val="en-GB"/>
        </w:rPr>
        <w:footnoteReference w:id="96"/>
      </w:r>
      <w:r w:rsidRPr="00640047">
        <w:rPr>
          <w:rFonts w:ascii="Times New Roman" w:hAnsi="Times New Roman" w:cs="Times New Roman"/>
          <w:noProof/>
          <w:sz w:val="24"/>
          <w:szCs w:val="24"/>
          <w:lang w:val="en-GB"/>
        </w:rPr>
        <w:t>.</w:t>
      </w:r>
    </w:p>
    <w:p w14:paraId="4B6BBB45" w14:textId="4FA5094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Across the EU, the limited availability of disaggregated and comparable data on inspections, sanctions and outcomes concerning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impedes thorough national risk analysis and the</w:t>
      </w:r>
      <w:r w:rsidR="00CC2789" w:rsidRPr="00640047">
        <w:rPr>
          <w:rFonts w:ascii="Times New Roman" w:hAnsi="Times New Roman" w:cs="Times New Roman"/>
          <w:noProof/>
          <w:sz w:val="24"/>
          <w:szCs w:val="24"/>
          <w:lang w:val="en-GB"/>
        </w:rPr>
        <w:t xml:space="preserve"> </w:t>
      </w:r>
      <w:r w:rsidR="009F5B1A" w:rsidRPr="00640047">
        <w:rPr>
          <w:rFonts w:ascii="Times New Roman" w:hAnsi="Times New Roman" w:cs="Times New Roman"/>
          <w:noProof/>
          <w:sz w:val="24"/>
          <w:szCs w:val="24"/>
          <w:lang w:val="en-GB"/>
        </w:rPr>
        <w:t xml:space="preserve">assessment of the effectiveness and efficiency of </w:t>
      </w:r>
      <w:r w:rsidRPr="00640047">
        <w:rPr>
          <w:rFonts w:ascii="Times New Roman" w:hAnsi="Times New Roman" w:cs="Times New Roman"/>
          <w:noProof/>
          <w:sz w:val="24"/>
          <w:szCs w:val="24"/>
          <w:lang w:val="en-GB"/>
        </w:rPr>
        <w:t xml:space="preserve">the Directive. Disaggregated data collection was mentioned by 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 as being crucial for better assessing the situation of </w:t>
      </w:r>
      <w:r w:rsidR="009C2946" w:rsidRPr="00640047">
        <w:rPr>
          <w:rFonts w:ascii="Times New Roman" w:hAnsi="Times New Roman" w:cs="Times New Roman"/>
          <w:noProof/>
          <w:sz w:val="24"/>
          <w:szCs w:val="24"/>
          <w:lang w:val="en-GB"/>
        </w:rPr>
        <w:t>third-country seasonal workers</w:t>
      </w:r>
      <w:r w:rsidRPr="00640047">
        <w:rPr>
          <w:rStyle w:val="FootnoteReference"/>
          <w:rFonts w:ascii="Times New Roman" w:hAnsi="Times New Roman" w:cs="Times New Roman"/>
          <w:noProof/>
          <w:sz w:val="24"/>
          <w:szCs w:val="24"/>
          <w:lang w:val="en-GB"/>
        </w:rPr>
        <w:footnoteReference w:id="97"/>
      </w:r>
      <w:r w:rsidRPr="00640047">
        <w:rPr>
          <w:rFonts w:ascii="Times New Roman" w:hAnsi="Times New Roman" w:cs="Times New Roman"/>
          <w:noProof/>
          <w:sz w:val="24"/>
          <w:szCs w:val="24"/>
          <w:lang w:val="en-GB"/>
        </w:rPr>
        <w:t>.</w:t>
      </w:r>
    </w:p>
    <w:p w14:paraId="7EFC1B1B" w14:textId="77777777"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Ensuring adequate accommodation – Article 20</w:t>
      </w:r>
    </w:p>
    <w:p w14:paraId="28A8E13B" w14:textId="6CE002F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Article 20 </w:t>
      </w:r>
      <w:r w:rsidR="00D141C1"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establishes a specific right to adequate accommodation for seasonal workers, strengthened by pre-admission checks by the competent authorities to verify that such accommodation will </w:t>
      </w:r>
      <w:r w:rsidR="008F1981" w:rsidRPr="00640047">
        <w:rPr>
          <w:rFonts w:ascii="Times New Roman" w:hAnsi="Times New Roman" w:cs="Times New Roman"/>
          <w:noProof/>
          <w:sz w:val="24"/>
          <w:szCs w:val="24"/>
          <w:lang w:val="en-GB"/>
        </w:rPr>
        <w:t xml:space="preserve">in practice </w:t>
      </w:r>
      <w:r w:rsidRPr="00640047">
        <w:rPr>
          <w:rFonts w:ascii="Times New Roman" w:hAnsi="Times New Roman" w:cs="Times New Roman"/>
          <w:noProof/>
          <w:sz w:val="24"/>
          <w:szCs w:val="24"/>
          <w:lang w:val="en-GB"/>
        </w:rPr>
        <w:t xml:space="preserve">be available (see Articles 5(1)(c) and 6(1)(c) and Recital 41). Accommodation that guarantees an adequate standard of living must be available for the entire duration of a stay, in line with national law and general health and safety standards. All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transposed this requirement. Many have defined adequate accommodation in national law, but with significantly varying precision: some set binding standards with specifics regarding space, sanitation, utilities, equipment and, in certain cases, transport accessibility and requirements for separate facilities for men and women</w:t>
      </w:r>
      <w:r w:rsidRPr="00640047">
        <w:rPr>
          <w:rStyle w:val="FootnoteReference"/>
          <w:rFonts w:ascii="Times New Roman" w:hAnsi="Times New Roman"/>
          <w:noProof/>
          <w:sz w:val="24"/>
          <w:lang w:val="en-GB"/>
        </w:rPr>
        <w:footnoteReference w:id="98"/>
      </w:r>
      <w:r w:rsidRPr="00640047">
        <w:rPr>
          <w:rFonts w:ascii="Times New Roman" w:hAnsi="Times New Roman" w:cs="Times New Roman"/>
          <w:noProof/>
          <w:sz w:val="24"/>
          <w:szCs w:val="24"/>
          <w:lang w:val="en-GB"/>
        </w:rPr>
        <w:t>, whereas others use general housing or occupational safety legislation for this purpose</w:t>
      </w:r>
      <w:r w:rsidRPr="00640047">
        <w:rPr>
          <w:rStyle w:val="FootnoteReference"/>
          <w:rFonts w:ascii="Times New Roman" w:hAnsi="Times New Roman"/>
          <w:noProof/>
          <w:sz w:val="24"/>
          <w:lang w:val="en-GB"/>
        </w:rPr>
        <w:footnoteReference w:id="99"/>
      </w:r>
      <w:r w:rsidRPr="00640047">
        <w:rPr>
          <w:rFonts w:ascii="Times New Roman" w:hAnsi="Times New Roman" w:cs="Times New Roman"/>
          <w:noProof/>
          <w:sz w:val="24"/>
          <w:szCs w:val="24"/>
          <w:lang w:val="en-GB"/>
        </w:rPr>
        <w:t xml:space="preserve">. </w:t>
      </w:r>
    </w:p>
    <w:p w14:paraId="71D5692D" w14:textId="54CB192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Pre-admission checks are predominantly done by means of documentary controls</w:t>
      </w:r>
      <w:r w:rsidRPr="00640047">
        <w:rPr>
          <w:rStyle w:val="FootnoteReference"/>
          <w:rFonts w:ascii="Times New Roman" w:hAnsi="Times New Roman"/>
          <w:noProof/>
          <w:sz w:val="24"/>
          <w:lang w:val="en-GB"/>
        </w:rPr>
        <w:footnoteReference w:id="100"/>
      </w:r>
      <w:r w:rsidRPr="00640047">
        <w:rPr>
          <w:rFonts w:ascii="Times New Roman" w:hAnsi="Times New Roman" w:cs="Times New Roman"/>
          <w:noProof/>
          <w:sz w:val="24"/>
          <w:szCs w:val="24"/>
          <w:lang w:val="en-GB"/>
        </w:rPr>
        <w:t xml:space="preserve">, although 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adopted more rigorous practices, including systematic database verification, interviews and routine inspections</w:t>
      </w:r>
      <w:r w:rsidRPr="00640047">
        <w:rPr>
          <w:rStyle w:val="FootnoteReference"/>
          <w:rFonts w:ascii="Times New Roman" w:hAnsi="Times New Roman"/>
          <w:noProof/>
          <w:sz w:val="24"/>
          <w:lang w:val="en-GB"/>
        </w:rPr>
        <w:footnoteReference w:id="101"/>
      </w:r>
      <w:r w:rsidRPr="00640047">
        <w:rPr>
          <w:rFonts w:ascii="Times New Roman" w:hAnsi="Times New Roman" w:cs="Times New Roman"/>
          <w:noProof/>
          <w:sz w:val="24"/>
          <w:szCs w:val="24"/>
          <w:lang w:val="en-GB"/>
        </w:rPr>
        <w:t>. Evidence required ranges from rental contracts</w:t>
      </w:r>
      <w:r w:rsidRPr="00640047">
        <w:rPr>
          <w:rStyle w:val="FootnoteReference"/>
          <w:rFonts w:ascii="Times New Roman" w:hAnsi="Times New Roman" w:cs="Times New Roman"/>
          <w:noProof/>
          <w:sz w:val="24"/>
          <w:szCs w:val="24"/>
          <w:lang w:val="en-GB"/>
        </w:rPr>
        <w:footnoteReference w:id="102"/>
      </w:r>
      <w:r w:rsidRPr="00640047">
        <w:rPr>
          <w:rFonts w:ascii="Times New Roman" w:hAnsi="Times New Roman" w:cs="Times New Roman"/>
          <w:noProof/>
          <w:sz w:val="24"/>
          <w:szCs w:val="24"/>
          <w:lang w:val="en-GB"/>
        </w:rPr>
        <w:t xml:space="preserve"> to simple employer</w:t>
      </w:r>
      <w:r w:rsidR="00610975" w:rsidRPr="00640047">
        <w:rPr>
          <w:rFonts w:ascii="Times New Roman" w:hAnsi="Times New Roman" w:cs="Times New Roman"/>
          <w:noProof/>
          <w:sz w:val="24"/>
          <w:szCs w:val="24"/>
          <w:lang w:val="en-GB"/>
        </w:rPr>
        <w:t>s’</w:t>
      </w:r>
      <w:r w:rsidRPr="00640047">
        <w:rPr>
          <w:rFonts w:ascii="Times New Roman" w:hAnsi="Times New Roman" w:cs="Times New Roman"/>
          <w:noProof/>
          <w:sz w:val="24"/>
          <w:szCs w:val="24"/>
          <w:lang w:val="en-GB"/>
        </w:rPr>
        <w:t xml:space="preserve"> attestations</w:t>
      </w:r>
      <w:r w:rsidRPr="00640047">
        <w:rPr>
          <w:rStyle w:val="FootnoteReference"/>
          <w:rFonts w:ascii="Times New Roman" w:hAnsi="Times New Roman" w:cs="Times New Roman"/>
          <w:noProof/>
          <w:sz w:val="24"/>
          <w:szCs w:val="24"/>
          <w:lang w:val="en-GB"/>
        </w:rPr>
        <w:footnoteReference w:id="103"/>
      </w:r>
      <w:r w:rsidRPr="00640047">
        <w:rPr>
          <w:rFonts w:ascii="Times New Roman" w:hAnsi="Times New Roman" w:cs="Times New Roman"/>
          <w:noProof/>
          <w:sz w:val="24"/>
          <w:szCs w:val="24"/>
          <w:lang w:val="en-GB"/>
        </w:rPr>
        <w:t xml:space="preserve">. Seven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initially did not require any proof of adequate accommodation, but subsequent amendments have improved formal compliance.</w:t>
      </w:r>
    </w:p>
    <w:p w14:paraId="2330CDE6" w14:textId="7349A7C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Despite these legal frameworks, there are still significant shortcomings, particularly during seasonal peaks in agriculture and tourism when inflows intensify and local housing capacity is insufficient</w:t>
      </w:r>
      <w:r w:rsidRPr="00640047">
        <w:rPr>
          <w:rStyle w:val="FootnoteReference"/>
          <w:rFonts w:ascii="Times New Roman" w:hAnsi="Times New Roman" w:cs="Times New Roman"/>
          <w:noProof/>
          <w:sz w:val="24"/>
          <w:szCs w:val="24"/>
          <w:lang w:val="en-GB"/>
        </w:rPr>
        <w:footnoteReference w:id="104"/>
      </w:r>
      <w:r w:rsidRPr="00640047">
        <w:rPr>
          <w:rFonts w:ascii="Times New Roman" w:hAnsi="Times New Roman" w:cs="Times New Roman"/>
          <w:noProof/>
          <w:sz w:val="24"/>
          <w:szCs w:val="24"/>
          <w:lang w:val="en-GB"/>
        </w:rPr>
        <w:t xml:space="preserve">. Inadequate accommodation is often linked to forms of labour exploitation, with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and stakeholders regularly calling for improvements</w:t>
      </w:r>
      <w:r w:rsidRPr="00640047">
        <w:rPr>
          <w:rStyle w:val="FootnoteReference"/>
          <w:rFonts w:ascii="Times New Roman" w:hAnsi="Times New Roman" w:cs="Times New Roman"/>
          <w:noProof/>
          <w:sz w:val="24"/>
          <w:szCs w:val="24"/>
          <w:lang w:val="en-GB"/>
        </w:rPr>
        <w:footnoteReference w:id="105"/>
      </w:r>
      <w:r w:rsidRPr="00640047">
        <w:rPr>
          <w:rFonts w:ascii="Times New Roman" w:hAnsi="Times New Roman" w:cs="Times New Roman"/>
          <w:noProof/>
          <w:sz w:val="24"/>
          <w:szCs w:val="24"/>
          <w:lang w:val="en-GB"/>
        </w:rPr>
        <w:t xml:space="preserve">. Certain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begun to address these issues more structurally.</w:t>
      </w:r>
      <w:r w:rsidR="002C4840" w:rsidRPr="00640047">
        <w:rPr>
          <w:rFonts w:ascii="Times New Roman" w:hAnsi="Times New Roman" w:cs="Times New Roman"/>
          <w:noProof/>
          <w:sz w:val="24"/>
          <w:szCs w:val="24"/>
          <w:lang w:val="en-GB"/>
        </w:rPr>
        <w:t xml:space="preserve"> For example,</w:t>
      </w:r>
      <w:r w:rsidRPr="00640047">
        <w:rPr>
          <w:rFonts w:ascii="Times New Roman" w:hAnsi="Times New Roman" w:cs="Times New Roman"/>
          <w:noProof/>
          <w:sz w:val="24"/>
          <w:szCs w:val="24"/>
          <w:lang w:val="en-GB"/>
        </w:rPr>
        <w:t xml:space="preserve"> Italy’s multi-year plan against </w:t>
      </w:r>
      <w:r w:rsidRPr="00640047">
        <w:rPr>
          <w:rFonts w:ascii="Times New Roman" w:hAnsi="Times New Roman" w:cs="Times New Roman"/>
          <w:i/>
          <w:iCs/>
          <w:noProof/>
          <w:sz w:val="24"/>
          <w:szCs w:val="24"/>
          <w:lang w:val="en-GB"/>
        </w:rPr>
        <w:t xml:space="preserve">caporalato </w:t>
      </w:r>
      <w:r w:rsidRPr="00640047">
        <w:rPr>
          <w:rFonts w:ascii="Times New Roman" w:hAnsi="Times New Roman" w:cs="Times New Roman"/>
          <w:noProof/>
          <w:sz w:val="24"/>
          <w:szCs w:val="24"/>
          <w:lang w:val="en-GB"/>
        </w:rPr>
        <w:t>(exploitative intermediation (gangmastering)), supported by AMIF</w:t>
      </w:r>
      <w:r w:rsidR="00585C71" w:rsidRPr="00640047">
        <w:rPr>
          <w:rStyle w:val="FootnoteReference"/>
          <w:rFonts w:ascii="Times New Roman" w:hAnsi="Times New Roman" w:cs="Times New Roman"/>
          <w:noProof/>
          <w:sz w:val="24"/>
          <w:szCs w:val="24"/>
          <w:lang w:val="en-GB"/>
        </w:rPr>
        <w:footnoteReference w:id="106"/>
      </w:r>
      <w:r w:rsidRPr="00640047">
        <w:rPr>
          <w:rFonts w:ascii="Times New Roman" w:hAnsi="Times New Roman" w:cs="Times New Roman"/>
          <w:noProof/>
          <w:sz w:val="24"/>
          <w:szCs w:val="24"/>
          <w:lang w:val="en-GB"/>
        </w:rPr>
        <w:t xml:space="preserve">, includes measures to develop decent housing for agricultural workers by re-using confiscated assets and through integrated reception systems and coordinated territorial governance. </w:t>
      </w:r>
      <w:r w:rsidR="00390FCF">
        <w:rPr>
          <w:rFonts w:ascii="Times New Roman" w:hAnsi="Times New Roman" w:cs="Times New Roman"/>
          <w:noProof/>
          <w:sz w:val="24"/>
          <w:szCs w:val="24"/>
          <w:lang w:val="en-GB"/>
        </w:rPr>
        <w:t>Furthermore</w:t>
      </w:r>
      <w:r w:rsidR="00CC2789" w:rsidRPr="00640047">
        <w:rPr>
          <w:rFonts w:ascii="Times New Roman" w:hAnsi="Times New Roman" w:cs="Times New Roman"/>
          <w:noProof/>
          <w:sz w:val="24"/>
          <w:szCs w:val="24"/>
          <w:lang w:val="en-GB"/>
        </w:rPr>
        <w:t>, t</w:t>
      </w:r>
      <w:r w:rsidRPr="00640047">
        <w:rPr>
          <w:rFonts w:ascii="Times New Roman" w:hAnsi="Times New Roman" w:cs="Times New Roman"/>
          <w:noProof/>
          <w:sz w:val="24"/>
          <w:szCs w:val="24"/>
          <w:lang w:val="en-GB"/>
        </w:rPr>
        <w:t>he Italian National Programme for Inclusion and the Fight against Poverty 2021-2027</w:t>
      </w:r>
      <w:r w:rsidR="0028331F" w:rsidRPr="00640047">
        <w:rPr>
          <w:rStyle w:val="FootnoteReference"/>
          <w:rFonts w:ascii="Times New Roman" w:hAnsi="Times New Roman" w:cs="Times New Roman"/>
          <w:noProof/>
          <w:sz w:val="24"/>
          <w:szCs w:val="24"/>
          <w:lang w:val="en-GB"/>
        </w:rPr>
        <w:footnoteReference w:id="107"/>
      </w:r>
      <w:r w:rsidRPr="00640047">
        <w:rPr>
          <w:rFonts w:ascii="Times New Roman" w:hAnsi="Times New Roman" w:cs="Times New Roman"/>
          <w:noProof/>
          <w:sz w:val="24"/>
          <w:szCs w:val="24"/>
          <w:lang w:val="en-GB"/>
        </w:rPr>
        <w:t xml:space="preserve"> and the European Regional Development Fund (ERDF) support the integration of </w:t>
      </w:r>
      <w:r w:rsidR="008B4B5D" w:rsidRPr="00640047">
        <w:rPr>
          <w:rFonts w:ascii="Times New Roman" w:hAnsi="Times New Roman" w:cs="Times New Roman"/>
          <w:noProof/>
          <w:sz w:val="24"/>
          <w:szCs w:val="24"/>
          <w:lang w:val="en-GB"/>
        </w:rPr>
        <w:t xml:space="preserve">third-country </w:t>
      </w:r>
      <w:r w:rsidRPr="00640047">
        <w:rPr>
          <w:rFonts w:ascii="Times New Roman" w:hAnsi="Times New Roman" w:cs="Times New Roman"/>
          <w:noProof/>
          <w:sz w:val="24"/>
          <w:szCs w:val="24"/>
          <w:lang w:val="en-GB"/>
        </w:rPr>
        <w:t>workers and access to quality housing for them. The Recovery and Resilience Facility (RRF) co-funds, with EUR 200 million under the Italian national recovery and resilience plan, initiatives to counter illegal settlements and combat the exploitation of agricultural workers in 37 affected municipalities</w:t>
      </w:r>
      <w:r w:rsidR="0028331F" w:rsidRPr="00640047">
        <w:rPr>
          <w:rStyle w:val="FootnoteReference"/>
          <w:rFonts w:ascii="Times New Roman" w:hAnsi="Times New Roman" w:cs="Times New Roman"/>
          <w:noProof/>
          <w:sz w:val="24"/>
          <w:szCs w:val="24"/>
          <w:lang w:val="en-GB"/>
        </w:rPr>
        <w:footnoteReference w:id="108"/>
      </w:r>
      <w:r w:rsidRPr="00640047">
        <w:rPr>
          <w:rFonts w:ascii="Times New Roman" w:hAnsi="Times New Roman" w:cs="Times New Roman"/>
          <w:noProof/>
          <w:sz w:val="24"/>
          <w:szCs w:val="24"/>
          <w:lang w:val="en-GB"/>
        </w:rPr>
        <w:t>.</w:t>
      </w:r>
    </w:p>
    <w:p w14:paraId="2257AF6C" w14:textId="30F0FBC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lang w:val="en-GB"/>
        </w:rPr>
      </w:pPr>
      <w:bookmarkStart w:id="22" w:name="_Hlk222407256"/>
      <w:r w:rsidRPr="00640047">
        <w:rPr>
          <w:rFonts w:ascii="Times New Roman" w:hAnsi="Times New Roman" w:cs="Times New Roman"/>
          <w:noProof/>
          <w:sz w:val="24"/>
          <w:szCs w:val="24"/>
          <w:lang w:val="en-GB"/>
        </w:rPr>
        <w:t xml:space="preserve">The specific housing obligations under Article 20 for employers who arrange accommodation, namely the rules requiring non-excessive rent, prohibiting automatic wage deductions, and making written rental contracts mandatory, were initially either not transposed, or only partially transposed, by eight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transposed these obligations in a clearly visible manner</w:t>
      </w:r>
      <w:r w:rsidRPr="00640047">
        <w:rPr>
          <w:rStyle w:val="FootnoteReference"/>
          <w:rFonts w:ascii="Times New Roman" w:hAnsi="Times New Roman" w:cs="Times New Roman"/>
          <w:noProof/>
          <w:sz w:val="24"/>
          <w:szCs w:val="24"/>
          <w:lang w:val="en-GB"/>
        </w:rPr>
        <w:footnoteReference w:id="109"/>
      </w:r>
      <w:r w:rsidRPr="00640047">
        <w:rPr>
          <w:rFonts w:ascii="Times New Roman" w:hAnsi="Times New Roman" w:cs="Times New Roman"/>
          <w:noProof/>
          <w:sz w:val="24"/>
          <w:szCs w:val="24"/>
          <w:lang w:val="en-GB"/>
        </w:rPr>
        <w:t>, and some</w:t>
      </w:r>
      <w:r w:rsidRPr="00640047">
        <w:rPr>
          <w:rStyle w:val="FootnoteReference"/>
          <w:rFonts w:ascii="Times New Roman" w:hAnsi="Times New Roman" w:cs="Times New Roman"/>
          <w:noProof/>
          <w:sz w:val="24"/>
          <w:szCs w:val="24"/>
          <w:lang w:val="en-GB"/>
        </w:rPr>
        <w:footnoteReference w:id="110"/>
      </w:r>
      <w:r w:rsidRPr="00640047">
        <w:rPr>
          <w:rFonts w:ascii="Times New Roman" w:hAnsi="Times New Roman" w:cs="Times New Roman"/>
          <w:noProof/>
          <w:sz w:val="24"/>
          <w:szCs w:val="24"/>
          <w:lang w:val="en-GB"/>
        </w:rPr>
        <w:t xml:space="preserve"> have introduced concrete thresholds, such as capping rent at about one third of wages or establishing maximum permissible deductions, thereby increasing both clarity and enforceability. Stakeholders nonetheless continue to report frequent breaches and link them to a lack of information and insufficient monitoring, inspections and sanctions. </w:t>
      </w:r>
      <w:bookmarkEnd w:id="22"/>
      <w:r w:rsidRPr="00640047">
        <w:rPr>
          <w:rFonts w:ascii="Times New Roman" w:hAnsi="Times New Roman" w:cs="Times New Roman"/>
          <w:noProof/>
          <w:sz w:val="24"/>
          <w:szCs w:val="24"/>
          <w:lang w:val="en-GB"/>
        </w:rPr>
        <w:t xml:space="preserve">Concern was also raised about rental contracts often being provided in a language workers do not understand. Stakeholders regularly stress that more needs to be done by national, regional and local authorities to ensure adequate accommodation for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in particular by expanding accommodation capacity (including the construction of new facilities and the refurbishment of existing buildings) and by strengthening monitoring</w:t>
      </w:r>
      <w:bookmarkStart w:id="23" w:name="_Ref220426466"/>
      <w:r w:rsidRPr="00640047">
        <w:rPr>
          <w:rStyle w:val="FootnoteReference"/>
          <w:rFonts w:ascii="Times New Roman" w:hAnsi="Times New Roman" w:cs="Times New Roman"/>
          <w:noProof/>
          <w:sz w:val="24"/>
          <w:szCs w:val="24"/>
          <w:lang w:val="en-GB"/>
        </w:rPr>
        <w:footnoteReference w:id="111"/>
      </w:r>
      <w:bookmarkEnd w:id="23"/>
      <w:r w:rsidRPr="00640047">
        <w:rPr>
          <w:rFonts w:ascii="Times New Roman" w:hAnsi="Times New Roman" w:cs="Times New Roman"/>
          <w:noProof/>
          <w:sz w:val="24"/>
          <w:szCs w:val="24"/>
          <w:lang w:val="en-GB"/>
        </w:rPr>
        <w:t>.</w:t>
      </w:r>
    </w:p>
    <w:p w14:paraId="18F184EC" w14:textId="77777777"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lang w:val="en-GB"/>
        </w:rPr>
      </w:pPr>
      <w:r w:rsidRPr="00640047">
        <w:rPr>
          <w:rFonts w:ascii="Times New Roman" w:eastAsia="Times New Roman" w:hAnsi="Times New Roman" w:cs="Times New Roman"/>
          <w:b/>
          <w:bCs/>
          <w:i/>
          <w:iCs/>
          <w:noProof/>
          <w:sz w:val="24"/>
          <w:szCs w:val="24"/>
          <w:lang w:val="en-GB"/>
        </w:rPr>
        <w:t>Equal access to certain branches of social security – Article 23</w:t>
      </w:r>
    </w:p>
    <w:p w14:paraId="04851E8A" w14:textId="3E4A2304" w:rsidR="006976D7" w:rsidRPr="00640047" w:rsidRDefault="006976D7" w:rsidP="006976D7">
      <w:pPr>
        <w:spacing w:after="120" w:line="276" w:lineRule="auto"/>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All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formally transposed the obligation under Article 23(1)(d) </w:t>
      </w:r>
      <w:r w:rsidR="009B6881" w:rsidRPr="00640047">
        <w:rPr>
          <w:rFonts w:ascii="Times New Roman" w:hAnsi="Times New Roman" w:cs="Times New Roman"/>
          <w:noProof/>
          <w:sz w:val="24"/>
          <w:szCs w:val="24"/>
          <w:lang w:val="en-GB"/>
        </w:rPr>
        <w:t xml:space="preserve">of the Directive </w:t>
      </w:r>
      <w:r w:rsidRPr="00640047">
        <w:rPr>
          <w:rFonts w:ascii="Times New Roman" w:hAnsi="Times New Roman" w:cs="Times New Roman"/>
          <w:noProof/>
          <w:sz w:val="24"/>
          <w:szCs w:val="24"/>
          <w:lang w:val="en-GB"/>
        </w:rPr>
        <w:t xml:space="preserve">to ensure that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get the same treatment</w:t>
      </w:r>
      <w:r w:rsidRPr="00640047" w:rsidDel="00476439">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 xml:space="preserve">as EU </w:t>
      </w:r>
      <w:r w:rsidR="004C14D0" w:rsidRPr="00640047">
        <w:rPr>
          <w:rFonts w:ascii="Times New Roman" w:hAnsi="Times New Roman" w:cs="Times New Roman"/>
          <w:noProof/>
          <w:sz w:val="24"/>
          <w:szCs w:val="24"/>
          <w:lang w:val="en-GB"/>
        </w:rPr>
        <w:t xml:space="preserve">nationals </w:t>
      </w:r>
      <w:r w:rsidRPr="00640047">
        <w:rPr>
          <w:rFonts w:ascii="Times New Roman" w:hAnsi="Times New Roman" w:cs="Times New Roman"/>
          <w:noProof/>
          <w:sz w:val="24"/>
          <w:szCs w:val="24"/>
          <w:lang w:val="en-GB"/>
        </w:rPr>
        <w:t>in the types of social security listed in Article 3 of Regulation (EC) No 883/2004</w:t>
      </w:r>
      <w:r w:rsidRPr="00640047">
        <w:rPr>
          <w:rStyle w:val="FootnoteReference"/>
          <w:rFonts w:ascii="Times New Roman" w:hAnsi="Times New Roman" w:cs="Times New Roman"/>
          <w:noProof/>
          <w:sz w:val="24"/>
          <w:szCs w:val="24"/>
          <w:lang w:val="en-GB"/>
        </w:rPr>
        <w:footnoteReference w:id="112"/>
      </w:r>
      <w:r w:rsidRPr="00640047">
        <w:rPr>
          <w:rFonts w:ascii="Times New Roman" w:hAnsi="Times New Roman" w:cs="Times New Roman"/>
          <w:noProof/>
          <w:sz w:val="24"/>
          <w:szCs w:val="24"/>
          <w:lang w:val="en-GB"/>
        </w:rPr>
        <w:t xml:space="preserve">, to the extent that those branches exist in national law, while excluding social assistance. Many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activated the optional derogations for unemployment</w:t>
      </w:r>
      <w:r w:rsidRPr="00640047">
        <w:rPr>
          <w:rStyle w:val="FootnoteReference"/>
          <w:rFonts w:ascii="Times New Roman" w:hAnsi="Times New Roman" w:cs="Times New Roman"/>
          <w:noProof/>
          <w:sz w:val="24"/>
          <w:szCs w:val="24"/>
          <w:lang w:val="en-GB"/>
        </w:rPr>
        <w:footnoteReference w:id="113"/>
      </w:r>
      <w:r w:rsidRPr="00640047">
        <w:rPr>
          <w:rFonts w:ascii="Times New Roman" w:hAnsi="Times New Roman" w:cs="Times New Roman"/>
          <w:noProof/>
          <w:sz w:val="24"/>
          <w:szCs w:val="24"/>
          <w:lang w:val="en-GB"/>
        </w:rPr>
        <w:t xml:space="preserve"> and/or family benefits</w:t>
      </w:r>
      <w:r w:rsidRPr="00640047">
        <w:rPr>
          <w:rStyle w:val="FootnoteReference"/>
          <w:rFonts w:ascii="Times New Roman" w:hAnsi="Times New Roman" w:cs="Times New Roman"/>
          <w:noProof/>
          <w:sz w:val="24"/>
          <w:szCs w:val="24"/>
          <w:lang w:val="en-GB"/>
        </w:rPr>
        <w:footnoteReference w:id="114"/>
      </w:r>
      <w:r w:rsidRPr="00640047">
        <w:rPr>
          <w:rFonts w:ascii="Times New Roman" w:hAnsi="Times New Roman" w:cs="Times New Roman"/>
          <w:noProof/>
          <w:sz w:val="24"/>
          <w:szCs w:val="24"/>
          <w:lang w:val="en-GB"/>
        </w:rPr>
        <w:t xml:space="preserve"> (Article 23(2)). However, in 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effective access remains constrained by requirements linked to periods of social security contributions, residence and labour market availability that </w:t>
      </w:r>
      <w:r w:rsidR="009C2946" w:rsidRPr="00640047">
        <w:rPr>
          <w:rFonts w:ascii="Times New Roman" w:hAnsi="Times New Roman" w:cs="Times New Roman"/>
          <w:noProof/>
          <w:sz w:val="24"/>
          <w:szCs w:val="24"/>
          <w:lang w:val="en-GB"/>
        </w:rPr>
        <w:t>third-country seasonal workers</w:t>
      </w:r>
      <w:r w:rsidRPr="00640047">
        <w:rPr>
          <w:rFonts w:ascii="Times New Roman" w:hAnsi="Times New Roman" w:cs="Times New Roman"/>
          <w:noProof/>
          <w:sz w:val="24"/>
          <w:szCs w:val="24"/>
          <w:lang w:val="en-GB"/>
        </w:rPr>
        <w:t xml:space="preserve"> usually cannot meet. </w:t>
      </w:r>
    </w:p>
    <w:p w14:paraId="01F14E95" w14:textId="56927484" w:rsidR="006976D7" w:rsidRPr="00640047" w:rsidRDefault="006976D7" w:rsidP="006976D7">
      <w:pPr>
        <w:spacing w:after="120" w:line="276" w:lineRule="auto"/>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Access to public health insurance also varies. Most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provide direct affiliation when a worker registers</w:t>
      </w:r>
      <w:r w:rsidR="005C0925" w:rsidRPr="00640047">
        <w:rPr>
          <w:rFonts w:ascii="Times New Roman" w:hAnsi="Times New Roman" w:cs="Times New Roman"/>
          <w:noProof/>
          <w:sz w:val="24"/>
          <w:szCs w:val="24"/>
          <w:lang w:val="en-GB"/>
        </w:rPr>
        <w:t xml:space="preserve"> or is registered with social security</w:t>
      </w:r>
      <w:r w:rsidRPr="00640047">
        <w:rPr>
          <w:rStyle w:val="FootnoteReference"/>
          <w:rFonts w:ascii="Times New Roman" w:hAnsi="Times New Roman" w:cs="Times New Roman"/>
          <w:noProof/>
          <w:sz w:val="24"/>
          <w:szCs w:val="24"/>
          <w:lang w:val="en-GB"/>
        </w:rPr>
        <w:footnoteReference w:id="115"/>
      </w:r>
      <w:r w:rsidRPr="00640047">
        <w:rPr>
          <w:rFonts w:ascii="Times New Roman" w:hAnsi="Times New Roman" w:cs="Times New Roman"/>
          <w:noProof/>
          <w:sz w:val="24"/>
          <w:szCs w:val="24"/>
          <w:lang w:val="en-GB"/>
        </w:rPr>
        <w:t>, but others impose income thresholds, minimum contributions, enrolment steps or minimum residency requirements that can be difficult to meet at least immediately on arrival</w:t>
      </w:r>
      <w:r w:rsidRPr="00640047">
        <w:rPr>
          <w:rStyle w:val="FootnoteReference"/>
          <w:rFonts w:ascii="Times New Roman" w:hAnsi="Times New Roman" w:cs="Times New Roman"/>
          <w:noProof/>
          <w:sz w:val="24"/>
          <w:szCs w:val="24"/>
          <w:lang w:val="en-GB"/>
        </w:rPr>
        <w:footnoteReference w:id="116"/>
      </w:r>
      <w:r w:rsidRPr="00640047">
        <w:rPr>
          <w:rFonts w:ascii="Times New Roman" w:hAnsi="Times New Roman" w:cs="Times New Roman"/>
          <w:noProof/>
          <w:sz w:val="24"/>
          <w:szCs w:val="24"/>
          <w:lang w:val="en-GB"/>
        </w:rPr>
        <w:t xml:space="preserve">. Several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use simplified short-term hiring schemes that do not confer full health insurance status</w:t>
      </w:r>
      <w:r w:rsidRPr="00640047">
        <w:rPr>
          <w:rStyle w:val="FootnoteReference"/>
          <w:rFonts w:ascii="Times New Roman" w:hAnsi="Times New Roman" w:cs="Times New Roman"/>
          <w:noProof/>
          <w:sz w:val="24"/>
          <w:szCs w:val="24"/>
          <w:lang w:val="en-GB"/>
        </w:rPr>
        <w:footnoteReference w:id="117"/>
      </w:r>
      <w:r w:rsidRPr="00640047">
        <w:rPr>
          <w:rFonts w:ascii="Times New Roman" w:hAnsi="Times New Roman" w:cs="Times New Roman"/>
          <w:noProof/>
          <w:sz w:val="24"/>
          <w:szCs w:val="24"/>
          <w:lang w:val="en-GB"/>
        </w:rPr>
        <w:t xml:space="preserve">. </w:t>
      </w:r>
    </w:p>
    <w:p w14:paraId="21605152" w14:textId="5441247A" w:rsidR="006976D7" w:rsidRPr="00640047" w:rsidRDefault="006976D7" w:rsidP="006976D7">
      <w:pPr>
        <w:spacing w:after="120" w:line="276" w:lineRule="auto"/>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Accidents at work and occupational diseases are generally covered from the first day</w:t>
      </w:r>
      <w:r w:rsidR="005C0925" w:rsidRPr="00640047">
        <w:rPr>
          <w:rFonts w:ascii="Times New Roman" w:hAnsi="Times New Roman" w:cs="Times New Roman"/>
          <w:noProof/>
          <w:sz w:val="24"/>
          <w:szCs w:val="24"/>
          <w:lang w:val="en-GB"/>
        </w:rPr>
        <w:t xml:space="preserve"> of work</w:t>
      </w:r>
      <w:r w:rsidRPr="00640047">
        <w:rPr>
          <w:rFonts w:ascii="Times New Roman" w:hAnsi="Times New Roman" w:cs="Times New Roman"/>
          <w:noProof/>
          <w:sz w:val="24"/>
          <w:szCs w:val="24"/>
          <w:lang w:val="en-GB"/>
        </w:rPr>
        <w:t>. However, qualifying periods for maternity and paternity, invalidity and cash sickness benefits often exceed the length of a seasonal work stay and are sometimes even coupled with residence conditions, limiting the practical usability of these entitlements.</w:t>
      </w:r>
    </w:p>
    <w:p w14:paraId="071C6A32" w14:textId="18B9D825" w:rsidR="006976D7" w:rsidRPr="00640047" w:rsidRDefault="006976D7" w:rsidP="006976D7">
      <w:pPr>
        <w:spacing w:after="120" w:line="276" w:lineRule="auto"/>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Old-age and survivors’ pensions</w:t>
      </w:r>
      <w:r w:rsidRPr="00640047">
        <w:rPr>
          <w:rStyle w:val="FootnoteReference"/>
          <w:rFonts w:ascii="Times New Roman" w:hAnsi="Times New Roman" w:cs="Times New Roman"/>
          <w:noProof/>
          <w:sz w:val="24"/>
          <w:szCs w:val="24"/>
          <w:lang w:val="en-GB"/>
        </w:rPr>
        <w:footnoteReference w:id="118"/>
      </w:r>
      <w:r w:rsidRPr="00640047">
        <w:rPr>
          <w:rFonts w:ascii="Times New Roman" w:hAnsi="Times New Roman" w:cs="Times New Roman"/>
          <w:noProof/>
          <w:sz w:val="24"/>
          <w:szCs w:val="24"/>
          <w:lang w:val="en-GB"/>
        </w:rPr>
        <w:t xml:space="preserve"> are, in principle, granted on the same terms as for people from the EU country in question, including the possibility of aggregation and export. However, effective access depends on the existence of bilateral agreements with countries of origin, as well as on systems for recording contributions, aggregating insurance or contribution periods, and paying out pensions to seasonal workers who have returned to their countries of origin or to their survivors. In several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the absence or partial coverage of such agreements, high minimum contribution thresholds, burdensome certification in terms of paperwork, and cumbersome payment procedures hinder practical access for seasonal workers and their survivors after return</w:t>
      </w:r>
      <w:r w:rsidRPr="00640047">
        <w:rPr>
          <w:rStyle w:val="FootnoteReference"/>
          <w:rFonts w:ascii="Times New Roman" w:hAnsi="Times New Roman" w:cs="Times New Roman"/>
          <w:noProof/>
          <w:sz w:val="24"/>
          <w:szCs w:val="24"/>
          <w:lang w:val="en-GB"/>
        </w:rPr>
        <w:footnoteReference w:id="119"/>
      </w:r>
      <w:r w:rsidRPr="00640047">
        <w:rPr>
          <w:rFonts w:ascii="Times New Roman" w:hAnsi="Times New Roman" w:cs="Times New Roman"/>
          <w:noProof/>
          <w:sz w:val="24"/>
          <w:szCs w:val="24"/>
          <w:lang w:val="en-GB"/>
        </w:rPr>
        <w:t xml:space="preserve">. Some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good practices, and they export and aggregate entitlements smoothly by having clear websites explaining the applicable social security agreements between the Member State and the country of origin and digital ‘proof of life’ possibilities. A forthcoming study conducted by the</w:t>
      </w:r>
      <w:r w:rsidR="00B430C0"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International C</w:t>
      </w:r>
      <w:r w:rsidR="00B430C0" w:rsidRPr="00640047">
        <w:rPr>
          <w:rFonts w:ascii="Times New Roman" w:hAnsi="Times New Roman" w:cs="Times New Roman"/>
          <w:noProof/>
          <w:sz w:val="24"/>
          <w:szCs w:val="24"/>
          <w:lang w:val="en-GB"/>
        </w:rPr>
        <w:t>entre</w:t>
      </w:r>
      <w:r w:rsidRPr="00640047">
        <w:rPr>
          <w:rFonts w:ascii="Times New Roman" w:hAnsi="Times New Roman" w:cs="Times New Roman"/>
          <w:noProof/>
          <w:sz w:val="24"/>
          <w:szCs w:val="24"/>
          <w:lang w:val="en-GB"/>
        </w:rPr>
        <w:t xml:space="preserve"> for Migration Policy Development </w:t>
      </w:r>
      <w:r w:rsidR="00070834" w:rsidRPr="00640047">
        <w:rPr>
          <w:rFonts w:ascii="Times New Roman" w:hAnsi="Times New Roman" w:cs="Times New Roman"/>
          <w:noProof/>
          <w:sz w:val="24"/>
          <w:szCs w:val="24"/>
          <w:lang w:val="en-GB"/>
        </w:rPr>
        <w:t xml:space="preserve">(ICMPD) </w:t>
      </w:r>
      <w:r w:rsidRPr="00640047">
        <w:rPr>
          <w:rFonts w:ascii="Times New Roman" w:hAnsi="Times New Roman" w:cs="Times New Roman"/>
          <w:noProof/>
          <w:sz w:val="24"/>
          <w:szCs w:val="24"/>
          <w:lang w:val="en-GB"/>
        </w:rPr>
        <w:t xml:space="preserve">and funded under the Migration Partnership Facility (MPF) will provide further insights into the remaining challenges related to accessing pensions. </w:t>
      </w:r>
    </w:p>
    <w:p w14:paraId="6822BB81" w14:textId="77777777" w:rsidR="006976D7" w:rsidRPr="00640047" w:rsidRDefault="006976D7" w:rsidP="006976D7">
      <w:pPr>
        <w:pStyle w:val="ListParagraph"/>
        <w:numPr>
          <w:ilvl w:val="0"/>
          <w:numId w:val="1"/>
        </w:numPr>
        <w:spacing w:after="120" w:line="276" w:lineRule="auto"/>
        <w:contextualSpacing w:val="0"/>
        <w:rPr>
          <w:rFonts w:ascii="Times New Roman" w:hAnsi="Times New Roman" w:cs="Times New Roman"/>
          <w:b/>
          <w:bCs/>
          <w:noProof/>
          <w:sz w:val="24"/>
          <w:szCs w:val="24"/>
          <w:lang w:val="en-GB"/>
        </w:rPr>
      </w:pPr>
      <w:r w:rsidRPr="00640047">
        <w:rPr>
          <w:rFonts w:ascii="Times New Roman" w:hAnsi="Times New Roman" w:cs="Times New Roman"/>
          <w:b/>
          <w:bCs/>
          <w:noProof/>
          <w:sz w:val="24"/>
          <w:szCs w:val="24"/>
          <w:lang w:val="en-GB"/>
        </w:rPr>
        <w:t>CONCLUSIONS AND NEXT STEPS</w:t>
      </w:r>
    </w:p>
    <w:p w14:paraId="17803EAC" w14:textId="6BB5F220" w:rsidR="006976D7" w:rsidRPr="00640047" w:rsidRDefault="00E26ACD" w:rsidP="006976D7">
      <w:pPr>
        <w:spacing w:after="120" w:line="276" w:lineRule="auto"/>
        <w:jc w:val="both"/>
        <w:rPr>
          <w:rFonts w:ascii="Times New Roman" w:eastAsia="Times New Roman" w:hAnsi="Times New Roman" w:cs="Times New Roman"/>
          <w:noProof/>
          <w:sz w:val="24"/>
          <w:szCs w:val="24"/>
          <w:lang w:val="en-GB"/>
        </w:rPr>
      </w:pPr>
      <w:bookmarkStart w:id="24" w:name="_Hlk216781065"/>
      <w:r w:rsidRPr="00640047">
        <w:rPr>
          <w:rFonts w:ascii="Times New Roman" w:eastAsia="Times New Roman" w:hAnsi="Times New Roman" w:cs="Times New Roman"/>
          <w:noProof/>
          <w:sz w:val="24"/>
          <w:szCs w:val="24"/>
          <w:lang w:val="en-GB"/>
        </w:rPr>
        <w:t>Taking into account</w:t>
      </w:r>
      <w:r w:rsidR="006976D7" w:rsidRPr="00640047">
        <w:rPr>
          <w:rFonts w:ascii="Times New Roman" w:eastAsia="Times New Roman" w:hAnsi="Times New Roman" w:cs="Times New Roman"/>
          <w:noProof/>
          <w:sz w:val="24"/>
          <w:szCs w:val="24"/>
          <w:lang w:val="en-GB"/>
        </w:rPr>
        <w:t xml:space="preserve"> the </w:t>
      </w:r>
      <w:r w:rsidR="00421682">
        <w:rPr>
          <w:rFonts w:ascii="Times New Roman" w:eastAsia="Times New Roman" w:hAnsi="Times New Roman" w:cs="Times New Roman"/>
          <w:noProof/>
          <w:sz w:val="24"/>
          <w:szCs w:val="24"/>
          <w:lang w:val="en-GB"/>
        </w:rPr>
        <w:t>relevance</w:t>
      </w:r>
      <w:r w:rsidR="00421682" w:rsidRPr="00640047">
        <w:rPr>
          <w:rFonts w:ascii="Times New Roman" w:eastAsia="Times New Roman" w:hAnsi="Times New Roman" w:cs="Times New Roman"/>
          <w:noProof/>
          <w:sz w:val="24"/>
          <w:szCs w:val="24"/>
          <w:lang w:val="en-GB"/>
        </w:rPr>
        <w:t xml:space="preserve"> </w:t>
      </w:r>
      <w:r w:rsidR="006976D7" w:rsidRPr="00640047">
        <w:rPr>
          <w:rFonts w:ascii="Times New Roman" w:eastAsia="Times New Roman" w:hAnsi="Times New Roman" w:cs="Times New Roman"/>
          <w:noProof/>
          <w:sz w:val="24"/>
          <w:szCs w:val="24"/>
          <w:lang w:val="en-GB"/>
        </w:rPr>
        <w:t xml:space="preserve">of </w:t>
      </w:r>
      <w:r w:rsidR="008B4B5D" w:rsidRPr="00640047">
        <w:rPr>
          <w:rFonts w:ascii="Times New Roman" w:eastAsia="Times New Roman" w:hAnsi="Times New Roman" w:cs="Times New Roman"/>
          <w:noProof/>
          <w:sz w:val="24"/>
          <w:szCs w:val="24"/>
          <w:lang w:val="en-GB"/>
        </w:rPr>
        <w:t xml:space="preserve">third-country </w:t>
      </w:r>
      <w:r w:rsidR="006976D7" w:rsidRPr="00640047">
        <w:rPr>
          <w:rFonts w:ascii="Times New Roman" w:eastAsia="Times New Roman" w:hAnsi="Times New Roman" w:cs="Times New Roman"/>
          <w:noProof/>
          <w:sz w:val="24"/>
          <w:szCs w:val="24"/>
          <w:lang w:val="en-GB"/>
        </w:rPr>
        <w:t>seasonal labour in important economic sectors, and in the context of persistent labour shortages and demographic change, the Directive remains a key instrument for ensuring both an orderly admission framework and effective safeguards in sectors exposed to vulnerability</w:t>
      </w:r>
      <w:r w:rsidR="007A1957" w:rsidRPr="00640047">
        <w:rPr>
          <w:rFonts w:ascii="Times New Roman" w:eastAsia="Times New Roman" w:hAnsi="Times New Roman" w:cs="Times New Roman"/>
          <w:noProof/>
          <w:sz w:val="24"/>
          <w:szCs w:val="24"/>
          <w:lang w:val="en-GB"/>
        </w:rPr>
        <w:t>, exploitation</w:t>
      </w:r>
      <w:r w:rsidR="006976D7" w:rsidRPr="00640047">
        <w:rPr>
          <w:rFonts w:ascii="Times New Roman" w:eastAsia="Times New Roman" w:hAnsi="Times New Roman" w:cs="Times New Roman"/>
          <w:noProof/>
          <w:sz w:val="24"/>
          <w:szCs w:val="24"/>
          <w:lang w:val="en-GB"/>
        </w:rPr>
        <w:t xml:space="preserve"> and enforcement risks. The report’s findings indicate that effective </w:t>
      </w:r>
      <w:r w:rsidR="006C3C95" w:rsidRPr="00640047">
        <w:rPr>
          <w:rFonts w:ascii="Times New Roman" w:eastAsia="Times New Roman" w:hAnsi="Times New Roman" w:cs="Times New Roman"/>
          <w:noProof/>
          <w:sz w:val="24"/>
          <w:szCs w:val="24"/>
          <w:lang w:val="en-GB"/>
        </w:rPr>
        <w:t xml:space="preserve">labour </w:t>
      </w:r>
      <w:r w:rsidR="006976D7" w:rsidRPr="00640047">
        <w:rPr>
          <w:rFonts w:ascii="Times New Roman" w:eastAsia="Times New Roman" w:hAnsi="Times New Roman" w:cs="Times New Roman"/>
          <w:noProof/>
          <w:sz w:val="24"/>
          <w:szCs w:val="24"/>
          <w:lang w:val="en-GB"/>
        </w:rPr>
        <w:t>attraction and enforcement are mutually reinforcing. L</w:t>
      </w:r>
      <w:r w:rsidR="001D5D22" w:rsidRPr="00640047">
        <w:rPr>
          <w:rFonts w:ascii="Times New Roman" w:eastAsia="Times New Roman" w:hAnsi="Times New Roman" w:cs="Times New Roman"/>
          <w:noProof/>
          <w:sz w:val="24"/>
          <w:szCs w:val="24"/>
          <w:lang w:val="en-GB"/>
        </w:rPr>
        <w:t>abour mobility</w:t>
      </w:r>
      <w:r w:rsidR="006976D7" w:rsidRPr="00640047">
        <w:rPr>
          <w:rFonts w:ascii="Times New Roman" w:eastAsia="Times New Roman" w:hAnsi="Times New Roman" w:cs="Times New Roman"/>
          <w:noProof/>
          <w:sz w:val="24"/>
          <w:szCs w:val="24"/>
          <w:lang w:val="en-GB"/>
        </w:rPr>
        <w:t xml:space="preserve"> pathways can help address structural shortages if they are sufficiently swift, predictable and credible for both employers and workers. Credibility also comes from visible enforcement</w:t>
      </w:r>
      <w:r w:rsidR="00A24150" w:rsidRPr="00640047">
        <w:rPr>
          <w:rFonts w:ascii="Times New Roman" w:eastAsia="Times New Roman" w:hAnsi="Times New Roman" w:cs="Times New Roman"/>
          <w:noProof/>
          <w:sz w:val="24"/>
          <w:szCs w:val="24"/>
          <w:lang w:val="en-GB"/>
        </w:rPr>
        <w:t xml:space="preserve"> by the national authorities</w:t>
      </w:r>
      <w:r w:rsidR="006976D7" w:rsidRPr="00640047">
        <w:rPr>
          <w:rFonts w:ascii="Times New Roman" w:eastAsia="Times New Roman" w:hAnsi="Times New Roman" w:cs="Times New Roman"/>
          <w:noProof/>
          <w:sz w:val="24"/>
          <w:szCs w:val="24"/>
          <w:lang w:val="en-GB"/>
        </w:rPr>
        <w:t xml:space="preserve"> that prevents non-compliant employers from gaining a</w:t>
      </w:r>
      <w:r w:rsidR="0051371F">
        <w:rPr>
          <w:rFonts w:ascii="Times New Roman" w:eastAsia="Times New Roman" w:hAnsi="Times New Roman" w:cs="Times New Roman"/>
          <w:noProof/>
          <w:sz w:val="24"/>
          <w:szCs w:val="24"/>
          <w:lang w:val="en-GB"/>
        </w:rPr>
        <w:t>n</w:t>
      </w:r>
      <w:r w:rsidR="006976D7" w:rsidRPr="00640047">
        <w:rPr>
          <w:rFonts w:ascii="Times New Roman" w:eastAsia="Times New Roman" w:hAnsi="Times New Roman" w:cs="Times New Roman"/>
          <w:noProof/>
          <w:sz w:val="24"/>
          <w:szCs w:val="24"/>
          <w:lang w:val="en-GB"/>
        </w:rPr>
        <w:t xml:space="preserve"> advantage through illegal employment, under-declared work, or substandard working and living conditions. </w:t>
      </w:r>
    </w:p>
    <w:p w14:paraId="2FFBFA40" w14:textId="679DEFA9" w:rsidR="004E4DFE" w:rsidRDefault="006976D7" w:rsidP="006976D7">
      <w:pPr>
        <w:spacing w:after="120" w:line="276" w:lineRule="auto"/>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Compared with the fragmented pre-2014 situation, the Directive and its implementation have led to more streamlined l</w:t>
      </w:r>
      <w:r w:rsidR="001D5D22" w:rsidRPr="00640047">
        <w:rPr>
          <w:rFonts w:ascii="Times New Roman" w:hAnsi="Times New Roman" w:cs="Times New Roman"/>
          <w:noProof/>
          <w:sz w:val="24"/>
          <w:szCs w:val="24"/>
          <w:lang w:val="en-GB"/>
        </w:rPr>
        <w:t>abour mobility</w:t>
      </w:r>
      <w:r w:rsidRPr="00640047">
        <w:rPr>
          <w:rFonts w:ascii="Times New Roman" w:hAnsi="Times New Roman" w:cs="Times New Roman"/>
          <w:noProof/>
          <w:sz w:val="24"/>
          <w:szCs w:val="24"/>
          <w:lang w:val="en-GB"/>
        </w:rPr>
        <w:t xml:space="preserve"> pathways, helping to reduce incentives for illegal employment and undeclared work. The Directive has also strengthened the legal position of seasonal workers through, among other things, the right to change employer, provisions on equal treatment, accommodation safeguards, information obligations, complaint and redress mechanisms, better oversight and stricter sanctions</w:t>
      </w:r>
      <w:r w:rsidR="005B2498" w:rsidRPr="00640047">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w:t>
      </w:r>
    </w:p>
    <w:p w14:paraId="2DF11B29" w14:textId="4C558A51" w:rsidR="006976D7" w:rsidRPr="00640047" w:rsidRDefault="004A61F9" w:rsidP="006976D7">
      <w:pPr>
        <w:spacing w:after="120" w:line="276" w:lineRule="auto"/>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While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have overall brought their national legislation in line with the Directive following the opening of the infringement procedures, </w:t>
      </w:r>
      <w:r w:rsidR="006976D7" w:rsidRPr="00640047">
        <w:rPr>
          <w:rFonts w:ascii="Times New Roman" w:hAnsi="Times New Roman" w:cs="Times New Roman"/>
          <w:noProof/>
          <w:sz w:val="24"/>
          <w:szCs w:val="24"/>
          <w:lang w:val="en-GB"/>
        </w:rPr>
        <w:t xml:space="preserve">persistent practical implementation gaps </w:t>
      </w:r>
      <w:r w:rsidR="004E4DFE">
        <w:rPr>
          <w:rFonts w:ascii="Times New Roman" w:hAnsi="Times New Roman" w:cs="Times New Roman"/>
          <w:noProof/>
          <w:sz w:val="24"/>
          <w:szCs w:val="24"/>
          <w:lang w:val="en-GB"/>
        </w:rPr>
        <w:t xml:space="preserve">in several of them </w:t>
      </w:r>
      <w:r w:rsidR="006976D7" w:rsidRPr="00640047">
        <w:rPr>
          <w:rFonts w:ascii="Times New Roman" w:hAnsi="Times New Roman" w:cs="Times New Roman"/>
          <w:noProof/>
          <w:sz w:val="24"/>
          <w:szCs w:val="24"/>
          <w:lang w:val="en-GB"/>
        </w:rPr>
        <w:t xml:space="preserve">risk undermining both </w:t>
      </w:r>
      <w:r w:rsidR="00D34AF2" w:rsidRPr="00640047">
        <w:rPr>
          <w:rFonts w:ascii="Times New Roman" w:hAnsi="Times New Roman" w:cs="Times New Roman"/>
          <w:noProof/>
          <w:sz w:val="24"/>
          <w:szCs w:val="24"/>
          <w:lang w:val="en-GB"/>
        </w:rPr>
        <w:t xml:space="preserve">labour </w:t>
      </w:r>
      <w:r w:rsidR="007A1957" w:rsidRPr="00640047">
        <w:rPr>
          <w:rFonts w:ascii="Times New Roman" w:hAnsi="Times New Roman" w:cs="Times New Roman"/>
          <w:noProof/>
          <w:sz w:val="24"/>
          <w:szCs w:val="24"/>
          <w:lang w:val="en-GB"/>
        </w:rPr>
        <w:t xml:space="preserve">pathways </w:t>
      </w:r>
      <w:r w:rsidR="006976D7" w:rsidRPr="00640047">
        <w:rPr>
          <w:rFonts w:ascii="Times New Roman" w:hAnsi="Times New Roman" w:cs="Times New Roman"/>
          <w:noProof/>
          <w:sz w:val="24"/>
          <w:szCs w:val="24"/>
          <w:lang w:val="en-GB"/>
        </w:rPr>
        <w:t xml:space="preserve">and the effective protection of workers. Shortcomings are most evident in the practical difficulties of changing employer quickly before a season ends, the quality and accessibility of information, the effectiveness of inspections and sanctions, access to complaint and redress </w:t>
      </w:r>
      <w:r w:rsidR="007A1957" w:rsidRPr="00640047">
        <w:rPr>
          <w:rFonts w:ascii="Times New Roman" w:hAnsi="Times New Roman" w:cs="Times New Roman"/>
          <w:noProof/>
          <w:sz w:val="24"/>
          <w:szCs w:val="24"/>
          <w:lang w:val="en-GB"/>
        </w:rPr>
        <w:t xml:space="preserve">mechanisms </w:t>
      </w:r>
      <w:r w:rsidR="006976D7" w:rsidRPr="00640047">
        <w:rPr>
          <w:rFonts w:ascii="Times New Roman" w:hAnsi="Times New Roman" w:cs="Times New Roman"/>
          <w:noProof/>
          <w:sz w:val="24"/>
          <w:szCs w:val="24"/>
          <w:lang w:val="en-GB"/>
        </w:rPr>
        <w:t>(including from the country of origin), the availability and adequacy of accommodation, compensation mechanisms, access to certain types of social security</w:t>
      </w:r>
      <w:r w:rsidR="007A1957" w:rsidRPr="00640047">
        <w:rPr>
          <w:rFonts w:ascii="Times New Roman" w:hAnsi="Times New Roman" w:cs="Times New Roman"/>
          <w:noProof/>
          <w:sz w:val="24"/>
          <w:szCs w:val="24"/>
          <w:lang w:val="en-GB"/>
        </w:rPr>
        <w:t xml:space="preserve"> as well as the </w:t>
      </w:r>
      <w:r w:rsidR="006976D7" w:rsidRPr="00640047">
        <w:rPr>
          <w:rFonts w:ascii="Times New Roman" w:hAnsi="Times New Roman" w:cs="Times New Roman"/>
          <w:noProof/>
          <w:sz w:val="24"/>
          <w:szCs w:val="24"/>
          <w:lang w:val="en-GB"/>
        </w:rPr>
        <w:t>portability of rights.</w:t>
      </w:r>
    </w:p>
    <w:p w14:paraId="15ABC319" w14:textId="69EA1245" w:rsidR="006976D7" w:rsidRPr="00640047" w:rsidRDefault="006976D7" w:rsidP="006976D7">
      <w:pPr>
        <w:spacing w:after="120" w:line="276" w:lineRule="auto"/>
        <w:jc w:val="both"/>
        <w:rPr>
          <w:rFonts w:ascii="Times New Roman" w:eastAsia="Times New Roman" w:hAnsi="Times New Roman" w:cs="Times New Roman"/>
          <w:noProof/>
          <w:sz w:val="24"/>
          <w:szCs w:val="24"/>
          <w:lang w:val="en-GB"/>
        </w:rPr>
      </w:pPr>
      <w:r w:rsidRPr="00640047">
        <w:rPr>
          <w:rFonts w:ascii="Times New Roman" w:eastAsia="Times New Roman" w:hAnsi="Times New Roman" w:cs="Times New Roman"/>
          <w:noProof/>
          <w:sz w:val="24"/>
          <w:szCs w:val="24"/>
          <w:lang w:val="en-GB"/>
        </w:rPr>
        <w:t>Overall, this report’s findings indicate that the current legal framework is fit for purpose and</w:t>
      </w:r>
      <w:r w:rsidR="008E0E70" w:rsidRPr="00640047">
        <w:rPr>
          <w:rFonts w:ascii="Times New Roman" w:eastAsia="Times New Roman" w:hAnsi="Times New Roman" w:cs="Times New Roman"/>
          <w:noProof/>
          <w:sz w:val="24"/>
          <w:szCs w:val="24"/>
          <w:lang w:val="en-GB"/>
        </w:rPr>
        <w:t xml:space="preserve"> that, at this stage,</w:t>
      </w:r>
      <w:r w:rsidRPr="00640047">
        <w:rPr>
          <w:rFonts w:ascii="Times New Roman" w:eastAsia="Times New Roman" w:hAnsi="Times New Roman" w:cs="Times New Roman"/>
          <w:noProof/>
          <w:sz w:val="24"/>
          <w:szCs w:val="24"/>
          <w:lang w:val="en-GB"/>
        </w:rPr>
        <w:t xml:space="preserve"> </w:t>
      </w:r>
      <w:r w:rsidR="008E0E70" w:rsidRPr="00640047">
        <w:rPr>
          <w:rFonts w:ascii="Times New Roman" w:eastAsia="Times New Roman" w:hAnsi="Times New Roman" w:cs="Times New Roman"/>
          <w:noProof/>
          <w:sz w:val="24"/>
          <w:szCs w:val="24"/>
          <w:lang w:val="en-GB"/>
        </w:rPr>
        <w:t xml:space="preserve">the Directive </w:t>
      </w:r>
      <w:r w:rsidR="004C14D0" w:rsidRPr="00640047">
        <w:rPr>
          <w:rFonts w:ascii="Times New Roman" w:eastAsia="Times New Roman" w:hAnsi="Times New Roman" w:cs="Times New Roman"/>
          <w:noProof/>
          <w:sz w:val="24"/>
          <w:szCs w:val="24"/>
          <w:lang w:val="en-GB"/>
        </w:rPr>
        <w:t xml:space="preserve">does not </w:t>
      </w:r>
      <w:r w:rsidR="008E0E70" w:rsidRPr="00640047">
        <w:rPr>
          <w:rFonts w:ascii="Times New Roman" w:eastAsia="Times New Roman" w:hAnsi="Times New Roman" w:cs="Times New Roman"/>
          <w:noProof/>
          <w:sz w:val="24"/>
          <w:szCs w:val="24"/>
          <w:lang w:val="en-GB"/>
        </w:rPr>
        <w:t>need to be amended</w:t>
      </w:r>
      <w:r w:rsidRPr="00640047">
        <w:rPr>
          <w:rFonts w:ascii="Times New Roman" w:eastAsia="Times New Roman" w:hAnsi="Times New Roman" w:cs="Times New Roman"/>
          <w:noProof/>
          <w:sz w:val="24"/>
          <w:szCs w:val="24"/>
          <w:lang w:val="en-GB"/>
        </w:rPr>
        <w:t>. The priority for the Commission is to ensure the full, consistent and effective application and enforcement of existing obligations, supported by better governance, operational capacity and comparable data.</w:t>
      </w:r>
    </w:p>
    <w:p w14:paraId="30D22503" w14:textId="02AA2B71" w:rsidR="006976D7" w:rsidRPr="00640047" w:rsidRDefault="00E3282F" w:rsidP="006976D7">
      <w:pPr>
        <w:spacing w:after="120" w:line="276"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To use the full potential of the Direrective, </w:t>
      </w:r>
      <w:r w:rsidR="006976D7" w:rsidRPr="00640047">
        <w:rPr>
          <w:rFonts w:ascii="Times New Roman" w:eastAsia="Times New Roman" w:hAnsi="Times New Roman" w:cs="Times New Roman"/>
          <w:noProof/>
          <w:sz w:val="24"/>
          <w:szCs w:val="24"/>
          <w:lang w:val="en-GB"/>
        </w:rPr>
        <w:t xml:space="preserve">efforts should be twofold: (i) to make seasonal </w:t>
      </w:r>
      <w:r w:rsidR="00392493" w:rsidRPr="00640047">
        <w:rPr>
          <w:rFonts w:ascii="Times New Roman" w:eastAsia="Times New Roman" w:hAnsi="Times New Roman" w:cs="Times New Roman"/>
          <w:noProof/>
          <w:sz w:val="24"/>
          <w:szCs w:val="24"/>
          <w:lang w:val="en-GB"/>
        </w:rPr>
        <w:t xml:space="preserve">labour </w:t>
      </w:r>
      <w:r w:rsidR="006976D7" w:rsidRPr="00640047">
        <w:rPr>
          <w:rFonts w:ascii="Times New Roman" w:eastAsia="Times New Roman" w:hAnsi="Times New Roman" w:cs="Times New Roman"/>
          <w:noProof/>
          <w:sz w:val="24"/>
          <w:szCs w:val="24"/>
          <w:lang w:val="en-GB"/>
        </w:rPr>
        <w:t xml:space="preserve">pathways more attractive, by ensuring timely, predictable and fair recruitment and admission procedures, including for peak season needs, the provision of clear multilingual information, that workers have the possibility of changing employer, that they have adequate accommodation and that their rights are respected; and (ii) to step up the fight against illegal employment and undeclared work, through more effective, risk-based inspections and sanctions, closer cooperation among competent authorities (including across borders and along subcontracting chains), and better access to complaint and redress mechanisms. Alongside the implementation of the Employers Sanctions Directive, this combined approach is essential for meeting seasonal labour needs in key sectors while removing incentives for employers not to comply with the Directive, preventing exploitation, and contributing to the EU’s priorities </w:t>
      </w:r>
      <w:r w:rsidR="00B533BB" w:rsidRPr="00640047">
        <w:rPr>
          <w:rFonts w:ascii="Times New Roman" w:eastAsia="Times New Roman" w:hAnsi="Times New Roman" w:cs="Times New Roman"/>
          <w:noProof/>
          <w:sz w:val="24"/>
          <w:szCs w:val="24"/>
          <w:lang w:val="en-GB"/>
        </w:rPr>
        <w:t>on</w:t>
      </w:r>
      <w:r w:rsidR="006976D7" w:rsidRPr="00640047">
        <w:rPr>
          <w:rFonts w:ascii="Times New Roman" w:eastAsia="Times New Roman" w:hAnsi="Times New Roman" w:cs="Times New Roman"/>
          <w:noProof/>
          <w:sz w:val="24"/>
          <w:szCs w:val="24"/>
          <w:lang w:val="en-GB"/>
        </w:rPr>
        <w:t xml:space="preserve"> competitiveness and migration management. </w:t>
      </w:r>
      <w:r>
        <w:rPr>
          <w:rFonts w:ascii="Times New Roman" w:eastAsia="Times New Roman" w:hAnsi="Times New Roman" w:cs="Times New Roman"/>
          <w:noProof/>
          <w:sz w:val="24"/>
          <w:szCs w:val="24"/>
          <w:lang w:val="en-GB"/>
        </w:rPr>
        <w:t xml:space="preserve">For this purpose, </w:t>
      </w:r>
      <w:r w:rsidR="006976D7" w:rsidRPr="00640047">
        <w:rPr>
          <w:rFonts w:ascii="Times New Roman" w:eastAsia="Times New Roman" w:hAnsi="Times New Roman" w:cs="Times New Roman"/>
          <w:noProof/>
          <w:sz w:val="24"/>
          <w:szCs w:val="24"/>
          <w:lang w:val="en-GB"/>
        </w:rPr>
        <w:t>the Commission will</w:t>
      </w:r>
      <w:r>
        <w:rPr>
          <w:rFonts w:ascii="Times New Roman" w:eastAsia="Times New Roman" w:hAnsi="Times New Roman" w:cs="Times New Roman"/>
          <w:noProof/>
          <w:sz w:val="24"/>
          <w:szCs w:val="24"/>
          <w:lang w:val="en-GB"/>
        </w:rPr>
        <w:t xml:space="preserve"> implement the following actions in the coming years</w:t>
      </w:r>
      <w:r w:rsidR="00F73BB8" w:rsidRPr="00640047">
        <w:rPr>
          <w:rFonts w:ascii="Times New Roman" w:eastAsia="Times New Roman" w:hAnsi="Times New Roman" w:cs="Times New Roman"/>
          <w:noProof/>
          <w:sz w:val="24"/>
          <w:szCs w:val="24"/>
          <w:lang w:val="en-GB"/>
        </w:rPr>
        <w:t>:</w:t>
      </w:r>
    </w:p>
    <w:p w14:paraId="08E2A38F" w14:textId="77FED860"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sidRPr="00640047">
        <w:rPr>
          <w:rFonts w:ascii="Times New Roman" w:eastAsia="Times New Roman" w:hAnsi="Times New Roman" w:cs="Times New Roman"/>
          <w:noProof/>
          <w:sz w:val="24"/>
          <w:szCs w:val="24"/>
          <w:lang w:val="en-GB"/>
        </w:rPr>
        <w:t xml:space="preserve">Follow up on ongoing infringement procedures to ensure the Directive is correctly </w:t>
      </w:r>
      <w:r w:rsidR="00F73BB8" w:rsidRPr="00640047">
        <w:rPr>
          <w:rFonts w:ascii="Times New Roman" w:eastAsia="Times New Roman" w:hAnsi="Times New Roman" w:cs="Times New Roman"/>
          <w:noProof/>
          <w:sz w:val="24"/>
          <w:szCs w:val="24"/>
          <w:lang w:val="en-GB"/>
        </w:rPr>
        <w:t xml:space="preserve">and fully </w:t>
      </w:r>
      <w:r w:rsidRPr="00640047">
        <w:rPr>
          <w:rFonts w:ascii="Times New Roman" w:eastAsia="Times New Roman" w:hAnsi="Times New Roman" w:cs="Times New Roman"/>
          <w:noProof/>
          <w:sz w:val="24"/>
          <w:szCs w:val="24"/>
          <w:lang w:val="en-GB"/>
        </w:rPr>
        <w:t>transposed</w:t>
      </w:r>
      <w:r w:rsidR="00F73BB8" w:rsidRPr="00640047">
        <w:rPr>
          <w:rFonts w:ascii="Times New Roman" w:eastAsia="Times New Roman" w:hAnsi="Times New Roman" w:cs="Times New Roman"/>
          <w:noProof/>
          <w:sz w:val="24"/>
          <w:szCs w:val="24"/>
          <w:lang w:val="en-GB"/>
        </w:rPr>
        <w:t xml:space="preserve"> by all Member States bound by it;</w:t>
      </w:r>
      <w:r w:rsidRPr="00640047">
        <w:rPr>
          <w:rFonts w:ascii="Times New Roman" w:hAnsi="Times New Roman" w:cs="Times New Roman"/>
          <w:noProof/>
          <w:sz w:val="24"/>
          <w:szCs w:val="24"/>
          <w:lang w:val="en-GB"/>
        </w:rPr>
        <w:t xml:space="preserve"> </w:t>
      </w:r>
    </w:p>
    <w:p w14:paraId="79A952A7" w14:textId="5D4D37BE"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Promote the development and implementation of seasonal work mobility schemes as part of cooperation with non-EU countries, including under </w:t>
      </w:r>
      <w:r w:rsidR="00407131" w:rsidRPr="00640047">
        <w:rPr>
          <w:rFonts w:ascii="Times New Roman" w:hAnsi="Times New Roman" w:cs="Times New Roman"/>
          <w:noProof/>
          <w:sz w:val="24"/>
          <w:szCs w:val="24"/>
          <w:lang w:val="en-GB"/>
        </w:rPr>
        <w:t>T</w:t>
      </w:r>
      <w:r w:rsidRPr="00640047">
        <w:rPr>
          <w:rFonts w:ascii="Times New Roman" w:hAnsi="Times New Roman" w:cs="Times New Roman"/>
          <w:noProof/>
          <w:sz w:val="24"/>
          <w:szCs w:val="24"/>
          <w:lang w:val="en-GB"/>
        </w:rPr>
        <w:t xml:space="preserve">alent </w:t>
      </w:r>
      <w:r w:rsidR="00407131" w:rsidRPr="00640047">
        <w:rPr>
          <w:rFonts w:ascii="Times New Roman" w:hAnsi="Times New Roman" w:cs="Times New Roman"/>
          <w:noProof/>
          <w:sz w:val="24"/>
          <w:szCs w:val="24"/>
          <w:lang w:val="en-GB"/>
        </w:rPr>
        <w:t>P</w:t>
      </w:r>
      <w:r w:rsidRPr="00640047">
        <w:rPr>
          <w:rFonts w:ascii="Times New Roman" w:hAnsi="Times New Roman" w:cs="Times New Roman"/>
          <w:noProof/>
          <w:sz w:val="24"/>
          <w:szCs w:val="24"/>
          <w:lang w:val="en-GB"/>
        </w:rPr>
        <w:t>artnerships and the EU-India Comprehensive Framework for Cooperation on Mobility</w:t>
      </w:r>
      <w:r w:rsidR="00407131" w:rsidRPr="00640047">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w:t>
      </w:r>
    </w:p>
    <w:p w14:paraId="6FD4C93A" w14:textId="676B49E0" w:rsidR="006976D7" w:rsidRPr="00640047" w:rsidRDefault="00407131"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Support</w:t>
      </w:r>
      <w:r w:rsidR="006976D7" w:rsidRPr="00640047">
        <w:rPr>
          <w:rFonts w:ascii="Times New Roman" w:hAnsi="Times New Roman" w:cs="Times New Roman"/>
          <w:noProof/>
          <w:sz w:val="24"/>
          <w:szCs w:val="24"/>
          <w:lang w:val="en-GB"/>
        </w:rPr>
        <w:t xml:space="preserve"> </w:t>
      </w:r>
      <w:r w:rsidR="004C14D0" w:rsidRPr="00640047">
        <w:rPr>
          <w:rFonts w:ascii="Times New Roman" w:hAnsi="Times New Roman" w:cs="Times New Roman"/>
          <w:noProof/>
          <w:sz w:val="24"/>
          <w:szCs w:val="24"/>
          <w:lang w:val="en-GB"/>
        </w:rPr>
        <w:t>Member States</w:t>
      </w:r>
      <w:r w:rsidR="006976D7" w:rsidRPr="00640047">
        <w:rPr>
          <w:rFonts w:ascii="Times New Roman" w:hAnsi="Times New Roman" w:cs="Times New Roman"/>
          <w:noProof/>
          <w:sz w:val="24"/>
          <w:szCs w:val="24"/>
          <w:lang w:val="en-GB"/>
        </w:rPr>
        <w:t xml:space="preserve"> to develop and operationalise bilateral cooperation with </w:t>
      </w:r>
      <w:r w:rsidR="006976D7" w:rsidRPr="00640047">
        <w:rPr>
          <w:rFonts w:ascii="Times New Roman" w:eastAsia="Times New Roman" w:hAnsi="Times New Roman" w:cs="Times New Roman"/>
          <w:noProof/>
          <w:sz w:val="24"/>
          <w:szCs w:val="24"/>
          <w:lang w:val="en-GB"/>
        </w:rPr>
        <w:t>countries</w:t>
      </w:r>
      <w:r w:rsidR="006976D7" w:rsidRPr="00640047">
        <w:rPr>
          <w:rFonts w:ascii="Times New Roman" w:hAnsi="Times New Roman" w:cs="Times New Roman"/>
          <w:noProof/>
          <w:sz w:val="24"/>
          <w:szCs w:val="24"/>
          <w:lang w:val="en-GB"/>
        </w:rPr>
        <w:t xml:space="preserve"> of origin on circular seasonal work, notably through the SaFE – Seasonal and Fair Employment blueprints, the provision of technical assistance and financial support</w:t>
      </w:r>
      <w:r w:rsidR="00FC21B5">
        <w:rPr>
          <w:rFonts w:ascii="Times New Roman" w:hAnsi="Times New Roman" w:cs="Times New Roman"/>
          <w:noProof/>
          <w:sz w:val="24"/>
          <w:szCs w:val="24"/>
          <w:lang w:val="en-GB"/>
        </w:rPr>
        <w:t>;</w:t>
      </w:r>
      <w:r w:rsidR="006976D7" w:rsidRPr="00640047">
        <w:rPr>
          <w:rFonts w:ascii="Times New Roman" w:hAnsi="Times New Roman" w:cs="Times New Roman"/>
          <w:noProof/>
          <w:sz w:val="24"/>
          <w:szCs w:val="24"/>
          <w:lang w:val="en-GB"/>
        </w:rPr>
        <w:t xml:space="preserve"> </w:t>
      </w:r>
    </w:p>
    <w:p w14:paraId="513899F3" w14:textId="0D77356F"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Support the exchange of good practices among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on how to ensure effective admission procedures for seasonal workers, based on the findings of the forthcoming OECD/Commission study ‘Making Migration Work: Admitting Labour Migrants’</w:t>
      </w:r>
      <w:r w:rsidR="00FC21B5">
        <w:rPr>
          <w:rFonts w:ascii="Times New Roman" w:hAnsi="Times New Roman" w:cs="Times New Roman"/>
          <w:noProof/>
          <w:sz w:val="24"/>
          <w:szCs w:val="24"/>
          <w:lang w:val="en-GB"/>
        </w:rPr>
        <w:t>;</w:t>
      </w:r>
      <w:r w:rsidRPr="00640047">
        <w:rPr>
          <w:rFonts w:ascii="Times New Roman" w:hAnsi="Times New Roman" w:cs="Times New Roman"/>
          <w:noProof/>
          <w:sz w:val="24"/>
          <w:szCs w:val="24"/>
          <w:lang w:val="en-GB"/>
        </w:rPr>
        <w:t xml:space="preserve"> </w:t>
      </w:r>
    </w:p>
    <w:p w14:paraId="0376DE11" w14:textId="523E9B93"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Support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w:t>
      </w:r>
      <w:r w:rsidR="00E253FE" w:rsidRPr="00640047">
        <w:rPr>
          <w:rFonts w:ascii="Times New Roman" w:hAnsi="Times New Roman" w:cs="Times New Roman"/>
          <w:noProof/>
          <w:sz w:val="24"/>
          <w:szCs w:val="24"/>
          <w:lang w:val="en-GB"/>
        </w:rPr>
        <w:t xml:space="preserve">including </w:t>
      </w:r>
      <w:r w:rsidR="0041720B" w:rsidRPr="00640047">
        <w:rPr>
          <w:rFonts w:ascii="Times New Roman" w:hAnsi="Times New Roman" w:cs="Times New Roman"/>
          <w:noProof/>
          <w:sz w:val="24"/>
          <w:szCs w:val="24"/>
          <w:lang w:val="en-GB"/>
        </w:rPr>
        <w:t xml:space="preserve">with the </w:t>
      </w:r>
      <w:r w:rsidRPr="00640047">
        <w:rPr>
          <w:rFonts w:ascii="Times New Roman" w:hAnsi="Times New Roman" w:cs="Times New Roman"/>
          <w:noProof/>
          <w:sz w:val="24"/>
          <w:szCs w:val="24"/>
          <w:lang w:val="en-GB"/>
        </w:rPr>
        <w:t>ELA</w:t>
      </w:r>
      <w:r w:rsidR="002254AE" w:rsidRPr="00640047">
        <w:rPr>
          <w:rFonts w:ascii="Times New Roman" w:hAnsi="Times New Roman" w:cs="Times New Roman"/>
          <w:noProof/>
          <w:sz w:val="24"/>
          <w:szCs w:val="24"/>
          <w:lang w:val="en-GB"/>
        </w:rPr>
        <w:t xml:space="preserve"> </w:t>
      </w:r>
      <w:r w:rsidRPr="00640047">
        <w:rPr>
          <w:rFonts w:ascii="Times New Roman" w:hAnsi="Times New Roman" w:cs="Times New Roman"/>
          <w:noProof/>
          <w:sz w:val="24"/>
          <w:szCs w:val="24"/>
          <w:lang w:val="en-GB"/>
        </w:rPr>
        <w:t xml:space="preserve">and dedicated AMIF funding, </w:t>
      </w:r>
      <w:r w:rsidR="008B4B5D" w:rsidRPr="00640047">
        <w:rPr>
          <w:rFonts w:ascii="Times New Roman" w:hAnsi="Times New Roman" w:cs="Times New Roman"/>
          <w:noProof/>
          <w:sz w:val="24"/>
          <w:szCs w:val="24"/>
          <w:lang w:val="en-GB"/>
        </w:rPr>
        <w:t xml:space="preserve">in </w:t>
      </w:r>
      <w:r w:rsidR="00465A43">
        <w:rPr>
          <w:rFonts w:ascii="Times New Roman" w:hAnsi="Times New Roman" w:cs="Times New Roman"/>
          <w:noProof/>
          <w:sz w:val="24"/>
          <w:szCs w:val="24"/>
          <w:lang w:val="en-GB"/>
        </w:rPr>
        <w:t xml:space="preserve">designing </w:t>
      </w:r>
      <w:r w:rsidRPr="00640047">
        <w:rPr>
          <w:rFonts w:ascii="Times New Roman" w:hAnsi="Times New Roman" w:cs="Times New Roman"/>
          <w:noProof/>
          <w:sz w:val="24"/>
          <w:szCs w:val="24"/>
          <w:lang w:val="en-GB"/>
        </w:rPr>
        <w:t>targeted information provision and awareness raising</w:t>
      </w:r>
      <w:r w:rsidR="0041720B" w:rsidRPr="00640047">
        <w:rPr>
          <w:rFonts w:ascii="Times New Roman" w:hAnsi="Times New Roman" w:cs="Times New Roman"/>
          <w:noProof/>
          <w:sz w:val="24"/>
          <w:szCs w:val="24"/>
          <w:lang w:val="en-GB"/>
        </w:rPr>
        <w:t xml:space="preserve"> activities</w:t>
      </w:r>
      <w:r w:rsidRPr="00640047">
        <w:rPr>
          <w:rFonts w:ascii="Times New Roman" w:hAnsi="Times New Roman" w:cs="Times New Roman"/>
          <w:noProof/>
          <w:sz w:val="24"/>
          <w:szCs w:val="24"/>
          <w:lang w:val="en-GB"/>
        </w:rPr>
        <w:t>, as well as accessible complaint and redress mechanisms</w:t>
      </w:r>
      <w:r w:rsidR="00465A43">
        <w:rPr>
          <w:rFonts w:ascii="Times New Roman" w:hAnsi="Times New Roman" w:cs="Times New Roman"/>
          <w:noProof/>
          <w:sz w:val="24"/>
          <w:szCs w:val="24"/>
          <w:lang w:val="en-GB"/>
        </w:rPr>
        <w:t>;</w:t>
      </w:r>
      <w:r w:rsidRPr="00640047" w:rsidDel="00A35861">
        <w:rPr>
          <w:rFonts w:ascii="Times New Roman" w:hAnsi="Times New Roman" w:cs="Times New Roman"/>
          <w:noProof/>
          <w:sz w:val="24"/>
          <w:szCs w:val="24"/>
          <w:lang w:val="en-GB"/>
        </w:rPr>
        <w:t xml:space="preserve"> </w:t>
      </w:r>
    </w:p>
    <w:p w14:paraId="0231DD0A" w14:textId="138B6743"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sidRPr="00640047">
        <w:rPr>
          <w:rFonts w:ascii="Times New Roman" w:hAnsi="Times New Roman" w:cs="Times New Roman"/>
          <w:noProof/>
          <w:sz w:val="24"/>
          <w:szCs w:val="24"/>
          <w:lang w:val="en-GB"/>
        </w:rPr>
        <w:t xml:space="preserve">Support </w:t>
      </w:r>
      <w:r w:rsidR="004C14D0" w:rsidRPr="00640047">
        <w:rPr>
          <w:rFonts w:ascii="Times New Roman" w:hAnsi="Times New Roman" w:cs="Times New Roman"/>
          <w:noProof/>
          <w:sz w:val="24"/>
          <w:szCs w:val="24"/>
          <w:lang w:val="en-GB"/>
        </w:rPr>
        <w:t>Member States</w:t>
      </w:r>
      <w:r w:rsidRPr="00640047">
        <w:rPr>
          <w:rFonts w:ascii="Times New Roman" w:hAnsi="Times New Roman" w:cs="Times New Roman"/>
          <w:noProof/>
          <w:sz w:val="24"/>
          <w:szCs w:val="24"/>
          <w:lang w:val="en-GB"/>
        </w:rPr>
        <w:t xml:space="preserve">, </w:t>
      </w:r>
      <w:r w:rsidR="00E253FE" w:rsidRPr="00640047">
        <w:rPr>
          <w:rFonts w:ascii="Times New Roman" w:hAnsi="Times New Roman" w:cs="Times New Roman"/>
          <w:noProof/>
          <w:sz w:val="24"/>
          <w:szCs w:val="24"/>
          <w:lang w:val="en-GB"/>
        </w:rPr>
        <w:t xml:space="preserve">including with </w:t>
      </w:r>
      <w:r w:rsidRPr="00640047">
        <w:rPr>
          <w:rFonts w:ascii="Times New Roman" w:hAnsi="Times New Roman" w:cs="Times New Roman"/>
          <w:noProof/>
          <w:sz w:val="24"/>
          <w:szCs w:val="24"/>
          <w:lang w:val="en-GB"/>
        </w:rPr>
        <w:t xml:space="preserve">the ELA and dedicated AMIF funding, </w:t>
      </w:r>
      <w:r w:rsidR="008B4B5D" w:rsidRPr="00640047">
        <w:rPr>
          <w:rFonts w:ascii="Times New Roman" w:hAnsi="Times New Roman" w:cs="Times New Roman"/>
          <w:noProof/>
          <w:sz w:val="24"/>
          <w:szCs w:val="24"/>
          <w:lang w:val="en-GB"/>
        </w:rPr>
        <w:t xml:space="preserve">in </w:t>
      </w:r>
      <w:r w:rsidRPr="00640047">
        <w:rPr>
          <w:rFonts w:ascii="Times New Roman" w:hAnsi="Times New Roman" w:cs="Times New Roman"/>
          <w:noProof/>
          <w:sz w:val="24"/>
          <w:szCs w:val="24"/>
          <w:lang w:val="en-GB"/>
        </w:rPr>
        <w:t xml:space="preserve">establishing effective monitoring, assessment and sanctioning </w:t>
      </w:r>
      <w:r w:rsidRPr="00640047">
        <w:rPr>
          <w:rFonts w:ascii="Times New Roman" w:eastAsia="Times New Roman" w:hAnsi="Times New Roman" w:cs="Times New Roman"/>
          <w:noProof/>
          <w:sz w:val="24"/>
          <w:szCs w:val="24"/>
          <w:lang w:val="en-GB"/>
        </w:rPr>
        <w:t>mechanisms</w:t>
      </w:r>
      <w:r w:rsidRPr="00640047">
        <w:rPr>
          <w:rFonts w:ascii="Times New Roman" w:hAnsi="Times New Roman" w:cs="Times New Roman"/>
          <w:noProof/>
          <w:sz w:val="24"/>
          <w:szCs w:val="24"/>
          <w:lang w:val="en-GB"/>
        </w:rPr>
        <w:t xml:space="preserve"> to prevent, detect and sanction infringements by employers, especially by supporting inspection campaigns. This should also include strengthening the systematic collection and reporting of disaggregated and comparable data on inspections, sanctions and outcomes</w:t>
      </w:r>
      <w:r w:rsidR="006D067F">
        <w:rPr>
          <w:rFonts w:ascii="Times New Roman" w:hAnsi="Times New Roman" w:cs="Times New Roman"/>
          <w:noProof/>
          <w:sz w:val="24"/>
          <w:szCs w:val="24"/>
          <w:lang w:val="en-GB"/>
        </w:rPr>
        <w:t>;</w:t>
      </w:r>
    </w:p>
    <w:p w14:paraId="4DF97836" w14:textId="247C01FF" w:rsidR="006976D7" w:rsidRPr="00640047" w:rsidRDefault="00A678E1" w:rsidP="00F81F61">
      <w:pPr>
        <w:pStyle w:val="ListParagraph"/>
        <w:numPr>
          <w:ilvl w:val="0"/>
          <w:numId w:val="21"/>
        </w:numPr>
        <w:spacing w:after="120"/>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w:t>
      </w:r>
      <w:r w:rsidRPr="00640047">
        <w:rPr>
          <w:rFonts w:ascii="Times New Roman" w:hAnsi="Times New Roman" w:cs="Times New Roman"/>
          <w:noProof/>
          <w:sz w:val="24"/>
          <w:szCs w:val="24"/>
          <w:lang w:val="en-GB"/>
        </w:rPr>
        <w:t>s part of the revision of the ELA mandate in 2026</w:t>
      </w:r>
      <w:r>
        <w:rPr>
          <w:rFonts w:ascii="Times New Roman" w:hAnsi="Times New Roman" w:cs="Times New Roman"/>
          <w:noProof/>
          <w:sz w:val="24"/>
          <w:szCs w:val="24"/>
          <w:lang w:val="en-GB"/>
        </w:rPr>
        <w:t>, r</w:t>
      </w:r>
      <w:r w:rsidR="006976D7" w:rsidRPr="00640047">
        <w:rPr>
          <w:rFonts w:ascii="Times New Roman" w:hAnsi="Times New Roman" w:cs="Times New Roman"/>
          <w:noProof/>
          <w:sz w:val="24"/>
          <w:szCs w:val="24"/>
          <w:lang w:val="en-GB"/>
        </w:rPr>
        <w:t xml:space="preserve">eview how the </w:t>
      </w:r>
      <w:r w:rsidR="006D067F">
        <w:rPr>
          <w:rFonts w:ascii="Times New Roman" w:hAnsi="Times New Roman" w:cs="Times New Roman"/>
          <w:noProof/>
          <w:sz w:val="24"/>
          <w:szCs w:val="24"/>
          <w:lang w:val="en-GB"/>
        </w:rPr>
        <w:t xml:space="preserve">Authority </w:t>
      </w:r>
      <w:r w:rsidR="006976D7" w:rsidRPr="00640047">
        <w:rPr>
          <w:rFonts w:ascii="Times New Roman" w:hAnsi="Times New Roman" w:cs="Times New Roman"/>
          <w:noProof/>
          <w:sz w:val="24"/>
          <w:szCs w:val="24"/>
          <w:lang w:val="en-GB"/>
        </w:rPr>
        <w:t xml:space="preserve">could better address the </w:t>
      </w:r>
      <w:r w:rsidR="006976D7" w:rsidRPr="00640047">
        <w:rPr>
          <w:rFonts w:ascii="Times New Roman" w:eastAsia="Times New Roman" w:hAnsi="Times New Roman" w:cs="Times New Roman"/>
          <w:noProof/>
          <w:sz w:val="24"/>
          <w:szCs w:val="24"/>
          <w:lang w:val="en-GB"/>
        </w:rPr>
        <w:t>challenges</w:t>
      </w:r>
      <w:r w:rsidR="006976D7" w:rsidRPr="00640047">
        <w:rPr>
          <w:rFonts w:ascii="Times New Roman" w:hAnsi="Times New Roman" w:cs="Times New Roman"/>
          <w:noProof/>
          <w:sz w:val="24"/>
          <w:szCs w:val="24"/>
          <w:lang w:val="en-GB"/>
        </w:rPr>
        <w:t xml:space="preserve"> related to abuses of the working conditions of </w:t>
      </w:r>
      <w:r w:rsidR="008B4B5D" w:rsidRPr="00640047">
        <w:rPr>
          <w:rFonts w:ascii="Times New Roman" w:hAnsi="Times New Roman" w:cs="Times New Roman"/>
          <w:noProof/>
          <w:sz w:val="24"/>
          <w:szCs w:val="24"/>
          <w:lang w:val="en-GB"/>
        </w:rPr>
        <w:t>third-country nationals</w:t>
      </w:r>
      <w:r w:rsidR="006976D7" w:rsidRPr="00640047">
        <w:rPr>
          <w:rFonts w:ascii="Times New Roman" w:hAnsi="Times New Roman" w:cs="Times New Roman"/>
          <w:noProof/>
          <w:sz w:val="24"/>
          <w:szCs w:val="24"/>
          <w:lang w:val="en-GB"/>
        </w:rPr>
        <w:t>, including seasonal workers.</w:t>
      </w:r>
      <w:bookmarkEnd w:id="24"/>
    </w:p>
    <w:bookmarkEnd w:id="1"/>
    <w:p w14:paraId="01772CF6" w14:textId="7F3A372D" w:rsidR="00D122EC" w:rsidRPr="00640047" w:rsidRDefault="00D122EC">
      <w:pPr>
        <w:rPr>
          <w:noProof/>
          <w:lang w:val="en-GB"/>
        </w:rPr>
      </w:pPr>
    </w:p>
    <w:sectPr w:rsidR="00D122EC" w:rsidRPr="00640047" w:rsidSect="00DC324D">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FF5B4" w14:textId="77777777" w:rsidR="0026193E" w:rsidRDefault="0026193E" w:rsidP="00DC324D">
      <w:pPr>
        <w:spacing w:after="0" w:line="240" w:lineRule="auto"/>
      </w:pPr>
      <w:r>
        <w:separator/>
      </w:r>
    </w:p>
  </w:endnote>
  <w:endnote w:type="continuationSeparator" w:id="0">
    <w:p w14:paraId="29FEFCF1" w14:textId="77777777" w:rsidR="0026193E" w:rsidRDefault="0026193E" w:rsidP="00DC3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39028" w14:textId="40242E4A" w:rsidR="00E06DA5" w:rsidRPr="00E06DA5" w:rsidRDefault="00E06DA5" w:rsidP="00E06DA5">
    <w:pPr>
      <w:pStyle w:val="FooterCoverPage"/>
      <w:rPr>
        <w:rFonts w:ascii="Arial" w:hAnsi="Arial" w:cs="Arial"/>
        <w:b/>
        <w:sz w:val="48"/>
      </w:rPr>
    </w:pPr>
    <w:r w:rsidRPr="00E06DA5">
      <w:rPr>
        <w:rFonts w:ascii="Arial" w:hAnsi="Arial" w:cs="Arial"/>
        <w:b/>
        <w:sz w:val="48"/>
      </w:rPr>
      <w:t>EN</w:t>
    </w:r>
    <w:r w:rsidRPr="00E06DA5">
      <w:rPr>
        <w:rFonts w:ascii="Arial" w:hAnsi="Arial" w:cs="Arial"/>
        <w:b/>
        <w:sz w:val="48"/>
      </w:rPr>
      <w:tab/>
    </w:r>
    <w:r w:rsidRPr="00E06DA5">
      <w:rPr>
        <w:rFonts w:ascii="Arial" w:hAnsi="Arial" w:cs="Arial"/>
        <w:b/>
        <w:sz w:val="48"/>
      </w:rPr>
      <w:tab/>
    </w:r>
    <w:r w:rsidRPr="00E06DA5">
      <w:tab/>
    </w:r>
    <w:r w:rsidRPr="00E06DA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CB210" w14:textId="7ED83242" w:rsidR="00E06DA5" w:rsidRPr="00E06DA5" w:rsidRDefault="00E06DA5" w:rsidP="00E06DA5">
    <w:pPr>
      <w:pStyle w:val="FooterCoverPage"/>
      <w:rPr>
        <w:rFonts w:ascii="Arial" w:hAnsi="Arial" w:cs="Arial"/>
        <w:b/>
        <w:sz w:val="48"/>
      </w:rPr>
    </w:pPr>
    <w:r w:rsidRPr="00E06DA5">
      <w:rPr>
        <w:rFonts w:ascii="Arial" w:hAnsi="Arial" w:cs="Arial"/>
        <w:b/>
        <w:sz w:val="48"/>
      </w:rPr>
      <w:t>EN</w:t>
    </w:r>
    <w:r w:rsidRPr="00E06DA5">
      <w:rPr>
        <w:rFonts w:ascii="Arial" w:hAnsi="Arial" w:cs="Arial"/>
        <w:b/>
        <w:sz w:val="48"/>
      </w:rPr>
      <w:tab/>
    </w:r>
    <w:r w:rsidRPr="00E06DA5">
      <w:rPr>
        <w:rFonts w:ascii="Arial" w:hAnsi="Arial" w:cs="Arial"/>
        <w:b/>
        <w:sz w:val="48"/>
      </w:rPr>
      <w:tab/>
    </w:r>
    <w:r w:rsidRPr="00E06DA5">
      <w:tab/>
    </w:r>
    <w:r w:rsidRPr="00E06DA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EF737" w14:textId="77777777" w:rsidR="00E06DA5" w:rsidRPr="00E06DA5" w:rsidRDefault="00E06DA5" w:rsidP="00E06D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A397A" w14:textId="77777777" w:rsidR="00DC324D" w:rsidRDefault="00DC32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598707"/>
      <w:docPartObj>
        <w:docPartGallery w:val="Page Numbers (Bottom of Page)"/>
        <w:docPartUnique/>
      </w:docPartObj>
    </w:sdtPr>
    <w:sdtEndPr>
      <w:rPr>
        <w:noProof/>
      </w:rPr>
    </w:sdtEndPr>
    <w:sdtContent>
      <w:p w14:paraId="5A743909" w14:textId="3A8677B1" w:rsidR="00526B77" w:rsidRDefault="00526B77">
        <w:pPr>
          <w:pStyle w:val="Footer"/>
          <w:jc w:val="center"/>
        </w:pPr>
        <w:r>
          <w:fldChar w:fldCharType="begin"/>
        </w:r>
        <w:r>
          <w:instrText xml:space="preserve"> PAGE   \* MERGEFORMAT </w:instrText>
        </w:r>
        <w:r>
          <w:fldChar w:fldCharType="separate"/>
        </w:r>
        <w:r w:rsidR="00E06DA5">
          <w:rPr>
            <w:noProof/>
          </w:rPr>
          <w:t>3</w:t>
        </w:r>
        <w:r>
          <w:rPr>
            <w:noProof/>
          </w:rPr>
          <w:fldChar w:fldCharType="end"/>
        </w:r>
      </w:p>
    </w:sdtContent>
  </w:sdt>
  <w:p w14:paraId="769B47C0" w14:textId="77777777" w:rsidR="00DC324D" w:rsidRDefault="00DC32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1F5C" w14:textId="77777777" w:rsidR="00DC324D" w:rsidRDefault="00DC3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24A5A" w14:textId="77777777" w:rsidR="0026193E" w:rsidRDefault="0026193E" w:rsidP="00DC324D">
      <w:pPr>
        <w:spacing w:after="0" w:line="240" w:lineRule="auto"/>
      </w:pPr>
      <w:r>
        <w:separator/>
      </w:r>
    </w:p>
  </w:footnote>
  <w:footnote w:type="continuationSeparator" w:id="0">
    <w:p w14:paraId="2F72B586" w14:textId="77777777" w:rsidR="0026193E" w:rsidRDefault="0026193E" w:rsidP="00DC324D">
      <w:pPr>
        <w:spacing w:after="0" w:line="240" w:lineRule="auto"/>
      </w:pPr>
      <w:r>
        <w:continuationSeparator/>
      </w:r>
    </w:p>
  </w:footnote>
  <w:footnote w:id="1">
    <w:p w14:paraId="74446436" w14:textId="54878608"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Eurostat, </w:t>
      </w:r>
      <w:hyperlink r:id="rId1" w:history="1">
        <w:r w:rsidRPr="005846B1">
          <w:rPr>
            <w:rStyle w:val="Hyperlink"/>
            <w:lang w:val="en-US"/>
          </w:rPr>
          <w:t xml:space="preserve">Performance of the agricultural sector </w:t>
        </w:r>
        <w:r>
          <w:rPr>
            <w:rStyle w:val="Hyperlink"/>
            <w:lang w:val="en-US"/>
          </w:rPr>
          <w:t>–</w:t>
        </w:r>
        <w:r w:rsidRPr="005846B1">
          <w:rPr>
            <w:rStyle w:val="Hyperlink"/>
            <w:lang w:val="en-US"/>
          </w:rPr>
          <w:t xml:space="preserve"> Statistics Explained </w:t>
        </w:r>
        <w:r>
          <w:rPr>
            <w:rStyle w:val="Hyperlink"/>
            <w:lang w:val="en-US"/>
          </w:rPr>
          <w:t>–</w:t>
        </w:r>
        <w:r w:rsidRPr="005846B1">
          <w:rPr>
            <w:rStyle w:val="Hyperlink"/>
            <w:lang w:val="en-US"/>
          </w:rPr>
          <w:t xml:space="preserve"> Eurostat</w:t>
        </w:r>
      </w:hyperlink>
      <w:r w:rsidRPr="005846B1">
        <w:t>.</w:t>
      </w:r>
    </w:p>
  </w:footnote>
  <w:footnote w:id="2">
    <w:p w14:paraId="7EC55DF4" w14:textId="2CDFD2A9"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Eurostat, </w:t>
      </w:r>
      <w:hyperlink r:id="rId2" w:anchor=":~:text=The%20EU%20is%20a%20major,and%20sustainable%20development%20policy%20areas." w:history="1">
        <w:r w:rsidRPr="005846B1">
          <w:rPr>
            <w:rStyle w:val="Hyperlink"/>
            <w:lang w:val="en-US"/>
          </w:rPr>
          <w:t xml:space="preserve">Tourism statistics </w:t>
        </w:r>
        <w:r>
          <w:rPr>
            <w:rStyle w:val="Hyperlink"/>
            <w:lang w:val="en-US"/>
          </w:rPr>
          <w:t>–</w:t>
        </w:r>
        <w:r w:rsidRPr="005846B1">
          <w:rPr>
            <w:rStyle w:val="Hyperlink"/>
            <w:lang w:val="en-US"/>
          </w:rPr>
          <w:t xml:space="preserve"> expenditure </w:t>
        </w:r>
        <w:r>
          <w:rPr>
            <w:rStyle w:val="Hyperlink"/>
            <w:lang w:val="en-US"/>
          </w:rPr>
          <w:t>–</w:t>
        </w:r>
        <w:r w:rsidRPr="005846B1">
          <w:rPr>
            <w:rStyle w:val="Hyperlink"/>
            <w:lang w:val="en-US"/>
          </w:rPr>
          <w:t xml:space="preserve"> Statistics Explained </w:t>
        </w:r>
        <w:r>
          <w:rPr>
            <w:rStyle w:val="Hyperlink"/>
            <w:lang w:val="en-US"/>
          </w:rPr>
          <w:t>–</w:t>
        </w:r>
        <w:r w:rsidRPr="005846B1">
          <w:rPr>
            <w:rStyle w:val="Hyperlink"/>
            <w:lang w:val="en-US"/>
          </w:rPr>
          <w:t xml:space="preserve"> Eurostat</w:t>
        </w:r>
      </w:hyperlink>
      <w:r w:rsidRPr="005846B1">
        <w:t xml:space="preserve"> (4.5% in 2019); </w:t>
      </w:r>
      <w:hyperlink r:id="rId3" w:anchor=":~:text=According%20to%20the%20World%20Travel,2024%20were%201.8%20trillion%20Euro." w:history="1">
        <w:r w:rsidRPr="005846B1">
          <w:rPr>
            <w:rStyle w:val="Hyperlink"/>
            <w:lang w:val="en-US"/>
          </w:rPr>
          <w:t>Money-maker or scourge? Tourism across the EU flourishes | European Newsroom</w:t>
        </w:r>
      </w:hyperlink>
      <w:r w:rsidRPr="005846B1">
        <w:t xml:space="preserve"> (5.1%).</w:t>
      </w:r>
    </w:p>
  </w:footnote>
  <w:footnote w:id="3">
    <w:p w14:paraId="74B26108"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r>
      <w:r w:rsidRPr="005846B1">
        <w:rPr>
          <w:lang w:val="en-US"/>
        </w:rPr>
        <w:t xml:space="preserve">European Economic and Social Committee (EESC), </w:t>
      </w:r>
      <w:r w:rsidRPr="000E5414">
        <w:rPr>
          <w:i/>
          <w:iCs/>
          <w:lang w:val="en-US"/>
        </w:rPr>
        <w:t>Collecting data on the situation of social protection of seasonal workers in the agriculture and food sectors in EU Member States after COVID-19</w:t>
      </w:r>
      <w:r w:rsidRPr="005846B1">
        <w:rPr>
          <w:lang w:val="en-US"/>
        </w:rPr>
        <w:t>, 2023.</w:t>
      </w:r>
    </w:p>
  </w:footnote>
  <w:footnote w:id="4">
    <w:p w14:paraId="7A4178CC"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r>
      <w:r>
        <w:t>European Federation of Food, Agriculture and Tourism Trade Unions (</w:t>
      </w:r>
      <w:r w:rsidRPr="005846B1">
        <w:rPr>
          <w:lang w:val="en-US"/>
        </w:rPr>
        <w:t>EFFAT</w:t>
      </w:r>
      <w:r>
        <w:rPr>
          <w:lang w:val="en-US"/>
        </w:rPr>
        <w:t>)</w:t>
      </w:r>
      <w:r w:rsidRPr="005846B1">
        <w:rPr>
          <w:lang w:val="en-US"/>
        </w:rPr>
        <w:t xml:space="preserve">, </w:t>
      </w:r>
      <w:r w:rsidRPr="000E5414">
        <w:rPr>
          <w:i/>
          <w:iCs/>
          <w:lang w:val="en-US"/>
        </w:rPr>
        <w:t>Working conditions in EU Agriculture, The Figures of Precarity, Exploitation, and Inequality</w:t>
      </w:r>
      <w:r w:rsidRPr="005846B1">
        <w:rPr>
          <w:lang w:val="en-US"/>
        </w:rPr>
        <w:t>, 2024.</w:t>
      </w:r>
    </w:p>
  </w:footnote>
  <w:footnote w:id="5">
    <w:p w14:paraId="3CC424EB" w14:textId="47BEC91E" w:rsidR="006976D7" w:rsidRPr="005846B1" w:rsidRDefault="006976D7" w:rsidP="00E57A38">
      <w:pPr>
        <w:pStyle w:val="ListParagraph"/>
        <w:spacing w:after="0" w:line="240" w:lineRule="auto"/>
        <w:ind w:left="357" w:hanging="357"/>
        <w:contextualSpacing w:val="0"/>
        <w:jc w:val="both"/>
        <w:rPr>
          <w:rFonts w:eastAsia="Aptos"/>
          <w:lang w:val="en-US"/>
        </w:rPr>
      </w:pPr>
      <w:r w:rsidRPr="005846B1">
        <w:rPr>
          <w:rStyle w:val="FootnoteReference"/>
          <w:rFonts w:ascii="Times New Roman" w:eastAsia="Aptos" w:hAnsi="Times New Roman" w:cs="Times New Roman"/>
          <w:sz w:val="20"/>
          <w:szCs w:val="20"/>
        </w:rPr>
        <w:footnoteRef/>
      </w:r>
      <w:r w:rsidRPr="005846B1">
        <w:rPr>
          <w:rFonts w:ascii="Times New Roman" w:eastAsia="Aptos" w:hAnsi="Times New Roman" w:cs="Times New Roman"/>
          <w:sz w:val="20"/>
          <w:szCs w:val="20"/>
          <w:lang w:val="en-IE"/>
        </w:rPr>
        <w:t xml:space="preserve"> </w:t>
      </w:r>
      <w:r w:rsidRPr="005846B1">
        <w:rPr>
          <w:rFonts w:ascii="Times New Roman" w:eastAsia="Aptos" w:hAnsi="Times New Roman" w:cs="Times New Roman"/>
          <w:sz w:val="20"/>
          <w:szCs w:val="20"/>
          <w:lang w:val="en-IE"/>
        </w:rPr>
        <w:tab/>
        <w:t xml:space="preserve">EESC, </w:t>
      </w:r>
      <w:r>
        <w:rPr>
          <w:rFonts w:ascii="Times New Roman" w:eastAsia="Aptos" w:hAnsi="Times New Roman" w:cs="Times New Roman"/>
          <w:sz w:val="20"/>
          <w:szCs w:val="20"/>
          <w:lang w:val="en-IE"/>
        </w:rPr>
        <w:t>footnote</w:t>
      </w:r>
      <w:r w:rsidR="00835DC1">
        <w:rPr>
          <w:rFonts w:ascii="Times New Roman" w:eastAsia="Aptos" w:hAnsi="Times New Roman" w:cs="Times New Roman"/>
          <w:sz w:val="20"/>
          <w:szCs w:val="20"/>
          <w:lang w:val="en-IE"/>
        </w:rPr>
        <w:t xml:space="preserve"> </w:t>
      </w:r>
      <w:r w:rsidRPr="005846B1">
        <w:rPr>
          <w:rFonts w:ascii="Times New Roman" w:eastAsia="Aptos" w:hAnsi="Times New Roman" w:cs="Times New Roman"/>
          <w:sz w:val="20"/>
          <w:szCs w:val="20"/>
          <w:lang w:val="en-IE"/>
        </w:rPr>
        <w:fldChar w:fldCharType="begin"/>
      </w:r>
      <w:r w:rsidRPr="005846B1">
        <w:rPr>
          <w:rFonts w:ascii="Times New Roman" w:eastAsia="Aptos" w:hAnsi="Times New Roman" w:cs="Times New Roman"/>
          <w:sz w:val="20"/>
          <w:szCs w:val="20"/>
          <w:lang w:val="en-IE"/>
        </w:rPr>
        <w:instrText xml:space="preserve"> NOTEREF _Ref220412757 \h </w:instrText>
      </w:r>
      <w:r w:rsidRPr="00935D47">
        <w:rPr>
          <w:rFonts w:ascii="Times New Roman" w:eastAsia="Aptos" w:hAnsi="Times New Roman" w:cs="Times New Roman"/>
          <w:sz w:val="20"/>
          <w:szCs w:val="20"/>
          <w:lang w:val="en-IE"/>
        </w:rPr>
        <w:instrText xml:space="preserve"> \* MERGEFORMAT </w:instrText>
      </w:r>
      <w:r w:rsidRPr="005846B1">
        <w:rPr>
          <w:rFonts w:ascii="Times New Roman" w:eastAsia="Aptos" w:hAnsi="Times New Roman" w:cs="Times New Roman"/>
          <w:sz w:val="20"/>
          <w:szCs w:val="20"/>
          <w:lang w:val="en-IE"/>
        </w:rPr>
      </w:r>
      <w:r w:rsidRPr="005846B1">
        <w:rPr>
          <w:rFonts w:ascii="Times New Roman" w:eastAsia="Aptos" w:hAnsi="Times New Roman" w:cs="Times New Roman"/>
          <w:sz w:val="20"/>
          <w:szCs w:val="20"/>
          <w:lang w:val="en-IE"/>
        </w:rPr>
        <w:fldChar w:fldCharType="separate"/>
      </w:r>
      <w:r w:rsidR="00764D65">
        <w:rPr>
          <w:rFonts w:ascii="Times New Roman" w:eastAsia="Aptos" w:hAnsi="Times New Roman" w:cs="Times New Roman"/>
          <w:sz w:val="20"/>
          <w:szCs w:val="20"/>
          <w:lang w:val="en-IE"/>
        </w:rPr>
        <w:t>3</w:t>
      </w:r>
      <w:r w:rsidRPr="005846B1">
        <w:rPr>
          <w:rFonts w:ascii="Times New Roman" w:eastAsia="Aptos" w:hAnsi="Times New Roman" w:cs="Times New Roman"/>
          <w:sz w:val="20"/>
          <w:szCs w:val="20"/>
          <w:lang w:val="en-IE"/>
        </w:rPr>
        <w:fldChar w:fldCharType="end"/>
      </w:r>
      <w:r w:rsidRPr="005846B1">
        <w:rPr>
          <w:rFonts w:ascii="Times New Roman" w:eastAsia="Aptos" w:hAnsi="Times New Roman" w:cs="Times New Roman"/>
          <w:sz w:val="20"/>
          <w:szCs w:val="20"/>
          <w:lang w:val="en-US"/>
        </w:rPr>
        <w:t>, p. 18.</w:t>
      </w:r>
    </w:p>
  </w:footnote>
  <w:footnote w:id="6">
    <w:p w14:paraId="4BC91A1F" w14:textId="7F357B01" w:rsidR="006976D7" w:rsidRPr="005846B1" w:rsidRDefault="006976D7" w:rsidP="00E57A38">
      <w:pPr>
        <w:pStyle w:val="ListParagraph"/>
        <w:spacing w:after="0" w:line="240" w:lineRule="auto"/>
        <w:ind w:left="357" w:hanging="357"/>
        <w:contextualSpacing w:val="0"/>
        <w:jc w:val="both"/>
        <w:rPr>
          <w:rFonts w:eastAsia="Aptos"/>
          <w:sz w:val="24"/>
          <w:szCs w:val="24"/>
          <w:lang w:val="en-US"/>
        </w:rPr>
      </w:pPr>
      <w:r w:rsidRPr="005846B1">
        <w:rPr>
          <w:rStyle w:val="FootnoteReference"/>
          <w:rFonts w:ascii="Times New Roman" w:eastAsia="Aptos" w:hAnsi="Times New Roman" w:cs="Times New Roman"/>
          <w:sz w:val="20"/>
          <w:szCs w:val="20"/>
        </w:rPr>
        <w:footnoteRef/>
      </w:r>
      <w:r w:rsidRPr="005846B1">
        <w:rPr>
          <w:rFonts w:ascii="Times New Roman" w:eastAsia="Aptos" w:hAnsi="Times New Roman" w:cs="Times New Roman"/>
          <w:sz w:val="20"/>
          <w:szCs w:val="20"/>
          <w:lang w:val="en-IE"/>
        </w:rPr>
        <w:t xml:space="preserve"> </w:t>
      </w:r>
      <w:r w:rsidRPr="005846B1">
        <w:rPr>
          <w:rFonts w:ascii="Times New Roman" w:hAnsi="Times New Roman" w:cs="Times New Roman"/>
          <w:sz w:val="20"/>
          <w:szCs w:val="20"/>
          <w:lang w:val="en-IE"/>
        </w:rPr>
        <w:tab/>
      </w:r>
      <w:r w:rsidRPr="005846B1">
        <w:rPr>
          <w:rFonts w:ascii="Times New Roman" w:eastAsia="Aptos" w:hAnsi="Times New Roman" w:cs="Times New Roman"/>
          <w:sz w:val="20"/>
          <w:szCs w:val="20"/>
          <w:lang w:val="en-IE"/>
        </w:rPr>
        <w:t xml:space="preserve">In accommodation services, which employed 2.1 million workers in 2021, </w:t>
      </w:r>
      <w:r w:rsidR="00E6077E">
        <w:rPr>
          <w:rFonts w:ascii="Times New Roman" w:eastAsia="Aptos" w:hAnsi="Times New Roman" w:cs="Times New Roman"/>
          <w:sz w:val="20"/>
          <w:szCs w:val="20"/>
          <w:lang w:val="en-IE"/>
        </w:rPr>
        <w:t>third-country nationals</w:t>
      </w:r>
      <w:r w:rsidRPr="005846B1">
        <w:rPr>
          <w:rFonts w:ascii="Times New Roman" w:eastAsia="Aptos" w:hAnsi="Times New Roman" w:cs="Times New Roman"/>
          <w:sz w:val="20"/>
          <w:szCs w:val="20"/>
          <w:lang w:val="en-IE"/>
        </w:rPr>
        <w:t xml:space="preserve"> accounted for 11% of the workforce in 2023, </w:t>
      </w:r>
      <w:hyperlink r:id="rId4">
        <w:r w:rsidRPr="005846B1">
          <w:rPr>
            <w:rStyle w:val="Hyperlink"/>
            <w:rFonts w:ascii="Times New Roman" w:eastAsia="Aptos" w:hAnsi="Times New Roman" w:cs="Times New Roman"/>
            <w:sz w:val="20"/>
            <w:szCs w:val="20"/>
            <w:lang w:val="en-US"/>
          </w:rPr>
          <w:t xml:space="preserve">Tourism industries </w:t>
        </w:r>
        <w:r>
          <w:rPr>
            <w:rStyle w:val="Hyperlink"/>
            <w:rFonts w:ascii="Times New Roman" w:eastAsia="Aptos" w:hAnsi="Times New Roman" w:cs="Times New Roman"/>
            <w:sz w:val="20"/>
            <w:szCs w:val="20"/>
            <w:lang w:val="en-US"/>
          </w:rPr>
          <w:t>–</w:t>
        </w:r>
        <w:r w:rsidRPr="005846B1">
          <w:rPr>
            <w:rStyle w:val="Hyperlink"/>
            <w:rFonts w:ascii="Times New Roman" w:eastAsia="Aptos" w:hAnsi="Times New Roman" w:cs="Times New Roman"/>
            <w:sz w:val="20"/>
            <w:szCs w:val="20"/>
            <w:lang w:val="en-US"/>
          </w:rPr>
          <w:t xml:space="preserve"> employment </w:t>
        </w:r>
        <w:r>
          <w:rPr>
            <w:rStyle w:val="Hyperlink"/>
            <w:rFonts w:ascii="Times New Roman" w:eastAsia="Aptos" w:hAnsi="Times New Roman" w:cs="Times New Roman"/>
            <w:sz w:val="20"/>
            <w:szCs w:val="20"/>
            <w:lang w:val="en-US"/>
          </w:rPr>
          <w:t>–</w:t>
        </w:r>
        <w:r w:rsidRPr="005846B1">
          <w:rPr>
            <w:rStyle w:val="Hyperlink"/>
            <w:rFonts w:ascii="Times New Roman" w:eastAsia="Aptos" w:hAnsi="Times New Roman" w:cs="Times New Roman"/>
            <w:sz w:val="20"/>
            <w:szCs w:val="20"/>
            <w:lang w:val="en-US"/>
          </w:rPr>
          <w:t xml:space="preserve"> Statistics Explained </w:t>
        </w:r>
        <w:r>
          <w:rPr>
            <w:rStyle w:val="Hyperlink"/>
            <w:rFonts w:ascii="Times New Roman" w:eastAsia="Aptos" w:hAnsi="Times New Roman" w:cs="Times New Roman"/>
            <w:sz w:val="20"/>
            <w:szCs w:val="20"/>
            <w:lang w:val="en-US"/>
          </w:rPr>
          <w:t>–</w:t>
        </w:r>
        <w:r w:rsidRPr="005846B1">
          <w:rPr>
            <w:rStyle w:val="Hyperlink"/>
            <w:rFonts w:ascii="Times New Roman" w:eastAsia="Aptos" w:hAnsi="Times New Roman" w:cs="Times New Roman"/>
            <w:sz w:val="20"/>
            <w:szCs w:val="20"/>
            <w:lang w:val="en-US"/>
          </w:rPr>
          <w:t xml:space="preserve"> Eurostat</w:t>
        </w:r>
      </w:hyperlink>
      <w:r w:rsidRPr="005846B1">
        <w:rPr>
          <w:rFonts w:ascii="Times New Roman" w:eastAsia="Aptos" w:hAnsi="Times New Roman" w:cs="Times New Roman"/>
          <w:sz w:val="20"/>
          <w:szCs w:val="20"/>
          <w:lang w:val="en-IE"/>
        </w:rPr>
        <w:t xml:space="preserve">. </w:t>
      </w:r>
      <w:r w:rsidRPr="005846B1">
        <w:rPr>
          <w:rFonts w:ascii="Times New Roman" w:eastAsia="Aptos" w:hAnsi="Times New Roman" w:cs="Times New Roman"/>
          <w:sz w:val="20"/>
          <w:szCs w:val="20"/>
          <w:lang w:val="en-US"/>
        </w:rPr>
        <w:t xml:space="preserve">In 2022, </w:t>
      </w:r>
      <w:r>
        <w:rPr>
          <w:rFonts w:ascii="Times New Roman" w:eastAsia="Aptos" w:hAnsi="Times New Roman" w:cs="Times New Roman"/>
          <w:sz w:val="20"/>
          <w:szCs w:val="20"/>
          <w:lang w:val="en-US"/>
        </w:rPr>
        <w:t>they</w:t>
      </w:r>
      <w:r w:rsidRPr="005846B1">
        <w:rPr>
          <w:rFonts w:ascii="Times New Roman" w:eastAsia="Aptos" w:hAnsi="Times New Roman" w:cs="Times New Roman"/>
          <w:sz w:val="20"/>
          <w:szCs w:val="20"/>
          <w:lang w:val="en-US"/>
        </w:rPr>
        <w:t xml:space="preserve"> constituted approximately 12.6% of the workforce in the </w:t>
      </w:r>
      <w:r>
        <w:rPr>
          <w:rFonts w:ascii="Times New Roman" w:eastAsia="Aptos" w:hAnsi="Times New Roman" w:cs="Times New Roman"/>
          <w:sz w:val="20"/>
          <w:szCs w:val="20"/>
          <w:lang w:val="en-US"/>
        </w:rPr>
        <w:t>HORECA</w:t>
      </w:r>
      <w:r w:rsidRPr="005846B1">
        <w:rPr>
          <w:rFonts w:ascii="Times New Roman" w:eastAsia="Aptos" w:hAnsi="Times New Roman" w:cs="Times New Roman"/>
          <w:sz w:val="20"/>
          <w:szCs w:val="20"/>
          <w:lang w:val="en-US"/>
        </w:rPr>
        <w:t xml:space="preserve"> sector</w:t>
      </w:r>
      <w:r>
        <w:rPr>
          <w:rFonts w:ascii="Times New Roman" w:eastAsia="Aptos" w:hAnsi="Times New Roman" w:cs="Times New Roman"/>
          <w:sz w:val="20"/>
          <w:szCs w:val="20"/>
          <w:lang w:val="en-US"/>
        </w:rPr>
        <w:t xml:space="preserve"> in the EU</w:t>
      </w:r>
      <w:r w:rsidRPr="005846B1">
        <w:rPr>
          <w:rFonts w:ascii="Times New Roman" w:eastAsia="Aptos" w:hAnsi="Times New Roman" w:cs="Times New Roman"/>
          <w:sz w:val="20"/>
          <w:szCs w:val="20"/>
          <w:lang w:val="en-US"/>
        </w:rPr>
        <w:t>, E</w:t>
      </w:r>
      <w:r>
        <w:rPr>
          <w:rFonts w:ascii="Times New Roman" w:eastAsia="Aptos" w:hAnsi="Times New Roman" w:cs="Times New Roman"/>
          <w:sz w:val="20"/>
          <w:szCs w:val="20"/>
          <w:lang w:val="en-US"/>
        </w:rPr>
        <w:t xml:space="preserve">uropean </w:t>
      </w:r>
      <w:r w:rsidRPr="005846B1">
        <w:rPr>
          <w:rFonts w:ascii="Times New Roman" w:eastAsia="Aptos" w:hAnsi="Times New Roman" w:cs="Times New Roman"/>
          <w:sz w:val="20"/>
          <w:szCs w:val="20"/>
          <w:lang w:val="en-US"/>
        </w:rPr>
        <w:t>L</w:t>
      </w:r>
      <w:r>
        <w:rPr>
          <w:rFonts w:ascii="Times New Roman" w:eastAsia="Aptos" w:hAnsi="Times New Roman" w:cs="Times New Roman"/>
          <w:sz w:val="20"/>
          <w:szCs w:val="20"/>
          <w:lang w:val="en-US"/>
        </w:rPr>
        <w:t xml:space="preserve">abour </w:t>
      </w:r>
      <w:r w:rsidRPr="005846B1">
        <w:rPr>
          <w:rFonts w:ascii="Times New Roman" w:eastAsia="Aptos" w:hAnsi="Times New Roman" w:cs="Times New Roman"/>
          <w:sz w:val="20"/>
          <w:szCs w:val="20"/>
          <w:lang w:val="en-US"/>
        </w:rPr>
        <w:t>A</w:t>
      </w:r>
      <w:r>
        <w:rPr>
          <w:rFonts w:ascii="Times New Roman" w:eastAsia="Aptos" w:hAnsi="Times New Roman" w:cs="Times New Roman"/>
          <w:sz w:val="20"/>
          <w:szCs w:val="20"/>
          <w:lang w:val="en-US"/>
        </w:rPr>
        <w:t>uthority (ELA)</w:t>
      </w:r>
      <w:r w:rsidRPr="005846B1">
        <w:rPr>
          <w:rFonts w:ascii="Times New Roman" w:eastAsia="Aptos" w:hAnsi="Times New Roman" w:cs="Times New Roman"/>
          <w:sz w:val="20"/>
          <w:szCs w:val="20"/>
          <w:lang w:val="en-US"/>
        </w:rPr>
        <w:t xml:space="preserve">, </w:t>
      </w:r>
      <w:r w:rsidRPr="009C6762">
        <w:rPr>
          <w:rFonts w:ascii="Times New Roman" w:eastAsia="Aptos" w:hAnsi="Times New Roman" w:cs="Times New Roman"/>
          <w:i/>
          <w:iCs/>
          <w:sz w:val="20"/>
          <w:szCs w:val="20"/>
          <w:lang w:val="en-US"/>
        </w:rPr>
        <w:t>Accommodation and food service activities: issues and challenges related to labour mobility</w:t>
      </w:r>
      <w:r w:rsidRPr="005846B1">
        <w:rPr>
          <w:rFonts w:ascii="Times New Roman" w:eastAsia="Aptos" w:hAnsi="Times New Roman" w:cs="Times New Roman"/>
          <w:sz w:val="20"/>
          <w:szCs w:val="20"/>
          <w:lang w:val="en-US"/>
        </w:rPr>
        <w:t xml:space="preserve">, p. 37. However, the number of seasonal workers </w:t>
      </w:r>
      <w:r>
        <w:rPr>
          <w:rFonts w:ascii="Times New Roman" w:eastAsia="Aptos" w:hAnsi="Times New Roman" w:cs="Times New Roman"/>
          <w:sz w:val="20"/>
          <w:szCs w:val="20"/>
          <w:lang w:val="en-US"/>
        </w:rPr>
        <w:t xml:space="preserve">from non-EU countries in this sector </w:t>
      </w:r>
      <w:r w:rsidRPr="005846B1">
        <w:rPr>
          <w:rFonts w:ascii="Times New Roman" w:eastAsia="Aptos" w:hAnsi="Times New Roman" w:cs="Times New Roman"/>
          <w:sz w:val="20"/>
          <w:szCs w:val="20"/>
          <w:lang w:val="en-US"/>
        </w:rPr>
        <w:t xml:space="preserve">is </w:t>
      </w:r>
      <w:r>
        <w:rPr>
          <w:rFonts w:ascii="Times New Roman" w:eastAsia="Aptos" w:hAnsi="Times New Roman" w:cs="Times New Roman"/>
          <w:sz w:val="20"/>
          <w:szCs w:val="20"/>
          <w:lang w:val="en-US"/>
        </w:rPr>
        <w:t xml:space="preserve">not </w:t>
      </w:r>
      <w:r w:rsidRPr="005846B1">
        <w:rPr>
          <w:rFonts w:ascii="Times New Roman" w:eastAsia="Aptos" w:hAnsi="Times New Roman" w:cs="Times New Roman"/>
          <w:sz w:val="20"/>
          <w:szCs w:val="20"/>
          <w:lang w:val="en-US"/>
        </w:rPr>
        <w:t>known.</w:t>
      </w:r>
    </w:p>
  </w:footnote>
  <w:footnote w:id="7">
    <w:p w14:paraId="67D06A74" w14:textId="7F2FE6F8"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Commission, </w:t>
      </w:r>
      <w:r>
        <w:t>‘</w:t>
      </w:r>
      <w:r w:rsidRPr="005846B1">
        <w:t>Targeted study on the need and potential policy options to better protect third-country nationals under the Seasonal Workers Directive</w:t>
      </w:r>
      <w:r>
        <w:t>’</w:t>
      </w:r>
      <w:r w:rsidRPr="005846B1">
        <w:t>, by Milieu Ltd and Ramboll Consulting, 2024, here</w:t>
      </w:r>
      <w:r>
        <w:t xml:space="preserve">after referred to as </w:t>
      </w:r>
      <w:r w:rsidRPr="005846B1">
        <w:t xml:space="preserve">Targeted study; Oxfam, </w:t>
      </w:r>
      <w:r w:rsidRPr="00E43751">
        <w:rPr>
          <w:i/>
          <w:iCs/>
        </w:rPr>
        <w:t>Essential but invisible and exploited</w:t>
      </w:r>
      <w:r w:rsidRPr="005846B1">
        <w:t xml:space="preserve">, 2024, p. 5; </w:t>
      </w:r>
      <w:r w:rsidRPr="008E372C">
        <w:rPr>
          <w:i/>
          <w:iCs/>
          <w:lang w:val="en-US"/>
        </w:rPr>
        <w:t>Employment Equality Bulletin, Portraits of Precariousness: Seasonal Workers Picking Strawberries and Other Berries in Huelva</w:t>
      </w:r>
      <w:r w:rsidRPr="00E43751">
        <w:rPr>
          <w:i/>
          <w:iCs/>
          <w:lang w:val="en-US"/>
        </w:rPr>
        <w:t xml:space="preserve"> </w:t>
      </w:r>
      <w:r>
        <w:rPr>
          <w:i/>
          <w:iCs/>
          <w:lang w:val="en-US"/>
        </w:rPr>
        <w:t>(</w:t>
      </w:r>
      <w:r w:rsidRPr="00E43751">
        <w:rPr>
          <w:i/>
          <w:iCs/>
          <w:lang w:val="en-US"/>
        </w:rPr>
        <w:t>Boletín de Igualdad en el Empleo, Retratos de la Precariedad</w:t>
      </w:r>
      <w:r w:rsidRPr="005846B1">
        <w:rPr>
          <w:lang w:val="en-US"/>
        </w:rPr>
        <w:t xml:space="preserve">: </w:t>
      </w:r>
      <w:r w:rsidRPr="00E43751">
        <w:rPr>
          <w:i/>
          <w:iCs/>
          <w:lang w:val="en-US"/>
        </w:rPr>
        <w:t>Temporeras de la fresa y otros frutos rojos en Huelva</w:t>
      </w:r>
      <w:r>
        <w:rPr>
          <w:i/>
          <w:iCs/>
          <w:lang w:val="en-US"/>
        </w:rPr>
        <w:t>)</w:t>
      </w:r>
      <w:r w:rsidRPr="005846B1">
        <w:rPr>
          <w:lang w:val="en-US"/>
        </w:rPr>
        <w:t>, 2023.</w:t>
      </w:r>
    </w:p>
  </w:footnote>
  <w:footnote w:id="8">
    <w:p w14:paraId="4190C7B8" w14:textId="53865698" w:rsidR="006976D7" w:rsidRPr="009D13F4" w:rsidRDefault="006976D7" w:rsidP="00E57A38">
      <w:pPr>
        <w:pStyle w:val="FootnoteText"/>
        <w:spacing w:after="0"/>
      </w:pPr>
      <w:r w:rsidRPr="009D13F4">
        <w:rPr>
          <w:rStyle w:val="FootnoteReference"/>
        </w:rPr>
        <w:footnoteRef/>
      </w:r>
      <w:r w:rsidRPr="009D13F4">
        <w:t xml:space="preserve"> </w:t>
      </w:r>
      <w:r w:rsidRPr="009D13F4">
        <w:tab/>
        <w:t xml:space="preserve">Increase of 70% </w:t>
      </w:r>
      <w:r>
        <w:t>in</w:t>
      </w:r>
      <w:r w:rsidRPr="009D13F4">
        <w:t xml:space="preserve"> trafficking for labour exploitation between 2019</w:t>
      </w:r>
      <w:r>
        <w:t xml:space="preserve"> and </w:t>
      </w:r>
      <w:r w:rsidRPr="009D13F4">
        <w:t xml:space="preserve">2023, as </w:t>
      </w:r>
      <w:r>
        <w:t>can be gleaned from</w:t>
      </w:r>
      <w:r w:rsidRPr="009D13F4">
        <w:t xml:space="preserve"> the Eurostat report on </w:t>
      </w:r>
      <w:hyperlink r:id="rId5" w:history="1">
        <w:r w:rsidRPr="009D13F4">
          <w:rPr>
            <w:rStyle w:val="Hyperlink"/>
          </w:rPr>
          <w:t>1</w:t>
        </w:r>
        <w:r w:rsidRPr="009D13F4">
          <w:rPr>
            <w:rStyle w:val="Hyperlink"/>
            <w:lang w:val="en-IE"/>
          </w:rPr>
          <w:t>0 years (2013-2023) of EU data o</w:t>
        </w:r>
        <w:r>
          <w:rPr>
            <w:rStyle w:val="Hyperlink"/>
            <w:lang w:val="en-IE"/>
          </w:rPr>
          <w:t>n</w:t>
        </w:r>
        <w:r w:rsidRPr="009D13F4">
          <w:rPr>
            <w:rStyle w:val="Hyperlink"/>
            <w:lang w:val="en-IE"/>
          </w:rPr>
          <w:t xml:space="preserve"> trafficking in human beings</w:t>
        </w:r>
      </w:hyperlink>
      <w:r w:rsidRPr="009D13F4">
        <w:rPr>
          <w:lang w:val="en-IE"/>
        </w:rPr>
        <w:t>, published in October 2025.</w:t>
      </w:r>
      <w:r w:rsidRPr="009D13F4">
        <w:t xml:space="preserve">  </w:t>
      </w:r>
    </w:p>
  </w:footnote>
  <w:footnote w:id="9">
    <w:p w14:paraId="51C2CBBC" w14:textId="13E0486E" w:rsidR="006976D7" w:rsidRPr="005846B1" w:rsidRDefault="006976D7" w:rsidP="00E57A38">
      <w:pPr>
        <w:pStyle w:val="FootnoteText"/>
        <w:spacing w:after="0"/>
      </w:pPr>
      <w:r w:rsidRPr="005846B1">
        <w:rPr>
          <w:rStyle w:val="FootnoteReference"/>
        </w:rPr>
        <w:footnoteRef/>
      </w:r>
      <w:r w:rsidRPr="005846B1">
        <w:t xml:space="preserve"> </w:t>
      </w:r>
      <w:r w:rsidRPr="005846B1">
        <w:tab/>
        <w:t>Directive 2014/36/EU of the European Parliament and of the Council of 26 February 2014 on the conditions of entry and stay of third-country nationals for the purpose of employment as seasonal workers, OJ L 94, 28.3.2014, p. 375.</w:t>
      </w:r>
      <w:r w:rsidR="00253713">
        <w:t xml:space="preserve"> The Directive is not applicable to Denmark and Ireland.</w:t>
      </w:r>
    </w:p>
  </w:footnote>
  <w:footnote w:id="10">
    <w:p w14:paraId="067CC397"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r>
      <w:r>
        <w:rPr>
          <w:lang w:val="en-US"/>
        </w:rPr>
        <w:t>The extended reporting period</w:t>
      </w:r>
      <w:r w:rsidRPr="005846B1">
        <w:rPr>
          <w:lang w:val="en-US"/>
        </w:rPr>
        <w:t xml:space="preserve"> is largely due to </w:t>
      </w:r>
      <w:r>
        <w:rPr>
          <w:lang w:val="en-US"/>
        </w:rPr>
        <w:t>gradual and differentiated</w:t>
      </w:r>
      <w:r w:rsidRPr="005846B1">
        <w:rPr>
          <w:lang w:val="en-US"/>
        </w:rPr>
        <w:t xml:space="preserve"> transposition </w:t>
      </w:r>
      <w:r>
        <w:rPr>
          <w:lang w:val="en-US"/>
        </w:rPr>
        <w:t xml:space="preserve">of the Directive </w:t>
      </w:r>
      <w:r w:rsidRPr="005846B1">
        <w:rPr>
          <w:lang w:val="en-US"/>
        </w:rPr>
        <w:t xml:space="preserve">by </w:t>
      </w:r>
      <w:r>
        <w:rPr>
          <w:lang w:val="en-US"/>
        </w:rPr>
        <w:t>EU countries</w:t>
      </w:r>
      <w:r w:rsidRPr="005846B1">
        <w:rPr>
          <w:lang w:val="en-US"/>
        </w:rPr>
        <w:t xml:space="preserve">, </w:t>
      </w:r>
      <w:r>
        <w:rPr>
          <w:lang w:val="en-US"/>
        </w:rPr>
        <w:t>gaps in</w:t>
      </w:r>
      <w:r w:rsidRPr="005846B1">
        <w:rPr>
          <w:lang w:val="en-US"/>
        </w:rPr>
        <w:t xml:space="preserve"> comparable data and the disruption caused by the COVID-19 pandemic. </w:t>
      </w:r>
    </w:p>
  </w:footnote>
  <w:footnote w:id="11">
    <w:p w14:paraId="7B682436"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Commission Communication to the European Parliament and the Council, </w:t>
      </w:r>
      <w:r w:rsidRPr="000E5414">
        <w:rPr>
          <w:i/>
          <w:iCs/>
          <w:lang w:val="en-US"/>
        </w:rPr>
        <w:t>European Asylum and Migration Management Strategy</w:t>
      </w:r>
      <w:r w:rsidRPr="005846B1">
        <w:rPr>
          <w:lang w:val="en-US"/>
        </w:rPr>
        <w:t>, 29 January 2026, COM(2026) 45 final, p. 21.</w:t>
      </w:r>
    </w:p>
  </w:footnote>
  <w:footnote w:id="12">
    <w:p w14:paraId="654219D6"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See </w:t>
      </w:r>
      <w:r w:rsidRPr="005846B1">
        <w:rPr>
          <w:lang w:val="en-US"/>
        </w:rPr>
        <w:t>Joint Declaration on the Global Alliance to Counter Migrant Smuggling, 10 December 2025.</w:t>
      </w:r>
    </w:p>
  </w:footnote>
  <w:footnote w:id="13">
    <w:p w14:paraId="33E60813" w14:textId="27A8C770" w:rsidR="006976D7" w:rsidRPr="005846B1" w:rsidRDefault="006976D7" w:rsidP="00E57A38">
      <w:pPr>
        <w:pStyle w:val="FootnoteText"/>
        <w:spacing w:after="0"/>
      </w:pPr>
      <w:r w:rsidRPr="005846B1">
        <w:rPr>
          <w:rStyle w:val="FootnoteReference"/>
        </w:rPr>
        <w:footnoteRef/>
      </w:r>
      <w:r w:rsidRPr="005846B1">
        <w:t xml:space="preserve"> </w:t>
      </w:r>
      <w:r w:rsidRPr="005846B1">
        <w:tab/>
      </w:r>
      <w:r w:rsidRPr="005846B1">
        <w:rPr>
          <w:lang w:val="en-US"/>
        </w:rPr>
        <w:t xml:space="preserve">Report from the Commission to the European Parliament and the Council on the application of Directive 2009/52/EC of 18 June 2009 providing for minimum standards on sanctions and measures against employers of illegally staying third-country nationals </w:t>
      </w:r>
      <w:r w:rsidR="007660A9">
        <w:rPr>
          <w:lang w:val="en-US"/>
        </w:rPr>
        <w:t>COM(2026)260.</w:t>
      </w:r>
    </w:p>
  </w:footnote>
  <w:footnote w:id="14">
    <w:p w14:paraId="1AD098DF"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Communication from the Commission, </w:t>
      </w:r>
      <w:r w:rsidRPr="000E5414">
        <w:rPr>
          <w:i/>
          <w:iCs/>
        </w:rPr>
        <w:t>Quality Jobs Roadmap</w:t>
      </w:r>
      <w:r w:rsidRPr="005846B1">
        <w:t xml:space="preserve">, 4 December 2025, </w:t>
      </w:r>
      <w:r w:rsidRPr="005846B1">
        <w:rPr>
          <w:lang w:val="en-US"/>
        </w:rPr>
        <w:t>COM(2025) 944 final.</w:t>
      </w:r>
    </w:p>
  </w:footnote>
  <w:footnote w:id="15">
    <w:p w14:paraId="4F855FEE" w14:textId="1C29A4FA" w:rsidR="006976D7" w:rsidRPr="005846B1" w:rsidRDefault="006976D7" w:rsidP="00E57A38">
      <w:pPr>
        <w:pStyle w:val="FootnoteText"/>
        <w:spacing w:after="0"/>
      </w:pPr>
      <w:r w:rsidRPr="005846B1">
        <w:rPr>
          <w:rStyle w:val="FootnoteReference"/>
        </w:rPr>
        <w:footnoteRef/>
      </w:r>
      <w:r w:rsidRPr="005846B1">
        <w:t xml:space="preserve"> </w:t>
      </w:r>
      <w:r w:rsidRPr="005846B1">
        <w:tab/>
      </w:r>
      <w:r w:rsidRPr="005846B1">
        <w:rPr>
          <w:lang w:val="en-US"/>
        </w:rPr>
        <w:t>European Migration Network (2020)</w:t>
      </w:r>
      <w:r>
        <w:rPr>
          <w:lang w:val="en-US"/>
        </w:rPr>
        <w:t>,</w:t>
      </w:r>
      <w:r w:rsidRPr="005846B1">
        <w:rPr>
          <w:lang w:val="en-US"/>
        </w:rPr>
        <w:t xml:space="preserve"> </w:t>
      </w:r>
      <w:r w:rsidRPr="000E5414">
        <w:rPr>
          <w:i/>
          <w:iCs/>
          <w:lang w:val="en-US"/>
        </w:rPr>
        <w:t xml:space="preserve">Attracting and protecting the rights of seasonal workers in the EU and the </w:t>
      </w:r>
      <w:r w:rsidRPr="00E43751">
        <w:rPr>
          <w:i/>
          <w:iCs/>
          <w:lang w:val="en-US"/>
        </w:rPr>
        <w:t>United Kingdom – Synthesis Report</w:t>
      </w:r>
      <w:r w:rsidRPr="005846B1">
        <w:rPr>
          <w:lang w:val="en-US"/>
        </w:rPr>
        <w:t>, 2020, and related country reports; Ad</w:t>
      </w:r>
      <w:r>
        <w:rPr>
          <w:lang w:val="en-US"/>
        </w:rPr>
        <w:t xml:space="preserve"> </w:t>
      </w:r>
      <w:r w:rsidRPr="005846B1">
        <w:rPr>
          <w:lang w:val="en-US"/>
        </w:rPr>
        <w:t xml:space="preserve">Hoc Query on 2023.18 Seasonal Workers Directive, requested by EMN Luxembourg on 5 May 2023; </w:t>
      </w:r>
      <w:r w:rsidRPr="005846B1">
        <w:t xml:space="preserve">Targeted study, </w:t>
      </w:r>
      <w:r>
        <w:t>footnote</w:t>
      </w:r>
      <w:r w:rsidRPr="005846B1">
        <w:t xml:space="preserve"> </w:t>
      </w:r>
      <w:r>
        <w:fldChar w:fldCharType="begin"/>
      </w:r>
      <w:r>
        <w:instrText xml:space="preserve"> NOTEREF _Ref223017783 \h </w:instrText>
      </w:r>
      <w:r>
        <w:fldChar w:fldCharType="separate"/>
      </w:r>
      <w:r w:rsidR="00764D65">
        <w:t>10</w:t>
      </w:r>
      <w:r>
        <w:fldChar w:fldCharType="end"/>
      </w:r>
      <w:r w:rsidRPr="005846B1">
        <w:t xml:space="preserve">; Commission, </w:t>
      </w:r>
      <w:r w:rsidRPr="00E43751">
        <w:rPr>
          <w:i/>
          <w:iCs/>
        </w:rPr>
        <w:t>Study on the working conditions of farm employees in the EU agriculture sector</w:t>
      </w:r>
      <w:r w:rsidRPr="005846B1">
        <w:t xml:space="preserve">, by </w:t>
      </w:r>
      <w:r w:rsidRPr="005846B1">
        <w:rPr>
          <w:lang w:val="en-US"/>
        </w:rPr>
        <w:t xml:space="preserve">Milieu, Law &amp; Policy Consulting, </w:t>
      </w:r>
      <w:r w:rsidRPr="005846B1">
        <w:t>2025.</w:t>
      </w:r>
    </w:p>
  </w:footnote>
  <w:footnote w:id="16">
    <w:p w14:paraId="4ABDFAC9" w14:textId="61DEFEC1"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Communication from the Commission, </w:t>
      </w:r>
      <w:r w:rsidRPr="00E43751">
        <w:rPr>
          <w:i/>
          <w:iCs/>
        </w:rPr>
        <w:t>Guidelines on seasonal workers in the EU in the context of the COVID-19 outbreak</w:t>
      </w:r>
      <w:r>
        <w:t>,</w:t>
      </w:r>
      <w:r w:rsidRPr="005846B1">
        <w:t xml:space="preserve"> 2020/C 235 I/01, OJ C 235I, 17.7.2020, p. 1; ELA, Campaign information note third-country national seasonal workers (2021), </w:t>
      </w:r>
      <w:hyperlink r:id="rId6" w:history="1">
        <w:r w:rsidRPr="005846B1">
          <w:rPr>
            <w:rStyle w:val="Hyperlink"/>
            <w:lang w:val="en-US"/>
          </w:rPr>
          <w:t>Information note on seasonal workers.pdf</w:t>
        </w:r>
      </w:hyperlink>
      <w:r w:rsidRPr="005846B1">
        <w:t>.</w:t>
      </w:r>
    </w:p>
  </w:footnote>
  <w:footnote w:id="17">
    <w:p w14:paraId="754ADC3D" w14:textId="77777777" w:rsidR="006976D7" w:rsidRPr="005846B1" w:rsidRDefault="006976D7" w:rsidP="00E57A38">
      <w:pPr>
        <w:pStyle w:val="FootnoteText"/>
        <w:spacing w:after="0"/>
        <w:rPr>
          <w:vertAlign w:val="superscript"/>
          <w:lang w:val="en-US"/>
        </w:rPr>
      </w:pPr>
      <w:r w:rsidRPr="005846B1">
        <w:rPr>
          <w:vertAlign w:val="superscript"/>
        </w:rPr>
        <w:footnoteRef/>
      </w:r>
      <w:r w:rsidRPr="005846B1">
        <w:rPr>
          <w:vertAlign w:val="superscript"/>
          <w:lang w:val="en-IE"/>
        </w:rPr>
        <w:t xml:space="preserve"> </w:t>
      </w:r>
      <w:r w:rsidRPr="005846B1">
        <w:rPr>
          <w:vertAlign w:val="superscript"/>
          <w:lang w:val="en-IE"/>
        </w:rPr>
        <w:tab/>
      </w:r>
      <w:r w:rsidRPr="005846B1">
        <w:rPr>
          <w:lang w:val="en-IE"/>
        </w:rPr>
        <w:t>For example, t</w:t>
      </w:r>
      <w:r w:rsidRPr="005846B1">
        <w:rPr>
          <w:lang w:val="en-US"/>
        </w:rPr>
        <w:t xml:space="preserve">he Commission allocated EUR 30.2 million in 2019 to SU.PR.EME. Italia and EUR 30 million in </w:t>
      </w:r>
      <w:r w:rsidRPr="005846B1">
        <w:t>2023</w:t>
      </w:r>
      <w:r>
        <w:rPr>
          <w:lang w:val="en-US"/>
        </w:rPr>
        <w:t>-</w:t>
      </w:r>
      <w:r w:rsidRPr="005846B1">
        <w:rPr>
          <w:lang w:val="en-US"/>
        </w:rPr>
        <w:t>24 to SU.PR.EME. 2 in Italy</w:t>
      </w:r>
      <w:r>
        <w:rPr>
          <w:lang w:val="en-US"/>
        </w:rPr>
        <w:t xml:space="preserve"> </w:t>
      </w:r>
      <w:r>
        <w:rPr>
          <w:lang w:val="en-IE"/>
        </w:rPr>
        <w:t>to p</w:t>
      </w:r>
      <w:r w:rsidRPr="00E43751">
        <w:rPr>
          <w:lang w:val="en-IE"/>
        </w:rPr>
        <w:t>revent</w:t>
      </w:r>
      <w:r>
        <w:rPr>
          <w:lang w:val="en-IE"/>
        </w:rPr>
        <w:t xml:space="preserve"> </w:t>
      </w:r>
      <w:r w:rsidRPr="00E43751">
        <w:rPr>
          <w:lang w:val="en-IE"/>
        </w:rPr>
        <w:t xml:space="preserve">and </w:t>
      </w:r>
      <w:r>
        <w:rPr>
          <w:lang w:val="en-IE"/>
        </w:rPr>
        <w:t>f</w:t>
      </w:r>
      <w:r w:rsidRPr="00E43751">
        <w:rPr>
          <w:lang w:val="en-IE"/>
        </w:rPr>
        <w:t xml:space="preserve">ight against </w:t>
      </w:r>
      <w:r>
        <w:rPr>
          <w:lang w:val="en-IE"/>
        </w:rPr>
        <w:t>u</w:t>
      </w:r>
      <w:r w:rsidRPr="00E43751">
        <w:rPr>
          <w:lang w:val="en-IE"/>
        </w:rPr>
        <w:t>ndeclared</w:t>
      </w:r>
      <w:r w:rsidRPr="00E43751">
        <w:rPr>
          <w:lang w:val="en-IE"/>
        </w:rPr>
        <w:br/>
      </w:r>
      <w:r>
        <w:rPr>
          <w:lang w:val="en-IE"/>
        </w:rPr>
        <w:t>w</w:t>
      </w:r>
      <w:r w:rsidRPr="00E43751">
        <w:rPr>
          <w:lang w:val="en-IE"/>
        </w:rPr>
        <w:t xml:space="preserve">ork and </w:t>
      </w:r>
      <w:r>
        <w:rPr>
          <w:lang w:val="en-IE"/>
        </w:rPr>
        <w:t>u</w:t>
      </w:r>
      <w:r w:rsidRPr="00E43751">
        <w:rPr>
          <w:lang w:val="en-IE"/>
        </w:rPr>
        <w:t xml:space="preserve">nlawful </w:t>
      </w:r>
      <w:r>
        <w:rPr>
          <w:lang w:val="en-IE"/>
        </w:rPr>
        <w:t>r</w:t>
      </w:r>
      <w:r w:rsidRPr="00E43751">
        <w:rPr>
          <w:lang w:val="en-IE"/>
        </w:rPr>
        <w:t xml:space="preserve">ecruitment </w:t>
      </w:r>
      <w:r>
        <w:rPr>
          <w:lang w:val="en-IE"/>
        </w:rPr>
        <w:t>a</w:t>
      </w:r>
      <w:r w:rsidRPr="00E43751">
        <w:rPr>
          <w:lang w:val="en-IE"/>
        </w:rPr>
        <w:t>ctivities</w:t>
      </w:r>
      <w:r>
        <w:rPr>
          <w:lang w:val="en-US"/>
        </w:rPr>
        <w:t>;</w:t>
      </w:r>
      <w:r w:rsidRPr="005846B1">
        <w:rPr>
          <w:lang w:val="en-US"/>
        </w:rPr>
        <w:t xml:space="preserve"> EUR 3.25 million, 95% </w:t>
      </w:r>
      <w:r>
        <w:rPr>
          <w:lang w:val="en-US"/>
        </w:rPr>
        <w:t xml:space="preserve">of which came from the </w:t>
      </w:r>
      <w:r w:rsidRPr="005846B1">
        <w:rPr>
          <w:lang w:val="en-US"/>
        </w:rPr>
        <w:t>A</w:t>
      </w:r>
      <w:r>
        <w:rPr>
          <w:lang w:val="en-US"/>
        </w:rPr>
        <w:t xml:space="preserve">sylum </w:t>
      </w:r>
      <w:r w:rsidRPr="005846B1">
        <w:rPr>
          <w:lang w:val="en-US"/>
        </w:rPr>
        <w:t>M</w:t>
      </w:r>
      <w:r>
        <w:rPr>
          <w:lang w:val="en-US"/>
        </w:rPr>
        <w:t xml:space="preserve">igration and </w:t>
      </w:r>
      <w:r w:rsidRPr="005846B1">
        <w:rPr>
          <w:lang w:val="en-US"/>
        </w:rPr>
        <w:t>I</w:t>
      </w:r>
      <w:r>
        <w:rPr>
          <w:lang w:val="en-US"/>
        </w:rPr>
        <w:t xml:space="preserve">ntegration </w:t>
      </w:r>
      <w:r w:rsidRPr="005846B1">
        <w:rPr>
          <w:lang w:val="en-US"/>
        </w:rPr>
        <w:t>F</w:t>
      </w:r>
      <w:r>
        <w:rPr>
          <w:lang w:val="en-US"/>
        </w:rPr>
        <w:t>und (AMIF)</w:t>
      </w:r>
      <w:r w:rsidRPr="005846B1">
        <w:rPr>
          <w:lang w:val="en-US"/>
        </w:rPr>
        <w:t xml:space="preserve">, to the </w:t>
      </w:r>
      <w:r w:rsidRPr="003067AA">
        <w:rPr>
          <w:lang w:val="en-US"/>
        </w:rPr>
        <w:t xml:space="preserve">Women as Financially Independent Rural Actors </w:t>
      </w:r>
      <w:r>
        <w:rPr>
          <w:lang w:val="en-US"/>
        </w:rPr>
        <w:t>(</w:t>
      </w:r>
      <w:r w:rsidRPr="005846B1">
        <w:rPr>
          <w:lang w:val="en-US"/>
        </w:rPr>
        <w:t>WAFIRA</w:t>
      </w:r>
      <w:r>
        <w:rPr>
          <w:lang w:val="en-US"/>
        </w:rPr>
        <w:t>)</w:t>
      </w:r>
      <w:r w:rsidRPr="005846B1">
        <w:rPr>
          <w:lang w:val="en-US"/>
        </w:rPr>
        <w:t xml:space="preserve"> project (2021</w:t>
      </w:r>
      <w:r>
        <w:rPr>
          <w:lang w:val="en-US"/>
        </w:rPr>
        <w:t>-</w:t>
      </w:r>
      <w:r w:rsidRPr="005846B1">
        <w:rPr>
          <w:lang w:val="en-US"/>
        </w:rPr>
        <w:t>2025) and WAFIRA II (2025</w:t>
      </w:r>
      <w:r>
        <w:rPr>
          <w:lang w:val="en-US"/>
        </w:rPr>
        <w:t>-</w:t>
      </w:r>
      <w:r w:rsidRPr="005846B1">
        <w:rPr>
          <w:lang w:val="en-US"/>
        </w:rPr>
        <w:t>2028)</w:t>
      </w:r>
      <w:r>
        <w:rPr>
          <w:lang w:val="en-US"/>
        </w:rPr>
        <w:t xml:space="preserve"> in Spain;</w:t>
      </w:r>
      <w:r w:rsidRPr="005846B1">
        <w:rPr>
          <w:lang w:val="en-US"/>
        </w:rPr>
        <w:t xml:space="preserve"> </w:t>
      </w:r>
      <w:r>
        <w:rPr>
          <w:lang w:val="en-US"/>
        </w:rPr>
        <w:t xml:space="preserve">and </w:t>
      </w:r>
      <w:r w:rsidRPr="005846B1">
        <w:rPr>
          <w:lang w:val="en-US"/>
        </w:rPr>
        <w:t xml:space="preserve">EUR 5.23 million, </w:t>
      </w:r>
      <w:r>
        <w:rPr>
          <w:lang w:val="en-US"/>
        </w:rPr>
        <w:t xml:space="preserve">with </w:t>
      </w:r>
      <w:r w:rsidRPr="005846B1">
        <w:rPr>
          <w:lang w:val="en-US"/>
        </w:rPr>
        <w:t>95% from AMIF</w:t>
      </w:r>
      <w:r>
        <w:rPr>
          <w:lang w:val="en-US"/>
        </w:rPr>
        <w:t>,</w:t>
      </w:r>
      <w:r w:rsidRPr="005846B1">
        <w:rPr>
          <w:lang w:val="en-US"/>
        </w:rPr>
        <w:t xml:space="preserve"> to France. It also funded the INTEGRALITY project</w:t>
      </w:r>
      <w:r>
        <w:rPr>
          <w:lang w:val="en-US"/>
        </w:rPr>
        <w:t>, to</w:t>
      </w:r>
      <w:r w:rsidRPr="00E43751">
        <w:rPr>
          <w:lang w:val="en-IE"/>
        </w:rPr>
        <w:t xml:space="preserve"> fight against </w:t>
      </w:r>
      <w:r>
        <w:rPr>
          <w:lang w:val="en-IE"/>
        </w:rPr>
        <w:t xml:space="preserve">the </w:t>
      </w:r>
      <w:r w:rsidRPr="00E43751">
        <w:rPr>
          <w:lang w:val="en-IE"/>
        </w:rPr>
        <w:t>labo</w:t>
      </w:r>
      <w:r>
        <w:rPr>
          <w:lang w:val="en-IE"/>
        </w:rPr>
        <w:t>u</w:t>
      </w:r>
      <w:r w:rsidRPr="00E43751">
        <w:rPr>
          <w:lang w:val="en-IE"/>
        </w:rPr>
        <w:t xml:space="preserve">r exploitation of migrants in agriculture and </w:t>
      </w:r>
      <w:r>
        <w:rPr>
          <w:lang w:val="en-IE"/>
        </w:rPr>
        <w:t>work to</w:t>
      </w:r>
      <w:r w:rsidRPr="00E43751">
        <w:rPr>
          <w:lang w:val="en-IE"/>
        </w:rPr>
        <w:t xml:space="preserve"> </w:t>
      </w:r>
      <w:r>
        <w:rPr>
          <w:lang w:val="en-IE"/>
        </w:rPr>
        <w:t xml:space="preserve">ensure they are locally </w:t>
      </w:r>
      <w:r w:rsidRPr="00E43751">
        <w:rPr>
          <w:lang w:val="en-IE"/>
        </w:rPr>
        <w:t>integrat</w:t>
      </w:r>
      <w:r>
        <w:rPr>
          <w:lang w:val="en-IE"/>
        </w:rPr>
        <w:t>ed,</w:t>
      </w:r>
      <w:r w:rsidRPr="005846B1">
        <w:rPr>
          <w:lang w:val="en-US"/>
        </w:rPr>
        <w:t xml:space="preserve"> in Greece.</w:t>
      </w:r>
    </w:p>
  </w:footnote>
  <w:footnote w:id="18">
    <w:p w14:paraId="53F00D97"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at</w:t>
      </w:r>
      <w:r w:rsidRPr="005846B1">
        <w:t xml:space="preserve"> </w:t>
      </w:r>
      <w:r>
        <w:t xml:space="preserve">meetings of </w:t>
      </w:r>
      <w:r w:rsidRPr="005846B1">
        <w:t xml:space="preserve">the Labour Migration Platform </w:t>
      </w:r>
      <w:r>
        <w:t xml:space="preserve">in </w:t>
      </w:r>
      <w:r w:rsidRPr="005846B1">
        <w:t xml:space="preserve">October 2023 and October 2025, </w:t>
      </w:r>
      <w:r>
        <w:t>a</w:t>
      </w:r>
      <w:r w:rsidRPr="005846B1">
        <w:t xml:space="preserve"> </w:t>
      </w:r>
      <w:r>
        <w:t xml:space="preserve">meeting of the </w:t>
      </w:r>
      <w:r w:rsidRPr="005846B1">
        <w:t xml:space="preserve">Expert Group on the Views of Migrants </w:t>
      </w:r>
      <w:r>
        <w:t xml:space="preserve">in </w:t>
      </w:r>
      <w:r w:rsidRPr="005846B1">
        <w:t xml:space="preserve">October 2025, </w:t>
      </w:r>
      <w:r>
        <w:t>a</w:t>
      </w:r>
      <w:r w:rsidRPr="005846B1">
        <w:t xml:space="preserve"> </w:t>
      </w:r>
      <w:r>
        <w:t xml:space="preserve">meeting of the </w:t>
      </w:r>
      <w:r w:rsidRPr="005846B1">
        <w:t xml:space="preserve">European Migration Forum </w:t>
      </w:r>
      <w:r>
        <w:t xml:space="preserve">in </w:t>
      </w:r>
      <w:r w:rsidRPr="005846B1">
        <w:t>November 2024</w:t>
      </w:r>
      <w:r>
        <w:t>,</w:t>
      </w:r>
      <w:r w:rsidRPr="005846B1">
        <w:t xml:space="preserve"> and an ad hoc meeting with social partners </w:t>
      </w:r>
      <w:r>
        <w:t xml:space="preserve">in </w:t>
      </w:r>
      <w:r w:rsidRPr="005846B1">
        <w:t>December 2025.</w:t>
      </w:r>
    </w:p>
  </w:footnote>
  <w:footnote w:id="19">
    <w:p w14:paraId="3B463664"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For example, Solidar, Realising Fair and Just Working Conditions for Migrant Workers in Europe (October 2025); </w:t>
      </w:r>
      <w:r w:rsidRPr="00D17E71">
        <w:rPr>
          <w:lang w:val="en-US"/>
        </w:rPr>
        <w:t>Organisation for Economic Co-operation and Development</w:t>
      </w:r>
      <w:r w:rsidRPr="00906B52">
        <w:rPr>
          <w:lang w:val="en-US"/>
        </w:rPr>
        <w:t xml:space="preserve"> </w:t>
      </w:r>
      <w:r>
        <w:rPr>
          <w:lang w:val="en-US"/>
        </w:rPr>
        <w:t>(</w:t>
      </w:r>
      <w:r w:rsidRPr="005846B1">
        <w:rPr>
          <w:lang w:val="en-US"/>
        </w:rPr>
        <w:t>OECD</w:t>
      </w:r>
      <w:r>
        <w:rPr>
          <w:lang w:val="en-US"/>
        </w:rPr>
        <w:t>)</w:t>
      </w:r>
      <w:r w:rsidRPr="005846B1">
        <w:rPr>
          <w:lang w:val="en-US"/>
        </w:rPr>
        <w:t xml:space="preserve">/Government of the Netherlands, Hybrid Workshop on Labour Migration in Agriculture (December 2025); </w:t>
      </w:r>
      <w:r w:rsidRPr="00D17E71">
        <w:rPr>
          <w:lang w:val="en-US"/>
        </w:rPr>
        <w:t>Seasonal and fair employment blueprints</w:t>
      </w:r>
      <w:r w:rsidRPr="00A709F0">
        <w:rPr>
          <w:lang w:val="en-US"/>
        </w:rPr>
        <w:t xml:space="preserve"> </w:t>
      </w:r>
      <w:r>
        <w:rPr>
          <w:lang w:val="en-US"/>
        </w:rPr>
        <w:t>(</w:t>
      </w:r>
      <w:r w:rsidRPr="005846B1">
        <w:rPr>
          <w:lang w:val="en-US"/>
        </w:rPr>
        <w:t>SaFE</w:t>
      </w:r>
      <w:r>
        <w:rPr>
          <w:lang w:val="en-US"/>
        </w:rPr>
        <w:t>)</w:t>
      </w:r>
      <w:r w:rsidRPr="005846B1">
        <w:rPr>
          <w:lang w:val="en-US"/>
        </w:rPr>
        <w:t>/</w:t>
      </w:r>
      <w:r>
        <w:rPr>
          <w:lang w:val="en-US"/>
        </w:rPr>
        <w:t>International Centre for Migration Policy Development (</w:t>
      </w:r>
      <w:r w:rsidRPr="005846B1">
        <w:rPr>
          <w:lang w:val="en-US"/>
        </w:rPr>
        <w:t>ICMPD</w:t>
      </w:r>
      <w:r>
        <w:rPr>
          <w:lang w:val="en-US"/>
        </w:rPr>
        <w:t>)</w:t>
      </w:r>
      <w:r w:rsidRPr="005846B1">
        <w:rPr>
          <w:lang w:val="en-US"/>
        </w:rPr>
        <w:t>/</w:t>
      </w:r>
      <w:r>
        <w:rPr>
          <w:lang w:val="en-US"/>
        </w:rPr>
        <w:t>Migration Partnership Facility (</w:t>
      </w:r>
      <w:r w:rsidRPr="005846B1">
        <w:rPr>
          <w:lang w:val="en-US"/>
        </w:rPr>
        <w:t>MPF</w:t>
      </w:r>
      <w:r>
        <w:rPr>
          <w:lang w:val="en-US"/>
        </w:rPr>
        <w:t>)</w:t>
      </w:r>
      <w:r w:rsidRPr="005846B1">
        <w:rPr>
          <w:lang w:val="en-US"/>
        </w:rPr>
        <w:t xml:space="preserve">, Workshop, Building functional pathways for seasonal work in agriculture and tourism (January 2026); </w:t>
      </w:r>
      <w:r>
        <w:rPr>
          <w:lang w:val="en-US"/>
        </w:rPr>
        <w:t>European Policy Centre (</w:t>
      </w:r>
      <w:r w:rsidRPr="005846B1">
        <w:rPr>
          <w:lang w:val="en-US"/>
        </w:rPr>
        <w:t>EPC</w:t>
      </w:r>
      <w:r>
        <w:rPr>
          <w:lang w:val="en-US"/>
        </w:rPr>
        <w:t>)</w:t>
      </w:r>
      <w:r w:rsidRPr="005846B1">
        <w:rPr>
          <w:lang w:val="en-US"/>
        </w:rPr>
        <w:t>/</w:t>
      </w:r>
      <w:r>
        <w:rPr>
          <w:lang w:val="en-US"/>
        </w:rPr>
        <w:t>Dignity for migrant workers in farm to fork labour markets (</w:t>
      </w:r>
      <w:r w:rsidRPr="005846B1">
        <w:rPr>
          <w:lang w:val="en-US"/>
        </w:rPr>
        <w:t>DignityFirm</w:t>
      </w:r>
      <w:r>
        <w:rPr>
          <w:lang w:val="en-US"/>
        </w:rPr>
        <w:t>)</w:t>
      </w:r>
      <w:r w:rsidRPr="005846B1">
        <w:rPr>
          <w:lang w:val="en-US"/>
        </w:rPr>
        <w:t xml:space="preserve">, Roundtable, Migrant workers in </w:t>
      </w:r>
      <w:r>
        <w:rPr>
          <w:lang w:val="en-US"/>
        </w:rPr>
        <w:t>f</w:t>
      </w:r>
      <w:r w:rsidRPr="005846B1">
        <w:rPr>
          <w:lang w:val="en-US"/>
        </w:rPr>
        <w:t xml:space="preserve">arm to </w:t>
      </w:r>
      <w:r>
        <w:rPr>
          <w:lang w:val="en-US"/>
        </w:rPr>
        <w:t>f</w:t>
      </w:r>
      <w:r w:rsidRPr="005846B1">
        <w:rPr>
          <w:lang w:val="en-US"/>
        </w:rPr>
        <w:t xml:space="preserve">ork sectors: What way forward for effective EU policies ensuring </w:t>
      </w:r>
      <w:r>
        <w:rPr>
          <w:lang w:val="en-US"/>
        </w:rPr>
        <w:t>d</w:t>
      </w:r>
      <w:r w:rsidRPr="005846B1">
        <w:rPr>
          <w:lang w:val="en-US"/>
        </w:rPr>
        <w:t>ignity</w:t>
      </w:r>
      <w:r>
        <w:rPr>
          <w:lang w:val="en-US"/>
        </w:rPr>
        <w:t>?</w:t>
      </w:r>
      <w:r w:rsidRPr="005846B1">
        <w:rPr>
          <w:lang w:val="en-US"/>
        </w:rPr>
        <w:t xml:space="preserve"> (January 2026).</w:t>
      </w:r>
    </w:p>
  </w:footnote>
  <w:footnote w:id="20">
    <w:p w14:paraId="0FA180AF"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A</w:t>
      </w:r>
      <w:r>
        <w:rPr>
          <w:lang w:val="en-US"/>
        </w:rPr>
        <w:t>ustria</w:t>
      </w:r>
      <w:r w:rsidRPr="005846B1">
        <w:rPr>
          <w:lang w:val="en-US"/>
        </w:rPr>
        <w:t>, B</w:t>
      </w:r>
      <w:r>
        <w:rPr>
          <w:lang w:val="en-US"/>
        </w:rPr>
        <w:t>elgium</w:t>
      </w:r>
      <w:r w:rsidRPr="005846B1">
        <w:rPr>
          <w:lang w:val="en-US"/>
        </w:rPr>
        <w:t xml:space="preserve">, </w:t>
      </w:r>
      <w:r>
        <w:rPr>
          <w:lang w:val="en-US"/>
        </w:rPr>
        <w:t>Germany</w:t>
      </w:r>
      <w:r w:rsidRPr="005846B1">
        <w:rPr>
          <w:lang w:val="en-US"/>
        </w:rPr>
        <w:t>, F</w:t>
      </w:r>
      <w:r>
        <w:rPr>
          <w:lang w:val="en-US"/>
        </w:rPr>
        <w:t>rance</w:t>
      </w:r>
      <w:r w:rsidRPr="005846B1">
        <w:rPr>
          <w:lang w:val="en-US"/>
        </w:rPr>
        <w:t>, L</w:t>
      </w:r>
      <w:r>
        <w:rPr>
          <w:lang w:val="en-US"/>
        </w:rPr>
        <w:t>ithuania</w:t>
      </w:r>
      <w:r w:rsidRPr="005846B1">
        <w:rPr>
          <w:lang w:val="en-US"/>
        </w:rPr>
        <w:t>, L</w:t>
      </w:r>
      <w:r>
        <w:rPr>
          <w:lang w:val="en-US"/>
        </w:rPr>
        <w:t>atvia</w:t>
      </w:r>
      <w:r w:rsidRPr="005846B1">
        <w:rPr>
          <w:lang w:val="en-US"/>
        </w:rPr>
        <w:t xml:space="preserve">, </w:t>
      </w:r>
      <w:r>
        <w:rPr>
          <w:lang w:val="en-US"/>
        </w:rPr>
        <w:t>the Netherlands</w:t>
      </w:r>
      <w:r w:rsidRPr="005846B1">
        <w:rPr>
          <w:lang w:val="en-US"/>
        </w:rPr>
        <w:t xml:space="preserve"> and R</w:t>
      </w:r>
      <w:r>
        <w:rPr>
          <w:lang w:val="en-US"/>
        </w:rPr>
        <w:t>omania</w:t>
      </w:r>
      <w:r w:rsidRPr="005846B1">
        <w:rPr>
          <w:lang w:val="en-US"/>
        </w:rPr>
        <w:t>.</w:t>
      </w:r>
    </w:p>
  </w:footnote>
  <w:footnote w:id="21">
    <w:p w14:paraId="41D271B2" w14:textId="4F3EF740" w:rsidR="006976D7" w:rsidRPr="00E43751" w:rsidRDefault="006976D7" w:rsidP="00E57A38">
      <w:pPr>
        <w:pStyle w:val="FootnoteText"/>
        <w:spacing w:after="0"/>
        <w:rPr>
          <w:lang w:val="en-IE"/>
        </w:rPr>
      </w:pPr>
      <w:r w:rsidRPr="005846B1">
        <w:rPr>
          <w:rStyle w:val="FootnoteReference"/>
        </w:rPr>
        <w:footnoteRef/>
      </w:r>
      <w:r w:rsidRPr="00E43751">
        <w:rPr>
          <w:lang w:val="en-IE"/>
        </w:rPr>
        <w:t xml:space="preserve"> </w:t>
      </w:r>
      <w:r w:rsidRPr="00E43751">
        <w:rPr>
          <w:lang w:val="en-IE"/>
        </w:rPr>
        <w:tab/>
        <w:t xml:space="preserve">Austria, Bulgaria, Czechia, </w:t>
      </w:r>
      <w:r w:rsidR="002D4BD4" w:rsidRPr="00137972">
        <w:rPr>
          <w:lang w:val="en-IE"/>
        </w:rPr>
        <w:t>France,</w:t>
      </w:r>
      <w:r w:rsidR="002D4BD4">
        <w:rPr>
          <w:lang w:val="en-IE"/>
        </w:rPr>
        <w:t xml:space="preserve"> </w:t>
      </w:r>
      <w:r w:rsidRPr="00E43751">
        <w:rPr>
          <w:lang w:val="en-IE"/>
        </w:rPr>
        <w:t>Germany, E</w:t>
      </w:r>
      <w:r>
        <w:rPr>
          <w:lang w:val="en-IE"/>
        </w:rPr>
        <w:t>stonia</w:t>
      </w:r>
      <w:r w:rsidRPr="00E43751">
        <w:rPr>
          <w:lang w:val="en-IE"/>
        </w:rPr>
        <w:t xml:space="preserve">, </w:t>
      </w:r>
      <w:r>
        <w:rPr>
          <w:lang w:val="en-IE"/>
        </w:rPr>
        <w:t>Greece</w:t>
      </w:r>
      <w:r w:rsidRPr="00E43751">
        <w:rPr>
          <w:lang w:val="en-IE"/>
        </w:rPr>
        <w:t>, F</w:t>
      </w:r>
      <w:r>
        <w:rPr>
          <w:lang w:val="en-IE"/>
        </w:rPr>
        <w:t>inland</w:t>
      </w:r>
      <w:r w:rsidRPr="00E43751">
        <w:rPr>
          <w:lang w:val="en-IE"/>
        </w:rPr>
        <w:t xml:space="preserve">, </w:t>
      </w:r>
      <w:r>
        <w:rPr>
          <w:lang w:val="en-IE"/>
        </w:rPr>
        <w:t>Croatia</w:t>
      </w:r>
      <w:r w:rsidRPr="00E43751">
        <w:rPr>
          <w:lang w:val="en-IE"/>
        </w:rPr>
        <w:t>, H</w:t>
      </w:r>
      <w:r>
        <w:rPr>
          <w:lang w:val="en-IE"/>
        </w:rPr>
        <w:t>ungary</w:t>
      </w:r>
      <w:r w:rsidRPr="00E43751">
        <w:rPr>
          <w:lang w:val="en-IE"/>
        </w:rPr>
        <w:t xml:space="preserve">, </w:t>
      </w:r>
      <w:r>
        <w:rPr>
          <w:lang w:val="en-IE"/>
        </w:rPr>
        <w:t>Lithuania</w:t>
      </w:r>
      <w:r w:rsidRPr="00E43751">
        <w:rPr>
          <w:lang w:val="en-IE"/>
        </w:rPr>
        <w:t>, S</w:t>
      </w:r>
      <w:r>
        <w:rPr>
          <w:lang w:val="en-IE"/>
        </w:rPr>
        <w:t>weden</w:t>
      </w:r>
      <w:r w:rsidRPr="00E43751">
        <w:rPr>
          <w:lang w:val="en-IE"/>
        </w:rPr>
        <w:t xml:space="preserve">, </w:t>
      </w:r>
      <w:r>
        <w:rPr>
          <w:lang w:val="en-IE"/>
        </w:rPr>
        <w:t>Slovenia</w:t>
      </w:r>
      <w:r w:rsidRPr="00E43751">
        <w:rPr>
          <w:lang w:val="en-IE"/>
        </w:rPr>
        <w:t xml:space="preserve"> and S</w:t>
      </w:r>
      <w:r>
        <w:rPr>
          <w:lang w:val="en-IE"/>
        </w:rPr>
        <w:t>lovakia</w:t>
      </w:r>
      <w:r w:rsidRPr="00E43751">
        <w:rPr>
          <w:lang w:val="en-IE"/>
        </w:rPr>
        <w:t>.</w:t>
      </w:r>
    </w:p>
  </w:footnote>
  <w:footnote w:id="22">
    <w:p w14:paraId="41609560"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F</w:t>
      </w:r>
      <w:r>
        <w:t>inland and</w:t>
      </w:r>
      <w:r w:rsidRPr="00935D47">
        <w:t xml:space="preserve"> L</w:t>
      </w:r>
      <w:r>
        <w:t>ithuania</w:t>
      </w:r>
      <w:r w:rsidRPr="005846B1">
        <w:t>.</w:t>
      </w:r>
    </w:p>
  </w:footnote>
  <w:footnote w:id="23">
    <w:p w14:paraId="314F6A4E"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r>
      <w:r>
        <w:rPr>
          <w:lang w:val="en-US"/>
        </w:rPr>
        <w:t>Bulgaria</w:t>
      </w:r>
      <w:r w:rsidRPr="005846B1">
        <w:rPr>
          <w:lang w:val="en-US"/>
        </w:rPr>
        <w:t>, E</w:t>
      </w:r>
      <w:r>
        <w:rPr>
          <w:lang w:val="en-US"/>
        </w:rPr>
        <w:t>stonia</w:t>
      </w:r>
      <w:r w:rsidRPr="005846B1">
        <w:rPr>
          <w:lang w:val="en-US"/>
        </w:rPr>
        <w:t xml:space="preserve">, </w:t>
      </w:r>
      <w:r>
        <w:rPr>
          <w:lang w:val="en-US"/>
        </w:rPr>
        <w:t>Greece</w:t>
      </w:r>
      <w:r w:rsidRPr="005846B1">
        <w:rPr>
          <w:lang w:val="en-US"/>
        </w:rPr>
        <w:t>, H</w:t>
      </w:r>
      <w:r>
        <w:rPr>
          <w:lang w:val="en-US"/>
        </w:rPr>
        <w:t>ungary</w:t>
      </w:r>
      <w:r w:rsidRPr="005846B1">
        <w:rPr>
          <w:lang w:val="en-US"/>
        </w:rPr>
        <w:t>, L</w:t>
      </w:r>
      <w:r>
        <w:rPr>
          <w:lang w:val="en-US"/>
        </w:rPr>
        <w:t>atvia</w:t>
      </w:r>
      <w:r w:rsidRPr="005846B1">
        <w:rPr>
          <w:lang w:val="en-US"/>
        </w:rPr>
        <w:t>, M</w:t>
      </w:r>
      <w:r>
        <w:rPr>
          <w:lang w:val="en-US"/>
        </w:rPr>
        <w:t>alta</w:t>
      </w:r>
      <w:r w:rsidRPr="005846B1">
        <w:rPr>
          <w:lang w:val="en-US"/>
        </w:rPr>
        <w:t xml:space="preserve">, </w:t>
      </w:r>
      <w:r>
        <w:rPr>
          <w:lang w:val="en-US"/>
        </w:rPr>
        <w:t>Portugal</w:t>
      </w:r>
      <w:r w:rsidRPr="005846B1">
        <w:rPr>
          <w:lang w:val="en-US"/>
        </w:rPr>
        <w:t xml:space="preserve"> and S</w:t>
      </w:r>
      <w:r>
        <w:rPr>
          <w:lang w:val="en-US"/>
        </w:rPr>
        <w:t>lovakia</w:t>
      </w:r>
      <w:r w:rsidRPr="005846B1">
        <w:rPr>
          <w:lang w:val="en-US"/>
        </w:rPr>
        <w:t>.</w:t>
      </w:r>
    </w:p>
  </w:footnote>
  <w:footnote w:id="24">
    <w:p w14:paraId="4EADF16D"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A</w:t>
      </w:r>
      <w:r>
        <w:rPr>
          <w:lang w:val="en-US"/>
        </w:rPr>
        <w:t>ustria</w:t>
      </w:r>
      <w:r w:rsidRPr="005846B1">
        <w:rPr>
          <w:lang w:val="en-US"/>
        </w:rPr>
        <w:t>, B</w:t>
      </w:r>
      <w:r>
        <w:rPr>
          <w:lang w:val="en-US"/>
        </w:rPr>
        <w:t>elgium</w:t>
      </w:r>
      <w:r w:rsidRPr="005846B1">
        <w:rPr>
          <w:lang w:val="en-US"/>
        </w:rPr>
        <w:t>, B</w:t>
      </w:r>
      <w:r>
        <w:rPr>
          <w:lang w:val="en-US"/>
        </w:rPr>
        <w:t>ulgaria</w:t>
      </w:r>
      <w:r w:rsidRPr="005846B1">
        <w:rPr>
          <w:lang w:val="en-US"/>
        </w:rPr>
        <w:t>, C</w:t>
      </w:r>
      <w:r>
        <w:rPr>
          <w:lang w:val="en-US"/>
        </w:rPr>
        <w:t>zechia</w:t>
      </w:r>
      <w:r w:rsidRPr="005846B1">
        <w:rPr>
          <w:lang w:val="en-US"/>
        </w:rPr>
        <w:t xml:space="preserve">, </w:t>
      </w:r>
      <w:r>
        <w:rPr>
          <w:lang w:val="en-US"/>
        </w:rPr>
        <w:t>Germany</w:t>
      </w:r>
      <w:r w:rsidRPr="005846B1">
        <w:rPr>
          <w:lang w:val="en-US"/>
        </w:rPr>
        <w:t xml:space="preserve">, </w:t>
      </w:r>
      <w:r>
        <w:rPr>
          <w:lang w:val="en-US"/>
        </w:rPr>
        <w:t>Estonia</w:t>
      </w:r>
      <w:r w:rsidRPr="005846B1">
        <w:rPr>
          <w:lang w:val="en-US"/>
        </w:rPr>
        <w:t xml:space="preserve">, </w:t>
      </w:r>
      <w:r>
        <w:rPr>
          <w:lang w:val="en-US"/>
        </w:rPr>
        <w:t>Greece</w:t>
      </w:r>
      <w:r w:rsidRPr="005846B1">
        <w:rPr>
          <w:lang w:val="en-US"/>
        </w:rPr>
        <w:t>, F</w:t>
      </w:r>
      <w:r>
        <w:rPr>
          <w:lang w:val="en-US"/>
        </w:rPr>
        <w:t>inland</w:t>
      </w:r>
      <w:r w:rsidRPr="005846B1">
        <w:rPr>
          <w:lang w:val="en-US"/>
        </w:rPr>
        <w:t>, F</w:t>
      </w:r>
      <w:r>
        <w:rPr>
          <w:lang w:val="en-US"/>
        </w:rPr>
        <w:t>rance</w:t>
      </w:r>
      <w:r w:rsidRPr="005846B1">
        <w:rPr>
          <w:lang w:val="en-US"/>
        </w:rPr>
        <w:t xml:space="preserve">, </w:t>
      </w:r>
      <w:r>
        <w:rPr>
          <w:lang w:val="en-US"/>
        </w:rPr>
        <w:t>Croatia</w:t>
      </w:r>
      <w:r w:rsidRPr="005846B1">
        <w:rPr>
          <w:lang w:val="en-US"/>
        </w:rPr>
        <w:t xml:space="preserve">, </w:t>
      </w:r>
      <w:r>
        <w:rPr>
          <w:lang w:val="en-US"/>
        </w:rPr>
        <w:t>Italy</w:t>
      </w:r>
      <w:r w:rsidRPr="005846B1">
        <w:rPr>
          <w:lang w:val="en-US"/>
        </w:rPr>
        <w:t xml:space="preserve">, </w:t>
      </w:r>
      <w:r>
        <w:rPr>
          <w:lang w:val="en-US"/>
        </w:rPr>
        <w:t>Lithuania</w:t>
      </w:r>
      <w:r w:rsidRPr="005846B1">
        <w:rPr>
          <w:lang w:val="en-US"/>
        </w:rPr>
        <w:t>, L</w:t>
      </w:r>
      <w:r>
        <w:rPr>
          <w:lang w:val="en-US"/>
        </w:rPr>
        <w:t>uxembourg</w:t>
      </w:r>
      <w:r w:rsidRPr="005846B1">
        <w:rPr>
          <w:lang w:val="en-US"/>
        </w:rPr>
        <w:t>, L</w:t>
      </w:r>
      <w:r>
        <w:rPr>
          <w:lang w:val="en-US"/>
        </w:rPr>
        <w:t>atvia</w:t>
      </w:r>
      <w:r w:rsidRPr="005846B1">
        <w:rPr>
          <w:lang w:val="en-US"/>
        </w:rPr>
        <w:t xml:space="preserve">, </w:t>
      </w:r>
      <w:r>
        <w:rPr>
          <w:lang w:val="en-US"/>
        </w:rPr>
        <w:t>Malta</w:t>
      </w:r>
      <w:r w:rsidRPr="005846B1">
        <w:rPr>
          <w:lang w:val="en-US"/>
        </w:rPr>
        <w:t>, P</w:t>
      </w:r>
      <w:r>
        <w:rPr>
          <w:lang w:val="en-US"/>
        </w:rPr>
        <w:t>oland</w:t>
      </w:r>
      <w:r w:rsidRPr="005846B1">
        <w:rPr>
          <w:lang w:val="en-US"/>
        </w:rPr>
        <w:t>, P</w:t>
      </w:r>
      <w:r>
        <w:rPr>
          <w:lang w:val="en-US"/>
        </w:rPr>
        <w:t>ortugal</w:t>
      </w:r>
      <w:r w:rsidRPr="005846B1">
        <w:rPr>
          <w:lang w:val="en-US"/>
        </w:rPr>
        <w:t>, R</w:t>
      </w:r>
      <w:r>
        <w:rPr>
          <w:lang w:val="en-US"/>
        </w:rPr>
        <w:t>omania</w:t>
      </w:r>
      <w:r w:rsidRPr="005846B1">
        <w:rPr>
          <w:lang w:val="en-US"/>
        </w:rPr>
        <w:t xml:space="preserve">, </w:t>
      </w:r>
      <w:r>
        <w:rPr>
          <w:lang w:val="en-US"/>
        </w:rPr>
        <w:t>Sweden</w:t>
      </w:r>
      <w:r w:rsidRPr="005846B1">
        <w:rPr>
          <w:lang w:val="en-US"/>
        </w:rPr>
        <w:t xml:space="preserve">, </w:t>
      </w:r>
      <w:r>
        <w:rPr>
          <w:lang w:val="en-US"/>
        </w:rPr>
        <w:t>Slovenia</w:t>
      </w:r>
      <w:r w:rsidRPr="005846B1">
        <w:rPr>
          <w:lang w:val="en-US"/>
        </w:rPr>
        <w:t xml:space="preserve"> and S</w:t>
      </w:r>
      <w:r>
        <w:rPr>
          <w:lang w:val="en-US"/>
        </w:rPr>
        <w:t>lovakia</w:t>
      </w:r>
      <w:r w:rsidRPr="005846B1">
        <w:rPr>
          <w:lang w:val="en-US"/>
        </w:rPr>
        <w:t>.</w:t>
      </w:r>
    </w:p>
  </w:footnote>
  <w:footnote w:id="25">
    <w:p w14:paraId="0213BA31" w14:textId="1266E84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C</w:t>
      </w:r>
      <w:r>
        <w:rPr>
          <w:lang w:val="en-US"/>
        </w:rPr>
        <w:t>zechia</w:t>
      </w:r>
      <w:r w:rsidRPr="005846B1">
        <w:rPr>
          <w:lang w:val="en-US"/>
        </w:rPr>
        <w:t xml:space="preserve">, </w:t>
      </w:r>
      <w:r>
        <w:rPr>
          <w:lang w:val="en-US"/>
        </w:rPr>
        <w:t>Germany</w:t>
      </w:r>
      <w:r w:rsidRPr="005846B1">
        <w:rPr>
          <w:lang w:val="en-US"/>
        </w:rPr>
        <w:t xml:space="preserve">, </w:t>
      </w:r>
      <w:r>
        <w:rPr>
          <w:lang w:val="en-US"/>
        </w:rPr>
        <w:t>Estonia</w:t>
      </w:r>
      <w:r w:rsidRPr="005846B1">
        <w:rPr>
          <w:lang w:val="en-US"/>
        </w:rPr>
        <w:t>, F</w:t>
      </w:r>
      <w:r>
        <w:rPr>
          <w:lang w:val="en-US"/>
        </w:rPr>
        <w:t>inland,</w:t>
      </w:r>
      <w:r w:rsidRPr="005846B1">
        <w:rPr>
          <w:lang w:val="en-US"/>
        </w:rPr>
        <w:t xml:space="preserve"> </w:t>
      </w:r>
      <w:r w:rsidR="002D4BD4" w:rsidRPr="00137972">
        <w:rPr>
          <w:lang w:val="en-US"/>
        </w:rPr>
        <w:t>France,</w:t>
      </w:r>
      <w:r w:rsidR="002D4BD4">
        <w:rPr>
          <w:lang w:val="en-US"/>
        </w:rPr>
        <w:t xml:space="preserve"> </w:t>
      </w:r>
      <w:r w:rsidRPr="005846B1">
        <w:rPr>
          <w:lang w:val="en-US"/>
        </w:rPr>
        <w:t>L</w:t>
      </w:r>
      <w:r>
        <w:rPr>
          <w:lang w:val="en-US"/>
        </w:rPr>
        <w:t>ithuania</w:t>
      </w:r>
      <w:r w:rsidRPr="005846B1">
        <w:rPr>
          <w:lang w:val="en-US"/>
        </w:rPr>
        <w:t>, L</w:t>
      </w:r>
      <w:r>
        <w:rPr>
          <w:lang w:val="en-US"/>
        </w:rPr>
        <w:t>uxembourg</w:t>
      </w:r>
      <w:r w:rsidRPr="005846B1">
        <w:rPr>
          <w:lang w:val="en-US"/>
        </w:rPr>
        <w:t>, P</w:t>
      </w:r>
      <w:r>
        <w:rPr>
          <w:lang w:val="en-US"/>
        </w:rPr>
        <w:t>ortugal</w:t>
      </w:r>
      <w:r w:rsidRPr="005846B1">
        <w:rPr>
          <w:lang w:val="en-US"/>
        </w:rPr>
        <w:t>, S</w:t>
      </w:r>
      <w:r>
        <w:rPr>
          <w:lang w:val="en-US"/>
        </w:rPr>
        <w:t xml:space="preserve">weden </w:t>
      </w:r>
      <w:r w:rsidRPr="005846B1">
        <w:rPr>
          <w:lang w:val="en-US"/>
        </w:rPr>
        <w:t>and S</w:t>
      </w:r>
      <w:r>
        <w:rPr>
          <w:lang w:val="en-US"/>
        </w:rPr>
        <w:t xml:space="preserve">lovakia </w:t>
      </w:r>
      <w:r w:rsidRPr="005846B1">
        <w:rPr>
          <w:lang w:val="en-US"/>
        </w:rPr>
        <w:t>listed one or more of</w:t>
      </w:r>
      <w:r>
        <w:rPr>
          <w:lang w:val="en-US"/>
        </w:rPr>
        <w:t xml:space="preserve"> </w:t>
      </w:r>
      <w:r w:rsidRPr="005846B1">
        <w:rPr>
          <w:lang w:val="en-US"/>
        </w:rPr>
        <w:t>the following sectors</w:t>
      </w:r>
      <w:r>
        <w:rPr>
          <w:lang w:val="en-US"/>
        </w:rPr>
        <w:t>, for example</w:t>
      </w:r>
      <w:r w:rsidRPr="005846B1">
        <w:rPr>
          <w:lang w:val="en-US"/>
        </w:rPr>
        <w:t>: hunting, food/tobacco/beverage production, sawmills, construction, film/television production, passenger water transport, wholesale/retail trade, industrial activities, services</w:t>
      </w:r>
      <w:r>
        <w:rPr>
          <w:lang w:val="en-US"/>
        </w:rPr>
        <w:t xml:space="preserve"> supporting the</w:t>
      </w:r>
      <w:r w:rsidRPr="005846B1">
        <w:rPr>
          <w:lang w:val="en-US"/>
        </w:rPr>
        <w:t xml:space="preserve"> performing art</w:t>
      </w:r>
      <w:r>
        <w:rPr>
          <w:lang w:val="en-US"/>
        </w:rPr>
        <w:t>s</w:t>
      </w:r>
      <w:r w:rsidRPr="005846B1">
        <w:rPr>
          <w:lang w:val="en-US"/>
        </w:rPr>
        <w:t xml:space="preserve"> or civil engineering.</w:t>
      </w:r>
    </w:p>
  </w:footnote>
  <w:footnote w:id="26">
    <w:p w14:paraId="49DAAA3D" w14:textId="104AA63E" w:rsidR="006976D7" w:rsidRPr="00E3210F" w:rsidRDefault="006976D7" w:rsidP="00E57A38">
      <w:pPr>
        <w:pStyle w:val="FootnoteText"/>
        <w:spacing w:after="0"/>
        <w:rPr>
          <w:lang w:val="en-US"/>
        </w:rPr>
      </w:pPr>
      <w:r w:rsidRPr="005846B1">
        <w:rPr>
          <w:rStyle w:val="FootnoteReference"/>
        </w:rPr>
        <w:footnoteRef/>
      </w:r>
      <w:r w:rsidRPr="005846B1">
        <w:t xml:space="preserve"> </w:t>
      </w:r>
      <w:r w:rsidRPr="005846B1">
        <w:tab/>
      </w:r>
      <w:r w:rsidRPr="005846B1">
        <w:rPr>
          <w:lang w:val="en"/>
        </w:rPr>
        <w:t xml:space="preserve">Unless otherwise stated, the figures </w:t>
      </w:r>
      <w:r w:rsidR="00EF56C3">
        <w:rPr>
          <w:lang w:val="en"/>
        </w:rPr>
        <w:t>mentioned</w:t>
      </w:r>
      <w:r w:rsidRPr="005846B1">
        <w:rPr>
          <w:lang w:val="en"/>
        </w:rPr>
        <w:t xml:space="preserve"> are Eurostat</w:t>
      </w:r>
      <w:r>
        <w:rPr>
          <w:lang w:val="en"/>
        </w:rPr>
        <w:t xml:space="preserve"> figures</w:t>
      </w:r>
      <w:r w:rsidRPr="005846B1">
        <w:rPr>
          <w:lang w:val="en"/>
        </w:rPr>
        <w:t>.</w:t>
      </w:r>
      <w:r w:rsidR="00E3210F">
        <w:rPr>
          <w:lang w:val="en"/>
        </w:rPr>
        <w:t xml:space="preserve"> For the </w:t>
      </w:r>
      <w:r w:rsidR="00E3210F" w:rsidRPr="00FE7B3F">
        <w:rPr>
          <w:lang w:val="en-US"/>
        </w:rPr>
        <w:t>2019</w:t>
      </w:r>
      <w:r w:rsidR="00E3210F">
        <w:rPr>
          <w:lang w:val="en-US"/>
        </w:rPr>
        <w:t xml:space="preserve"> figure</w:t>
      </w:r>
      <w:r w:rsidR="00E3210F" w:rsidRPr="00FE7B3F">
        <w:rPr>
          <w:lang w:val="en-US"/>
        </w:rPr>
        <w:t>, data is missing for B</w:t>
      </w:r>
      <w:r w:rsidR="00E3210F">
        <w:rPr>
          <w:lang w:val="en-US"/>
        </w:rPr>
        <w:t xml:space="preserve">elgium and France, see: </w:t>
      </w:r>
      <w:hyperlink r:id="rId7" w:history="1">
        <w:r w:rsidR="00E3210F" w:rsidRPr="00FE7B3F">
          <w:rPr>
            <w:rStyle w:val="Hyperlink"/>
            <w:lang w:val="en-US"/>
          </w:rPr>
          <w:t>Authorisations for the purpose of seasonal work by status, length of validity, economic sector and citizenship [migr_ressw1_1]</w:t>
        </w:r>
      </w:hyperlink>
      <w:r w:rsidR="00E3210F">
        <w:rPr>
          <w:lang w:val="en-US"/>
        </w:rPr>
        <w:t>.</w:t>
      </w:r>
    </w:p>
  </w:footnote>
  <w:footnote w:id="27">
    <w:p w14:paraId="64C1C818" w14:textId="36918615" w:rsidR="006976D7" w:rsidRPr="005846B1" w:rsidRDefault="006976D7" w:rsidP="00E57A38">
      <w:pPr>
        <w:pStyle w:val="FootnoteText"/>
        <w:spacing w:after="0"/>
      </w:pPr>
      <w:r w:rsidRPr="005846B1">
        <w:rPr>
          <w:rStyle w:val="FootnoteReference"/>
        </w:rPr>
        <w:footnoteRef/>
      </w:r>
      <w:r w:rsidRPr="005846B1">
        <w:t xml:space="preserve"> </w:t>
      </w:r>
      <w:r w:rsidRPr="005846B1">
        <w:tab/>
      </w:r>
      <w:r w:rsidRPr="005846B1">
        <w:rPr>
          <w:lang w:val="en-US"/>
        </w:rPr>
        <w:t xml:space="preserve">Plus 22 079 </w:t>
      </w:r>
      <w:r>
        <w:rPr>
          <w:lang w:val="en-US"/>
        </w:rPr>
        <w:t>‘</w:t>
      </w:r>
      <w:r w:rsidRPr="005846B1">
        <w:rPr>
          <w:lang w:val="en-US"/>
        </w:rPr>
        <w:t>renewed</w:t>
      </w:r>
      <w:r>
        <w:rPr>
          <w:lang w:val="en-US"/>
        </w:rPr>
        <w:t>’</w:t>
      </w:r>
      <w:r w:rsidRPr="005846B1">
        <w:rPr>
          <w:lang w:val="en-US"/>
        </w:rPr>
        <w:t xml:space="preserve"> decisions, mainly in Austria (19 805), France (1 183) and Croatia (863). Austria</w:t>
      </w:r>
      <w:r w:rsidR="003D0D84">
        <w:rPr>
          <w:lang w:val="en-US"/>
        </w:rPr>
        <w:t xml:space="preserve"> clarified vis-à-vis the Commission services that the </w:t>
      </w:r>
      <w:r w:rsidRPr="005846B1">
        <w:rPr>
          <w:lang w:val="en-IE"/>
        </w:rPr>
        <w:t xml:space="preserve">19 805 renewals </w:t>
      </w:r>
      <w:r>
        <w:rPr>
          <w:lang w:val="en-IE"/>
        </w:rPr>
        <w:t>included</w:t>
      </w:r>
      <w:r w:rsidRPr="005846B1">
        <w:rPr>
          <w:lang w:val="en-IE"/>
        </w:rPr>
        <w:t xml:space="preserve"> 15 397 seasonal permits issued for up to six months for the first time for </w:t>
      </w:r>
      <w:r>
        <w:rPr>
          <w:lang w:val="en-IE"/>
        </w:rPr>
        <w:t>a</w:t>
      </w:r>
      <w:r w:rsidRPr="005846B1">
        <w:rPr>
          <w:lang w:val="en-IE"/>
        </w:rPr>
        <w:t xml:space="preserve"> specific season but not for the first time to </w:t>
      </w:r>
      <w:r>
        <w:rPr>
          <w:lang w:val="en-IE"/>
        </w:rPr>
        <w:t>a specific</w:t>
      </w:r>
      <w:r w:rsidRPr="005846B1">
        <w:rPr>
          <w:lang w:val="en-IE"/>
        </w:rPr>
        <w:t xml:space="preserve"> worker</w:t>
      </w:r>
      <w:r>
        <w:rPr>
          <w:lang w:val="en-IE"/>
        </w:rPr>
        <w:t>,</w:t>
      </w:r>
      <w:r w:rsidRPr="005846B1">
        <w:rPr>
          <w:lang w:val="en-IE"/>
        </w:rPr>
        <w:t xml:space="preserve"> and 4 408 renewals for </w:t>
      </w:r>
      <w:r>
        <w:rPr>
          <w:lang w:val="en-IE"/>
        </w:rPr>
        <w:t>the</w:t>
      </w:r>
      <w:r w:rsidRPr="005846B1">
        <w:rPr>
          <w:lang w:val="en-IE"/>
        </w:rPr>
        <w:t xml:space="preserve"> extension of </w:t>
      </w:r>
      <w:r>
        <w:rPr>
          <w:lang w:val="en-IE"/>
        </w:rPr>
        <w:t xml:space="preserve">a </w:t>
      </w:r>
      <w:r w:rsidRPr="005846B1">
        <w:rPr>
          <w:lang w:val="en-IE"/>
        </w:rPr>
        <w:t xml:space="preserve">stay for a total stay of up to nine months within the </w:t>
      </w:r>
      <w:r>
        <w:rPr>
          <w:lang w:val="en-IE"/>
        </w:rPr>
        <w:t>12-</w:t>
      </w:r>
      <w:r w:rsidRPr="005846B1">
        <w:rPr>
          <w:lang w:val="en-IE"/>
        </w:rPr>
        <w:t>month period.</w:t>
      </w:r>
    </w:p>
  </w:footnote>
  <w:footnote w:id="28">
    <w:p w14:paraId="60D48B16" w14:textId="1058DAEC" w:rsidR="00AF3A40" w:rsidRPr="00AF3A40" w:rsidRDefault="00AF3A40" w:rsidP="00FE7B3F">
      <w:pPr>
        <w:pStyle w:val="FootnoteText"/>
        <w:spacing w:after="0"/>
      </w:pPr>
      <w:r>
        <w:rPr>
          <w:rStyle w:val="FootnoteReference"/>
        </w:rPr>
        <w:footnoteRef/>
      </w:r>
      <w:r>
        <w:t xml:space="preserve"> </w:t>
      </w:r>
      <w:r>
        <w:tab/>
        <w:t>Data for Belgium is missing.</w:t>
      </w:r>
    </w:p>
  </w:footnote>
  <w:footnote w:id="29">
    <w:p w14:paraId="79261AB4"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by </w:t>
      </w:r>
      <w:r>
        <w:t>Belgium</w:t>
      </w:r>
      <w:r w:rsidRPr="005846B1">
        <w:t>, C</w:t>
      </w:r>
      <w:r>
        <w:t xml:space="preserve">yprus </w:t>
      </w:r>
      <w:r w:rsidRPr="005846B1">
        <w:t xml:space="preserve">and </w:t>
      </w:r>
      <w:r>
        <w:t>France</w:t>
      </w:r>
      <w:r w:rsidRPr="005846B1">
        <w:t>.</w:t>
      </w:r>
    </w:p>
  </w:footnote>
  <w:footnote w:id="30">
    <w:p w14:paraId="45DB715D"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For example, in </w:t>
      </w:r>
      <w:r>
        <w:t>Greece</w:t>
      </w:r>
      <w:r w:rsidRPr="005846B1">
        <w:t xml:space="preserve">, </w:t>
      </w:r>
      <w:r>
        <w:rPr>
          <w:lang w:val="en-US"/>
        </w:rPr>
        <w:t>Spain</w:t>
      </w:r>
      <w:r w:rsidRPr="005846B1">
        <w:rPr>
          <w:lang w:val="en-US"/>
        </w:rPr>
        <w:t>, F</w:t>
      </w:r>
      <w:r>
        <w:rPr>
          <w:lang w:val="en-US"/>
        </w:rPr>
        <w:t>rance</w:t>
      </w:r>
      <w:r w:rsidRPr="005846B1">
        <w:rPr>
          <w:lang w:val="en-US"/>
        </w:rPr>
        <w:t xml:space="preserve">. </w:t>
      </w:r>
    </w:p>
  </w:footnote>
  <w:footnote w:id="31">
    <w:p w14:paraId="0E98CDF0"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r>
      <w:r>
        <w:t>Austria</w:t>
      </w:r>
      <w:r w:rsidRPr="005846B1">
        <w:t xml:space="preserve">, </w:t>
      </w:r>
      <w:r>
        <w:rPr>
          <w:lang w:val="en-US"/>
        </w:rPr>
        <w:t>Spain</w:t>
      </w:r>
      <w:r w:rsidRPr="005846B1">
        <w:rPr>
          <w:lang w:val="en-US"/>
        </w:rPr>
        <w:t xml:space="preserve">, </w:t>
      </w:r>
      <w:r>
        <w:rPr>
          <w:lang w:val="en-US"/>
        </w:rPr>
        <w:t>Italy</w:t>
      </w:r>
      <w:r w:rsidRPr="005846B1">
        <w:rPr>
          <w:lang w:val="en-US"/>
        </w:rPr>
        <w:t xml:space="preserve"> and R</w:t>
      </w:r>
      <w:r>
        <w:rPr>
          <w:lang w:val="en-US"/>
        </w:rPr>
        <w:t>omania</w:t>
      </w:r>
      <w:r w:rsidRPr="005846B1">
        <w:rPr>
          <w:lang w:val="en-US"/>
        </w:rPr>
        <w:t>.</w:t>
      </w:r>
    </w:p>
  </w:footnote>
  <w:footnote w:id="32">
    <w:p w14:paraId="172118CD" w14:textId="10463022"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See </w:t>
      </w:r>
      <w:r>
        <w:t>S</w:t>
      </w:r>
      <w:r w:rsidRPr="005846B1">
        <w:t>ection III.2.b. below and</w:t>
      </w:r>
      <w:r>
        <w:t>,</w:t>
      </w:r>
      <w:r w:rsidRPr="005846B1">
        <w:t xml:space="preserve"> </w:t>
      </w:r>
      <w:r>
        <w:t>for</w:t>
      </w:r>
      <w:r w:rsidRPr="005846B1">
        <w:t xml:space="preserve"> more detail</w:t>
      </w:r>
      <w:r>
        <w:t>,</w:t>
      </w:r>
      <w:r w:rsidRPr="005846B1">
        <w:t xml:space="preserve"> the Implementation Report on the Employers Sanctions Directive</w:t>
      </w:r>
      <w:r w:rsidRPr="00935D47">
        <w:t>.</w:t>
      </w:r>
    </w:p>
  </w:footnote>
  <w:footnote w:id="33">
    <w:p w14:paraId="0383EDB4" w14:textId="30927332" w:rsidR="001F0FA8" w:rsidRPr="005B05CB" w:rsidRDefault="001F0FA8" w:rsidP="005B05CB">
      <w:pPr>
        <w:pStyle w:val="FootnoteText"/>
        <w:spacing w:after="0"/>
        <w:rPr>
          <w:lang w:val="en-US"/>
        </w:rPr>
      </w:pPr>
      <w:r>
        <w:rPr>
          <w:rStyle w:val="FootnoteReference"/>
        </w:rPr>
        <w:footnoteRef/>
      </w:r>
      <w:r>
        <w:t xml:space="preserve"> </w:t>
      </w:r>
      <w:r>
        <w:tab/>
      </w:r>
      <w:r>
        <w:rPr>
          <w:lang w:val="en-US"/>
        </w:rPr>
        <w:t>T</w:t>
      </w:r>
      <w:r w:rsidRPr="005B05CB">
        <w:rPr>
          <w:lang w:val="en-US"/>
        </w:rPr>
        <w:t xml:space="preserve">he aggregates were calculated based on available data. There are missing data by sex for </w:t>
      </w:r>
      <w:r>
        <w:rPr>
          <w:lang w:val="en-US"/>
        </w:rPr>
        <w:t>Germany</w:t>
      </w:r>
      <w:r w:rsidRPr="005B05CB">
        <w:rPr>
          <w:lang w:val="en-US"/>
        </w:rPr>
        <w:t xml:space="preserve"> and P</w:t>
      </w:r>
      <w:r>
        <w:rPr>
          <w:lang w:val="en-US"/>
        </w:rPr>
        <w:t>ortugal</w:t>
      </w:r>
      <w:r w:rsidRPr="005B05CB">
        <w:rPr>
          <w:lang w:val="en-US"/>
        </w:rPr>
        <w:t xml:space="preserve"> in 2024.</w:t>
      </w:r>
    </w:p>
  </w:footnote>
  <w:footnote w:id="34">
    <w:p w14:paraId="596350CE" w14:textId="17CB3188" w:rsidR="007D1CD0" w:rsidRPr="005B05CB" w:rsidRDefault="006976D7" w:rsidP="00E57A38">
      <w:pPr>
        <w:pStyle w:val="FootnoteText"/>
        <w:spacing w:after="0"/>
        <w:rPr>
          <w:lang w:val="en-US"/>
        </w:rPr>
      </w:pPr>
      <w:r w:rsidRPr="005846B1">
        <w:rPr>
          <w:rStyle w:val="FootnoteReference"/>
        </w:rPr>
        <w:footnoteRef/>
      </w:r>
      <w:r w:rsidRPr="005846B1">
        <w:t xml:space="preserve"> </w:t>
      </w:r>
      <w:r w:rsidRPr="005846B1">
        <w:tab/>
        <w:t>Women also accounted for sizeable shares in Finland (2 714</w:t>
      </w:r>
      <w:r>
        <w:t xml:space="preserve">, </w:t>
      </w:r>
      <w:r w:rsidRPr="005846B1">
        <w:t>5</w:t>
      </w:r>
      <w:r w:rsidR="00A2065A">
        <w:t>8</w:t>
      </w:r>
      <w:r w:rsidRPr="005846B1">
        <w:t>%)</w:t>
      </w:r>
      <w:r w:rsidR="00A2065A">
        <w:t xml:space="preserve"> of first issued authorisations</w:t>
      </w:r>
      <w:r w:rsidRPr="005846B1">
        <w:t>,</w:t>
      </w:r>
      <w:r w:rsidR="000D5EAB">
        <w:t xml:space="preserve"> Croatia (45%, 7 530),</w:t>
      </w:r>
      <w:r w:rsidRPr="005846B1">
        <w:t xml:space="preserve"> Austria (35%, 2 023), Bulgaria (2 730</w:t>
      </w:r>
      <w:r>
        <w:t xml:space="preserve">, </w:t>
      </w:r>
      <w:r w:rsidRPr="005846B1">
        <w:t>29%), Greece (3 804</w:t>
      </w:r>
      <w:r>
        <w:t xml:space="preserve">, </w:t>
      </w:r>
      <w:r w:rsidRPr="005846B1">
        <w:t>25%).</w:t>
      </w:r>
      <w:r w:rsidR="007D1CD0">
        <w:t xml:space="preserve"> </w:t>
      </w:r>
      <w:r w:rsidR="007D1CD0" w:rsidRPr="005B05CB">
        <w:rPr>
          <w:lang w:val="en-US"/>
        </w:rPr>
        <w:t xml:space="preserve">Italy issued 9 142 </w:t>
      </w:r>
      <w:r w:rsidR="007D1CD0" w:rsidRPr="00EF422F">
        <w:rPr>
          <w:lang w:val="en-IE"/>
        </w:rPr>
        <w:t>authorisations</w:t>
      </w:r>
      <w:r w:rsidR="007D1CD0" w:rsidRPr="005B05CB">
        <w:rPr>
          <w:lang w:val="en-US"/>
        </w:rPr>
        <w:t xml:space="preserve"> for seasonal work to women, yet this represented only 6% of the country’s total.</w:t>
      </w:r>
    </w:p>
  </w:footnote>
  <w:footnote w:id="35">
    <w:p w14:paraId="6E221534" w14:textId="102B7FF1" w:rsidR="006976D7" w:rsidRPr="00D17E71" w:rsidRDefault="006976D7" w:rsidP="00E57A38">
      <w:pPr>
        <w:pStyle w:val="FootnoteText"/>
        <w:spacing w:after="0"/>
        <w:rPr>
          <w:lang w:val="de-DE"/>
        </w:rPr>
      </w:pPr>
      <w:r w:rsidRPr="005846B1">
        <w:rPr>
          <w:rStyle w:val="FootnoteReference"/>
        </w:rPr>
        <w:footnoteRef/>
      </w:r>
      <w:r w:rsidRPr="005846B1">
        <w:rPr>
          <w:lang w:val="en-US"/>
        </w:rPr>
        <w:t xml:space="preserve"> </w:t>
      </w:r>
      <w:r w:rsidRPr="005846B1">
        <w:rPr>
          <w:lang w:val="en-US"/>
        </w:rPr>
        <w:tab/>
      </w:r>
      <w:r>
        <w:rPr>
          <w:lang w:val="en-US"/>
        </w:rPr>
        <w:t>Germany</w:t>
      </w:r>
      <w:r w:rsidRPr="005846B1">
        <w:rPr>
          <w:lang w:val="en-US"/>
        </w:rPr>
        <w:t xml:space="preserve">, </w:t>
      </w:r>
      <w:r w:rsidRPr="005846B1">
        <w:rPr>
          <w:lang w:val="en-IE"/>
        </w:rPr>
        <w:t>which</w:t>
      </w:r>
      <w:r w:rsidRPr="005846B1">
        <w:rPr>
          <w:lang w:val="en-US"/>
        </w:rPr>
        <w:t xml:space="preserve"> applies the Directive for seasonal workers only </w:t>
      </w:r>
      <w:r>
        <w:rPr>
          <w:lang w:val="en-US"/>
        </w:rPr>
        <w:t>by means of</w:t>
      </w:r>
      <w:r w:rsidRPr="005846B1">
        <w:rPr>
          <w:lang w:val="en-US"/>
        </w:rPr>
        <w:t xml:space="preserve"> bilateral schemes with Moldova and Georgia for stays </w:t>
      </w:r>
      <w:r>
        <w:rPr>
          <w:lang w:val="en-US"/>
        </w:rPr>
        <w:t xml:space="preserve">of </w:t>
      </w:r>
      <w:r w:rsidRPr="005846B1">
        <w:rPr>
          <w:lang w:val="en-US"/>
        </w:rPr>
        <w:t xml:space="preserve">up to 90 days administered through the public employment service. </w:t>
      </w:r>
      <w:hyperlink r:id="rId8" w:anchor=":~:text=Eine%20Ferienbesch%C3%A4ftigung%20ist%20f%C3%BCr%20maximal,f%C3%BCr%20Arbeit%20vermittelt%20worden%20sein.">
        <w:r w:rsidRPr="00D17E71">
          <w:rPr>
            <w:rStyle w:val="Hyperlink"/>
            <w:lang w:val="de-DE"/>
          </w:rPr>
          <w:t>Ferienbeschäftigung für. Studierende – Auswärtiges Amt</w:t>
        </w:r>
      </w:hyperlink>
      <w:r w:rsidRPr="00D17E71">
        <w:rPr>
          <w:lang w:val="de-DE"/>
        </w:rPr>
        <w:t>; Expert Council for Integration and Migration (</w:t>
      </w:r>
      <w:r w:rsidRPr="00D17E71">
        <w:rPr>
          <w:i/>
          <w:iCs/>
          <w:lang w:val="de-DE"/>
        </w:rPr>
        <w:t>Sachverständigenrat für Integration und Migration (SVR)</w:t>
      </w:r>
      <w:r w:rsidRPr="00D17E71">
        <w:rPr>
          <w:lang w:val="de-DE"/>
        </w:rPr>
        <w:t>)</w:t>
      </w:r>
      <w:r w:rsidRPr="00D17E71">
        <w:rPr>
          <w:i/>
          <w:iCs/>
          <w:lang w:val="de-DE"/>
        </w:rPr>
        <w:t xml:space="preserve">, </w:t>
      </w:r>
      <w:r w:rsidRPr="00D17E71">
        <w:rPr>
          <w:lang w:val="de-DE"/>
        </w:rPr>
        <w:t>precarious work (</w:t>
      </w:r>
      <w:r w:rsidRPr="00D17E71">
        <w:rPr>
          <w:i/>
          <w:iCs/>
          <w:lang w:val="de-DE"/>
        </w:rPr>
        <w:t>prekäre Beschäftigung</w:t>
      </w:r>
      <w:r w:rsidRPr="00D17E71">
        <w:rPr>
          <w:lang w:val="de-DE"/>
        </w:rPr>
        <w:t>)</w:t>
      </w:r>
      <w:r w:rsidRPr="00D17E71">
        <w:rPr>
          <w:i/>
          <w:iCs/>
          <w:lang w:val="de-DE"/>
        </w:rPr>
        <w:t xml:space="preserve">, </w:t>
      </w:r>
      <w:r w:rsidRPr="00D17E71">
        <w:rPr>
          <w:lang w:val="de-DE"/>
        </w:rPr>
        <w:t>pr</w:t>
      </w:r>
      <w:r>
        <w:rPr>
          <w:lang w:val="de-DE"/>
        </w:rPr>
        <w:t xml:space="preserve">ecarious participation </w:t>
      </w:r>
      <w:r w:rsidRPr="00D17E71">
        <w:rPr>
          <w:lang w:val="de-DE"/>
        </w:rPr>
        <w:t>(</w:t>
      </w:r>
      <w:r w:rsidRPr="00D17E71">
        <w:rPr>
          <w:i/>
          <w:iCs/>
          <w:lang w:val="de-DE"/>
        </w:rPr>
        <w:t>prekäre Teilhabe</w:t>
      </w:r>
      <w:r w:rsidRPr="00D17E71">
        <w:rPr>
          <w:lang w:val="de-DE"/>
        </w:rPr>
        <w:t>), Bericht, 2023.</w:t>
      </w:r>
    </w:p>
  </w:footnote>
  <w:footnote w:id="36">
    <w:p w14:paraId="2C945085" w14:textId="77777777" w:rsidR="006976D7" w:rsidRPr="005846B1" w:rsidRDefault="006976D7" w:rsidP="00E57A38">
      <w:pPr>
        <w:pStyle w:val="FootnoteText"/>
        <w:spacing w:after="0"/>
        <w:rPr>
          <w:lang w:val="en-IE"/>
        </w:rPr>
      </w:pPr>
      <w:r w:rsidRPr="005846B1">
        <w:rPr>
          <w:rFonts w:eastAsiaTheme="minorHAnsi"/>
          <w:kern w:val="2"/>
          <w:vertAlign w:val="superscript"/>
          <w:lang w:val="fr-BE" w:eastAsia="en-US"/>
          <w14:ligatures w14:val="standardContextual"/>
        </w:rPr>
        <w:footnoteRef/>
      </w:r>
      <w:r w:rsidRPr="005846B1">
        <w:rPr>
          <w:rFonts w:asciiTheme="minorHAnsi" w:eastAsiaTheme="minorHAnsi" w:hAnsiTheme="minorHAnsi" w:cstheme="minorBidi"/>
          <w:kern w:val="2"/>
          <w:sz w:val="22"/>
          <w:szCs w:val="22"/>
          <w:lang w:val="en-IE" w:eastAsia="en-US"/>
          <w14:ligatures w14:val="standardContextual"/>
        </w:rPr>
        <w:t xml:space="preserve"> </w:t>
      </w:r>
      <w:r w:rsidRPr="005846B1">
        <w:rPr>
          <w:lang w:val="en-IE"/>
        </w:rPr>
        <w:tab/>
      </w:r>
      <w:r>
        <w:rPr>
          <w:lang w:val="en-IE"/>
        </w:rPr>
        <w:t>Italy</w:t>
      </w:r>
      <w:r w:rsidRPr="005846B1">
        <w:rPr>
          <w:rFonts w:eastAsiaTheme="minorHAnsi"/>
          <w:kern w:val="2"/>
          <w:lang w:val="en-IE" w:eastAsia="en-US"/>
          <w14:ligatures w14:val="standardContextual"/>
        </w:rPr>
        <w:t xml:space="preserve"> and </w:t>
      </w:r>
      <w:r>
        <w:rPr>
          <w:rFonts w:eastAsiaTheme="minorHAnsi"/>
          <w:kern w:val="2"/>
          <w:lang w:val="en-IE" w:eastAsia="en-US"/>
          <w14:ligatures w14:val="standardContextual"/>
        </w:rPr>
        <w:t>Greece</w:t>
      </w:r>
      <w:r w:rsidRPr="005846B1">
        <w:rPr>
          <w:rFonts w:eastAsiaTheme="minorHAnsi"/>
          <w:kern w:val="2"/>
          <w:lang w:val="en-IE" w:eastAsia="en-US"/>
          <w14:ligatures w14:val="standardContextual"/>
        </w:rPr>
        <w:t xml:space="preserve">. Sources: Eurispes, Agromafie, </w:t>
      </w:r>
      <w:r>
        <w:rPr>
          <w:rFonts w:eastAsiaTheme="minorHAnsi"/>
          <w:kern w:val="2"/>
          <w:lang w:val="en-IE" w:eastAsia="en-US"/>
          <w14:ligatures w14:val="standardContextual"/>
        </w:rPr>
        <w:t>Eighth report on agri-food crimes in Italy (</w:t>
      </w:r>
      <w:r w:rsidRPr="005846B1">
        <w:rPr>
          <w:rFonts w:eastAsiaTheme="minorHAnsi"/>
          <w:kern w:val="2"/>
          <w:lang w:val="en-US" w:eastAsia="en-US"/>
          <w14:ligatures w14:val="standardContextual"/>
        </w:rPr>
        <w:t xml:space="preserve">8° </w:t>
      </w:r>
      <w:r w:rsidRPr="00E43751">
        <w:rPr>
          <w:rFonts w:eastAsiaTheme="minorHAnsi"/>
          <w:i/>
          <w:iCs/>
          <w:kern w:val="2"/>
          <w:lang w:val="en-US" w:eastAsia="en-US"/>
          <w14:ligatures w14:val="standardContextual"/>
        </w:rPr>
        <w:t>rapporto sui crimini agroalimentari in Italia</w:t>
      </w:r>
      <w:r>
        <w:rPr>
          <w:rFonts w:eastAsiaTheme="minorHAnsi"/>
          <w:kern w:val="2"/>
          <w:lang w:val="en-US" w:eastAsia="en-US"/>
          <w14:ligatures w14:val="standardContextual"/>
        </w:rPr>
        <w:t>)</w:t>
      </w:r>
      <w:r w:rsidRPr="005846B1">
        <w:rPr>
          <w:rFonts w:eastAsiaTheme="minorHAnsi"/>
          <w:kern w:val="2"/>
          <w:lang w:val="en-US" w:eastAsia="en-US"/>
          <w14:ligatures w14:val="standardContextual"/>
        </w:rPr>
        <w:t xml:space="preserve">, 2025; </w:t>
      </w:r>
      <w:r w:rsidRPr="005846B1">
        <w:rPr>
          <w:rFonts w:eastAsiaTheme="minorHAnsi"/>
          <w:kern w:val="2"/>
          <w:lang w:val="en-IE" w:eastAsia="en-US"/>
          <w14:ligatures w14:val="standardContextual"/>
        </w:rPr>
        <w:t xml:space="preserve">Hoque, Migration Policy Institute, </w:t>
      </w:r>
      <w:r w:rsidRPr="00E43751">
        <w:rPr>
          <w:rFonts w:eastAsiaTheme="minorHAnsi"/>
          <w:i/>
          <w:iCs/>
          <w:kern w:val="2"/>
          <w:lang w:val="en-US" w:eastAsia="en-US"/>
          <w14:ligatures w14:val="standardContextual"/>
        </w:rPr>
        <w:t>Trapped by Italy’s Policy Paradox, Asylum Seekers and Other Migrants Can Fall into Exploitative Farm Labor</w:t>
      </w:r>
      <w:r w:rsidRPr="005846B1">
        <w:rPr>
          <w:rFonts w:eastAsiaTheme="minorHAnsi"/>
          <w:kern w:val="2"/>
          <w:lang w:val="en-US" w:eastAsia="en-US"/>
          <w14:ligatures w14:val="standardContextual"/>
        </w:rPr>
        <w:t xml:space="preserve">, August 2024; Guidi/Berti, </w:t>
      </w:r>
      <w:r>
        <w:rPr>
          <w:rFonts w:eastAsiaTheme="minorHAnsi"/>
          <w:kern w:val="2"/>
          <w:lang w:val="en-US" w:eastAsia="en-US"/>
          <w14:ligatures w14:val="standardContextual"/>
        </w:rPr>
        <w:t>‘</w:t>
      </w:r>
      <w:r w:rsidRPr="00D756F4">
        <w:rPr>
          <w:rFonts w:eastAsiaTheme="minorHAnsi"/>
          <w:kern w:val="2"/>
          <w:lang w:val="en-US" w:eastAsia="en-US"/>
          <w14:ligatures w14:val="standardContextual"/>
        </w:rPr>
        <w:t>Labor exploitation in the Italian agricultural sector: the case of vulnerable migrants in Tuscany</w:t>
      </w:r>
      <w:r>
        <w:rPr>
          <w:rFonts w:eastAsiaTheme="minorHAnsi"/>
          <w:kern w:val="2"/>
          <w:lang w:val="en-US" w:eastAsia="en-US"/>
          <w14:ligatures w14:val="standardContextual"/>
        </w:rPr>
        <w:t>’</w:t>
      </w:r>
      <w:r w:rsidRPr="005846B1">
        <w:rPr>
          <w:rFonts w:eastAsiaTheme="minorHAnsi"/>
          <w:kern w:val="2"/>
          <w:lang w:val="en-US" w:eastAsia="en-US"/>
          <w14:ligatures w14:val="standardContextual"/>
        </w:rPr>
        <w:t xml:space="preserve">, Front Sociol. </w:t>
      </w:r>
      <w:r w:rsidRPr="005846B1">
        <w:rPr>
          <w:rFonts w:eastAsiaTheme="minorHAnsi"/>
          <w:kern w:val="2"/>
          <w:lang w:val="it-IT" w:eastAsia="en-US"/>
          <w14:ligatures w14:val="standardContextual"/>
        </w:rPr>
        <w:t xml:space="preserve">2023 Oct 4; Piovesan, Della Puppa, </w:t>
      </w:r>
      <w:r>
        <w:rPr>
          <w:rFonts w:eastAsiaTheme="minorHAnsi"/>
          <w:kern w:val="2"/>
          <w:lang w:val="it-IT" w:eastAsia="en-US"/>
          <w14:ligatures w14:val="standardContextual"/>
        </w:rPr>
        <w:t>‘</w:t>
      </w:r>
      <w:r w:rsidRPr="00D756F4">
        <w:rPr>
          <w:rFonts w:eastAsiaTheme="minorHAnsi"/>
          <w:kern w:val="2"/>
          <w:lang w:val="it-IT" w:eastAsia="en-US"/>
          <w14:ligatures w14:val="standardContextual"/>
        </w:rPr>
        <w:t>Da richiedenti asilo a lavoratori essenziali</w:t>
      </w:r>
      <w:r>
        <w:rPr>
          <w:rFonts w:eastAsiaTheme="minorHAnsi"/>
          <w:kern w:val="2"/>
          <w:lang w:val="it-IT" w:eastAsia="en-US"/>
          <w14:ligatures w14:val="standardContextual"/>
        </w:rPr>
        <w:t>’</w:t>
      </w:r>
      <w:r>
        <w:rPr>
          <w:rFonts w:eastAsiaTheme="minorHAnsi"/>
          <w:i/>
          <w:iCs/>
          <w:kern w:val="2"/>
          <w:lang w:val="it-IT" w:eastAsia="en-US"/>
          <w14:ligatures w14:val="standardContextual"/>
        </w:rPr>
        <w:t xml:space="preserve"> </w:t>
      </w:r>
      <w:r>
        <w:rPr>
          <w:rFonts w:eastAsiaTheme="minorHAnsi"/>
          <w:kern w:val="2"/>
          <w:lang w:val="it-IT" w:eastAsia="en-US"/>
          <w14:ligatures w14:val="standardContextual"/>
        </w:rPr>
        <w:t>(‘From asylum seekers to essential workers’)</w:t>
      </w:r>
      <w:r w:rsidRPr="005846B1">
        <w:rPr>
          <w:rFonts w:eastAsiaTheme="minorHAnsi"/>
          <w:kern w:val="2"/>
          <w:lang w:val="it-IT" w:eastAsia="en-US"/>
          <w14:ligatures w14:val="standardContextual"/>
        </w:rPr>
        <w:t>, Anno XIV</w:t>
      </w:r>
      <w:r>
        <w:rPr>
          <w:rFonts w:eastAsiaTheme="minorHAnsi"/>
          <w:kern w:val="2"/>
          <w:lang w:val="it-IT" w:eastAsia="en-US"/>
          <w14:ligatures w14:val="standardContextual"/>
        </w:rPr>
        <w:t>,</w:t>
      </w:r>
      <w:r w:rsidRPr="005846B1">
        <w:rPr>
          <w:rFonts w:eastAsiaTheme="minorHAnsi"/>
          <w:kern w:val="2"/>
          <w:lang w:val="it-IT" w:eastAsia="en-US"/>
          <w14:ligatures w14:val="standardContextual"/>
        </w:rPr>
        <w:t xml:space="preserve"> no. 1/2024, </w:t>
      </w:r>
      <w:r w:rsidRPr="00E43751">
        <w:rPr>
          <w:rFonts w:eastAsiaTheme="minorHAnsi"/>
          <w:i/>
          <w:iCs/>
          <w:kern w:val="2"/>
          <w:lang w:val="it-IT" w:eastAsia="en-US"/>
          <w14:ligatures w14:val="standardContextual"/>
        </w:rPr>
        <w:t>Rivista quadrimestrale dell’INAPP</w:t>
      </w:r>
      <w:r>
        <w:rPr>
          <w:rFonts w:eastAsiaTheme="minorHAnsi"/>
          <w:i/>
          <w:iCs/>
          <w:kern w:val="2"/>
          <w:lang w:val="it-IT" w:eastAsia="en-US"/>
          <w14:ligatures w14:val="standardContextual"/>
        </w:rPr>
        <w:t xml:space="preserve"> (Istituto Nazionale per l’Analisi delle Politiche Pubbliche) </w:t>
      </w:r>
      <w:r>
        <w:rPr>
          <w:rFonts w:eastAsiaTheme="minorHAnsi"/>
          <w:kern w:val="2"/>
          <w:lang w:val="it-IT" w:eastAsia="en-US"/>
          <w14:ligatures w14:val="standardContextual"/>
        </w:rPr>
        <w:t>(Quarterly Review of the National Institute for Public Policy Analysis)</w:t>
      </w:r>
      <w:r w:rsidRPr="005846B1">
        <w:rPr>
          <w:rFonts w:eastAsiaTheme="minorHAnsi"/>
          <w:kern w:val="2"/>
          <w:lang w:val="it-IT" w:eastAsia="en-US"/>
          <w14:ligatures w14:val="standardContextual"/>
        </w:rPr>
        <w:t xml:space="preserve">. </w:t>
      </w:r>
      <w:r w:rsidRPr="005846B1">
        <w:rPr>
          <w:rFonts w:eastAsiaTheme="minorHAnsi"/>
          <w:kern w:val="2"/>
          <w:lang w:val="en-IE" w:eastAsia="en-US"/>
          <w14:ligatures w14:val="standardContextual"/>
        </w:rPr>
        <w:t xml:space="preserve">Blouchoutzi/Zaples/Manou/Papathanasiou, </w:t>
      </w:r>
      <w:r>
        <w:rPr>
          <w:rFonts w:eastAsiaTheme="minorHAnsi"/>
          <w:kern w:val="2"/>
          <w:lang w:val="en-IE" w:eastAsia="en-US"/>
          <w14:ligatures w14:val="standardContextual"/>
        </w:rPr>
        <w:t>‘</w:t>
      </w:r>
      <w:r w:rsidRPr="005846B1">
        <w:rPr>
          <w:rFonts w:eastAsiaTheme="minorHAnsi"/>
          <w:kern w:val="2"/>
          <w:lang w:val="en-IE" w:eastAsia="en-US"/>
          <w14:ligatures w14:val="standardContextual"/>
        </w:rPr>
        <w:t>Refugees</w:t>
      </w:r>
      <w:r>
        <w:rPr>
          <w:rFonts w:eastAsiaTheme="minorHAnsi"/>
          <w:kern w:val="2"/>
          <w:lang w:val="en-IE" w:eastAsia="en-US"/>
          <w14:ligatures w14:val="standardContextual"/>
        </w:rPr>
        <w:t>’</w:t>
      </w:r>
      <w:r w:rsidRPr="005846B1">
        <w:rPr>
          <w:rFonts w:eastAsiaTheme="minorHAnsi"/>
          <w:kern w:val="2"/>
          <w:lang w:val="en-IE" w:eastAsia="en-US"/>
          <w14:ligatures w14:val="standardContextual"/>
        </w:rPr>
        <w:t xml:space="preserve"> Settlement in Greece: Employment in Agriculture as a Criterion for an Alternative Dispersal Plan</w:t>
      </w:r>
      <w:r>
        <w:rPr>
          <w:rFonts w:eastAsiaTheme="minorHAnsi"/>
          <w:kern w:val="2"/>
          <w:lang w:val="en-IE" w:eastAsia="en-US"/>
          <w14:ligatures w14:val="standardContextual"/>
        </w:rPr>
        <w:t>’</w:t>
      </w:r>
      <w:r w:rsidRPr="005846B1">
        <w:rPr>
          <w:rFonts w:eastAsiaTheme="minorHAnsi"/>
          <w:kern w:val="2"/>
          <w:lang w:val="en-IE" w:eastAsia="en-US"/>
          <w14:ligatures w14:val="standardContextual"/>
        </w:rPr>
        <w:t xml:space="preserve">, Growth and Change 2025, Volume 56, Issue 2, p. 1; Generation 2.0 RED, SolidarityNow, </w:t>
      </w:r>
      <w:r w:rsidRPr="00E43751">
        <w:rPr>
          <w:rFonts w:eastAsiaTheme="minorHAnsi"/>
          <w:i/>
          <w:iCs/>
          <w:kern w:val="2"/>
          <w:lang w:val="en-IE" w:eastAsia="en-US"/>
          <w14:ligatures w14:val="standardContextual"/>
        </w:rPr>
        <w:t>Revealing the Unseen Migrant Workers</w:t>
      </w:r>
      <w:r w:rsidRPr="005846B1">
        <w:rPr>
          <w:rFonts w:eastAsiaTheme="minorHAnsi"/>
          <w:kern w:val="2"/>
          <w:lang w:val="en-IE" w:eastAsia="en-US"/>
          <w14:ligatures w14:val="standardContextual"/>
        </w:rPr>
        <w:t xml:space="preserve">, </w:t>
      </w:r>
      <w:r>
        <w:rPr>
          <w:rFonts w:eastAsiaTheme="minorHAnsi"/>
          <w:kern w:val="2"/>
          <w:lang w:val="en-IE" w:eastAsia="en-US"/>
          <w14:ligatures w14:val="standardContextual"/>
        </w:rPr>
        <w:t>J</w:t>
      </w:r>
      <w:r w:rsidRPr="005846B1">
        <w:rPr>
          <w:rFonts w:eastAsiaTheme="minorHAnsi"/>
          <w:kern w:val="2"/>
          <w:lang w:val="en-IE" w:eastAsia="en-US"/>
          <w14:ligatures w14:val="standardContextual"/>
        </w:rPr>
        <w:t xml:space="preserve">oint </w:t>
      </w:r>
      <w:r>
        <w:rPr>
          <w:rFonts w:eastAsiaTheme="minorHAnsi"/>
          <w:kern w:val="2"/>
          <w:lang w:val="en-IE" w:eastAsia="en-US"/>
          <w14:ligatures w14:val="standardContextual"/>
        </w:rPr>
        <w:t>R</w:t>
      </w:r>
      <w:r w:rsidRPr="005846B1">
        <w:rPr>
          <w:rFonts w:eastAsiaTheme="minorHAnsi"/>
          <w:kern w:val="2"/>
          <w:lang w:val="en-IE" w:eastAsia="en-US"/>
          <w14:ligatures w14:val="standardContextual"/>
        </w:rPr>
        <w:t xml:space="preserve">esearch </w:t>
      </w:r>
      <w:r>
        <w:rPr>
          <w:rFonts w:eastAsiaTheme="minorHAnsi"/>
          <w:kern w:val="2"/>
          <w:lang w:val="en-IE" w:eastAsia="en-US"/>
          <w14:ligatures w14:val="standardContextual"/>
        </w:rPr>
        <w:t>S</w:t>
      </w:r>
      <w:r w:rsidRPr="005846B1">
        <w:rPr>
          <w:rFonts w:eastAsiaTheme="minorHAnsi"/>
          <w:kern w:val="2"/>
          <w:lang w:val="en-IE" w:eastAsia="en-US"/>
          <w14:ligatures w14:val="standardContextual"/>
        </w:rPr>
        <w:t>tudy, 2025.</w:t>
      </w:r>
    </w:p>
  </w:footnote>
  <w:footnote w:id="37">
    <w:p w14:paraId="3FB2C66C" w14:textId="00CC1D9A" w:rsidR="009D5658" w:rsidRPr="009D5658" w:rsidRDefault="009D5658" w:rsidP="005B05CB">
      <w:pPr>
        <w:pStyle w:val="FootnoteText"/>
        <w:spacing w:after="0"/>
      </w:pPr>
      <w:r>
        <w:rPr>
          <w:rStyle w:val="FootnoteReference"/>
        </w:rPr>
        <w:footnoteRef/>
      </w:r>
      <w:r>
        <w:t xml:space="preserve"> </w:t>
      </w:r>
      <w:r>
        <w:tab/>
        <w:t xml:space="preserve">See </w:t>
      </w:r>
      <w:r w:rsidR="003B6E43" w:rsidRPr="005846B1">
        <w:rPr>
          <w:lang w:val="en-US"/>
        </w:rPr>
        <w:t>Report from the Commission to the European Parliament and the Council on the application of Directive 2009/52/EC of 18 June 2009 providing for minimum standards on sanctions and measures against employers of illegally staying third-country nationals</w:t>
      </w:r>
      <w:r w:rsidR="003B6E43" w:rsidRPr="0064203E">
        <w:rPr>
          <w:lang w:val="en-US"/>
        </w:rPr>
        <w:t>.</w:t>
      </w:r>
    </w:p>
  </w:footnote>
  <w:footnote w:id="38">
    <w:p w14:paraId="50E1D60F"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r>
      <w:r w:rsidRPr="005846B1">
        <w:rPr>
          <w:lang w:val="en-US"/>
        </w:rPr>
        <w:t>Significant numbers of short-stay titles were also issued in Croatia (7 597</w:t>
      </w:r>
      <w:r>
        <w:rPr>
          <w:lang w:val="en-US"/>
        </w:rPr>
        <w:t xml:space="preserve">, </w:t>
      </w:r>
      <w:r w:rsidRPr="005846B1">
        <w:rPr>
          <w:lang w:val="en-US"/>
        </w:rPr>
        <w:t>46%), Poland (1 729</w:t>
      </w:r>
      <w:r>
        <w:rPr>
          <w:lang w:val="en-US"/>
        </w:rPr>
        <w:t xml:space="preserve">, </w:t>
      </w:r>
      <w:r w:rsidRPr="005846B1">
        <w:rPr>
          <w:lang w:val="en-US"/>
        </w:rPr>
        <w:t>34%), Austria (1 944</w:t>
      </w:r>
      <w:r>
        <w:rPr>
          <w:lang w:val="en-US"/>
        </w:rPr>
        <w:t xml:space="preserve">, </w:t>
      </w:r>
      <w:r w:rsidRPr="005846B1">
        <w:rPr>
          <w:lang w:val="en-US"/>
        </w:rPr>
        <w:t xml:space="preserve">34%) and Italy (6 199, </w:t>
      </w:r>
      <w:r>
        <w:rPr>
          <w:lang w:val="en-US"/>
        </w:rPr>
        <w:t>al</w:t>
      </w:r>
      <w:r w:rsidRPr="005846B1">
        <w:rPr>
          <w:lang w:val="en-US"/>
        </w:rPr>
        <w:t xml:space="preserve">though </w:t>
      </w:r>
      <w:r>
        <w:rPr>
          <w:lang w:val="en-US"/>
        </w:rPr>
        <w:t xml:space="preserve">this is </w:t>
      </w:r>
      <w:r w:rsidRPr="005846B1">
        <w:rPr>
          <w:lang w:val="en-US"/>
        </w:rPr>
        <w:t>only 4% of Italy’s total).</w:t>
      </w:r>
    </w:p>
  </w:footnote>
  <w:footnote w:id="39">
    <w:p w14:paraId="02DDCBD4"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Bulgaria</w:t>
      </w:r>
      <w:r w:rsidRPr="005846B1">
        <w:rPr>
          <w:lang w:val="en-US"/>
        </w:rPr>
        <w:t>, C</w:t>
      </w:r>
      <w:r>
        <w:rPr>
          <w:lang w:val="en-US"/>
        </w:rPr>
        <w:t>yprus</w:t>
      </w:r>
      <w:r w:rsidRPr="005846B1">
        <w:rPr>
          <w:lang w:val="en-US"/>
        </w:rPr>
        <w:t xml:space="preserve">, </w:t>
      </w:r>
      <w:r>
        <w:rPr>
          <w:lang w:val="en-US"/>
        </w:rPr>
        <w:t>Greece</w:t>
      </w:r>
      <w:r w:rsidRPr="005846B1">
        <w:rPr>
          <w:lang w:val="en-US"/>
        </w:rPr>
        <w:t>, F</w:t>
      </w:r>
      <w:r>
        <w:rPr>
          <w:lang w:val="en-US"/>
        </w:rPr>
        <w:t>inland</w:t>
      </w:r>
      <w:r w:rsidRPr="005846B1">
        <w:rPr>
          <w:lang w:val="en-US"/>
        </w:rPr>
        <w:t>, I</w:t>
      </w:r>
      <w:r>
        <w:rPr>
          <w:lang w:val="en-US"/>
        </w:rPr>
        <w:t>taly</w:t>
      </w:r>
      <w:r w:rsidRPr="005846B1">
        <w:rPr>
          <w:lang w:val="en-US"/>
        </w:rPr>
        <w:t>, L</w:t>
      </w:r>
      <w:r>
        <w:rPr>
          <w:lang w:val="en-US"/>
        </w:rPr>
        <w:t>uxembourg</w:t>
      </w:r>
      <w:r w:rsidRPr="005846B1">
        <w:rPr>
          <w:lang w:val="en-US"/>
        </w:rPr>
        <w:t>, L</w:t>
      </w:r>
      <w:r>
        <w:rPr>
          <w:lang w:val="en-US"/>
        </w:rPr>
        <w:t xml:space="preserve">atvia </w:t>
      </w:r>
      <w:r w:rsidRPr="005846B1">
        <w:rPr>
          <w:lang w:val="en-US"/>
        </w:rPr>
        <w:t>and P</w:t>
      </w:r>
      <w:r>
        <w:rPr>
          <w:lang w:val="en-US"/>
        </w:rPr>
        <w:t>ortugal</w:t>
      </w:r>
      <w:r w:rsidRPr="005846B1">
        <w:rPr>
          <w:lang w:val="en-US"/>
        </w:rPr>
        <w:t>.</w:t>
      </w:r>
    </w:p>
  </w:footnote>
  <w:footnote w:id="40">
    <w:p w14:paraId="11E13758"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sidRPr="005846B1">
        <w:rPr>
          <w:lang w:val="en-IE"/>
        </w:rPr>
        <w:t>A</w:t>
      </w:r>
      <w:r>
        <w:rPr>
          <w:lang w:val="en-IE"/>
        </w:rPr>
        <w:t>ustria</w:t>
      </w:r>
      <w:r w:rsidRPr="005846B1">
        <w:rPr>
          <w:lang w:val="en-IE"/>
        </w:rPr>
        <w:t xml:space="preserve">, </w:t>
      </w:r>
      <w:r>
        <w:rPr>
          <w:lang w:val="en-IE"/>
        </w:rPr>
        <w:t>Belgium</w:t>
      </w:r>
      <w:r w:rsidRPr="005846B1">
        <w:rPr>
          <w:lang w:val="en-IE"/>
        </w:rPr>
        <w:t xml:space="preserve">, </w:t>
      </w:r>
      <w:r>
        <w:rPr>
          <w:lang w:val="en-IE"/>
        </w:rPr>
        <w:t>Czechia</w:t>
      </w:r>
      <w:r w:rsidRPr="005846B1">
        <w:rPr>
          <w:lang w:val="en-IE"/>
        </w:rPr>
        <w:t xml:space="preserve">, </w:t>
      </w:r>
      <w:r>
        <w:rPr>
          <w:lang w:val="en-IE"/>
        </w:rPr>
        <w:t>Spain</w:t>
      </w:r>
      <w:r w:rsidRPr="005846B1">
        <w:rPr>
          <w:lang w:val="en-IE"/>
        </w:rPr>
        <w:t>, H</w:t>
      </w:r>
      <w:r>
        <w:rPr>
          <w:lang w:val="en-IE"/>
        </w:rPr>
        <w:t>ungary</w:t>
      </w:r>
      <w:r w:rsidRPr="005846B1">
        <w:rPr>
          <w:lang w:val="en-IE"/>
        </w:rPr>
        <w:t>, L</w:t>
      </w:r>
      <w:r>
        <w:rPr>
          <w:lang w:val="en-IE"/>
        </w:rPr>
        <w:t>ithuania</w:t>
      </w:r>
      <w:r w:rsidRPr="005846B1">
        <w:rPr>
          <w:lang w:val="en-IE"/>
        </w:rPr>
        <w:t>, M</w:t>
      </w:r>
      <w:r>
        <w:rPr>
          <w:lang w:val="en-IE"/>
        </w:rPr>
        <w:t>alta</w:t>
      </w:r>
      <w:r w:rsidRPr="005846B1">
        <w:rPr>
          <w:lang w:val="en-IE"/>
        </w:rPr>
        <w:t xml:space="preserve">, </w:t>
      </w:r>
      <w:r>
        <w:rPr>
          <w:lang w:val="en-IE"/>
        </w:rPr>
        <w:t>the Netherlands</w:t>
      </w:r>
      <w:r w:rsidRPr="005846B1">
        <w:rPr>
          <w:lang w:val="en-IE"/>
        </w:rPr>
        <w:t>, P</w:t>
      </w:r>
      <w:r>
        <w:rPr>
          <w:lang w:val="en-IE"/>
        </w:rPr>
        <w:t>oland</w:t>
      </w:r>
      <w:r w:rsidRPr="005846B1">
        <w:rPr>
          <w:lang w:val="en-IE"/>
        </w:rPr>
        <w:t>, R</w:t>
      </w:r>
      <w:r>
        <w:rPr>
          <w:lang w:val="en-IE"/>
        </w:rPr>
        <w:t xml:space="preserve">omania </w:t>
      </w:r>
      <w:r w:rsidRPr="005846B1">
        <w:rPr>
          <w:lang w:val="en-IE"/>
        </w:rPr>
        <w:t>and S</w:t>
      </w:r>
      <w:r>
        <w:rPr>
          <w:lang w:val="en-IE"/>
        </w:rPr>
        <w:t>lovakia</w:t>
      </w:r>
      <w:r w:rsidRPr="005846B1">
        <w:rPr>
          <w:lang w:val="en-IE"/>
        </w:rPr>
        <w:t>.</w:t>
      </w:r>
    </w:p>
  </w:footnote>
  <w:footnote w:id="41">
    <w:p w14:paraId="0814EEB6" w14:textId="77777777" w:rsidR="006976D7" w:rsidRPr="00E43751" w:rsidRDefault="006976D7" w:rsidP="00E57A38">
      <w:pPr>
        <w:pStyle w:val="FootnoteText"/>
        <w:spacing w:after="0"/>
        <w:rPr>
          <w:lang w:val="en-IE"/>
        </w:rPr>
      </w:pPr>
      <w:r w:rsidRPr="005846B1">
        <w:rPr>
          <w:rStyle w:val="FootnoteReference"/>
        </w:rPr>
        <w:footnoteRef/>
      </w:r>
      <w:r w:rsidRPr="00E43751">
        <w:rPr>
          <w:lang w:val="en-IE"/>
        </w:rPr>
        <w:t xml:space="preserve"> </w:t>
      </w:r>
      <w:r w:rsidRPr="00E43751">
        <w:rPr>
          <w:lang w:val="en-IE"/>
        </w:rPr>
        <w:tab/>
        <w:t xml:space="preserve">For example, Cyprus, Germany, </w:t>
      </w:r>
      <w:r>
        <w:rPr>
          <w:lang w:val="en-IE"/>
        </w:rPr>
        <w:t>Estonia</w:t>
      </w:r>
      <w:r w:rsidRPr="00DB5F55">
        <w:rPr>
          <w:lang w:val="en-IE"/>
        </w:rPr>
        <w:t>, F</w:t>
      </w:r>
      <w:r>
        <w:rPr>
          <w:lang w:val="en-IE"/>
        </w:rPr>
        <w:t>inland</w:t>
      </w:r>
      <w:r w:rsidRPr="00DB5F55">
        <w:rPr>
          <w:lang w:val="en-IE"/>
        </w:rPr>
        <w:t xml:space="preserve">, </w:t>
      </w:r>
      <w:r>
        <w:rPr>
          <w:lang w:val="en-IE"/>
        </w:rPr>
        <w:t>Croatia</w:t>
      </w:r>
      <w:r w:rsidRPr="00DB5F55">
        <w:rPr>
          <w:lang w:val="en-IE"/>
        </w:rPr>
        <w:t xml:space="preserve">, </w:t>
      </w:r>
      <w:r>
        <w:rPr>
          <w:lang w:val="en-IE"/>
        </w:rPr>
        <w:t>Sweden</w:t>
      </w:r>
      <w:r w:rsidRPr="00DB5F55">
        <w:rPr>
          <w:lang w:val="en-IE"/>
        </w:rPr>
        <w:t xml:space="preserve"> and S</w:t>
      </w:r>
      <w:r>
        <w:rPr>
          <w:lang w:val="en-IE"/>
        </w:rPr>
        <w:t>lovenia</w:t>
      </w:r>
      <w:r w:rsidRPr="00DB5F55">
        <w:rPr>
          <w:lang w:val="en-IE"/>
        </w:rPr>
        <w:t>.</w:t>
      </w:r>
    </w:p>
  </w:footnote>
  <w:footnote w:id="42">
    <w:p w14:paraId="26166807"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Austria</w:t>
      </w:r>
      <w:r w:rsidRPr="005846B1">
        <w:t xml:space="preserve">, </w:t>
      </w:r>
      <w:r>
        <w:t>Germany</w:t>
      </w:r>
      <w:r w:rsidRPr="005846B1">
        <w:t>, L</w:t>
      </w:r>
      <w:r>
        <w:t>atvia</w:t>
      </w:r>
      <w:r w:rsidRPr="005846B1">
        <w:t xml:space="preserve">, </w:t>
      </w:r>
      <w:r>
        <w:t>Malta</w:t>
      </w:r>
      <w:r w:rsidRPr="005846B1">
        <w:t xml:space="preserve"> and </w:t>
      </w:r>
      <w:r>
        <w:t>the Netherlands</w:t>
      </w:r>
      <w:r w:rsidRPr="005846B1">
        <w:t>.</w:t>
      </w:r>
    </w:p>
  </w:footnote>
  <w:footnote w:id="43">
    <w:p w14:paraId="44A198F4"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r>
      <w:r w:rsidRPr="005846B1">
        <w:rPr>
          <w:lang w:val="en-US"/>
        </w:rPr>
        <w:t xml:space="preserve">For example, </w:t>
      </w:r>
      <w:r>
        <w:rPr>
          <w:lang w:val="en-US"/>
        </w:rPr>
        <w:t>Bulgaria</w:t>
      </w:r>
      <w:r w:rsidRPr="005846B1">
        <w:rPr>
          <w:lang w:val="en-US"/>
        </w:rPr>
        <w:t>, C</w:t>
      </w:r>
      <w:r>
        <w:rPr>
          <w:lang w:val="en-US"/>
        </w:rPr>
        <w:t>yprus</w:t>
      </w:r>
      <w:r w:rsidRPr="005846B1">
        <w:rPr>
          <w:lang w:val="en-US"/>
        </w:rPr>
        <w:t xml:space="preserve">, </w:t>
      </w:r>
      <w:r>
        <w:rPr>
          <w:lang w:val="en-US"/>
        </w:rPr>
        <w:t>Czechia</w:t>
      </w:r>
      <w:r w:rsidRPr="005846B1">
        <w:rPr>
          <w:lang w:val="en-US"/>
        </w:rPr>
        <w:t xml:space="preserve">, </w:t>
      </w:r>
      <w:r>
        <w:rPr>
          <w:lang w:val="en-US"/>
        </w:rPr>
        <w:t>Spain</w:t>
      </w:r>
      <w:r w:rsidRPr="005846B1">
        <w:rPr>
          <w:lang w:val="en-US"/>
        </w:rPr>
        <w:t>, F</w:t>
      </w:r>
      <w:r>
        <w:rPr>
          <w:lang w:val="en-US"/>
        </w:rPr>
        <w:t>inland</w:t>
      </w:r>
      <w:r w:rsidRPr="005846B1">
        <w:rPr>
          <w:lang w:val="en-US"/>
        </w:rPr>
        <w:t>, F</w:t>
      </w:r>
      <w:r>
        <w:rPr>
          <w:lang w:val="en-US"/>
        </w:rPr>
        <w:t>rance</w:t>
      </w:r>
      <w:r w:rsidRPr="005846B1">
        <w:rPr>
          <w:lang w:val="en-US"/>
        </w:rPr>
        <w:t xml:space="preserve">, </w:t>
      </w:r>
      <w:r>
        <w:rPr>
          <w:lang w:val="en-US"/>
        </w:rPr>
        <w:t>Croatia</w:t>
      </w:r>
      <w:r w:rsidRPr="005846B1">
        <w:rPr>
          <w:lang w:val="en-US"/>
        </w:rPr>
        <w:t>, L</w:t>
      </w:r>
      <w:r>
        <w:rPr>
          <w:lang w:val="en-US"/>
        </w:rPr>
        <w:t>ithuania</w:t>
      </w:r>
      <w:r w:rsidRPr="005846B1">
        <w:rPr>
          <w:lang w:val="en-US"/>
        </w:rPr>
        <w:t xml:space="preserve">, </w:t>
      </w:r>
      <w:r>
        <w:rPr>
          <w:lang w:val="en-US"/>
        </w:rPr>
        <w:t>Luxembourg</w:t>
      </w:r>
      <w:r w:rsidRPr="005846B1">
        <w:rPr>
          <w:lang w:val="en-US"/>
        </w:rPr>
        <w:t xml:space="preserve"> and S</w:t>
      </w:r>
      <w:r>
        <w:rPr>
          <w:lang w:val="en-US"/>
        </w:rPr>
        <w:t>lovenia</w:t>
      </w:r>
      <w:r w:rsidRPr="005846B1">
        <w:t xml:space="preserve">. </w:t>
      </w:r>
    </w:p>
  </w:footnote>
  <w:footnote w:id="44">
    <w:p w14:paraId="06759C44" w14:textId="72A54DD9" w:rsidR="006976D7" w:rsidRPr="005846B1" w:rsidRDefault="006976D7" w:rsidP="00E57A38">
      <w:pPr>
        <w:pStyle w:val="FootnoteText"/>
        <w:spacing w:after="0"/>
      </w:pPr>
      <w:r w:rsidRPr="005846B1">
        <w:rPr>
          <w:rStyle w:val="FootnoteReference"/>
        </w:rPr>
        <w:footnoteRef/>
      </w:r>
      <w:r w:rsidRPr="005846B1">
        <w:t xml:space="preserve"> </w:t>
      </w:r>
      <w:r w:rsidRPr="005846B1">
        <w:tab/>
      </w:r>
      <w:r>
        <w:t>Sweden</w:t>
      </w:r>
      <w:r w:rsidRPr="005846B1">
        <w:t xml:space="preserve"> (</w:t>
      </w:r>
      <w:hyperlink r:id="rId9" w:history="1">
        <w:r w:rsidRPr="005846B1">
          <w:rPr>
            <w:rStyle w:val="Hyperlink"/>
            <w:lang w:val="en-US"/>
          </w:rPr>
          <w:t>What does the Swedish Migration Agency do to counteract abuse and crime? – The Swedish Migration Agency</w:t>
        </w:r>
      </w:hyperlink>
      <w:r w:rsidRPr="005846B1">
        <w:t>); F</w:t>
      </w:r>
      <w:r>
        <w:t xml:space="preserve">rance </w:t>
      </w:r>
      <w:r w:rsidRPr="005846B1">
        <w:t xml:space="preserve">reported an application rejection rate of around 40% for seasonal workers from Morocco due to fraud or inadequacy for the job profiles for 2024 during the OECD workshop, </w:t>
      </w:r>
      <w:r>
        <w:t>foot</w:t>
      </w:r>
      <w:r w:rsidRPr="005846B1">
        <w:t>n</w:t>
      </w:r>
      <w:r>
        <w:t>ote</w:t>
      </w:r>
      <w:r w:rsidRPr="005846B1">
        <w:t xml:space="preserve"> </w:t>
      </w:r>
      <w:r>
        <w:fldChar w:fldCharType="begin"/>
      </w:r>
      <w:r>
        <w:instrText xml:space="preserve"> NOTEREF _Ref220418873 \h </w:instrText>
      </w:r>
      <w:r>
        <w:fldChar w:fldCharType="separate"/>
      </w:r>
      <w:r w:rsidR="00764D65">
        <w:t>24</w:t>
      </w:r>
      <w:r>
        <w:fldChar w:fldCharType="end"/>
      </w:r>
      <w:r w:rsidRPr="005846B1">
        <w:t>.</w:t>
      </w:r>
    </w:p>
  </w:footnote>
  <w:footnote w:id="45">
    <w:p w14:paraId="68F88516"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For example, A</w:t>
      </w:r>
      <w:r>
        <w:rPr>
          <w:lang w:val="en-US"/>
        </w:rPr>
        <w:t>ustria</w:t>
      </w:r>
      <w:r w:rsidRPr="005846B1">
        <w:rPr>
          <w:lang w:val="en-US"/>
        </w:rPr>
        <w:t xml:space="preserve">, </w:t>
      </w:r>
      <w:r>
        <w:rPr>
          <w:lang w:val="en-US"/>
        </w:rPr>
        <w:t>Estonia</w:t>
      </w:r>
      <w:r w:rsidRPr="005846B1">
        <w:rPr>
          <w:lang w:val="en-US"/>
        </w:rPr>
        <w:t xml:space="preserve"> and </w:t>
      </w:r>
      <w:r>
        <w:rPr>
          <w:lang w:val="en-US"/>
        </w:rPr>
        <w:t>Lithuania</w:t>
      </w:r>
      <w:r w:rsidRPr="005846B1">
        <w:rPr>
          <w:lang w:val="en-US"/>
        </w:rPr>
        <w:t xml:space="preserve"> (all with prior authorisation to work), C</w:t>
      </w:r>
      <w:r>
        <w:rPr>
          <w:lang w:val="en-US"/>
        </w:rPr>
        <w:t>zechia</w:t>
      </w:r>
      <w:r w:rsidRPr="005846B1">
        <w:rPr>
          <w:lang w:val="en-US"/>
        </w:rPr>
        <w:t xml:space="preserve">, </w:t>
      </w:r>
      <w:r>
        <w:rPr>
          <w:lang w:val="en-US"/>
        </w:rPr>
        <w:t>Greece</w:t>
      </w:r>
      <w:r w:rsidRPr="005846B1">
        <w:rPr>
          <w:lang w:val="en-US"/>
        </w:rPr>
        <w:t xml:space="preserve">, </w:t>
      </w:r>
      <w:r>
        <w:rPr>
          <w:lang w:val="en-US"/>
        </w:rPr>
        <w:t>Latvia</w:t>
      </w:r>
      <w:r w:rsidRPr="005846B1">
        <w:rPr>
          <w:lang w:val="en-US"/>
        </w:rPr>
        <w:t xml:space="preserve"> and P</w:t>
      </w:r>
      <w:r>
        <w:rPr>
          <w:lang w:val="en-US"/>
        </w:rPr>
        <w:t>ortugal</w:t>
      </w:r>
      <w:r w:rsidRPr="005846B1">
        <w:rPr>
          <w:lang w:val="en-US"/>
        </w:rPr>
        <w:t>.</w:t>
      </w:r>
    </w:p>
  </w:footnote>
  <w:footnote w:id="46">
    <w:p w14:paraId="21169986"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For example, C</w:t>
      </w:r>
      <w:r>
        <w:rPr>
          <w:lang w:val="en-US"/>
        </w:rPr>
        <w:t>yprus</w:t>
      </w:r>
      <w:r w:rsidRPr="005846B1">
        <w:rPr>
          <w:lang w:val="en-US"/>
        </w:rPr>
        <w:t xml:space="preserve">, </w:t>
      </w:r>
      <w:r>
        <w:rPr>
          <w:lang w:val="en-US"/>
        </w:rPr>
        <w:t>Finland</w:t>
      </w:r>
      <w:r w:rsidRPr="005846B1">
        <w:rPr>
          <w:lang w:val="en-US"/>
        </w:rPr>
        <w:t xml:space="preserve"> (no additional visa required), S</w:t>
      </w:r>
      <w:r>
        <w:rPr>
          <w:lang w:val="en-US"/>
        </w:rPr>
        <w:t>weden</w:t>
      </w:r>
      <w:r w:rsidRPr="005846B1">
        <w:rPr>
          <w:lang w:val="en-US"/>
        </w:rPr>
        <w:t>, S</w:t>
      </w:r>
      <w:r>
        <w:rPr>
          <w:lang w:val="en-US"/>
        </w:rPr>
        <w:t xml:space="preserve">lovakia </w:t>
      </w:r>
      <w:r w:rsidRPr="005846B1">
        <w:rPr>
          <w:lang w:val="en-US"/>
        </w:rPr>
        <w:t xml:space="preserve">and </w:t>
      </w:r>
      <w:r>
        <w:rPr>
          <w:lang w:val="en-US"/>
        </w:rPr>
        <w:t>Slovenia</w:t>
      </w:r>
      <w:r w:rsidRPr="005846B1">
        <w:rPr>
          <w:lang w:val="en-US"/>
        </w:rPr>
        <w:t>.</w:t>
      </w:r>
    </w:p>
  </w:footnote>
  <w:footnote w:id="47">
    <w:p w14:paraId="7B0C7F2B"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Belgium</w:t>
      </w:r>
      <w:r w:rsidRPr="005846B1">
        <w:rPr>
          <w:lang w:val="en-US"/>
        </w:rPr>
        <w:t xml:space="preserve">, </w:t>
      </w:r>
      <w:r>
        <w:rPr>
          <w:lang w:val="en-US"/>
        </w:rPr>
        <w:t>Bulgaria</w:t>
      </w:r>
      <w:r w:rsidRPr="005846B1">
        <w:rPr>
          <w:lang w:val="en-US"/>
        </w:rPr>
        <w:t xml:space="preserve">, </w:t>
      </w:r>
      <w:r>
        <w:rPr>
          <w:lang w:val="en-US"/>
        </w:rPr>
        <w:t>Germany</w:t>
      </w:r>
      <w:r w:rsidRPr="005846B1">
        <w:rPr>
          <w:lang w:val="en-US"/>
        </w:rPr>
        <w:t xml:space="preserve">, </w:t>
      </w:r>
      <w:r>
        <w:rPr>
          <w:lang w:val="en-US"/>
        </w:rPr>
        <w:t>Spain</w:t>
      </w:r>
      <w:r w:rsidRPr="005846B1">
        <w:rPr>
          <w:lang w:val="en-US"/>
        </w:rPr>
        <w:t>, F</w:t>
      </w:r>
      <w:r>
        <w:rPr>
          <w:lang w:val="en-US"/>
        </w:rPr>
        <w:t>rance</w:t>
      </w:r>
      <w:r w:rsidRPr="005846B1">
        <w:rPr>
          <w:lang w:val="en-US"/>
        </w:rPr>
        <w:t xml:space="preserve">, </w:t>
      </w:r>
      <w:r>
        <w:rPr>
          <w:lang w:val="en-US"/>
        </w:rPr>
        <w:t>Croatia</w:t>
      </w:r>
      <w:r w:rsidRPr="005846B1">
        <w:rPr>
          <w:lang w:val="en-US"/>
        </w:rPr>
        <w:t>, I</w:t>
      </w:r>
      <w:r>
        <w:rPr>
          <w:lang w:val="en-US"/>
        </w:rPr>
        <w:t>taly</w:t>
      </w:r>
      <w:r w:rsidRPr="005846B1">
        <w:rPr>
          <w:lang w:val="en-US"/>
        </w:rPr>
        <w:t>, L</w:t>
      </w:r>
      <w:r>
        <w:rPr>
          <w:lang w:val="en-US"/>
        </w:rPr>
        <w:t>uxembourg</w:t>
      </w:r>
      <w:r w:rsidRPr="005846B1">
        <w:rPr>
          <w:lang w:val="en-US"/>
        </w:rPr>
        <w:t>, M</w:t>
      </w:r>
      <w:r>
        <w:rPr>
          <w:lang w:val="en-US"/>
        </w:rPr>
        <w:t>alta</w:t>
      </w:r>
      <w:r w:rsidRPr="005846B1">
        <w:rPr>
          <w:lang w:val="en-US"/>
        </w:rPr>
        <w:t xml:space="preserve">, </w:t>
      </w:r>
      <w:r>
        <w:rPr>
          <w:lang w:val="en-US"/>
        </w:rPr>
        <w:t>Poland</w:t>
      </w:r>
      <w:r w:rsidRPr="005846B1">
        <w:rPr>
          <w:lang w:val="en-US"/>
        </w:rPr>
        <w:t xml:space="preserve"> and R</w:t>
      </w:r>
      <w:r>
        <w:rPr>
          <w:lang w:val="en-US"/>
        </w:rPr>
        <w:t>omania</w:t>
      </w:r>
      <w:r w:rsidRPr="005846B1">
        <w:rPr>
          <w:lang w:val="en-US"/>
        </w:rPr>
        <w:t>.</w:t>
      </w:r>
    </w:p>
  </w:footnote>
  <w:footnote w:id="48">
    <w:p w14:paraId="29779E7E"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sidRPr="005846B1">
        <w:rPr>
          <w:lang w:val="en-IE"/>
        </w:rPr>
        <w:t>A</w:t>
      </w:r>
      <w:r>
        <w:rPr>
          <w:lang w:val="en-IE"/>
        </w:rPr>
        <w:t>ustria</w:t>
      </w:r>
      <w:r w:rsidRPr="005846B1">
        <w:rPr>
          <w:lang w:val="en-IE"/>
        </w:rPr>
        <w:t xml:space="preserve">, </w:t>
      </w:r>
      <w:r>
        <w:rPr>
          <w:lang w:val="en-IE"/>
        </w:rPr>
        <w:t>Belgium</w:t>
      </w:r>
      <w:r w:rsidRPr="005846B1">
        <w:rPr>
          <w:lang w:val="en-IE"/>
        </w:rPr>
        <w:t xml:space="preserve">, </w:t>
      </w:r>
      <w:r>
        <w:rPr>
          <w:lang w:val="en-IE"/>
        </w:rPr>
        <w:t>Czechia</w:t>
      </w:r>
      <w:r w:rsidRPr="005846B1">
        <w:rPr>
          <w:lang w:val="en-IE"/>
        </w:rPr>
        <w:t xml:space="preserve">, </w:t>
      </w:r>
      <w:r>
        <w:rPr>
          <w:lang w:val="en-IE"/>
        </w:rPr>
        <w:t>Spain</w:t>
      </w:r>
      <w:r w:rsidRPr="005846B1">
        <w:rPr>
          <w:lang w:val="en-IE"/>
        </w:rPr>
        <w:t>, H</w:t>
      </w:r>
      <w:r>
        <w:rPr>
          <w:lang w:val="en-IE"/>
        </w:rPr>
        <w:t>ungary</w:t>
      </w:r>
      <w:r w:rsidRPr="005846B1">
        <w:rPr>
          <w:lang w:val="en-IE"/>
        </w:rPr>
        <w:t>, I</w:t>
      </w:r>
      <w:r>
        <w:rPr>
          <w:lang w:val="en-IE"/>
        </w:rPr>
        <w:t>taly</w:t>
      </w:r>
      <w:r w:rsidRPr="005846B1">
        <w:rPr>
          <w:lang w:val="en-IE"/>
        </w:rPr>
        <w:t>, L</w:t>
      </w:r>
      <w:r>
        <w:rPr>
          <w:lang w:val="en-IE"/>
        </w:rPr>
        <w:t>uxembourg</w:t>
      </w:r>
      <w:r w:rsidRPr="005846B1">
        <w:rPr>
          <w:lang w:val="en-IE"/>
        </w:rPr>
        <w:t>, M</w:t>
      </w:r>
      <w:r>
        <w:rPr>
          <w:lang w:val="en-IE"/>
        </w:rPr>
        <w:t>alta</w:t>
      </w:r>
      <w:r w:rsidRPr="005846B1">
        <w:rPr>
          <w:lang w:val="en-IE"/>
        </w:rPr>
        <w:t>, P</w:t>
      </w:r>
      <w:r>
        <w:rPr>
          <w:lang w:val="en-IE"/>
        </w:rPr>
        <w:t>oland</w:t>
      </w:r>
      <w:r w:rsidRPr="005846B1">
        <w:rPr>
          <w:lang w:val="en-IE"/>
        </w:rPr>
        <w:t>, R</w:t>
      </w:r>
      <w:r>
        <w:rPr>
          <w:lang w:val="en-IE"/>
        </w:rPr>
        <w:t>omania</w:t>
      </w:r>
      <w:r w:rsidRPr="005846B1">
        <w:rPr>
          <w:lang w:val="en-IE"/>
        </w:rPr>
        <w:t>, S</w:t>
      </w:r>
      <w:r>
        <w:rPr>
          <w:lang w:val="en-IE"/>
        </w:rPr>
        <w:t xml:space="preserve">lovenia </w:t>
      </w:r>
      <w:r w:rsidRPr="005846B1">
        <w:rPr>
          <w:lang w:val="en-IE"/>
        </w:rPr>
        <w:t>and S</w:t>
      </w:r>
      <w:r>
        <w:rPr>
          <w:lang w:val="en-IE"/>
        </w:rPr>
        <w:t>lovakia</w:t>
      </w:r>
      <w:r w:rsidRPr="005846B1">
        <w:rPr>
          <w:lang w:val="en-IE"/>
        </w:rPr>
        <w:t>. Also, FI for single permits exceeding six months.</w:t>
      </w:r>
    </w:p>
  </w:footnote>
  <w:footnote w:id="49">
    <w:p w14:paraId="6D0803A4"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Estonia</w:t>
      </w:r>
      <w:r w:rsidRPr="005846B1">
        <w:rPr>
          <w:lang w:val="en-US"/>
        </w:rPr>
        <w:t>, F</w:t>
      </w:r>
      <w:r>
        <w:rPr>
          <w:lang w:val="en-US"/>
        </w:rPr>
        <w:t xml:space="preserve">inland </w:t>
      </w:r>
      <w:r w:rsidRPr="005846B1">
        <w:rPr>
          <w:lang w:val="en-US"/>
        </w:rPr>
        <w:t xml:space="preserve">and </w:t>
      </w:r>
      <w:r>
        <w:rPr>
          <w:lang w:val="en-US"/>
        </w:rPr>
        <w:t>Croatia</w:t>
      </w:r>
      <w:r w:rsidRPr="005846B1">
        <w:rPr>
          <w:lang w:val="en-US"/>
        </w:rPr>
        <w:t>.</w:t>
      </w:r>
    </w:p>
  </w:footnote>
  <w:footnote w:id="50">
    <w:p w14:paraId="6780896F"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Greece</w:t>
      </w:r>
      <w:r w:rsidRPr="005846B1">
        <w:t xml:space="preserve"> and I</w:t>
      </w:r>
      <w:r>
        <w:t>taly</w:t>
      </w:r>
      <w:r w:rsidRPr="005846B1">
        <w:t>.</w:t>
      </w:r>
    </w:p>
  </w:footnote>
  <w:footnote w:id="51">
    <w:p w14:paraId="49256607" w14:textId="6431EE04"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rPr>
          <w:lang w:val="en-US"/>
        </w:rPr>
        <w:tab/>
        <w:t>S</w:t>
      </w:r>
      <w:r>
        <w:rPr>
          <w:lang w:val="en-US"/>
        </w:rPr>
        <w:t xml:space="preserve">mall and </w:t>
      </w:r>
      <w:r w:rsidRPr="005846B1">
        <w:rPr>
          <w:lang w:val="en-US"/>
        </w:rPr>
        <w:t>M</w:t>
      </w:r>
      <w:r>
        <w:rPr>
          <w:lang w:val="en-US"/>
        </w:rPr>
        <w:t xml:space="preserve">edium-sized </w:t>
      </w:r>
      <w:r w:rsidRPr="005846B1">
        <w:rPr>
          <w:lang w:val="en-US"/>
        </w:rPr>
        <w:t>E</w:t>
      </w:r>
      <w:r>
        <w:rPr>
          <w:lang w:val="en-US"/>
        </w:rPr>
        <w:t>nterprises (SME)</w:t>
      </w:r>
      <w:r w:rsidRPr="005846B1">
        <w:rPr>
          <w:lang w:val="en-US"/>
        </w:rPr>
        <w:t xml:space="preserve"> United, Business Europe, </w:t>
      </w:r>
      <w:r>
        <w:rPr>
          <w:lang w:val="en-US"/>
        </w:rPr>
        <w:t>Services of General Interest (</w:t>
      </w:r>
      <w:r w:rsidRPr="005846B1">
        <w:rPr>
          <w:lang w:val="en-US"/>
        </w:rPr>
        <w:t>SGI</w:t>
      </w:r>
      <w:r>
        <w:rPr>
          <w:lang w:val="en-US"/>
        </w:rPr>
        <w:t>)</w:t>
      </w:r>
      <w:r w:rsidRPr="005846B1">
        <w:rPr>
          <w:lang w:val="en-US"/>
        </w:rPr>
        <w:t xml:space="preserve"> Europe, Employers’ Input following the social partner hearing on the Seasonal Workers and Employers Sanctions Directives, 19 December 2025; Targeted study, </w:t>
      </w:r>
      <w:r>
        <w:rPr>
          <w:lang w:val="en-US"/>
        </w:rPr>
        <w:t>foot</w:t>
      </w:r>
      <w:r w:rsidRPr="005846B1">
        <w:rPr>
          <w:lang w:val="en-US"/>
        </w:rPr>
        <w:t>n</w:t>
      </w:r>
      <w:r>
        <w:rPr>
          <w:lang w:val="en-US"/>
        </w:rPr>
        <w:t>ote</w:t>
      </w:r>
      <w:r w:rsidRPr="005846B1">
        <w:rPr>
          <w:lang w:val="en-US"/>
        </w:rPr>
        <w:t xml:space="preserve"> </w:t>
      </w:r>
      <w:r>
        <w:rPr>
          <w:lang w:val="en-US"/>
        </w:rPr>
        <w:fldChar w:fldCharType="begin"/>
      </w:r>
      <w:r>
        <w:rPr>
          <w:lang w:val="en-US"/>
        </w:rPr>
        <w:instrText xml:space="preserve"> NOTEREF _Ref223017783 \h </w:instrText>
      </w:r>
      <w:r>
        <w:rPr>
          <w:lang w:val="en-US"/>
        </w:rPr>
      </w:r>
      <w:r>
        <w:rPr>
          <w:lang w:val="en-US"/>
        </w:rPr>
        <w:fldChar w:fldCharType="separate"/>
      </w:r>
      <w:r w:rsidR="00764D65">
        <w:rPr>
          <w:lang w:val="en-US"/>
        </w:rPr>
        <w:t>10</w:t>
      </w:r>
      <w:r>
        <w:rPr>
          <w:lang w:val="en-US"/>
        </w:rPr>
        <w:fldChar w:fldCharType="end"/>
      </w:r>
      <w:r w:rsidRPr="005846B1">
        <w:rPr>
          <w:lang w:val="en-US"/>
        </w:rPr>
        <w:t>.</w:t>
      </w:r>
    </w:p>
  </w:footnote>
  <w:footnote w:id="52">
    <w:p w14:paraId="3AC7FA4D" w14:textId="77777777" w:rsidR="006976D7" w:rsidRPr="006100D7" w:rsidRDefault="006976D7" w:rsidP="00E57A38">
      <w:pPr>
        <w:pStyle w:val="FootnoteText"/>
        <w:spacing w:after="0"/>
      </w:pPr>
      <w:r>
        <w:rPr>
          <w:rStyle w:val="FootnoteReference"/>
        </w:rPr>
        <w:footnoteRef/>
      </w:r>
      <w:r>
        <w:t xml:space="preserve"> </w:t>
      </w:r>
      <w:r>
        <w:tab/>
      </w:r>
      <w:r w:rsidRPr="006100D7">
        <w:t>Croatia reported that withdrawals occurred where Article</w:t>
      </w:r>
      <w:r>
        <w:t>s</w:t>
      </w:r>
      <w:r w:rsidRPr="006100D7">
        <w:t xml:space="preserve"> 5 and 6 of the Directive were no longer </w:t>
      </w:r>
      <w:r>
        <w:t xml:space="preserve">being </w:t>
      </w:r>
      <w:r w:rsidRPr="006100D7">
        <w:t>complied with</w:t>
      </w:r>
      <w:r>
        <w:t>.</w:t>
      </w:r>
    </w:p>
  </w:footnote>
  <w:footnote w:id="53">
    <w:p w14:paraId="24DA3B0F" w14:textId="75D1ED58"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F</w:t>
      </w:r>
      <w:r>
        <w:rPr>
          <w:lang w:val="en-US"/>
        </w:rPr>
        <w:t>inland</w:t>
      </w:r>
      <w:r w:rsidRPr="005846B1">
        <w:rPr>
          <w:lang w:val="en-US"/>
        </w:rPr>
        <w:t xml:space="preserve">, </w:t>
      </w:r>
      <w:r>
        <w:rPr>
          <w:lang w:val="en-US"/>
        </w:rPr>
        <w:t>Malta</w:t>
      </w:r>
      <w:r w:rsidRPr="005846B1">
        <w:rPr>
          <w:lang w:val="en-US"/>
        </w:rPr>
        <w:t xml:space="preserve"> and </w:t>
      </w:r>
      <w:r>
        <w:rPr>
          <w:lang w:val="en-US"/>
        </w:rPr>
        <w:t>the Netherlands</w:t>
      </w:r>
      <w:r w:rsidRPr="005846B1">
        <w:rPr>
          <w:lang w:val="en-US"/>
        </w:rPr>
        <w:t xml:space="preserve">.  </w:t>
      </w:r>
    </w:p>
  </w:footnote>
  <w:footnote w:id="54">
    <w:p w14:paraId="6318752E" w14:textId="438A0922"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sidRPr="00137972">
        <w:rPr>
          <w:lang w:val="en-US"/>
        </w:rPr>
        <w:t>Greece</w:t>
      </w:r>
      <w:r w:rsidRPr="005846B1">
        <w:rPr>
          <w:lang w:val="en-US"/>
        </w:rPr>
        <w:t xml:space="preserve"> and L</w:t>
      </w:r>
      <w:r>
        <w:rPr>
          <w:lang w:val="en-US"/>
        </w:rPr>
        <w:t>ithuania</w:t>
      </w:r>
      <w:r w:rsidRPr="005846B1">
        <w:rPr>
          <w:lang w:val="en-US"/>
        </w:rPr>
        <w:t>.</w:t>
      </w:r>
    </w:p>
  </w:footnote>
  <w:footnote w:id="55">
    <w:p w14:paraId="3C545189" w14:textId="1CFF8F72" w:rsidR="006976D7" w:rsidRPr="00375F06" w:rsidRDefault="006976D7" w:rsidP="00E57A38">
      <w:pPr>
        <w:pStyle w:val="FootnoteText"/>
        <w:spacing w:after="0"/>
        <w:rPr>
          <w:lang w:val="en-IE"/>
        </w:rPr>
      </w:pPr>
      <w:r w:rsidRPr="005846B1">
        <w:rPr>
          <w:rStyle w:val="FootnoteReference"/>
        </w:rPr>
        <w:footnoteRef/>
      </w:r>
      <w:r w:rsidRPr="005846B1">
        <w:t xml:space="preserve"> </w:t>
      </w:r>
      <w:r w:rsidRPr="005846B1">
        <w:tab/>
        <w:t xml:space="preserve">See for example </w:t>
      </w:r>
      <w:r w:rsidRPr="005846B1">
        <w:rPr>
          <w:lang w:val="en-US"/>
        </w:rPr>
        <w:t xml:space="preserve">Hooper et al., </w:t>
      </w:r>
      <w:r w:rsidRPr="000E5414">
        <w:rPr>
          <w:i/>
          <w:iCs/>
          <w:lang w:val="en-US"/>
        </w:rPr>
        <w:t>Best Practices for Designing and Managing Labour Migration Corridors to Europe</w:t>
      </w:r>
      <w:r w:rsidRPr="005846B1">
        <w:rPr>
          <w:lang w:val="en-US"/>
        </w:rPr>
        <w:t xml:space="preserve">, 2025; </w:t>
      </w:r>
      <w:r w:rsidRPr="005846B1">
        <w:t xml:space="preserve">ELIAMEP, Policy paper164/2024, </w:t>
      </w:r>
      <w:r>
        <w:t>‘</w:t>
      </w:r>
      <w:r w:rsidRPr="005846B1">
        <w:t>Looking for seasonal workers: Greece’s search for migrant labour</w:t>
      </w:r>
      <w:r>
        <w:t>’</w:t>
      </w:r>
      <w:r w:rsidRPr="005846B1">
        <w:t xml:space="preserve">, p. 19; Solidar, </w:t>
      </w:r>
      <w:r w:rsidRPr="000E5414">
        <w:rPr>
          <w:i/>
          <w:iCs/>
          <w:lang w:val="en-US"/>
        </w:rPr>
        <w:t>Realising Fair and Just Working Conditions for Migrant Workers in Europe</w:t>
      </w:r>
      <w:r w:rsidRPr="005846B1">
        <w:rPr>
          <w:lang w:val="en-US"/>
        </w:rPr>
        <w:t>, 2025</w:t>
      </w:r>
      <w:r w:rsidRPr="005846B1">
        <w:t>, p. 23</w:t>
      </w:r>
      <w:r w:rsidRPr="005846B1">
        <w:rPr>
          <w:lang w:val="en-US"/>
        </w:rPr>
        <w:t>. The problem of intermediaries charging seasonal workers high fees for assistance during recruitment was also reported by F</w:t>
      </w:r>
      <w:r>
        <w:rPr>
          <w:lang w:val="en-US"/>
        </w:rPr>
        <w:t xml:space="preserve">rance </w:t>
      </w:r>
      <w:r w:rsidRPr="005846B1">
        <w:rPr>
          <w:lang w:val="en-US"/>
        </w:rPr>
        <w:t xml:space="preserve">during the OECD/NL workshop, </w:t>
      </w:r>
      <w:r>
        <w:rPr>
          <w:lang w:val="en-US"/>
        </w:rPr>
        <w:t>foot</w:t>
      </w:r>
      <w:r w:rsidRPr="005846B1">
        <w:rPr>
          <w:lang w:val="en-US"/>
        </w:rPr>
        <w:t>n</w:t>
      </w:r>
      <w:r>
        <w:rPr>
          <w:lang w:val="en-US"/>
        </w:rPr>
        <w:t>ote</w:t>
      </w:r>
      <w:r w:rsidRPr="005846B1">
        <w:rPr>
          <w:lang w:val="en-US"/>
        </w:rPr>
        <w:t xml:space="preserve"> </w:t>
      </w:r>
      <w:r>
        <w:rPr>
          <w:lang w:val="es-419"/>
        </w:rPr>
        <w:fldChar w:fldCharType="begin"/>
      </w:r>
      <w:r w:rsidRPr="00375F06">
        <w:rPr>
          <w:lang w:val="en-IE"/>
        </w:rPr>
        <w:instrText xml:space="preserve"> NOTEREF _Ref220418873 \h </w:instrText>
      </w:r>
      <w:r>
        <w:rPr>
          <w:lang w:val="es-419"/>
        </w:rPr>
      </w:r>
      <w:r>
        <w:rPr>
          <w:lang w:val="es-419"/>
        </w:rPr>
        <w:fldChar w:fldCharType="separate"/>
      </w:r>
      <w:r w:rsidR="00764D65" w:rsidRPr="00375F06">
        <w:rPr>
          <w:lang w:val="en-IE"/>
        </w:rPr>
        <w:t>24</w:t>
      </w:r>
      <w:r>
        <w:rPr>
          <w:lang w:val="es-419"/>
        </w:rPr>
        <w:fldChar w:fldCharType="end"/>
      </w:r>
      <w:r w:rsidRPr="00375F06">
        <w:rPr>
          <w:lang w:val="en-IE"/>
        </w:rPr>
        <w:t>.</w:t>
      </w:r>
    </w:p>
  </w:footnote>
  <w:footnote w:id="56">
    <w:p w14:paraId="09C8B6DC" w14:textId="77777777" w:rsidR="006976D7" w:rsidRPr="00375F06" w:rsidRDefault="006976D7" w:rsidP="00E57A38">
      <w:pPr>
        <w:pStyle w:val="FootnoteText"/>
        <w:spacing w:after="0"/>
        <w:rPr>
          <w:lang w:val="en-IE"/>
        </w:rPr>
      </w:pPr>
      <w:r w:rsidRPr="005846B1">
        <w:rPr>
          <w:rStyle w:val="FootnoteReference"/>
        </w:rPr>
        <w:footnoteRef/>
      </w:r>
      <w:r w:rsidRPr="00375F06">
        <w:rPr>
          <w:lang w:val="en-IE"/>
        </w:rPr>
        <w:t xml:space="preserve"> </w:t>
      </w:r>
      <w:r w:rsidRPr="00375F06">
        <w:rPr>
          <w:lang w:val="en-IE"/>
        </w:rPr>
        <w:tab/>
        <w:t>For example, Belgium, Cyprus, Czechia, Germany, Estonia, Spain, Finland, France, Hungary, Italy, Luxembourg, Latvia, Malta, the Netherlands, Poland, Portugal, Romania, Sweden and Slovakia.</w:t>
      </w:r>
    </w:p>
  </w:footnote>
  <w:footnote w:id="57">
    <w:p w14:paraId="741BD156" w14:textId="77777777" w:rsidR="006976D7" w:rsidRPr="00375F06" w:rsidRDefault="006976D7" w:rsidP="00E57A38">
      <w:pPr>
        <w:pStyle w:val="FootnoteText"/>
        <w:spacing w:after="0"/>
        <w:rPr>
          <w:lang w:val="en-IE"/>
        </w:rPr>
      </w:pPr>
      <w:r w:rsidRPr="005846B1">
        <w:rPr>
          <w:rStyle w:val="FootnoteReference"/>
        </w:rPr>
        <w:footnoteRef/>
      </w:r>
      <w:r w:rsidRPr="00375F06">
        <w:rPr>
          <w:lang w:val="en-IE"/>
        </w:rPr>
        <w:t xml:space="preserve"> </w:t>
      </w:r>
      <w:r w:rsidRPr="00375F06">
        <w:rPr>
          <w:lang w:val="en-IE"/>
        </w:rPr>
        <w:tab/>
        <w:t>For example, Austria, Belgium, Cyprus, Czechia, Germany, Estonia, Spain, Finland, France, Hungary, Italy, Latvia, Malta, the Netherlands, Poland, Portugal, Romania, Sweden and Slovenia.</w:t>
      </w:r>
    </w:p>
  </w:footnote>
  <w:footnote w:id="58">
    <w:p w14:paraId="6A3AD204" w14:textId="54E73ACE"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rPr>
          <w:lang w:val="en-US"/>
        </w:rPr>
        <w:t>Belgium</w:t>
      </w:r>
      <w:r w:rsidRPr="005846B1">
        <w:rPr>
          <w:lang w:val="en-US"/>
        </w:rPr>
        <w:t xml:space="preserve">, </w:t>
      </w:r>
      <w:r>
        <w:t>Finland</w:t>
      </w:r>
      <w:r w:rsidRPr="005846B1">
        <w:t xml:space="preserve"> and </w:t>
      </w:r>
      <w:r w:rsidRPr="005846B1">
        <w:rPr>
          <w:lang w:val="en-US"/>
        </w:rPr>
        <w:t>I</w:t>
      </w:r>
      <w:r>
        <w:rPr>
          <w:lang w:val="en-US"/>
        </w:rPr>
        <w:t>taly</w:t>
      </w:r>
      <w:r w:rsidRPr="005846B1">
        <w:rPr>
          <w:lang w:val="en-US"/>
        </w:rPr>
        <w:t>.</w:t>
      </w:r>
    </w:p>
  </w:footnote>
  <w:footnote w:id="59">
    <w:p w14:paraId="6D97D45E"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F</w:t>
      </w:r>
      <w:r>
        <w:t>inland</w:t>
      </w:r>
      <w:r w:rsidRPr="005846B1">
        <w:t>.</w:t>
      </w:r>
    </w:p>
  </w:footnote>
  <w:footnote w:id="60">
    <w:p w14:paraId="74BB1015" w14:textId="0100D108" w:rsidR="006976D7" w:rsidRPr="005846B1" w:rsidRDefault="006976D7" w:rsidP="00E57A38">
      <w:pPr>
        <w:pStyle w:val="FootnoteText"/>
        <w:spacing w:after="0"/>
      </w:pPr>
      <w:r w:rsidRPr="005846B1">
        <w:rPr>
          <w:rStyle w:val="FootnoteReference"/>
        </w:rPr>
        <w:footnoteRef/>
      </w:r>
      <w:r w:rsidRPr="005846B1">
        <w:t xml:space="preserve"> </w:t>
      </w:r>
      <w:r w:rsidRPr="005846B1">
        <w:tab/>
      </w:r>
      <w:r>
        <w:t>Belgium</w:t>
      </w:r>
      <w:r w:rsidRPr="005846B1">
        <w:t>.</w:t>
      </w:r>
    </w:p>
  </w:footnote>
  <w:footnote w:id="61">
    <w:p w14:paraId="4764F23C"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For example, A</w:t>
      </w:r>
      <w:r>
        <w:t>ustria</w:t>
      </w:r>
      <w:r w:rsidRPr="005846B1">
        <w:t xml:space="preserve">, </w:t>
      </w:r>
      <w:r>
        <w:t>Spain</w:t>
      </w:r>
      <w:r w:rsidRPr="005846B1">
        <w:t xml:space="preserve">, </w:t>
      </w:r>
      <w:r>
        <w:t>France</w:t>
      </w:r>
      <w:r w:rsidRPr="005846B1">
        <w:t xml:space="preserve"> and </w:t>
      </w:r>
      <w:r>
        <w:t>Portugal</w:t>
      </w:r>
      <w:r w:rsidRPr="005846B1">
        <w:t>.</w:t>
      </w:r>
    </w:p>
  </w:footnote>
  <w:footnote w:id="62">
    <w:p w14:paraId="5351D73B" w14:textId="6812F0FD" w:rsidR="006976D7" w:rsidRPr="005846B1" w:rsidRDefault="006976D7" w:rsidP="00E57A38">
      <w:pPr>
        <w:pStyle w:val="FootnoteText"/>
        <w:spacing w:after="0"/>
      </w:pPr>
      <w:r w:rsidRPr="005846B1">
        <w:rPr>
          <w:rStyle w:val="FootnoteReference"/>
        </w:rPr>
        <w:footnoteRef/>
      </w:r>
      <w:r w:rsidRPr="005846B1">
        <w:t xml:space="preserve"> </w:t>
      </w:r>
      <w:r w:rsidRPr="005846B1">
        <w:tab/>
      </w:r>
      <w:r w:rsidR="00A8577E">
        <w:t>While</w:t>
      </w:r>
      <w:r w:rsidR="002A1368">
        <w:t xml:space="preserve"> </w:t>
      </w:r>
      <w:r>
        <w:t>Austria</w:t>
      </w:r>
      <w:r w:rsidRPr="005846B1">
        <w:t xml:space="preserve"> reported 19 805 issued authorisations as renewed</w:t>
      </w:r>
      <w:r>
        <w:t xml:space="preserve"> ones</w:t>
      </w:r>
      <w:r w:rsidR="003340E3">
        <w:t xml:space="preserve"> to ESTAT</w:t>
      </w:r>
      <w:r w:rsidR="00A8577E">
        <w:t xml:space="preserve">, it </w:t>
      </w:r>
      <w:r w:rsidR="002A1368">
        <w:t>clarified that</w:t>
      </w:r>
      <w:r w:rsidR="00B524E6">
        <w:t xml:space="preserve"> </w:t>
      </w:r>
      <w:r w:rsidRPr="005846B1">
        <w:t xml:space="preserve">15 397 </w:t>
      </w:r>
      <w:r w:rsidR="003340E3">
        <w:t xml:space="preserve">of these </w:t>
      </w:r>
      <w:r w:rsidRPr="005846B1">
        <w:t>authorisations</w:t>
      </w:r>
      <w:r w:rsidRPr="005846B1" w:rsidDel="00305DEE">
        <w:t xml:space="preserve"> </w:t>
      </w:r>
      <w:r w:rsidR="003340E3">
        <w:t xml:space="preserve">were </w:t>
      </w:r>
      <w:r w:rsidRPr="005846B1">
        <w:t>for a repeat</w:t>
      </w:r>
      <w:r w:rsidR="00A8577E">
        <w:t>ed</w:t>
      </w:r>
      <w:r>
        <w:t xml:space="preserve"> </w:t>
      </w:r>
      <w:r w:rsidRPr="005846B1">
        <w:t xml:space="preserve">stay </w:t>
      </w:r>
      <w:r w:rsidR="003340E3">
        <w:t xml:space="preserve">of the same person </w:t>
      </w:r>
      <w:r w:rsidRPr="005846B1">
        <w:t>during a new maximum period</w:t>
      </w:r>
      <w:r w:rsidR="003340E3">
        <w:t>/season, which do</w:t>
      </w:r>
      <w:r w:rsidR="00D260A1">
        <w:t>es</w:t>
      </w:r>
      <w:r w:rsidR="003340E3">
        <w:t xml:space="preserve"> not </w:t>
      </w:r>
      <w:r w:rsidR="00D260A1">
        <w:t xml:space="preserve">qualify as </w:t>
      </w:r>
      <w:r w:rsidR="003340E3">
        <w:t>an extension</w:t>
      </w:r>
      <w:r w:rsidRPr="005846B1">
        <w:t xml:space="preserve">. France (1 183) and Croatia (863) also reported </w:t>
      </w:r>
      <w:r>
        <w:t xml:space="preserve">issuing </w:t>
      </w:r>
      <w:r w:rsidRPr="005846B1">
        <w:t>significant numbers</w:t>
      </w:r>
      <w:r>
        <w:t xml:space="preserve"> of renewed authorisations</w:t>
      </w:r>
      <w:r w:rsidRPr="005846B1">
        <w:t xml:space="preserve">. </w:t>
      </w:r>
    </w:p>
  </w:footnote>
  <w:footnote w:id="63">
    <w:p w14:paraId="05BAD0EC"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rPr>
          <w:lang w:val="en-US"/>
        </w:rPr>
        <w:t xml:space="preserve"> </w:t>
      </w:r>
      <w:r w:rsidRPr="005846B1">
        <w:rPr>
          <w:lang w:val="en-US"/>
        </w:rPr>
        <w:tab/>
      </w:r>
      <w:r>
        <w:rPr>
          <w:bCs/>
        </w:rPr>
        <w:t>Austria</w:t>
      </w:r>
      <w:r w:rsidRPr="005846B1">
        <w:rPr>
          <w:bCs/>
        </w:rPr>
        <w:t xml:space="preserve"> (for visa procedure</w:t>
      </w:r>
      <w:r>
        <w:rPr>
          <w:bCs/>
        </w:rPr>
        <w:t>s</w:t>
      </w:r>
      <w:r w:rsidRPr="005846B1">
        <w:rPr>
          <w:bCs/>
        </w:rPr>
        <w:t xml:space="preserve">), </w:t>
      </w:r>
      <w:r>
        <w:rPr>
          <w:bCs/>
        </w:rPr>
        <w:t>Belgium</w:t>
      </w:r>
      <w:r w:rsidRPr="005846B1">
        <w:rPr>
          <w:bCs/>
        </w:rPr>
        <w:t xml:space="preserve">, </w:t>
      </w:r>
      <w:r>
        <w:rPr>
          <w:bCs/>
        </w:rPr>
        <w:t>Bulgaria</w:t>
      </w:r>
      <w:r w:rsidRPr="005846B1">
        <w:rPr>
          <w:bCs/>
        </w:rPr>
        <w:t xml:space="preserve">, </w:t>
      </w:r>
      <w:r>
        <w:rPr>
          <w:bCs/>
        </w:rPr>
        <w:t>Cyprus</w:t>
      </w:r>
      <w:r w:rsidRPr="005846B1">
        <w:rPr>
          <w:bCs/>
        </w:rPr>
        <w:t xml:space="preserve">, </w:t>
      </w:r>
      <w:r>
        <w:rPr>
          <w:bCs/>
        </w:rPr>
        <w:t>Hungary</w:t>
      </w:r>
      <w:r w:rsidRPr="005846B1">
        <w:rPr>
          <w:bCs/>
        </w:rPr>
        <w:t xml:space="preserve">, </w:t>
      </w:r>
      <w:r>
        <w:rPr>
          <w:bCs/>
        </w:rPr>
        <w:t>Italy</w:t>
      </w:r>
      <w:r w:rsidRPr="005846B1">
        <w:rPr>
          <w:bCs/>
        </w:rPr>
        <w:t xml:space="preserve">, </w:t>
      </w:r>
      <w:r>
        <w:rPr>
          <w:bCs/>
        </w:rPr>
        <w:t>Latvia</w:t>
      </w:r>
      <w:r w:rsidRPr="005846B1">
        <w:rPr>
          <w:bCs/>
        </w:rPr>
        <w:t xml:space="preserve">, </w:t>
      </w:r>
      <w:r>
        <w:rPr>
          <w:bCs/>
        </w:rPr>
        <w:t>Malta</w:t>
      </w:r>
      <w:r w:rsidRPr="005846B1">
        <w:rPr>
          <w:bCs/>
        </w:rPr>
        <w:t>, P</w:t>
      </w:r>
      <w:r>
        <w:rPr>
          <w:bCs/>
        </w:rPr>
        <w:t>ortugal</w:t>
      </w:r>
      <w:r w:rsidRPr="005846B1">
        <w:rPr>
          <w:bCs/>
        </w:rPr>
        <w:t>, S</w:t>
      </w:r>
      <w:r>
        <w:rPr>
          <w:bCs/>
        </w:rPr>
        <w:t>weden</w:t>
      </w:r>
      <w:r w:rsidRPr="005846B1">
        <w:rPr>
          <w:bCs/>
        </w:rPr>
        <w:t xml:space="preserve">, </w:t>
      </w:r>
      <w:r>
        <w:rPr>
          <w:bCs/>
        </w:rPr>
        <w:t>Slovenia</w:t>
      </w:r>
      <w:r w:rsidRPr="005846B1">
        <w:rPr>
          <w:bCs/>
        </w:rPr>
        <w:t xml:space="preserve"> and S</w:t>
      </w:r>
      <w:r>
        <w:rPr>
          <w:bCs/>
        </w:rPr>
        <w:t>lovakia</w:t>
      </w:r>
      <w:r w:rsidRPr="005846B1">
        <w:rPr>
          <w:bCs/>
        </w:rPr>
        <w:t>.</w:t>
      </w:r>
    </w:p>
  </w:footnote>
  <w:footnote w:id="64">
    <w:p w14:paraId="6AEDA315"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r>
      <w:r>
        <w:rPr>
          <w:bCs/>
        </w:rPr>
        <w:t>Austria</w:t>
      </w:r>
      <w:r w:rsidRPr="005846B1">
        <w:rPr>
          <w:bCs/>
        </w:rPr>
        <w:t xml:space="preserve"> (for visa procedure</w:t>
      </w:r>
      <w:r>
        <w:rPr>
          <w:bCs/>
        </w:rPr>
        <w:t>s</w:t>
      </w:r>
      <w:r w:rsidRPr="005846B1">
        <w:rPr>
          <w:bCs/>
        </w:rPr>
        <w:t xml:space="preserve">), </w:t>
      </w:r>
      <w:r>
        <w:rPr>
          <w:bCs/>
        </w:rPr>
        <w:t>Cyprus</w:t>
      </w:r>
      <w:r w:rsidRPr="005846B1">
        <w:rPr>
          <w:bCs/>
        </w:rPr>
        <w:t xml:space="preserve">, </w:t>
      </w:r>
      <w:r>
        <w:rPr>
          <w:bCs/>
        </w:rPr>
        <w:t>Czechia</w:t>
      </w:r>
      <w:r w:rsidRPr="005846B1">
        <w:rPr>
          <w:bCs/>
        </w:rPr>
        <w:t xml:space="preserve">, </w:t>
      </w:r>
      <w:r>
        <w:rPr>
          <w:bCs/>
        </w:rPr>
        <w:t>Germany</w:t>
      </w:r>
      <w:r w:rsidRPr="005846B1">
        <w:rPr>
          <w:bCs/>
        </w:rPr>
        <w:t>, I</w:t>
      </w:r>
      <w:r>
        <w:rPr>
          <w:bCs/>
        </w:rPr>
        <w:t>taly</w:t>
      </w:r>
      <w:r w:rsidRPr="005846B1">
        <w:rPr>
          <w:bCs/>
        </w:rPr>
        <w:t>, M</w:t>
      </w:r>
      <w:r>
        <w:rPr>
          <w:bCs/>
        </w:rPr>
        <w:t>alta</w:t>
      </w:r>
      <w:r w:rsidRPr="005846B1">
        <w:rPr>
          <w:bCs/>
        </w:rPr>
        <w:t xml:space="preserve">, </w:t>
      </w:r>
      <w:r>
        <w:rPr>
          <w:bCs/>
        </w:rPr>
        <w:t>Poland</w:t>
      </w:r>
      <w:r w:rsidRPr="005846B1">
        <w:rPr>
          <w:bCs/>
        </w:rPr>
        <w:t xml:space="preserve"> and P</w:t>
      </w:r>
      <w:r>
        <w:rPr>
          <w:bCs/>
        </w:rPr>
        <w:t>ortugal</w:t>
      </w:r>
      <w:r w:rsidRPr="005846B1">
        <w:rPr>
          <w:bCs/>
        </w:rPr>
        <w:t>.</w:t>
      </w:r>
    </w:p>
  </w:footnote>
  <w:footnote w:id="65">
    <w:p w14:paraId="3996430E"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F</w:t>
      </w:r>
      <w:r>
        <w:rPr>
          <w:lang w:val="en-US"/>
        </w:rPr>
        <w:t>inland</w:t>
      </w:r>
      <w:r w:rsidRPr="005846B1">
        <w:rPr>
          <w:lang w:val="en-US"/>
        </w:rPr>
        <w:t xml:space="preserve">, </w:t>
      </w:r>
      <w:r>
        <w:rPr>
          <w:lang w:val="en-US"/>
        </w:rPr>
        <w:t>Croatia</w:t>
      </w:r>
      <w:r w:rsidRPr="005846B1">
        <w:rPr>
          <w:lang w:val="en-US"/>
        </w:rPr>
        <w:t>, L</w:t>
      </w:r>
      <w:r>
        <w:rPr>
          <w:lang w:val="en-US"/>
        </w:rPr>
        <w:t>uxembourg</w:t>
      </w:r>
      <w:r w:rsidRPr="005846B1">
        <w:rPr>
          <w:lang w:val="en-US"/>
        </w:rPr>
        <w:t xml:space="preserve">, </w:t>
      </w:r>
      <w:r>
        <w:rPr>
          <w:lang w:val="en-US"/>
        </w:rPr>
        <w:t>Malta</w:t>
      </w:r>
      <w:r w:rsidRPr="005846B1">
        <w:rPr>
          <w:lang w:val="en-US"/>
        </w:rPr>
        <w:t xml:space="preserve">, </w:t>
      </w:r>
      <w:r>
        <w:rPr>
          <w:lang w:val="en-US"/>
        </w:rPr>
        <w:t>the Netherlands</w:t>
      </w:r>
      <w:r w:rsidRPr="005846B1">
        <w:rPr>
          <w:lang w:val="en-US"/>
        </w:rPr>
        <w:t xml:space="preserve">, </w:t>
      </w:r>
      <w:r>
        <w:rPr>
          <w:lang w:val="en-US"/>
        </w:rPr>
        <w:t>Portugal</w:t>
      </w:r>
      <w:r w:rsidRPr="005846B1">
        <w:rPr>
          <w:lang w:val="en-US"/>
        </w:rPr>
        <w:t xml:space="preserve"> and R</w:t>
      </w:r>
      <w:r>
        <w:rPr>
          <w:lang w:val="en-US"/>
        </w:rPr>
        <w:t>omania</w:t>
      </w:r>
      <w:r w:rsidRPr="005846B1">
        <w:rPr>
          <w:lang w:val="en-US"/>
        </w:rPr>
        <w:t xml:space="preserve">. </w:t>
      </w:r>
    </w:p>
  </w:footnote>
  <w:footnote w:id="66">
    <w:p w14:paraId="5497559D"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r>
      <w:r>
        <w:rPr>
          <w:lang w:val="en-US"/>
        </w:rPr>
        <w:t>Austria</w:t>
      </w:r>
      <w:r w:rsidRPr="005846B1">
        <w:rPr>
          <w:lang w:val="en-US"/>
        </w:rPr>
        <w:t xml:space="preserve">, </w:t>
      </w:r>
      <w:r>
        <w:rPr>
          <w:lang w:val="en-US"/>
        </w:rPr>
        <w:t>Cyprus</w:t>
      </w:r>
      <w:r w:rsidRPr="005846B1">
        <w:rPr>
          <w:lang w:val="en-US"/>
        </w:rPr>
        <w:t>, F</w:t>
      </w:r>
      <w:r>
        <w:rPr>
          <w:lang w:val="en-US"/>
        </w:rPr>
        <w:t>rance</w:t>
      </w:r>
      <w:r w:rsidRPr="005846B1">
        <w:rPr>
          <w:lang w:val="en-US"/>
        </w:rPr>
        <w:t xml:space="preserve">, </w:t>
      </w:r>
      <w:r>
        <w:rPr>
          <w:lang w:val="en-US"/>
        </w:rPr>
        <w:t>Greece</w:t>
      </w:r>
      <w:r w:rsidRPr="005846B1">
        <w:rPr>
          <w:lang w:val="en-US"/>
        </w:rPr>
        <w:t xml:space="preserve">, </w:t>
      </w:r>
      <w:r>
        <w:rPr>
          <w:lang w:val="en-US"/>
        </w:rPr>
        <w:t>Spain</w:t>
      </w:r>
      <w:r w:rsidRPr="005846B1">
        <w:rPr>
          <w:lang w:val="en-US"/>
        </w:rPr>
        <w:t xml:space="preserve">, </w:t>
      </w:r>
      <w:r>
        <w:rPr>
          <w:lang w:val="en-US"/>
        </w:rPr>
        <w:t>Italy</w:t>
      </w:r>
      <w:r w:rsidRPr="005846B1">
        <w:rPr>
          <w:lang w:val="en-US"/>
        </w:rPr>
        <w:t xml:space="preserve"> and </w:t>
      </w:r>
      <w:r>
        <w:rPr>
          <w:lang w:val="en-US"/>
        </w:rPr>
        <w:t>Poland</w:t>
      </w:r>
      <w:r w:rsidRPr="005846B1">
        <w:rPr>
          <w:lang w:val="en-US"/>
        </w:rPr>
        <w:t xml:space="preserve"> for specific countries of origin.</w:t>
      </w:r>
    </w:p>
  </w:footnote>
  <w:footnote w:id="67">
    <w:p w14:paraId="781318A2" w14:textId="3E6520C8" w:rsidR="00AF0A84" w:rsidRPr="00AF0A84" w:rsidRDefault="00AF0A84" w:rsidP="00EF3906">
      <w:pPr>
        <w:pStyle w:val="FootnoteText"/>
        <w:spacing w:after="0"/>
      </w:pPr>
      <w:r>
        <w:rPr>
          <w:rStyle w:val="FootnoteReference"/>
        </w:rPr>
        <w:footnoteRef/>
      </w:r>
      <w:r>
        <w:t xml:space="preserve"> </w:t>
      </w:r>
      <w:r>
        <w:tab/>
        <w:t xml:space="preserve">France reported this during the OECD/The Netherlands workshop, </w:t>
      </w:r>
      <w:r w:rsidRPr="00803A7A">
        <w:t xml:space="preserve">footnote </w:t>
      </w:r>
      <w:r w:rsidR="00A86AAF" w:rsidRPr="00803A7A">
        <w:fldChar w:fldCharType="begin"/>
      </w:r>
      <w:r w:rsidR="00A86AAF" w:rsidRPr="00803A7A">
        <w:instrText xml:space="preserve"> NOTEREF _Ref220418873 \h </w:instrText>
      </w:r>
      <w:r w:rsidR="00CA2A59" w:rsidRPr="00803A7A">
        <w:instrText xml:space="preserve"> \* MERGEFORMAT </w:instrText>
      </w:r>
      <w:r w:rsidR="00A86AAF" w:rsidRPr="00803A7A">
        <w:fldChar w:fldCharType="separate"/>
      </w:r>
      <w:r w:rsidR="00764D65" w:rsidRPr="00803A7A">
        <w:t>24</w:t>
      </w:r>
      <w:r w:rsidR="00A86AAF" w:rsidRPr="00803A7A">
        <w:fldChar w:fldCharType="end"/>
      </w:r>
      <w:r>
        <w:t>.</w:t>
      </w:r>
    </w:p>
  </w:footnote>
  <w:footnote w:id="68">
    <w:p w14:paraId="4CBC4698" w14:textId="5B819743"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Spain</w:t>
      </w:r>
      <w:r w:rsidRPr="005846B1">
        <w:t xml:space="preserve"> with Morocco (</w:t>
      </w:r>
      <w:r>
        <w:t xml:space="preserve">the </w:t>
      </w:r>
      <w:r w:rsidRPr="005846B1">
        <w:t>GECCO</w:t>
      </w:r>
      <w:r>
        <w:t xml:space="preserve"> p</w:t>
      </w:r>
      <w:r w:rsidRPr="005846B1">
        <w:t>rogram</w:t>
      </w:r>
      <w:r>
        <w:t>me for migrant employment and circular migration</w:t>
      </w:r>
      <w:r w:rsidRPr="005846B1">
        <w:t>)</w:t>
      </w:r>
      <w:r>
        <w:t>, as well as</w:t>
      </w:r>
      <w:r w:rsidRPr="005846B1">
        <w:t xml:space="preserve"> new MoUs (2024) with Mauritania, Gambia and Senegal</w:t>
      </w:r>
      <w:r>
        <w:t>;</w:t>
      </w:r>
      <w:r w:rsidRPr="005846B1">
        <w:t xml:space="preserve"> </w:t>
      </w:r>
      <w:r>
        <w:t>France</w:t>
      </w:r>
      <w:r w:rsidRPr="005846B1">
        <w:t xml:space="preserve"> with Morocco and Tunisia</w:t>
      </w:r>
      <w:r>
        <w:t>;</w:t>
      </w:r>
      <w:r w:rsidRPr="005846B1">
        <w:t xml:space="preserve"> </w:t>
      </w:r>
      <w:r>
        <w:t>Germany</w:t>
      </w:r>
      <w:r w:rsidRPr="005846B1">
        <w:t xml:space="preserve"> with Georgia and Moldova</w:t>
      </w:r>
      <w:r>
        <w:t>;</w:t>
      </w:r>
      <w:r w:rsidRPr="005846B1">
        <w:t xml:space="preserve"> </w:t>
      </w:r>
      <w:r>
        <w:t>Greece</w:t>
      </w:r>
      <w:r w:rsidRPr="005846B1">
        <w:t xml:space="preserve"> with Egypt and Bangladesh</w:t>
      </w:r>
      <w:r>
        <w:t>,</w:t>
      </w:r>
      <w:r w:rsidRPr="005846B1">
        <w:t xml:space="preserve"> and</w:t>
      </w:r>
      <w:r>
        <w:t>,</w:t>
      </w:r>
      <w:r w:rsidRPr="005846B1">
        <w:t xml:space="preserve"> currently </w:t>
      </w:r>
      <w:r>
        <w:t xml:space="preserve">under </w:t>
      </w:r>
      <w:r w:rsidRPr="005846B1">
        <w:t>negotiat</w:t>
      </w:r>
      <w:r>
        <w:t xml:space="preserve">ion, </w:t>
      </w:r>
      <w:r w:rsidRPr="005846B1">
        <w:t xml:space="preserve">MoUs </w:t>
      </w:r>
      <w:r>
        <w:t>on</w:t>
      </w:r>
      <w:r w:rsidRPr="005846B1">
        <w:t xml:space="preserve"> labour mobility, including </w:t>
      </w:r>
      <w:r>
        <w:t>in</w:t>
      </w:r>
      <w:r w:rsidRPr="005846B1">
        <w:t xml:space="preserve"> tourism and agriculture, with </w:t>
      </w:r>
      <w:r w:rsidRPr="005846B1">
        <w:rPr>
          <w:lang w:val="en-US"/>
        </w:rPr>
        <w:t>Armenia, Georgia, Moldova, India, the Philippines and Vietnam</w:t>
      </w:r>
      <w:r>
        <w:t>;</w:t>
      </w:r>
      <w:r w:rsidRPr="005846B1">
        <w:t xml:space="preserve"> </w:t>
      </w:r>
      <w:r>
        <w:t>Portugal</w:t>
      </w:r>
      <w:r w:rsidRPr="005846B1">
        <w:t xml:space="preserve"> </w:t>
      </w:r>
      <w:r w:rsidR="00331295">
        <w:t xml:space="preserve">has general labour mobility agreements </w:t>
      </w:r>
      <w:r w:rsidRPr="005846B1">
        <w:t>with India</w:t>
      </w:r>
      <w:r w:rsidR="00331295">
        <w:t>,</w:t>
      </w:r>
      <w:r w:rsidRPr="005846B1">
        <w:t xml:space="preserve"> Morocco </w:t>
      </w:r>
      <w:r w:rsidR="00331295">
        <w:t xml:space="preserve">and </w:t>
      </w:r>
      <w:r w:rsidRPr="005846B1">
        <w:t xml:space="preserve">the </w:t>
      </w:r>
      <w:r w:rsidRPr="005846B1">
        <w:rPr>
          <w:lang w:val="en-US"/>
        </w:rPr>
        <w:t>community of Portuguese-speaking countries</w:t>
      </w:r>
      <w:r w:rsidR="00851C7E">
        <w:rPr>
          <w:lang w:val="en-US"/>
        </w:rPr>
        <w:t xml:space="preserve"> that include</w:t>
      </w:r>
      <w:r w:rsidR="00331295">
        <w:rPr>
          <w:lang w:val="en-US"/>
        </w:rPr>
        <w:t xml:space="preserve"> seasonal workers</w:t>
      </w:r>
      <w:r w:rsidRPr="005846B1">
        <w:t xml:space="preserve">; </w:t>
      </w:r>
      <w:r>
        <w:t>Italy</w:t>
      </w:r>
      <w:r w:rsidRPr="005846B1">
        <w:t xml:space="preserve"> with Morocco.</w:t>
      </w:r>
    </w:p>
  </w:footnote>
  <w:footnote w:id="69">
    <w:p w14:paraId="5BC8E660" w14:textId="49CC3854" w:rsidR="00952D7E" w:rsidRPr="00952D7E" w:rsidRDefault="00952D7E" w:rsidP="00EF3906">
      <w:pPr>
        <w:pStyle w:val="FootnoteText"/>
        <w:spacing w:after="0"/>
      </w:pPr>
      <w:r>
        <w:rPr>
          <w:rStyle w:val="FootnoteReference"/>
        </w:rPr>
        <w:footnoteRef/>
      </w:r>
      <w:r>
        <w:t xml:space="preserve"> </w:t>
      </w:r>
      <w:r>
        <w:tab/>
        <w:t xml:space="preserve">See </w:t>
      </w:r>
      <w:hyperlink r:id="rId10" w:history="1">
        <w:r w:rsidRPr="00EF3906">
          <w:rPr>
            <w:rStyle w:val="Hyperlink"/>
            <w:lang w:val="en-US"/>
          </w:rPr>
          <w:t>Talent Partnerships - Migration and Home Affairs - European Commission</w:t>
        </w:r>
      </w:hyperlink>
      <w:r>
        <w:t>.</w:t>
      </w:r>
    </w:p>
  </w:footnote>
  <w:footnote w:id="70">
    <w:p w14:paraId="61D22D74" w14:textId="381E22F0" w:rsidR="00EB3D28" w:rsidRPr="00EB3D28" w:rsidRDefault="00EB3D28" w:rsidP="00EF3906">
      <w:pPr>
        <w:pStyle w:val="FootnoteText"/>
        <w:spacing w:after="0"/>
      </w:pPr>
      <w:r>
        <w:rPr>
          <w:rStyle w:val="FootnoteReference"/>
        </w:rPr>
        <w:footnoteRef/>
      </w:r>
      <w:r>
        <w:t xml:space="preserve"> </w:t>
      </w:r>
      <w:r>
        <w:tab/>
        <w:t xml:space="preserve">See </w:t>
      </w:r>
      <w:hyperlink r:id="rId11" w:history="1">
        <w:r w:rsidRPr="00EF3906">
          <w:rPr>
            <w:rStyle w:val="Hyperlink"/>
            <w:lang w:val="en-US"/>
          </w:rPr>
          <w:t>Towards 2030: A Joint European Union-India Comprehensive Strategic Agenda</w:t>
        </w:r>
      </w:hyperlink>
      <w:r>
        <w:t xml:space="preserve">. </w:t>
      </w:r>
    </w:p>
  </w:footnote>
  <w:footnote w:id="71">
    <w:p w14:paraId="6DED17E6" w14:textId="77777777" w:rsidR="006976D7" w:rsidRPr="005846B1" w:rsidRDefault="006976D7" w:rsidP="00E57A38">
      <w:pPr>
        <w:pStyle w:val="FootnoteText"/>
        <w:spacing w:after="0"/>
        <w:rPr>
          <w:vertAlign w:val="superscript"/>
          <w:lang w:val="en-US"/>
        </w:rPr>
      </w:pPr>
      <w:r w:rsidRPr="005846B1">
        <w:rPr>
          <w:vertAlign w:val="superscript"/>
        </w:rPr>
        <w:footnoteRef/>
      </w:r>
      <w:r w:rsidRPr="005846B1">
        <w:rPr>
          <w:vertAlign w:val="superscript"/>
          <w:lang w:val="en-IE"/>
        </w:rPr>
        <w:t xml:space="preserve"> </w:t>
      </w:r>
      <w:r w:rsidRPr="005846B1">
        <w:rPr>
          <w:vertAlign w:val="superscript"/>
          <w:lang w:val="en-IE"/>
        </w:rPr>
        <w:tab/>
      </w:r>
      <w:r>
        <w:rPr>
          <w:lang w:val="en-US"/>
        </w:rPr>
        <w:t>For example,</w:t>
      </w:r>
      <w:r w:rsidRPr="005846B1">
        <w:rPr>
          <w:lang w:val="en-US"/>
        </w:rPr>
        <w:t xml:space="preserve"> the EU-funded WAFIRA (2021</w:t>
      </w:r>
      <w:r>
        <w:rPr>
          <w:lang w:val="en-US"/>
        </w:rPr>
        <w:t>-</w:t>
      </w:r>
      <w:r w:rsidRPr="005846B1">
        <w:rPr>
          <w:lang w:val="en-US"/>
        </w:rPr>
        <w:t>2025) and WAFIRA II (2025</w:t>
      </w:r>
      <w:r>
        <w:rPr>
          <w:lang w:val="en-US"/>
        </w:rPr>
        <w:t>-</w:t>
      </w:r>
      <w:r w:rsidRPr="005846B1">
        <w:rPr>
          <w:lang w:val="en-US"/>
        </w:rPr>
        <w:t xml:space="preserve">2028, extended to France) projects co-funded under AMIF scale up ethical recruitment, </w:t>
      </w:r>
      <w:r>
        <w:rPr>
          <w:lang w:val="en-US"/>
        </w:rPr>
        <w:t xml:space="preserve">the protection of workers’ </w:t>
      </w:r>
      <w:r w:rsidRPr="005846B1">
        <w:rPr>
          <w:lang w:val="en-US"/>
        </w:rPr>
        <w:t xml:space="preserve">rights, return and circularity through reintegration support for Moroccan </w:t>
      </w:r>
      <w:r>
        <w:rPr>
          <w:lang w:val="en-US"/>
        </w:rPr>
        <w:t>female</w:t>
      </w:r>
      <w:r w:rsidRPr="005846B1">
        <w:rPr>
          <w:lang w:val="en-US"/>
        </w:rPr>
        <w:t xml:space="preserve"> seasonal workers.</w:t>
      </w:r>
    </w:p>
  </w:footnote>
  <w:footnote w:id="72">
    <w:p w14:paraId="3BBAB4DC" w14:textId="686733A4" w:rsidR="006976D7" w:rsidRPr="005846B1" w:rsidRDefault="006976D7" w:rsidP="00E57A38">
      <w:pPr>
        <w:pStyle w:val="FootnoteText"/>
        <w:spacing w:after="0"/>
        <w:rPr>
          <w:lang w:val="en-US"/>
        </w:rPr>
      </w:pPr>
      <w:r w:rsidRPr="005846B1">
        <w:rPr>
          <w:rStyle w:val="FootnoteReference"/>
        </w:rPr>
        <w:footnoteRef/>
      </w:r>
      <w:r>
        <w:t xml:space="preserve"> </w:t>
      </w:r>
      <w:r>
        <w:tab/>
      </w:r>
      <w:r w:rsidRPr="1E4E2A4F">
        <w:rPr>
          <w:lang w:val="en-US"/>
        </w:rPr>
        <w:t xml:space="preserve">To be delivered in 2026, </w:t>
      </w:r>
      <w:hyperlink r:id="rId12" w:history="1">
        <w:r w:rsidRPr="1E4E2A4F">
          <w:rPr>
            <w:rStyle w:val="Hyperlink"/>
            <w:lang w:val="en-US"/>
          </w:rPr>
          <w:t xml:space="preserve">Seasonal and fair employment blueprints </w:t>
        </w:r>
        <w:r>
          <w:rPr>
            <w:rStyle w:val="Hyperlink"/>
            <w:lang w:val="en-US"/>
          </w:rPr>
          <w:t>–</w:t>
        </w:r>
        <w:r w:rsidRPr="1E4E2A4F">
          <w:rPr>
            <w:rStyle w:val="Hyperlink"/>
            <w:lang w:val="en-US"/>
          </w:rPr>
          <w:t xml:space="preserve"> ICMPD</w:t>
        </w:r>
      </w:hyperlink>
      <w:r w:rsidRPr="1E4E2A4F">
        <w:rPr>
          <w:lang w:val="en-US"/>
        </w:rPr>
        <w:t>.</w:t>
      </w:r>
    </w:p>
  </w:footnote>
  <w:footnote w:id="73">
    <w:p w14:paraId="04B941C1" w14:textId="7ECAD235"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SafeHabitus, </w:t>
      </w:r>
      <w:r>
        <w:rPr>
          <w:lang w:val="en-US"/>
        </w:rPr>
        <w:t>‘</w:t>
      </w:r>
      <w:r w:rsidRPr="005846B1">
        <w:rPr>
          <w:lang w:val="en-US"/>
        </w:rPr>
        <w:t>Seasonal and migrant workers in agri-food value chains</w:t>
      </w:r>
      <w:r>
        <w:rPr>
          <w:lang w:val="en-US"/>
        </w:rPr>
        <w:t>’</w:t>
      </w:r>
      <w:r w:rsidRPr="005846B1">
        <w:rPr>
          <w:lang w:val="en-US"/>
        </w:rPr>
        <w:t xml:space="preserve">, Policy briefing, 2025, pp. 1-2; Targeted study, </w:t>
      </w:r>
      <w:r>
        <w:rPr>
          <w:lang w:val="en-US"/>
        </w:rPr>
        <w:t>footnote</w:t>
      </w:r>
      <w:r w:rsidRPr="005846B1">
        <w:rPr>
          <w:lang w:val="en-US"/>
        </w:rPr>
        <w:t xml:space="preserve"> </w:t>
      </w:r>
      <w:r>
        <w:rPr>
          <w:lang w:val="en-US"/>
        </w:rPr>
        <w:fldChar w:fldCharType="begin"/>
      </w:r>
      <w:r>
        <w:rPr>
          <w:lang w:val="en-US"/>
        </w:rPr>
        <w:instrText xml:space="preserve"> NOTEREF _Ref223017783 \h </w:instrText>
      </w:r>
      <w:r>
        <w:rPr>
          <w:lang w:val="en-US"/>
        </w:rPr>
      </w:r>
      <w:r>
        <w:rPr>
          <w:lang w:val="en-US"/>
        </w:rPr>
        <w:fldChar w:fldCharType="separate"/>
      </w:r>
      <w:r w:rsidR="00764D65">
        <w:rPr>
          <w:lang w:val="en-US"/>
        </w:rPr>
        <w:t>10</w:t>
      </w:r>
      <w:r>
        <w:rPr>
          <w:lang w:val="en-US"/>
        </w:rPr>
        <w:fldChar w:fldCharType="end"/>
      </w:r>
      <w:r w:rsidRPr="005846B1">
        <w:rPr>
          <w:lang w:val="en-US"/>
        </w:rPr>
        <w:t>.</w:t>
      </w:r>
    </w:p>
  </w:footnote>
  <w:footnote w:id="74">
    <w:p w14:paraId="521C36D2"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See López-Sala/Molinero-Gerbeau, </w:t>
      </w:r>
      <w:r>
        <w:rPr>
          <w:lang w:val="en-US"/>
        </w:rPr>
        <w:t>‘</w:t>
      </w:r>
      <w:r w:rsidRPr="005846B1">
        <w:rPr>
          <w:lang w:val="en-US"/>
        </w:rPr>
        <w:t>Coming out of the shadows? Housing conditions of irregular migrant workers in Spanish agricultural enclaves</w:t>
      </w:r>
      <w:r>
        <w:rPr>
          <w:lang w:val="en-US"/>
        </w:rPr>
        <w:t>’</w:t>
      </w:r>
      <w:r w:rsidRPr="005846B1">
        <w:rPr>
          <w:lang w:val="en-US"/>
        </w:rPr>
        <w:t xml:space="preserve">, </w:t>
      </w:r>
      <w:r w:rsidRPr="000E5414">
        <w:rPr>
          <w:i/>
          <w:iCs/>
          <w:lang w:val="en-US"/>
        </w:rPr>
        <w:t>Revista Calitatea Vieții</w:t>
      </w:r>
      <w:r w:rsidRPr="005846B1">
        <w:rPr>
          <w:lang w:val="en-US"/>
        </w:rPr>
        <w:t xml:space="preserve"> 33(2), p. 1 </w:t>
      </w:r>
      <w:r>
        <w:rPr>
          <w:lang w:val="en-US"/>
        </w:rPr>
        <w:t>and following</w:t>
      </w:r>
      <w:r w:rsidRPr="005846B1">
        <w:rPr>
          <w:lang w:val="en-US"/>
        </w:rPr>
        <w:t>.</w:t>
      </w:r>
    </w:p>
  </w:footnote>
  <w:footnote w:id="75">
    <w:p w14:paraId="1F6FE87D" w14:textId="73CF2CAE"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During the consultation activities listed in </w:t>
      </w:r>
      <w:r>
        <w:t>footnotes</w:t>
      </w:r>
      <w:r w:rsidRPr="005846B1">
        <w:t xml:space="preserve"> </w:t>
      </w:r>
      <w:r>
        <w:fldChar w:fldCharType="begin"/>
      </w:r>
      <w:r>
        <w:instrText xml:space="preserve"> NOTEREF _Ref220421249 \h </w:instrText>
      </w:r>
      <w:r>
        <w:fldChar w:fldCharType="separate"/>
      </w:r>
      <w:r w:rsidR="00764D65">
        <w:t>23</w:t>
      </w:r>
      <w:r>
        <w:fldChar w:fldCharType="end"/>
      </w:r>
      <w:r w:rsidRPr="005846B1">
        <w:t xml:space="preserve">and </w:t>
      </w:r>
      <w:r>
        <w:fldChar w:fldCharType="begin"/>
      </w:r>
      <w:r>
        <w:instrText xml:space="preserve"> NOTEREF _Ref220418873 \h </w:instrText>
      </w:r>
      <w:r>
        <w:fldChar w:fldCharType="separate"/>
      </w:r>
      <w:r w:rsidR="00764D65">
        <w:t>24</w:t>
      </w:r>
      <w:r>
        <w:fldChar w:fldCharType="end"/>
      </w:r>
      <w:r w:rsidRPr="005846B1">
        <w:t xml:space="preserve">. See also </w:t>
      </w:r>
      <w:r w:rsidRPr="005846B1">
        <w:rPr>
          <w:lang w:val="en-US"/>
        </w:rPr>
        <w:t xml:space="preserve">SME United, Business Europe, SGI Europe, </w:t>
      </w:r>
      <w:r>
        <w:rPr>
          <w:lang w:val="en-US"/>
        </w:rPr>
        <w:t>footnote</w:t>
      </w:r>
      <w:r w:rsidRPr="005846B1">
        <w:rPr>
          <w:lang w:val="en-US"/>
        </w:rPr>
        <w:t xml:space="preserve"> </w:t>
      </w:r>
      <w:r w:rsidRPr="005846B1">
        <w:rPr>
          <w:lang w:val="en-US"/>
        </w:rPr>
        <w:fldChar w:fldCharType="begin"/>
      </w:r>
      <w:r w:rsidRPr="005846B1">
        <w:rPr>
          <w:lang w:val="en-US"/>
        </w:rPr>
        <w:instrText xml:space="preserve"> NOTEREF _Ref220419113 \h </w:instrText>
      </w:r>
      <w:r w:rsidRPr="00935D47">
        <w:rPr>
          <w:lang w:val="en-US"/>
        </w:rPr>
        <w:instrText xml:space="preserve"> \* MERGEFORMAT </w:instrText>
      </w:r>
      <w:r w:rsidRPr="005846B1">
        <w:rPr>
          <w:lang w:val="en-US"/>
        </w:rPr>
      </w:r>
      <w:r w:rsidRPr="005846B1">
        <w:rPr>
          <w:lang w:val="en-US"/>
        </w:rPr>
        <w:fldChar w:fldCharType="separate"/>
      </w:r>
      <w:r w:rsidR="00764D65">
        <w:rPr>
          <w:lang w:val="en-US"/>
        </w:rPr>
        <w:t>56</w:t>
      </w:r>
      <w:r w:rsidRPr="005846B1">
        <w:rPr>
          <w:lang w:val="en-US"/>
        </w:rPr>
        <w:fldChar w:fldCharType="end"/>
      </w:r>
      <w:r w:rsidRPr="005846B1">
        <w:rPr>
          <w:lang w:val="en-US"/>
        </w:rPr>
        <w:t xml:space="preserve">; </w:t>
      </w:r>
      <w:r w:rsidRPr="005846B1">
        <w:t xml:space="preserve">Council of Europe, Parliamentary Assembly, </w:t>
      </w:r>
      <w:r w:rsidRPr="005846B1">
        <w:rPr>
          <w:lang w:val="en-US"/>
        </w:rPr>
        <w:t xml:space="preserve">Resolution 2536 (2024), Precarious and irregular work situations of migrant seasonal and domestic workers, point 24.6; </w:t>
      </w:r>
      <w:r w:rsidRPr="005846B1">
        <w:t xml:space="preserve">Generation 2.0 RED, SolidarityNow, </w:t>
      </w:r>
      <w:r>
        <w:t>footnote</w:t>
      </w:r>
      <w:r w:rsidRPr="005846B1">
        <w:t xml:space="preserve"> </w:t>
      </w:r>
      <w:r w:rsidRPr="005846B1">
        <w:fldChar w:fldCharType="begin"/>
      </w:r>
      <w:r w:rsidRPr="005846B1">
        <w:instrText xml:space="preserve"> NOTEREF _Ref221275612 \h </w:instrText>
      </w:r>
      <w:r w:rsidRPr="00935D47">
        <w:instrText xml:space="preserve"> \* MERGEFORMAT </w:instrText>
      </w:r>
      <w:r w:rsidRPr="005846B1">
        <w:fldChar w:fldCharType="separate"/>
      </w:r>
      <w:r w:rsidR="00764D65">
        <w:t>41</w:t>
      </w:r>
      <w:r w:rsidRPr="005846B1">
        <w:fldChar w:fldCharType="end"/>
      </w:r>
      <w:r w:rsidRPr="005846B1">
        <w:t xml:space="preserve">, p. 37; ELIAMEP, </w:t>
      </w:r>
      <w:r>
        <w:t>footnote</w:t>
      </w:r>
      <w:r w:rsidRPr="005846B1">
        <w:t xml:space="preserve"> </w:t>
      </w:r>
      <w:r w:rsidRPr="005846B1">
        <w:fldChar w:fldCharType="begin"/>
      </w:r>
      <w:r w:rsidRPr="005846B1">
        <w:instrText xml:space="preserve"> NOTEREF _Ref220419329 \h </w:instrText>
      </w:r>
      <w:r w:rsidRPr="00935D47">
        <w:instrText xml:space="preserve"> \* MERGEFORMAT </w:instrText>
      </w:r>
      <w:r w:rsidRPr="005846B1">
        <w:fldChar w:fldCharType="separate"/>
      </w:r>
      <w:r w:rsidR="00764D65">
        <w:t>60</w:t>
      </w:r>
      <w:r w:rsidRPr="005846B1">
        <w:fldChar w:fldCharType="end"/>
      </w:r>
      <w:r w:rsidRPr="005846B1">
        <w:t xml:space="preserve">, p. 25; Finnish Government, Accommodation of Foreign Workers and its Supervision, 2022, </w:t>
      </w:r>
      <w:r>
        <w:t>S</w:t>
      </w:r>
      <w:r w:rsidRPr="005846B1">
        <w:t xml:space="preserve">ection 4.4; Targeted study, </w:t>
      </w:r>
      <w:r>
        <w:t>footnote</w:t>
      </w:r>
      <w:r w:rsidRPr="005846B1">
        <w:t xml:space="preserve"> </w:t>
      </w:r>
      <w:r>
        <w:fldChar w:fldCharType="begin"/>
      </w:r>
      <w:r>
        <w:instrText xml:space="preserve"> NOTEREF _Ref223017783 \h </w:instrText>
      </w:r>
      <w:r>
        <w:fldChar w:fldCharType="separate"/>
      </w:r>
      <w:r w:rsidR="00764D65">
        <w:t>10</w:t>
      </w:r>
      <w:r>
        <w:fldChar w:fldCharType="end"/>
      </w:r>
      <w:r w:rsidRPr="005846B1">
        <w:t xml:space="preserve">; ELA, </w:t>
      </w:r>
      <w:r>
        <w:t>footnote</w:t>
      </w:r>
      <w:r w:rsidRPr="005846B1">
        <w:t xml:space="preserve"> </w:t>
      </w:r>
      <w:r w:rsidRPr="005846B1">
        <w:fldChar w:fldCharType="begin"/>
      </w:r>
      <w:r w:rsidRPr="005846B1">
        <w:instrText xml:space="preserve"> NOTEREF _Ref221275955 \h </w:instrText>
      </w:r>
      <w:r w:rsidRPr="00935D47">
        <w:instrText xml:space="preserve"> \* MERGEFORMAT </w:instrText>
      </w:r>
      <w:r w:rsidRPr="005846B1">
        <w:fldChar w:fldCharType="separate"/>
      </w:r>
      <w:r w:rsidR="00764D65">
        <w:t>6</w:t>
      </w:r>
      <w:r w:rsidRPr="005846B1">
        <w:fldChar w:fldCharType="end"/>
      </w:r>
      <w:r w:rsidRPr="005846B1">
        <w:t xml:space="preserve">, p. 103; </w:t>
      </w:r>
      <w:r w:rsidRPr="005846B1">
        <w:rPr>
          <w:lang w:val="en-US"/>
        </w:rPr>
        <w:t>EFFAT, Written Input to Social Partner Hearing on Employers Sanctions and Seasonal Workers Directive, December 2025</w:t>
      </w:r>
      <w:r w:rsidRPr="005846B1">
        <w:t>.</w:t>
      </w:r>
    </w:p>
  </w:footnote>
  <w:footnote w:id="76">
    <w:p w14:paraId="2336C0DA"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For example, L</w:t>
      </w:r>
      <w:r>
        <w:rPr>
          <w:lang w:val="en-US"/>
        </w:rPr>
        <w:t>uxembourg</w:t>
      </w:r>
      <w:r w:rsidRPr="005846B1">
        <w:rPr>
          <w:lang w:val="en-US"/>
        </w:rPr>
        <w:t>, L</w:t>
      </w:r>
      <w:r>
        <w:rPr>
          <w:lang w:val="en-US"/>
        </w:rPr>
        <w:t>atvia</w:t>
      </w:r>
      <w:r w:rsidRPr="005846B1">
        <w:rPr>
          <w:lang w:val="en-US"/>
        </w:rPr>
        <w:t>, M</w:t>
      </w:r>
      <w:r>
        <w:rPr>
          <w:lang w:val="en-US"/>
        </w:rPr>
        <w:t>alta</w:t>
      </w:r>
      <w:r w:rsidRPr="005846B1">
        <w:rPr>
          <w:lang w:val="en-US"/>
        </w:rPr>
        <w:t xml:space="preserve">, </w:t>
      </w:r>
      <w:r>
        <w:rPr>
          <w:lang w:val="en-US"/>
        </w:rPr>
        <w:t xml:space="preserve">the </w:t>
      </w:r>
      <w:r w:rsidRPr="005846B1">
        <w:rPr>
          <w:lang w:val="en-US"/>
        </w:rPr>
        <w:t>N</w:t>
      </w:r>
      <w:r>
        <w:rPr>
          <w:lang w:val="en-US"/>
        </w:rPr>
        <w:t>etherlands</w:t>
      </w:r>
      <w:r w:rsidRPr="005846B1">
        <w:rPr>
          <w:lang w:val="en-US"/>
        </w:rPr>
        <w:t xml:space="preserve">, </w:t>
      </w:r>
      <w:r>
        <w:rPr>
          <w:lang w:val="en-US"/>
        </w:rPr>
        <w:t>Portugal</w:t>
      </w:r>
      <w:r w:rsidRPr="005846B1">
        <w:rPr>
          <w:lang w:val="en-US"/>
        </w:rPr>
        <w:t xml:space="preserve"> and S</w:t>
      </w:r>
      <w:r>
        <w:rPr>
          <w:lang w:val="en-US"/>
        </w:rPr>
        <w:t>weden</w:t>
      </w:r>
      <w:r w:rsidRPr="005846B1">
        <w:rPr>
          <w:lang w:val="en-US"/>
        </w:rPr>
        <w:t>.</w:t>
      </w:r>
    </w:p>
  </w:footnote>
  <w:footnote w:id="77">
    <w:p w14:paraId="069142F1"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For example, F</w:t>
      </w:r>
      <w:r>
        <w:t>rance</w:t>
      </w:r>
      <w:r w:rsidRPr="005846B1">
        <w:t xml:space="preserve">, </w:t>
      </w:r>
      <w:r w:rsidRPr="005846B1">
        <w:rPr>
          <w:lang w:val="en-US"/>
        </w:rPr>
        <w:t>L</w:t>
      </w:r>
      <w:r>
        <w:rPr>
          <w:lang w:val="en-US"/>
        </w:rPr>
        <w:t>uxembourg</w:t>
      </w:r>
      <w:r w:rsidRPr="005846B1">
        <w:rPr>
          <w:lang w:val="en-US"/>
        </w:rPr>
        <w:t>, L</w:t>
      </w:r>
      <w:r>
        <w:rPr>
          <w:lang w:val="en-US"/>
        </w:rPr>
        <w:t>atvia</w:t>
      </w:r>
      <w:r w:rsidRPr="005846B1">
        <w:rPr>
          <w:lang w:val="en-US"/>
        </w:rPr>
        <w:t>, M</w:t>
      </w:r>
      <w:r>
        <w:rPr>
          <w:lang w:val="en-US"/>
        </w:rPr>
        <w:t>alta</w:t>
      </w:r>
      <w:r w:rsidRPr="005846B1">
        <w:rPr>
          <w:lang w:val="en-US"/>
        </w:rPr>
        <w:t xml:space="preserve">, </w:t>
      </w:r>
      <w:r>
        <w:rPr>
          <w:lang w:val="en-US"/>
        </w:rPr>
        <w:t>Romania</w:t>
      </w:r>
      <w:r w:rsidRPr="005846B1">
        <w:rPr>
          <w:lang w:val="en-US"/>
        </w:rPr>
        <w:t xml:space="preserve"> and S</w:t>
      </w:r>
      <w:r>
        <w:rPr>
          <w:lang w:val="en-US"/>
        </w:rPr>
        <w:t>weden</w:t>
      </w:r>
      <w:r w:rsidRPr="005846B1">
        <w:rPr>
          <w:lang w:val="en-US"/>
        </w:rPr>
        <w:t>.</w:t>
      </w:r>
    </w:p>
  </w:footnote>
  <w:footnote w:id="78">
    <w:p w14:paraId="0DC1BF91"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Austria</w:t>
      </w:r>
      <w:r w:rsidRPr="005846B1">
        <w:t xml:space="preserve">, </w:t>
      </w:r>
      <w:r>
        <w:t>Bulgaria</w:t>
      </w:r>
      <w:r w:rsidRPr="005846B1">
        <w:t>, C</w:t>
      </w:r>
      <w:r>
        <w:t>zechia</w:t>
      </w:r>
      <w:r w:rsidRPr="005846B1">
        <w:t>, C</w:t>
      </w:r>
      <w:r>
        <w:t>yprus</w:t>
      </w:r>
      <w:r w:rsidRPr="005846B1">
        <w:t xml:space="preserve">, </w:t>
      </w:r>
      <w:r>
        <w:t>Greece</w:t>
      </w:r>
      <w:r w:rsidRPr="005846B1">
        <w:t xml:space="preserve">, </w:t>
      </w:r>
      <w:r>
        <w:t>Croatia</w:t>
      </w:r>
      <w:r w:rsidRPr="005846B1">
        <w:t>, H</w:t>
      </w:r>
      <w:r>
        <w:t>ungary</w:t>
      </w:r>
      <w:r w:rsidRPr="005846B1">
        <w:t>, P</w:t>
      </w:r>
      <w:r>
        <w:t>oland</w:t>
      </w:r>
      <w:r w:rsidRPr="005846B1">
        <w:t>, S</w:t>
      </w:r>
      <w:r>
        <w:t>lovakia</w:t>
      </w:r>
      <w:r w:rsidRPr="005846B1">
        <w:t>, S</w:t>
      </w:r>
      <w:r>
        <w:t xml:space="preserve">lovenia </w:t>
      </w:r>
      <w:r w:rsidRPr="005846B1">
        <w:t>and R</w:t>
      </w:r>
      <w:r>
        <w:t>omania</w:t>
      </w:r>
      <w:r w:rsidRPr="005846B1">
        <w:t>.</w:t>
      </w:r>
    </w:p>
  </w:footnote>
  <w:footnote w:id="79">
    <w:p w14:paraId="5CDED100"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For example, B</w:t>
      </w:r>
      <w:r>
        <w:t>elgium</w:t>
      </w:r>
      <w:r w:rsidRPr="005846B1">
        <w:t xml:space="preserve">, </w:t>
      </w:r>
      <w:r>
        <w:t>German</w:t>
      </w:r>
      <w:r w:rsidRPr="005846B1">
        <w:t xml:space="preserve">, </w:t>
      </w:r>
      <w:r>
        <w:t>Estonia</w:t>
      </w:r>
      <w:r w:rsidRPr="005846B1">
        <w:t xml:space="preserve">, </w:t>
      </w:r>
      <w:r>
        <w:t>Spain</w:t>
      </w:r>
      <w:r w:rsidRPr="005846B1">
        <w:t>, F</w:t>
      </w:r>
      <w:r>
        <w:t>inland</w:t>
      </w:r>
      <w:r w:rsidRPr="005846B1">
        <w:t xml:space="preserve">, </w:t>
      </w:r>
      <w:r>
        <w:t>France</w:t>
      </w:r>
      <w:r w:rsidRPr="005846B1">
        <w:t xml:space="preserve">, </w:t>
      </w:r>
      <w:r>
        <w:t>Italy</w:t>
      </w:r>
      <w:r w:rsidRPr="005846B1">
        <w:t>, L</w:t>
      </w:r>
      <w:r>
        <w:t>ithuania</w:t>
      </w:r>
      <w:r w:rsidRPr="005846B1">
        <w:t>, L</w:t>
      </w:r>
      <w:r>
        <w:t>uxembourg</w:t>
      </w:r>
      <w:r w:rsidRPr="005846B1">
        <w:t>, L</w:t>
      </w:r>
      <w:r>
        <w:t>atvia</w:t>
      </w:r>
      <w:r w:rsidRPr="005846B1">
        <w:t>, M</w:t>
      </w:r>
      <w:r>
        <w:t>alta</w:t>
      </w:r>
      <w:r w:rsidRPr="005846B1">
        <w:t xml:space="preserve">, </w:t>
      </w:r>
      <w:r>
        <w:t>the Netherlands</w:t>
      </w:r>
      <w:r w:rsidRPr="005846B1">
        <w:t xml:space="preserve"> and P</w:t>
      </w:r>
      <w:r>
        <w:t>ortugal</w:t>
      </w:r>
      <w:r w:rsidRPr="005846B1">
        <w:t xml:space="preserve">. </w:t>
      </w:r>
    </w:p>
  </w:footnote>
  <w:footnote w:id="80">
    <w:p w14:paraId="6B04D719" w14:textId="6472AE6C" w:rsidR="006976D7" w:rsidRPr="005846B1" w:rsidRDefault="006976D7" w:rsidP="00E57A38">
      <w:pPr>
        <w:pStyle w:val="FootnoteText"/>
        <w:spacing w:after="0"/>
      </w:pPr>
      <w:r w:rsidRPr="005846B1">
        <w:rPr>
          <w:rStyle w:val="FootnoteReference"/>
        </w:rPr>
        <w:footnoteRef/>
      </w:r>
      <w:r w:rsidRPr="000E5414">
        <w:rPr>
          <w:lang w:val="en-IE"/>
        </w:rPr>
        <w:t xml:space="preserve"> </w:t>
      </w:r>
      <w:r w:rsidRPr="000E5414">
        <w:rPr>
          <w:lang w:val="en-IE"/>
        </w:rPr>
        <w:tab/>
        <w:t xml:space="preserve">ELA, footnote </w:t>
      </w:r>
      <w:r w:rsidRPr="005846B1">
        <w:rPr>
          <w:lang w:val="fr-BE"/>
        </w:rPr>
        <w:fldChar w:fldCharType="begin"/>
      </w:r>
      <w:r w:rsidRPr="000E5414">
        <w:rPr>
          <w:lang w:val="en-IE"/>
        </w:rPr>
        <w:instrText xml:space="preserve"> NOTEREF _Ref221275955 \h  \* MERGEFORMAT </w:instrText>
      </w:r>
      <w:r w:rsidRPr="005846B1">
        <w:rPr>
          <w:lang w:val="fr-BE"/>
        </w:rPr>
      </w:r>
      <w:r w:rsidRPr="005846B1">
        <w:rPr>
          <w:lang w:val="fr-BE"/>
        </w:rPr>
        <w:fldChar w:fldCharType="separate"/>
      </w:r>
      <w:r w:rsidR="00764D65">
        <w:rPr>
          <w:lang w:val="en-IE"/>
        </w:rPr>
        <w:t>6</w:t>
      </w:r>
      <w:r w:rsidRPr="005846B1">
        <w:rPr>
          <w:lang w:val="fr-BE"/>
        </w:rPr>
        <w:fldChar w:fldCharType="end"/>
      </w:r>
      <w:r w:rsidRPr="000E5414">
        <w:rPr>
          <w:lang w:val="en-IE"/>
        </w:rPr>
        <w:t xml:space="preserve">, p. 82 and following; SVR, </w:t>
      </w:r>
      <w:r>
        <w:rPr>
          <w:lang w:val="en-IE"/>
        </w:rPr>
        <w:t>footnote</w:t>
      </w:r>
      <w:r w:rsidRPr="000E5414">
        <w:rPr>
          <w:lang w:val="en-IE"/>
        </w:rPr>
        <w:t xml:space="preserve"> </w:t>
      </w:r>
      <w:r w:rsidRPr="005846B1">
        <w:fldChar w:fldCharType="begin"/>
      </w:r>
      <w:r w:rsidRPr="005846B1">
        <w:instrText xml:space="preserve"> NOTEREF _Ref220418120 \h </w:instrText>
      </w:r>
      <w:r w:rsidRPr="00935D47">
        <w:instrText xml:space="preserve"> \* MERGEFORMAT </w:instrText>
      </w:r>
      <w:r w:rsidRPr="005846B1">
        <w:fldChar w:fldCharType="separate"/>
      </w:r>
      <w:r w:rsidR="00764D65">
        <w:t>40</w:t>
      </w:r>
      <w:r w:rsidRPr="005846B1">
        <w:fldChar w:fldCharType="end"/>
      </w:r>
      <w:r w:rsidRPr="005846B1">
        <w:t xml:space="preserve">; Targeted study, </w:t>
      </w:r>
      <w:r>
        <w:t>footnote</w:t>
      </w:r>
      <w:r w:rsidRPr="005846B1">
        <w:t xml:space="preserve"> </w:t>
      </w:r>
      <w:r w:rsidR="009D7E95">
        <w:fldChar w:fldCharType="begin"/>
      </w:r>
      <w:r w:rsidR="009D7E95">
        <w:instrText xml:space="preserve"> NOTEREF _Ref223017783 \h </w:instrText>
      </w:r>
      <w:r w:rsidR="009D7E95">
        <w:fldChar w:fldCharType="separate"/>
      </w:r>
      <w:r w:rsidR="009D7E95">
        <w:t>7</w:t>
      </w:r>
      <w:r w:rsidR="009D7E95">
        <w:fldChar w:fldCharType="end"/>
      </w:r>
      <w:r w:rsidRPr="005846B1">
        <w:t xml:space="preserve">; Solidar, </w:t>
      </w:r>
      <w:r>
        <w:t>footnote</w:t>
      </w:r>
      <w:r w:rsidRPr="005846B1">
        <w:t xml:space="preserve"> </w:t>
      </w:r>
      <w:r w:rsidRPr="005846B1">
        <w:fldChar w:fldCharType="begin"/>
      </w:r>
      <w:r w:rsidRPr="005846B1">
        <w:instrText xml:space="preserve"> NOTEREF _Ref220419329 \h </w:instrText>
      </w:r>
      <w:r w:rsidRPr="00935D47">
        <w:instrText xml:space="preserve"> \* MERGEFORMAT </w:instrText>
      </w:r>
      <w:r w:rsidRPr="005846B1">
        <w:fldChar w:fldCharType="separate"/>
      </w:r>
      <w:r w:rsidR="00764D65">
        <w:t>60</w:t>
      </w:r>
      <w:r w:rsidRPr="005846B1">
        <w:fldChar w:fldCharType="end"/>
      </w:r>
      <w:r w:rsidRPr="005846B1">
        <w:rPr>
          <w:lang w:val="en-US"/>
        </w:rPr>
        <w:t>, p</w:t>
      </w:r>
      <w:r w:rsidRPr="005846B1">
        <w:t xml:space="preserve">. 30 </w:t>
      </w:r>
      <w:r>
        <w:t>and following</w:t>
      </w:r>
      <w:r w:rsidRPr="005846B1">
        <w:t>.</w:t>
      </w:r>
    </w:p>
  </w:footnote>
  <w:footnote w:id="81">
    <w:p w14:paraId="33BCBBB7" w14:textId="3BCF92F4" w:rsidR="006976D7" w:rsidRPr="005846B1" w:rsidRDefault="006976D7" w:rsidP="00E57A38">
      <w:pPr>
        <w:pStyle w:val="FootnoteText"/>
        <w:spacing w:after="0"/>
        <w:rPr>
          <w:lang w:val="en-US"/>
        </w:rPr>
      </w:pPr>
      <w:r w:rsidRPr="005846B1">
        <w:rPr>
          <w:rStyle w:val="FootnoteReference"/>
        </w:rPr>
        <w:footnoteRef/>
      </w:r>
      <w:r w:rsidRPr="00834114">
        <w:rPr>
          <w:lang w:val="en-IE"/>
        </w:rPr>
        <w:t xml:space="preserve"> </w:t>
      </w:r>
      <w:r w:rsidRPr="00834114">
        <w:rPr>
          <w:lang w:val="en-IE"/>
        </w:rPr>
        <w:tab/>
        <w:t xml:space="preserve">ELA, </w:t>
      </w:r>
      <w:r w:rsidRPr="000E5414">
        <w:rPr>
          <w:lang w:val="en-IE"/>
        </w:rPr>
        <w:t>footnote</w:t>
      </w:r>
      <w:r w:rsidRPr="00834114">
        <w:rPr>
          <w:lang w:val="en-IE"/>
        </w:rPr>
        <w:t xml:space="preserve"> </w:t>
      </w:r>
      <w:r w:rsidRPr="005846B1">
        <w:rPr>
          <w:lang w:val="fr-BE"/>
        </w:rPr>
        <w:fldChar w:fldCharType="begin"/>
      </w:r>
      <w:r w:rsidRPr="000E5414">
        <w:rPr>
          <w:lang w:val="en-IE"/>
        </w:rPr>
        <w:instrText xml:space="preserve"> NOTEREF _Ref221275955 \h  \* MERGEFORMAT </w:instrText>
      </w:r>
      <w:r w:rsidRPr="005846B1">
        <w:rPr>
          <w:lang w:val="fr-BE"/>
        </w:rPr>
      </w:r>
      <w:r w:rsidRPr="005846B1">
        <w:rPr>
          <w:lang w:val="fr-BE"/>
        </w:rPr>
        <w:fldChar w:fldCharType="separate"/>
      </w:r>
      <w:r w:rsidR="00764D65">
        <w:rPr>
          <w:lang w:val="en-IE"/>
        </w:rPr>
        <w:t>6</w:t>
      </w:r>
      <w:r w:rsidRPr="005846B1">
        <w:rPr>
          <w:lang w:val="fr-BE"/>
        </w:rPr>
        <w:fldChar w:fldCharType="end"/>
      </w:r>
      <w:r w:rsidRPr="000E5414">
        <w:rPr>
          <w:lang w:val="en-IE"/>
        </w:rPr>
        <w:t xml:space="preserve">, p. 82; Solidar, footnote </w:t>
      </w:r>
      <w:r w:rsidRPr="005846B1">
        <w:fldChar w:fldCharType="begin"/>
      </w:r>
      <w:r w:rsidRPr="005846B1">
        <w:instrText xml:space="preserve"> NOTEREF _Ref220419329 \h </w:instrText>
      </w:r>
      <w:r w:rsidRPr="00935D47">
        <w:instrText xml:space="preserve"> \* MERGEFORMAT </w:instrText>
      </w:r>
      <w:r w:rsidRPr="005846B1">
        <w:fldChar w:fldCharType="separate"/>
      </w:r>
      <w:r w:rsidR="00764D65">
        <w:t>60</w:t>
      </w:r>
      <w:r w:rsidRPr="005846B1">
        <w:fldChar w:fldCharType="end"/>
      </w:r>
      <w:r w:rsidRPr="005846B1">
        <w:t xml:space="preserve">, p. 43 </w:t>
      </w:r>
      <w:r>
        <w:t>and following</w:t>
      </w:r>
      <w:r w:rsidRPr="005846B1">
        <w:t xml:space="preserve">; The Finnish Trade Union PAM offers a special seasonal worker membership, </w:t>
      </w:r>
      <w:hyperlink r:id="rId13" w:history="1">
        <w:r w:rsidRPr="005846B1">
          <w:rPr>
            <w:rStyle w:val="Hyperlink"/>
            <w:lang w:val="en-US"/>
          </w:rPr>
          <w:t xml:space="preserve">Seasonal worker </w:t>
        </w:r>
        <w:r>
          <w:rPr>
            <w:rStyle w:val="Hyperlink"/>
            <w:lang w:val="en-US"/>
          </w:rPr>
          <w:t>–</w:t>
        </w:r>
        <w:r w:rsidRPr="005846B1">
          <w:rPr>
            <w:rStyle w:val="Hyperlink"/>
            <w:lang w:val="en-US"/>
          </w:rPr>
          <w:t xml:space="preserve"> PAM</w:t>
        </w:r>
      </w:hyperlink>
      <w:r w:rsidRPr="005846B1">
        <w:t>.</w:t>
      </w:r>
    </w:p>
  </w:footnote>
  <w:footnote w:id="82">
    <w:p w14:paraId="6A7A2907" w14:textId="235A1D4F" w:rsidR="006976D7" w:rsidRPr="0069501E" w:rsidRDefault="006976D7" w:rsidP="00E57A38">
      <w:pPr>
        <w:pStyle w:val="FootnoteText"/>
        <w:spacing w:after="0"/>
        <w:rPr>
          <w:lang w:val="en-IE"/>
        </w:rPr>
      </w:pPr>
      <w:r w:rsidRPr="005846B1">
        <w:rPr>
          <w:rStyle w:val="FootnoteReference"/>
        </w:rPr>
        <w:footnoteRef/>
      </w:r>
      <w:r w:rsidRPr="005846B1">
        <w:t xml:space="preserve"> </w:t>
      </w:r>
      <w:r w:rsidRPr="005846B1">
        <w:tab/>
        <w:t xml:space="preserve">Council of Europe, </w:t>
      </w:r>
      <w:r>
        <w:t>footnote</w:t>
      </w:r>
      <w:r w:rsidRPr="005846B1">
        <w:t xml:space="preserve"> </w:t>
      </w:r>
      <w:r w:rsidRPr="005846B1">
        <w:fldChar w:fldCharType="begin"/>
      </w:r>
      <w:r w:rsidRPr="005846B1">
        <w:instrText xml:space="preserve"> NOTEREF _Ref220421960 \h </w:instrText>
      </w:r>
      <w:r w:rsidRPr="00935D47">
        <w:instrText xml:space="preserve"> \* MERGEFORMAT </w:instrText>
      </w:r>
      <w:r w:rsidRPr="005846B1">
        <w:fldChar w:fldCharType="separate"/>
      </w:r>
      <w:r w:rsidR="00764D65">
        <w:t>81</w:t>
      </w:r>
      <w:r w:rsidRPr="005846B1">
        <w:fldChar w:fldCharType="end"/>
      </w:r>
      <w:r w:rsidRPr="005846B1">
        <w:rPr>
          <w:lang w:val="en-US"/>
        </w:rPr>
        <w:t xml:space="preserve">, point 24.6; </w:t>
      </w:r>
      <w:r w:rsidRPr="005846B1">
        <w:t xml:space="preserve">Generation 2.0 RED, SolidarityNow, </w:t>
      </w:r>
      <w:r>
        <w:t>footnote</w:t>
      </w:r>
      <w:r w:rsidRPr="005846B1">
        <w:t xml:space="preserve"> </w:t>
      </w:r>
      <w:r w:rsidRPr="005846B1">
        <w:fldChar w:fldCharType="begin"/>
      </w:r>
      <w:r w:rsidRPr="005846B1">
        <w:instrText xml:space="preserve"> NOTEREF _Ref221275612 \h </w:instrText>
      </w:r>
      <w:r w:rsidRPr="00935D47">
        <w:instrText xml:space="preserve"> \* MERGEFORMAT </w:instrText>
      </w:r>
      <w:r w:rsidRPr="005846B1">
        <w:fldChar w:fldCharType="separate"/>
      </w:r>
      <w:r w:rsidR="00764D65">
        <w:t>41</w:t>
      </w:r>
      <w:r w:rsidRPr="005846B1">
        <w:fldChar w:fldCharType="end"/>
      </w:r>
      <w:r w:rsidRPr="005846B1">
        <w:t xml:space="preserve">, p. 37; Finnish Government, </w:t>
      </w:r>
      <w:r>
        <w:t>footnote</w:t>
      </w:r>
      <w:r w:rsidRPr="005846B1">
        <w:t xml:space="preserve"> </w:t>
      </w:r>
      <w:r w:rsidRPr="005846B1">
        <w:fldChar w:fldCharType="begin"/>
      </w:r>
      <w:r w:rsidRPr="005846B1">
        <w:instrText xml:space="preserve"> NOTEREF _Ref220421960 \h </w:instrText>
      </w:r>
      <w:r w:rsidRPr="00935D47">
        <w:instrText xml:space="preserve"> \* MERGEFORMAT </w:instrText>
      </w:r>
      <w:r w:rsidRPr="005846B1">
        <w:fldChar w:fldCharType="separate"/>
      </w:r>
      <w:r w:rsidR="00764D65">
        <w:t>81</w:t>
      </w:r>
      <w:r w:rsidRPr="005846B1">
        <w:fldChar w:fldCharType="end"/>
      </w:r>
      <w:r w:rsidRPr="005846B1">
        <w:t xml:space="preserve">, </w:t>
      </w:r>
      <w:r>
        <w:t>S</w:t>
      </w:r>
      <w:r w:rsidRPr="005846B1">
        <w:t xml:space="preserve">ection 4.4; EFFAT, </w:t>
      </w:r>
      <w:r>
        <w:t>footnote</w:t>
      </w:r>
      <w:r w:rsidRPr="005846B1">
        <w:t xml:space="preserve"> </w:t>
      </w:r>
      <w:r w:rsidRPr="005846B1">
        <w:fldChar w:fldCharType="begin"/>
      </w:r>
      <w:r w:rsidRPr="005846B1">
        <w:instrText xml:space="preserve"> NOTEREF _Ref220421960 \h </w:instrText>
      </w:r>
      <w:r w:rsidRPr="00935D47">
        <w:instrText xml:space="preserve"> \* MERGEFORMAT </w:instrText>
      </w:r>
      <w:r w:rsidRPr="005846B1">
        <w:fldChar w:fldCharType="separate"/>
      </w:r>
      <w:r w:rsidR="00764D65">
        <w:t>81</w:t>
      </w:r>
      <w:r w:rsidRPr="005846B1">
        <w:fldChar w:fldCharType="end"/>
      </w:r>
      <w:r w:rsidRPr="005846B1">
        <w:t xml:space="preserve">; Solidar, </w:t>
      </w:r>
      <w:r>
        <w:t>footnote</w:t>
      </w:r>
      <w:r w:rsidRPr="005846B1">
        <w:t xml:space="preserve"> </w:t>
      </w:r>
      <w:r w:rsidRPr="005846B1">
        <w:fldChar w:fldCharType="begin"/>
      </w:r>
      <w:r w:rsidRPr="00935D47">
        <w:rPr>
          <w:lang w:val="en-US"/>
        </w:rPr>
        <w:instrText xml:space="preserve"> NOTEREF _Ref220419329 \h </w:instrText>
      </w:r>
      <w:r w:rsidRPr="00935D47">
        <w:instrText xml:space="preserve"> \* MERGEFORMAT </w:instrText>
      </w:r>
      <w:r w:rsidRPr="005846B1">
        <w:fldChar w:fldCharType="separate"/>
      </w:r>
      <w:r w:rsidR="00764D65">
        <w:rPr>
          <w:lang w:val="en-US"/>
        </w:rPr>
        <w:t>60</w:t>
      </w:r>
      <w:r w:rsidRPr="005846B1">
        <w:fldChar w:fldCharType="end"/>
      </w:r>
      <w:r w:rsidRPr="00935D47">
        <w:rPr>
          <w:lang w:val="en-US"/>
        </w:rPr>
        <w:t xml:space="preserve">, p. 30 </w:t>
      </w:r>
      <w:r>
        <w:rPr>
          <w:lang w:val="en-US"/>
        </w:rPr>
        <w:t>and following</w:t>
      </w:r>
      <w:r w:rsidRPr="00935D47">
        <w:rPr>
          <w:lang w:val="en-US"/>
        </w:rPr>
        <w:t xml:space="preserve">, Oxfam, </w:t>
      </w:r>
      <w:r>
        <w:rPr>
          <w:lang w:val="en-US"/>
        </w:rPr>
        <w:t>footnote</w:t>
      </w:r>
      <w:r w:rsidR="009C5C21">
        <w:rPr>
          <w:lang w:val="en-US"/>
        </w:rPr>
        <w:t xml:space="preserve"> </w:t>
      </w:r>
      <w:r w:rsidR="009C5C21">
        <w:fldChar w:fldCharType="begin"/>
      </w:r>
      <w:r w:rsidR="009C5C21">
        <w:instrText xml:space="preserve"> NOTEREF _Ref223017783 \h </w:instrText>
      </w:r>
      <w:r w:rsidR="009C5C21">
        <w:fldChar w:fldCharType="separate"/>
      </w:r>
      <w:r w:rsidR="009C5C21">
        <w:t>7</w:t>
      </w:r>
      <w:r w:rsidR="009C5C21">
        <w:fldChar w:fldCharType="end"/>
      </w:r>
      <w:r w:rsidRPr="0069501E">
        <w:rPr>
          <w:lang w:val="en-IE"/>
        </w:rPr>
        <w:t xml:space="preserve">, p. 44; </w:t>
      </w:r>
      <w:r w:rsidRPr="008E372C">
        <w:rPr>
          <w:i/>
          <w:iCs/>
          <w:lang w:val="en-US"/>
        </w:rPr>
        <w:t>Employment Equality Bulletin</w:t>
      </w:r>
      <w:r w:rsidRPr="0069501E">
        <w:rPr>
          <w:lang w:val="en-IE"/>
        </w:rPr>
        <w:t xml:space="preserve">, footnote </w:t>
      </w:r>
      <w:r>
        <w:rPr>
          <w:lang w:val="pt-PT"/>
        </w:rPr>
        <w:fldChar w:fldCharType="begin"/>
      </w:r>
      <w:r w:rsidRPr="0069501E">
        <w:rPr>
          <w:lang w:val="en-IE"/>
        </w:rPr>
        <w:instrText xml:space="preserve"> NOTEREF _Ref223017783 \h </w:instrText>
      </w:r>
      <w:r>
        <w:rPr>
          <w:lang w:val="pt-PT"/>
        </w:rPr>
      </w:r>
      <w:r>
        <w:rPr>
          <w:lang w:val="pt-PT"/>
        </w:rPr>
        <w:fldChar w:fldCharType="separate"/>
      </w:r>
      <w:r w:rsidR="00764D65" w:rsidRPr="0069501E">
        <w:rPr>
          <w:lang w:val="en-IE"/>
        </w:rPr>
        <w:t>10</w:t>
      </w:r>
      <w:r>
        <w:rPr>
          <w:lang w:val="pt-PT"/>
        </w:rPr>
        <w:fldChar w:fldCharType="end"/>
      </w:r>
      <w:r w:rsidRPr="0069501E">
        <w:rPr>
          <w:lang w:val="en-IE"/>
        </w:rPr>
        <w:t>.</w:t>
      </w:r>
    </w:p>
  </w:footnote>
  <w:footnote w:id="83">
    <w:p w14:paraId="6B84F1AB" w14:textId="71C2DB79" w:rsidR="006976D7" w:rsidRPr="005846B1" w:rsidRDefault="006976D7" w:rsidP="00E57A38">
      <w:pPr>
        <w:pStyle w:val="FootnoteText"/>
        <w:spacing w:after="0"/>
      </w:pPr>
      <w:r w:rsidRPr="005846B1">
        <w:rPr>
          <w:rStyle w:val="FootnoteReference"/>
        </w:rPr>
        <w:footnoteRef/>
      </w:r>
      <w:r w:rsidRPr="0069501E">
        <w:rPr>
          <w:lang w:val="en-IE"/>
        </w:rPr>
        <w:t xml:space="preserve"> </w:t>
      </w:r>
      <w:r w:rsidRPr="0069501E">
        <w:rPr>
          <w:lang w:val="en-IE"/>
        </w:rPr>
        <w:tab/>
        <w:t xml:space="preserve">ELA, footnote </w:t>
      </w:r>
      <w:r w:rsidRPr="005846B1">
        <w:fldChar w:fldCharType="begin"/>
      </w:r>
      <w:r w:rsidRPr="005846B1">
        <w:instrText xml:space="preserve"> NOTEREF _Ref221275955 \h </w:instrText>
      </w:r>
      <w:r w:rsidRPr="00935D47">
        <w:instrText xml:space="preserve"> \* MERGEFORMAT </w:instrText>
      </w:r>
      <w:r w:rsidRPr="005846B1">
        <w:fldChar w:fldCharType="separate"/>
      </w:r>
      <w:r w:rsidR="00764D65">
        <w:t>6</w:t>
      </w:r>
      <w:r w:rsidRPr="005846B1">
        <w:fldChar w:fldCharType="end"/>
      </w:r>
      <w:r w:rsidRPr="005846B1">
        <w:t xml:space="preserve">, p. 102 </w:t>
      </w:r>
      <w:r>
        <w:t>and following</w:t>
      </w:r>
      <w:r w:rsidRPr="005846B1">
        <w:t xml:space="preserve">; The European Federation of Public Service </w:t>
      </w:r>
      <w:r>
        <w:t>U</w:t>
      </w:r>
      <w:r w:rsidRPr="005846B1">
        <w:t>nions (EPSU)</w:t>
      </w:r>
      <w:r>
        <w:t>,</w:t>
      </w:r>
      <w:r w:rsidRPr="005846B1">
        <w:t xml:space="preserve"> representing labour inspectors</w:t>
      </w:r>
      <w:r>
        <w:t>,</w:t>
      </w:r>
      <w:r w:rsidRPr="005846B1">
        <w:t xml:space="preserve"> pointed </w:t>
      </w:r>
      <w:r>
        <w:t>out that labour inspectors across the EU were</w:t>
      </w:r>
      <w:r w:rsidRPr="005846B1">
        <w:t xml:space="preserve"> u</w:t>
      </w:r>
      <w:r w:rsidRPr="005846B1">
        <w:rPr>
          <w:lang w:val="en-US"/>
        </w:rPr>
        <w:t xml:space="preserve">nder-funded, under-staffed and under-trained, </w:t>
      </w:r>
      <w:r>
        <w:rPr>
          <w:lang w:val="en-US"/>
        </w:rPr>
        <w:t>with the result that workers’</w:t>
      </w:r>
      <w:r w:rsidRPr="005846B1">
        <w:rPr>
          <w:lang w:val="en-US"/>
        </w:rPr>
        <w:t xml:space="preserve"> rights</w:t>
      </w:r>
      <w:r>
        <w:rPr>
          <w:lang w:val="en-US"/>
        </w:rPr>
        <w:t xml:space="preserve"> are not respected</w:t>
      </w:r>
      <w:r w:rsidRPr="005846B1">
        <w:rPr>
          <w:lang w:val="en-US"/>
        </w:rPr>
        <w:t xml:space="preserve">. According to EPSU, </w:t>
      </w:r>
      <w:r>
        <w:rPr>
          <w:lang w:val="en-US"/>
        </w:rPr>
        <w:t>EU</w:t>
      </w:r>
      <w:r w:rsidRPr="005846B1">
        <w:rPr>
          <w:lang w:val="en-US"/>
        </w:rPr>
        <w:t xml:space="preserve"> </w:t>
      </w:r>
      <w:r>
        <w:rPr>
          <w:lang w:val="en-US"/>
        </w:rPr>
        <w:t>countries</w:t>
      </w:r>
      <w:r w:rsidRPr="005846B1">
        <w:rPr>
          <w:lang w:val="en-US"/>
        </w:rPr>
        <w:t xml:space="preserve"> did not </w:t>
      </w:r>
      <w:r>
        <w:rPr>
          <w:lang w:val="en-US"/>
        </w:rPr>
        <w:t>fulfil</w:t>
      </w:r>
      <w:r w:rsidRPr="005846B1">
        <w:rPr>
          <w:lang w:val="en-US"/>
        </w:rPr>
        <w:t xml:space="preserve"> common minimum obligations of </w:t>
      </w:r>
      <w:r>
        <w:rPr>
          <w:lang w:val="en-US"/>
        </w:rPr>
        <w:t>International Labour Organization (</w:t>
      </w:r>
      <w:r w:rsidRPr="005846B1">
        <w:rPr>
          <w:lang w:val="en-US"/>
        </w:rPr>
        <w:t>ILO</w:t>
      </w:r>
      <w:r>
        <w:rPr>
          <w:lang w:val="en-US"/>
        </w:rPr>
        <w:t>)</w:t>
      </w:r>
      <w:r w:rsidRPr="005846B1">
        <w:rPr>
          <w:lang w:val="en-US"/>
        </w:rPr>
        <w:t xml:space="preserve"> Convention No. 81, Contribution to the strategic consultation on the implementation of the Employers Sanctions Directive and Seasonal Workers Directive, December 2025; EFFAT, </w:t>
      </w:r>
      <w:r>
        <w:rPr>
          <w:lang w:val="en-US"/>
        </w:rPr>
        <w:t>footnote</w:t>
      </w:r>
      <w:r w:rsidRPr="005846B1">
        <w:rPr>
          <w:lang w:val="en-US"/>
        </w:rPr>
        <w:t xml:space="preserve"> </w:t>
      </w:r>
      <w:r w:rsidRPr="005846B1">
        <w:rPr>
          <w:lang w:val="en-US"/>
        </w:rPr>
        <w:fldChar w:fldCharType="begin"/>
      </w:r>
      <w:r w:rsidRPr="005846B1">
        <w:rPr>
          <w:lang w:val="en-US"/>
        </w:rPr>
        <w:instrText xml:space="preserve"> NOTEREF _Ref220421960 \h </w:instrText>
      </w:r>
      <w:r w:rsidRPr="00935D47">
        <w:rPr>
          <w:lang w:val="en-US"/>
        </w:rPr>
        <w:instrText xml:space="preserve"> \* MERGEFORMAT </w:instrText>
      </w:r>
      <w:r w:rsidRPr="005846B1">
        <w:rPr>
          <w:lang w:val="en-US"/>
        </w:rPr>
      </w:r>
      <w:r w:rsidRPr="005846B1">
        <w:rPr>
          <w:lang w:val="en-US"/>
        </w:rPr>
        <w:fldChar w:fldCharType="separate"/>
      </w:r>
      <w:r w:rsidR="00764D65">
        <w:rPr>
          <w:lang w:val="en-US"/>
        </w:rPr>
        <w:t>81</w:t>
      </w:r>
      <w:r w:rsidRPr="005846B1">
        <w:rPr>
          <w:lang w:val="en-US"/>
        </w:rPr>
        <w:fldChar w:fldCharType="end"/>
      </w:r>
      <w:r w:rsidRPr="005846B1">
        <w:rPr>
          <w:lang w:val="en-US"/>
        </w:rPr>
        <w:t xml:space="preserve">; </w:t>
      </w:r>
      <w:r w:rsidRPr="005846B1">
        <w:t xml:space="preserve">Targeted study, </w:t>
      </w:r>
      <w:r>
        <w:t>footnote</w:t>
      </w:r>
      <w:r w:rsidRPr="005846B1">
        <w:t xml:space="preserve"> </w:t>
      </w:r>
      <w:r>
        <w:fldChar w:fldCharType="begin"/>
      </w:r>
      <w:r>
        <w:instrText xml:space="preserve"> NOTEREF _Ref223017783 \h </w:instrText>
      </w:r>
      <w:r>
        <w:fldChar w:fldCharType="separate"/>
      </w:r>
      <w:r w:rsidR="00764D65">
        <w:t>10</w:t>
      </w:r>
      <w:r>
        <w:fldChar w:fldCharType="end"/>
      </w:r>
      <w:r>
        <w:t>.</w:t>
      </w:r>
      <w:r w:rsidRPr="005846B1">
        <w:t xml:space="preserve"> </w:t>
      </w:r>
      <w:r>
        <w:t>T</w:t>
      </w:r>
      <w:r w:rsidRPr="005846B1">
        <w:t xml:space="preserve">his was also mentioned by a large number of stakeholders during the consultation activities mentioned in </w:t>
      </w:r>
      <w:r>
        <w:t>footnotes</w:t>
      </w:r>
      <w:r w:rsidRPr="005846B1">
        <w:t xml:space="preserve"> </w:t>
      </w:r>
      <w:r w:rsidRPr="005846B1">
        <w:fldChar w:fldCharType="begin"/>
      </w:r>
      <w:r w:rsidRPr="005846B1">
        <w:instrText xml:space="preserve"> NOTEREF _Ref220421249 \h </w:instrText>
      </w:r>
      <w:r w:rsidRPr="00935D47">
        <w:instrText xml:space="preserve"> \* MERGEFORMAT </w:instrText>
      </w:r>
      <w:r w:rsidRPr="005846B1">
        <w:fldChar w:fldCharType="separate"/>
      </w:r>
      <w:r w:rsidR="00764D65">
        <w:t>23</w:t>
      </w:r>
      <w:r w:rsidRPr="005846B1">
        <w:fldChar w:fldCharType="end"/>
      </w:r>
      <w:r w:rsidRPr="005846B1">
        <w:t xml:space="preserve"> and </w:t>
      </w:r>
      <w:r w:rsidRPr="005846B1">
        <w:fldChar w:fldCharType="begin"/>
      </w:r>
      <w:r w:rsidRPr="005846B1">
        <w:instrText xml:space="preserve"> NOTEREF _Ref220418873 \h </w:instrText>
      </w:r>
      <w:r w:rsidRPr="00935D47">
        <w:instrText xml:space="preserve"> \* MERGEFORMAT </w:instrText>
      </w:r>
      <w:r w:rsidRPr="005846B1">
        <w:fldChar w:fldCharType="separate"/>
      </w:r>
      <w:r w:rsidR="00764D65">
        <w:t>24</w:t>
      </w:r>
      <w:r w:rsidRPr="005846B1">
        <w:fldChar w:fldCharType="end"/>
      </w:r>
      <w:r w:rsidRPr="005846B1">
        <w:t>.</w:t>
      </w:r>
    </w:p>
  </w:footnote>
  <w:footnote w:id="84">
    <w:p w14:paraId="66381E30" w14:textId="2D2A335F" w:rsidR="006976D7" w:rsidRPr="005846B1" w:rsidRDefault="006976D7" w:rsidP="00E57A38">
      <w:pPr>
        <w:pStyle w:val="FootnoteText"/>
        <w:spacing w:after="0"/>
      </w:pPr>
      <w:r w:rsidRPr="005846B1">
        <w:rPr>
          <w:rStyle w:val="FootnoteReference"/>
        </w:rPr>
        <w:footnoteRef/>
      </w:r>
      <w:r w:rsidRPr="005846B1">
        <w:t xml:space="preserve"> </w:t>
      </w:r>
      <w:r w:rsidRPr="005846B1">
        <w:tab/>
      </w:r>
      <w:r>
        <w:t>In the case of Latvia, this has taken the form of</w:t>
      </w:r>
      <w:r w:rsidRPr="005846B1">
        <w:t xml:space="preserve"> </w:t>
      </w:r>
      <w:r>
        <w:t>checking each worker’s</w:t>
      </w:r>
      <w:r w:rsidRPr="005846B1">
        <w:t xml:space="preserve"> tax and social security data to detect anomalies, </w:t>
      </w:r>
      <w:r w:rsidRPr="005846B1">
        <w:rPr>
          <w:lang w:val="en-IE"/>
        </w:rPr>
        <w:t xml:space="preserve">when an application </w:t>
      </w:r>
      <w:r>
        <w:rPr>
          <w:lang w:val="en-IE"/>
        </w:rPr>
        <w:t>to</w:t>
      </w:r>
      <w:r w:rsidRPr="005846B1">
        <w:rPr>
          <w:lang w:val="en-IE"/>
        </w:rPr>
        <w:t xml:space="preserve"> exten</w:t>
      </w:r>
      <w:r>
        <w:rPr>
          <w:lang w:val="en-IE"/>
        </w:rPr>
        <w:t xml:space="preserve">d </w:t>
      </w:r>
      <w:r w:rsidRPr="005846B1">
        <w:rPr>
          <w:lang w:val="en-IE"/>
        </w:rPr>
        <w:t xml:space="preserve">a seasonal work permit is submitted to the Employment Service. </w:t>
      </w:r>
      <w:r>
        <w:rPr>
          <w:lang w:val="en-US"/>
        </w:rPr>
        <w:t>T</w:t>
      </w:r>
      <w:r w:rsidRPr="005846B1">
        <w:rPr>
          <w:lang w:val="en-US"/>
        </w:rPr>
        <w:t>he State Labo</w:t>
      </w:r>
      <w:r>
        <w:rPr>
          <w:lang w:val="en-US"/>
        </w:rPr>
        <w:t>u</w:t>
      </w:r>
      <w:r w:rsidRPr="005846B1">
        <w:rPr>
          <w:lang w:val="en-US"/>
        </w:rPr>
        <w:t xml:space="preserve">r Inspectorate </w:t>
      </w:r>
      <w:r>
        <w:rPr>
          <w:lang w:val="en-US"/>
        </w:rPr>
        <w:t xml:space="preserve">also </w:t>
      </w:r>
      <w:r w:rsidRPr="005846B1">
        <w:rPr>
          <w:lang w:val="en-US"/>
        </w:rPr>
        <w:t>analyses, evaluates, and uses information provided by the Employment Service on work permits issued to seasonal workers for targeted inspections</w:t>
      </w:r>
      <w:r w:rsidRPr="005846B1">
        <w:t>.</w:t>
      </w:r>
    </w:p>
  </w:footnote>
  <w:footnote w:id="85">
    <w:p w14:paraId="11EAF507" w14:textId="0E074598" w:rsidR="006976D7" w:rsidRPr="005846B1" w:rsidRDefault="006976D7" w:rsidP="00E57A38">
      <w:pPr>
        <w:pStyle w:val="FootnoteText"/>
        <w:spacing w:after="0"/>
      </w:pPr>
      <w:r w:rsidRPr="005846B1">
        <w:rPr>
          <w:rStyle w:val="FootnoteReference"/>
        </w:rPr>
        <w:footnoteRef/>
      </w:r>
      <w:r w:rsidRPr="005846B1">
        <w:t xml:space="preserve"> </w:t>
      </w:r>
      <w:r w:rsidRPr="005846B1">
        <w:tab/>
        <w:t>For example, t</w:t>
      </w:r>
      <w:r w:rsidRPr="005846B1">
        <w:rPr>
          <w:lang w:val="en-US"/>
        </w:rPr>
        <w:t>he Italian Labour Inspectorate reported 8</w:t>
      </w:r>
      <w:r>
        <w:rPr>
          <w:lang w:val="en-US"/>
        </w:rPr>
        <w:t> </w:t>
      </w:r>
      <w:r w:rsidRPr="005846B1">
        <w:rPr>
          <w:lang w:val="en-US"/>
        </w:rPr>
        <w:t>847 inspections in agriculture in 2024, with non-compliance detected in 68</w:t>
      </w:r>
      <w:r>
        <w:rPr>
          <w:lang w:val="en-US"/>
        </w:rPr>
        <w:t>.</w:t>
      </w:r>
      <w:r w:rsidRPr="005846B1">
        <w:rPr>
          <w:lang w:val="en-US"/>
        </w:rPr>
        <w:t>4% of cases. The Inspectorate also intensified anti-</w:t>
      </w:r>
      <w:r w:rsidRPr="000E5414">
        <w:rPr>
          <w:i/>
          <w:iCs/>
          <w:lang w:val="en-US"/>
        </w:rPr>
        <w:t>caporalato</w:t>
      </w:r>
      <w:r>
        <w:rPr>
          <w:lang w:val="en-US"/>
        </w:rPr>
        <w:t xml:space="preserve"> (gangmaster system, in which unscrupulous intermediaries exploit vulnerable workers)</w:t>
      </w:r>
      <w:r w:rsidRPr="005846B1">
        <w:rPr>
          <w:lang w:val="en-US"/>
        </w:rPr>
        <w:t xml:space="preserve"> operations, including 763 inspection</w:t>
      </w:r>
      <w:r>
        <w:rPr>
          <w:lang w:val="en-US"/>
        </w:rPr>
        <w:t>s</w:t>
      </w:r>
      <w:r w:rsidRPr="005846B1">
        <w:rPr>
          <w:lang w:val="en-US"/>
        </w:rPr>
        <w:t xml:space="preserve"> by multi-agency task forces under the </w:t>
      </w:r>
      <w:r w:rsidRPr="000E5414">
        <w:rPr>
          <w:lang w:val="en-IE"/>
        </w:rPr>
        <w:t xml:space="preserve">A.L.T. Caporalato </w:t>
      </w:r>
      <w:r>
        <w:rPr>
          <w:lang w:val="en-IE"/>
        </w:rPr>
        <w:t>D</w:t>
      </w:r>
      <w:r w:rsidRPr="000E5414">
        <w:rPr>
          <w:lang w:val="en-IE"/>
        </w:rPr>
        <w:t>.</w:t>
      </w:r>
      <w:r>
        <w:rPr>
          <w:lang w:val="en-IE"/>
        </w:rPr>
        <w:t>U</w:t>
      </w:r>
      <w:r w:rsidRPr="000E5414">
        <w:rPr>
          <w:lang w:val="en-IE"/>
        </w:rPr>
        <w:t xml:space="preserve">.E. </w:t>
      </w:r>
      <w:r>
        <w:rPr>
          <w:lang w:val="en-IE"/>
        </w:rPr>
        <w:t>–</w:t>
      </w:r>
      <w:r w:rsidRPr="000E5414">
        <w:rPr>
          <w:lang w:val="en-IE"/>
        </w:rPr>
        <w:t xml:space="preserve"> Actions for Legality and Protection of Labour: Dignity, Equality and Equity</w:t>
      </w:r>
      <w:r w:rsidRPr="000E5414">
        <w:rPr>
          <w:b/>
          <w:bCs/>
          <w:lang w:val="en-IE"/>
        </w:rPr>
        <w:t xml:space="preserve"> </w:t>
      </w:r>
      <w:r w:rsidRPr="000E5414">
        <w:rPr>
          <w:lang w:val="en-IE"/>
        </w:rPr>
        <w:t>(</w:t>
      </w:r>
      <w:r w:rsidRPr="000E5414">
        <w:rPr>
          <w:i/>
          <w:iCs/>
          <w:lang w:val="en-IE"/>
        </w:rPr>
        <w:t>Azioni per la Legalità e la Tutela del lavoro – Dignità, Uguaglianza ed Equità</w:t>
      </w:r>
      <w:r>
        <w:rPr>
          <w:lang w:val="en-IE"/>
        </w:rPr>
        <w:t xml:space="preserve"> (</w:t>
      </w:r>
      <w:r w:rsidRPr="005846B1">
        <w:rPr>
          <w:lang w:val="en-US"/>
        </w:rPr>
        <w:t>A.L.T. Caporalato D.U.E.</w:t>
      </w:r>
      <w:r>
        <w:rPr>
          <w:lang w:val="en-US"/>
        </w:rPr>
        <w:t>))</w:t>
      </w:r>
      <w:r w:rsidRPr="005846B1">
        <w:rPr>
          <w:lang w:val="en-US"/>
        </w:rPr>
        <w:t xml:space="preserve"> project which led to the identification of 73 victims of gang mastering and labour exploitation. The National Labour Inspectorate also issued 962 business</w:t>
      </w:r>
      <w:r>
        <w:rPr>
          <w:lang w:val="en-US"/>
        </w:rPr>
        <w:t xml:space="preserve"> </w:t>
      </w:r>
      <w:r w:rsidRPr="005846B1">
        <w:rPr>
          <w:lang w:val="en-US"/>
        </w:rPr>
        <w:t>suspension orders in agriculture, 83% of which were revoked following regulari</w:t>
      </w:r>
      <w:r>
        <w:rPr>
          <w:lang w:val="en-US"/>
        </w:rPr>
        <w:t>s</w:t>
      </w:r>
      <w:r w:rsidRPr="005846B1">
        <w:rPr>
          <w:lang w:val="en-US"/>
        </w:rPr>
        <w:t xml:space="preserve">ation and payment of the amounts due. </w:t>
      </w:r>
      <w:r>
        <w:rPr>
          <w:lang w:val="en-US"/>
        </w:rPr>
        <w:t xml:space="preserve">For </w:t>
      </w:r>
      <w:r w:rsidRPr="005846B1">
        <w:rPr>
          <w:lang w:val="en-US"/>
        </w:rPr>
        <w:t>the same period Spain reported 1 615 actions</w:t>
      </w:r>
      <w:r>
        <w:rPr>
          <w:lang w:val="en-US"/>
        </w:rPr>
        <w:t>,</w:t>
      </w:r>
      <w:r w:rsidRPr="005846B1">
        <w:rPr>
          <w:lang w:val="en-US"/>
        </w:rPr>
        <w:t xml:space="preserve"> with 255 infringements in hospitality</w:t>
      </w:r>
      <w:r>
        <w:rPr>
          <w:lang w:val="en-US"/>
        </w:rPr>
        <w:t xml:space="preserve"> detected</w:t>
      </w:r>
      <w:r w:rsidRPr="005846B1">
        <w:rPr>
          <w:lang w:val="en-US"/>
        </w:rPr>
        <w:t xml:space="preserve">, complemented by regional campaigns in agriculture. </w:t>
      </w:r>
      <w:r w:rsidRPr="00137972">
        <w:rPr>
          <w:lang w:val="en-US"/>
        </w:rPr>
        <w:t xml:space="preserve">Bulgaria recorded </w:t>
      </w:r>
      <w:r w:rsidR="00030390" w:rsidRPr="00137972">
        <w:rPr>
          <w:lang w:val="en-US"/>
        </w:rPr>
        <w:t xml:space="preserve">almost 4 000 </w:t>
      </w:r>
      <w:r w:rsidRPr="00137972">
        <w:rPr>
          <w:lang w:val="en-US"/>
        </w:rPr>
        <w:t xml:space="preserve">inspections </w:t>
      </w:r>
      <w:r w:rsidR="00030390" w:rsidRPr="00137972">
        <w:rPr>
          <w:lang w:val="en-US"/>
        </w:rPr>
        <w:t xml:space="preserve">per year </w:t>
      </w:r>
      <w:r w:rsidRPr="00137972">
        <w:rPr>
          <w:lang w:val="en-US"/>
        </w:rPr>
        <w:t>in agriculture in 2023</w:t>
      </w:r>
      <w:r w:rsidR="00030390" w:rsidRPr="00137972">
        <w:rPr>
          <w:lang w:val="en-US"/>
        </w:rPr>
        <w:t xml:space="preserve"> and in </w:t>
      </w:r>
      <w:r w:rsidRPr="00137972">
        <w:rPr>
          <w:lang w:val="en-US"/>
        </w:rPr>
        <w:t>2024.</w:t>
      </w:r>
    </w:p>
  </w:footnote>
  <w:footnote w:id="86">
    <w:p w14:paraId="7DC6BBFF"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FRA, How workplace inspectors can protect third-country workers’ rights, Training Manual, 2024; ELA/FRA, Detecting and addressing labour exploitation, A guide for labour inspectors, 2025.</w:t>
      </w:r>
    </w:p>
  </w:footnote>
  <w:footnote w:id="87">
    <w:p w14:paraId="4C271727"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in  </w:t>
      </w:r>
      <w:r>
        <w:t>Belgium</w:t>
      </w:r>
      <w:r w:rsidRPr="005846B1">
        <w:t>, C</w:t>
      </w:r>
      <w:r>
        <w:t>zechia</w:t>
      </w:r>
      <w:r w:rsidRPr="005846B1">
        <w:t xml:space="preserve">, </w:t>
      </w:r>
      <w:r>
        <w:t>Germany</w:t>
      </w:r>
      <w:r w:rsidRPr="005846B1">
        <w:t>, F</w:t>
      </w:r>
      <w:r>
        <w:t>inland</w:t>
      </w:r>
      <w:r w:rsidRPr="005846B1">
        <w:t xml:space="preserve">, </w:t>
      </w:r>
      <w:r>
        <w:t>Malta</w:t>
      </w:r>
      <w:r w:rsidRPr="005846B1">
        <w:t xml:space="preserve"> and P</w:t>
      </w:r>
      <w:r>
        <w:t>oland</w:t>
      </w:r>
      <w:r w:rsidRPr="005846B1">
        <w:t>.</w:t>
      </w:r>
    </w:p>
  </w:footnote>
  <w:footnote w:id="88">
    <w:p w14:paraId="12B01434"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in </w:t>
      </w:r>
      <w:r>
        <w:t>Cyprus</w:t>
      </w:r>
      <w:r w:rsidRPr="005846B1">
        <w:t xml:space="preserve"> and S</w:t>
      </w:r>
      <w:r>
        <w:t>lovenia</w:t>
      </w:r>
      <w:r w:rsidRPr="005846B1">
        <w:t>.</w:t>
      </w:r>
    </w:p>
  </w:footnote>
  <w:footnote w:id="89">
    <w:p w14:paraId="0803CAFD" w14:textId="552B69A8" w:rsidR="006976D7" w:rsidRPr="00F81F61" w:rsidRDefault="006976D7" w:rsidP="00E57A38">
      <w:pPr>
        <w:pStyle w:val="FootnoteText"/>
        <w:spacing w:after="0"/>
        <w:rPr>
          <w:lang w:val="es-ES"/>
        </w:rPr>
      </w:pPr>
      <w:r w:rsidRPr="005846B1">
        <w:rPr>
          <w:rStyle w:val="FootnoteReference"/>
        </w:rPr>
        <w:footnoteRef/>
      </w:r>
      <w:r w:rsidRPr="005846B1">
        <w:t xml:space="preserve"> </w:t>
      </w:r>
      <w:r w:rsidRPr="005846B1">
        <w:tab/>
        <w:t>EPSU</w:t>
      </w:r>
      <w:r w:rsidRPr="005846B1">
        <w:rPr>
          <w:lang w:val="en-US"/>
        </w:rPr>
        <w:t xml:space="preserve"> </w:t>
      </w:r>
      <w:r>
        <w:rPr>
          <w:lang w:val="en-US"/>
        </w:rPr>
        <w:t>urges</w:t>
      </w:r>
      <w:r w:rsidRPr="005846B1">
        <w:rPr>
          <w:lang w:val="en-US"/>
        </w:rPr>
        <w:t xml:space="preserve"> </w:t>
      </w:r>
      <w:r>
        <w:rPr>
          <w:lang w:val="en-US"/>
        </w:rPr>
        <w:t>EU countries</w:t>
      </w:r>
      <w:r w:rsidRPr="005846B1">
        <w:rPr>
          <w:lang w:val="en-US"/>
        </w:rPr>
        <w:t xml:space="preserve"> to ensure adequate funding, resources and training for effective labour inspections, </w:t>
      </w:r>
      <w:r>
        <w:rPr>
          <w:lang w:val="en-US"/>
        </w:rPr>
        <w:t>footnote</w:t>
      </w:r>
      <w:r w:rsidRPr="005846B1">
        <w:rPr>
          <w:lang w:val="en-US"/>
        </w:rPr>
        <w:t xml:space="preserve"> </w:t>
      </w:r>
      <w:r w:rsidRPr="005846B1">
        <w:rPr>
          <w:lang w:val="en-US"/>
        </w:rPr>
        <w:fldChar w:fldCharType="begin"/>
      </w:r>
      <w:r w:rsidRPr="005846B1">
        <w:rPr>
          <w:lang w:val="en-US"/>
        </w:rPr>
        <w:instrText xml:space="preserve"> NOTEREF _Ref220424294 \h </w:instrText>
      </w:r>
      <w:r w:rsidRPr="00935D47">
        <w:rPr>
          <w:lang w:val="en-US"/>
        </w:rPr>
        <w:instrText xml:space="preserve"> \* MERGEFORMAT </w:instrText>
      </w:r>
      <w:r w:rsidRPr="005846B1">
        <w:rPr>
          <w:lang w:val="en-US"/>
        </w:rPr>
      </w:r>
      <w:r w:rsidRPr="005846B1">
        <w:rPr>
          <w:lang w:val="en-US"/>
        </w:rPr>
        <w:fldChar w:fldCharType="separate"/>
      </w:r>
      <w:r w:rsidR="00764D65">
        <w:rPr>
          <w:lang w:val="en-US"/>
        </w:rPr>
        <w:t>94</w:t>
      </w:r>
      <w:r w:rsidRPr="005846B1">
        <w:rPr>
          <w:lang w:val="en-US"/>
        </w:rPr>
        <w:fldChar w:fldCharType="end"/>
      </w:r>
      <w:r w:rsidRPr="005846B1">
        <w:rPr>
          <w:lang w:val="en-US"/>
        </w:rPr>
        <w:t xml:space="preserve">; ELA, </w:t>
      </w:r>
      <w:r>
        <w:rPr>
          <w:lang w:val="en-US"/>
        </w:rPr>
        <w:t>footnote</w:t>
      </w:r>
      <w:r w:rsidRPr="005846B1">
        <w:rPr>
          <w:lang w:val="en-US"/>
        </w:rPr>
        <w:t xml:space="preserve"> </w:t>
      </w:r>
      <w:r w:rsidRPr="005846B1">
        <w:rPr>
          <w:lang w:val="en-US"/>
        </w:rPr>
        <w:fldChar w:fldCharType="begin"/>
      </w:r>
      <w:r w:rsidRPr="005846B1">
        <w:rPr>
          <w:lang w:val="en-US"/>
        </w:rPr>
        <w:instrText xml:space="preserve"> NOTEREF _Ref221275955 \h </w:instrText>
      </w:r>
      <w:r w:rsidRPr="00935D47">
        <w:rPr>
          <w:lang w:val="en-US"/>
        </w:rPr>
        <w:instrText xml:space="preserve"> \* MERGEFORMAT </w:instrText>
      </w:r>
      <w:r w:rsidRPr="005846B1">
        <w:rPr>
          <w:lang w:val="en-US"/>
        </w:rPr>
      </w:r>
      <w:r w:rsidRPr="005846B1">
        <w:rPr>
          <w:lang w:val="en-US"/>
        </w:rPr>
        <w:fldChar w:fldCharType="separate"/>
      </w:r>
      <w:r w:rsidR="00764D65">
        <w:rPr>
          <w:lang w:val="en-US"/>
        </w:rPr>
        <w:t>6</w:t>
      </w:r>
      <w:r w:rsidRPr="005846B1">
        <w:rPr>
          <w:lang w:val="en-US"/>
        </w:rPr>
        <w:fldChar w:fldCharType="end"/>
      </w:r>
      <w:r w:rsidRPr="005846B1">
        <w:rPr>
          <w:lang w:val="en-US"/>
        </w:rPr>
        <w:t xml:space="preserve">, p. 102 </w:t>
      </w:r>
      <w:r>
        <w:rPr>
          <w:lang w:val="en-US"/>
        </w:rPr>
        <w:t>and following</w:t>
      </w:r>
      <w:r w:rsidRPr="005846B1">
        <w:rPr>
          <w:lang w:val="en-US"/>
        </w:rPr>
        <w:t xml:space="preserve">; Targeted study, </w:t>
      </w:r>
      <w:r>
        <w:rPr>
          <w:lang w:val="en-US"/>
        </w:rPr>
        <w:t>footnote</w:t>
      </w:r>
      <w:r w:rsidRPr="005846B1">
        <w:rPr>
          <w:lang w:val="en-US"/>
        </w:rPr>
        <w:t xml:space="preserve"> </w:t>
      </w:r>
      <w:r>
        <w:rPr>
          <w:lang w:val="en-US"/>
        </w:rPr>
        <w:fldChar w:fldCharType="begin"/>
      </w:r>
      <w:r>
        <w:rPr>
          <w:lang w:val="en-US"/>
        </w:rPr>
        <w:instrText xml:space="preserve"> NOTEREF _Ref223017783 \h </w:instrText>
      </w:r>
      <w:r>
        <w:rPr>
          <w:lang w:val="en-US"/>
        </w:rPr>
      </w:r>
      <w:r>
        <w:rPr>
          <w:lang w:val="en-US"/>
        </w:rPr>
        <w:fldChar w:fldCharType="separate"/>
      </w:r>
      <w:r w:rsidR="00764D65">
        <w:rPr>
          <w:lang w:val="en-US"/>
        </w:rPr>
        <w:t>10</w:t>
      </w:r>
      <w:r>
        <w:rPr>
          <w:lang w:val="en-US"/>
        </w:rPr>
        <w:fldChar w:fldCharType="end"/>
      </w:r>
      <w:r w:rsidRPr="005846B1">
        <w:rPr>
          <w:lang w:val="en-US"/>
        </w:rPr>
        <w:t xml:space="preserve">; </w:t>
      </w:r>
      <w:r w:rsidRPr="005846B1">
        <w:t xml:space="preserve">Council of Europe, </w:t>
      </w:r>
      <w:r>
        <w:t>footnote</w:t>
      </w:r>
      <w:r w:rsidRPr="005846B1">
        <w:t xml:space="preserve"> </w:t>
      </w:r>
      <w:r w:rsidRPr="005846B1">
        <w:fldChar w:fldCharType="begin"/>
      </w:r>
      <w:r w:rsidRPr="005846B1">
        <w:instrText xml:space="preserve"> NOTEREF _Ref220421960 \h </w:instrText>
      </w:r>
      <w:r w:rsidRPr="00935D47">
        <w:instrText xml:space="preserve"> \* MERGEFORMAT </w:instrText>
      </w:r>
      <w:r w:rsidRPr="005846B1">
        <w:fldChar w:fldCharType="separate"/>
      </w:r>
      <w:r w:rsidR="00764D65">
        <w:t>81</w:t>
      </w:r>
      <w:r w:rsidRPr="005846B1">
        <w:fldChar w:fldCharType="end"/>
      </w:r>
      <w:r w:rsidRPr="005846B1">
        <w:rPr>
          <w:lang w:val="en-US"/>
        </w:rPr>
        <w:t xml:space="preserve">, point 24.3; </w:t>
      </w:r>
      <w:r w:rsidRPr="005846B1">
        <w:t xml:space="preserve">Generation 2.0 RED, SolidarityNow, </w:t>
      </w:r>
      <w:r>
        <w:t>footnote</w:t>
      </w:r>
      <w:r w:rsidRPr="005846B1">
        <w:t xml:space="preserve"> </w:t>
      </w:r>
      <w:r w:rsidRPr="005846B1">
        <w:fldChar w:fldCharType="begin"/>
      </w:r>
      <w:r w:rsidRPr="005846B1">
        <w:instrText xml:space="preserve"> NOTEREF _Ref221275612 \h </w:instrText>
      </w:r>
      <w:r w:rsidRPr="00935D47">
        <w:instrText xml:space="preserve"> \* MERGEFORMAT </w:instrText>
      </w:r>
      <w:r w:rsidRPr="005846B1">
        <w:fldChar w:fldCharType="separate"/>
      </w:r>
      <w:r w:rsidR="00764D65">
        <w:t>41</w:t>
      </w:r>
      <w:r w:rsidRPr="005846B1">
        <w:fldChar w:fldCharType="end"/>
      </w:r>
      <w:r w:rsidRPr="005846B1">
        <w:t xml:space="preserve">, p. 36; EFFAT, </w:t>
      </w:r>
      <w:r>
        <w:rPr>
          <w:lang w:val="en-US"/>
        </w:rPr>
        <w:t>footnote</w:t>
      </w:r>
      <w:r w:rsidRPr="005846B1">
        <w:rPr>
          <w:lang w:val="en-US"/>
        </w:rPr>
        <w:t xml:space="preserve">. </w:t>
      </w:r>
      <w:r w:rsidRPr="005846B1">
        <w:rPr>
          <w:lang w:val="en-US"/>
        </w:rPr>
        <w:fldChar w:fldCharType="begin"/>
      </w:r>
      <w:r w:rsidRPr="005846B1">
        <w:rPr>
          <w:lang w:val="en-US"/>
        </w:rPr>
        <w:instrText xml:space="preserve"> NOTEREF _Ref220416055 \h </w:instrText>
      </w:r>
      <w:r w:rsidRPr="00935D47">
        <w:rPr>
          <w:lang w:val="en-US"/>
        </w:rPr>
        <w:instrText xml:space="preserve"> \* MERGEFORMAT </w:instrText>
      </w:r>
      <w:r w:rsidRPr="005846B1">
        <w:rPr>
          <w:lang w:val="en-US"/>
        </w:rPr>
      </w:r>
      <w:r w:rsidRPr="005846B1">
        <w:rPr>
          <w:lang w:val="en-US"/>
        </w:rPr>
        <w:fldChar w:fldCharType="separate"/>
      </w:r>
      <w:r w:rsidR="00764D65" w:rsidRPr="00F81F61">
        <w:rPr>
          <w:lang w:val="es-ES"/>
        </w:rPr>
        <w:t>4</w:t>
      </w:r>
      <w:r w:rsidRPr="005846B1">
        <w:rPr>
          <w:lang w:val="en-US"/>
        </w:rPr>
        <w:fldChar w:fldCharType="end"/>
      </w:r>
      <w:r w:rsidRPr="00F81F61">
        <w:rPr>
          <w:lang w:val="es-ES"/>
        </w:rPr>
        <w:t xml:space="preserve">; EFFAT, footnote </w:t>
      </w:r>
      <w:r w:rsidRPr="005846B1">
        <w:rPr>
          <w:lang w:val="pt-PT"/>
        </w:rPr>
        <w:fldChar w:fldCharType="begin"/>
      </w:r>
      <w:r w:rsidRPr="00F81F61">
        <w:rPr>
          <w:lang w:val="es-ES"/>
        </w:rPr>
        <w:instrText xml:space="preserve"> NOTEREF _Ref220421960 \h  \* MERGEFORMAT </w:instrText>
      </w:r>
      <w:r w:rsidRPr="005846B1">
        <w:rPr>
          <w:lang w:val="pt-PT"/>
        </w:rPr>
      </w:r>
      <w:r w:rsidRPr="005846B1">
        <w:rPr>
          <w:lang w:val="pt-PT"/>
        </w:rPr>
        <w:fldChar w:fldCharType="separate"/>
      </w:r>
      <w:r w:rsidR="00764D65" w:rsidRPr="00F81F61">
        <w:rPr>
          <w:lang w:val="es-ES"/>
        </w:rPr>
        <w:t>81</w:t>
      </w:r>
      <w:r w:rsidRPr="005846B1">
        <w:rPr>
          <w:lang w:val="pt-PT"/>
        </w:rPr>
        <w:fldChar w:fldCharType="end"/>
      </w:r>
      <w:r w:rsidRPr="00F81F61">
        <w:rPr>
          <w:lang w:val="es-ES"/>
        </w:rPr>
        <w:t xml:space="preserve">, Oxfam, footnote </w:t>
      </w:r>
      <w:r>
        <w:rPr>
          <w:lang w:val="pt-PT"/>
        </w:rPr>
        <w:fldChar w:fldCharType="begin"/>
      </w:r>
      <w:r w:rsidRPr="00F81F61">
        <w:rPr>
          <w:lang w:val="es-ES"/>
        </w:rPr>
        <w:instrText xml:space="preserve"> NOTEREF _Ref223017783 \h </w:instrText>
      </w:r>
      <w:r>
        <w:rPr>
          <w:lang w:val="pt-PT"/>
        </w:rPr>
      </w:r>
      <w:r>
        <w:rPr>
          <w:lang w:val="pt-PT"/>
        </w:rPr>
        <w:fldChar w:fldCharType="separate"/>
      </w:r>
      <w:r w:rsidR="00764D65" w:rsidRPr="00F81F61">
        <w:rPr>
          <w:lang w:val="es-ES"/>
        </w:rPr>
        <w:t>10</w:t>
      </w:r>
      <w:r>
        <w:rPr>
          <w:lang w:val="pt-PT"/>
        </w:rPr>
        <w:fldChar w:fldCharType="end"/>
      </w:r>
      <w:r w:rsidRPr="00F81F61">
        <w:rPr>
          <w:lang w:val="es-ES"/>
        </w:rPr>
        <w:t xml:space="preserve">, p. 44; </w:t>
      </w:r>
      <w:r w:rsidRPr="00F81F61">
        <w:rPr>
          <w:i/>
          <w:iCs/>
          <w:lang w:val="es-ES"/>
        </w:rPr>
        <w:t>Boletín de Igualdad en el Empleo</w:t>
      </w:r>
      <w:r w:rsidRPr="00F81F61">
        <w:rPr>
          <w:lang w:val="es-ES"/>
        </w:rPr>
        <w:t xml:space="preserve">, footnote </w:t>
      </w:r>
      <w:r>
        <w:rPr>
          <w:lang w:val="en-IE"/>
        </w:rPr>
        <w:fldChar w:fldCharType="begin"/>
      </w:r>
      <w:r w:rsidRPr="00F81F61">
        <w:rPr>
          <w:lang w:val="es-ES"/>
        </w:rPr>
        <w:instrText xml:space="preserve"> NOTEREF _Ref223017783 \h </w:instrText>
      </w:r>
      <w:r>
        <w:rPr>
          <w:lang w:val="en-IE"/>
        </w:rPr>
      </w:r>
      <w:r>
        <w:rPr>
          <w:lang w:val="en-IE"/>
        </w:rPr>
        <w:fldChar w:fldCharType="separate"/>
      </w:r>
      <w:r w:rsidR="00764D65" w:rsidRPr="00F81F61">
        <w:rPr>
          <w:lang w:val="es-ES"/>
        </w:rPr>
        <w:t>10</w:t>
      </w:r>
      <w:r>
        <w:rPr>
          <w:lang w:val="en-IE"/>
        </w:rPr>
        <w:fldChar w:fldCharType="end"/>
      </w:r>
      <w:r w:rsidRPr="00F81F61">
        <w:rPr>
          <w:lang w:val="es-ES"/>
        </w:rPr>
        <w:t>.</w:t>
      </w:r>
    </w:p>
  </w:footnote>
  <w:footnote w:id="90">
    <w:p w14:paraId="148EF2F3" w14:textId="4F8BF0A8"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EFFAT, </w:t>
      </w:r>
      <w:r>
        <w:rPr>
          <w:lang w:val="en-US"/>
        </w:rPr>
        <w:t>footnote</w:t>
      </w:r>
      <w:r w:rsidRPr="005846B1">
        <w:rPr>
          <w:lang w:val="en-US"/>
        </w:rPr>
        <w:t xml:space="preserve"> </w:t>
      </w:r>
      <w:r w:rsidRPr="005846B1">
        <w:fldChar w:fldCharType="begin"/>
      </w:r>
      <w:r w:rsidRPr="005846B1">
        <w:rPr>
          <w:lang w:val="en-US"/>
        </w:rPr>
        <w:instrText xml:space="preserve"> NOTEREF _Ref220421960 \h </w:instrText>
      </w:r>
      <w:r w:rsidRPr="00935D47">
        <w:instrText xml:space="preserve"> \* MERGEFORMAT </w:instrText>
      </w:r>
      <w:r w:rsidRPr="005846B1">
        <w:fldChar w:fldCharType="separate"/>
      </w:r>
      <w:r w:rsidR="00764D65">
        <w:rPr>
          <w:lang w:val="en-US"/>
        </w:rPr>
        <w:t>81</w:t>
      </w:r>
      <w:r w:rsidRPr="005846B1">
        <w:fldChar w:fldCharType="end"/>
      </w:r>
      <w:r w:rsidRPr="005846B1">
        <w:rPr>
          <w:lang w:val="en-US"/>
        </w:rPr>
        <w:t xml:space="preserve">; Solidar, </w:t>
      </w:r>
      <w:r>
        <w:rPr>
          <w:lang w:val="en-US"/>
        </w:rPr>
        <w:t>footnote</w:t>
      </w:r>
      <w:r w:rsidRPr="005846B1">
        <w:rPr>
          <w:lang w:val="en-US"/>
        </w:rPr>
        <w:t xml:space="preserve"> </w:t>
      </w:r>
      <w:r w:rsidRPr="005846B1">
        <w:rPr>
          <w:lang w:val="en-US"/>
        </w:rPr>
        <w:fldChar w:fldCharType="begin"/>
      </w:r>
      <w:r w:rsidRPr="005846B1">
        <w:rPr>
          <w:lang w:val="en-US"/>
        </w:rPr>
        <w:instrText xml:space="preserve"> NOTEREF _Ref220419329 \h </w:instrText>
      </w:r>
      <w:r w:rsidRPr="00935D47">
        <w:rPr>
          <w:lang w:val="en-US"/>
        </w:rPr>
        <w:instrText xml:space="preserve"> \* MERGEFORMAT </w:instrText>
      </w:r>
      <w:r w:rsidRPr="005846B1">
        <w:rPr>
          <w:lang w:val="en-US"/>
        </w:rPr>
      </w:r>
      <w:r w:rsidRPr="005846B1">
        <w:rPr>
          <w:lang w:val="en-US"/>
        </w:rPr>
        <w:fldChar w:fldCharType="separate"/>
      </w:r>
      <w:r w:rsidR="00764D65">
        <w:rPr>
          <w:lang w:val="en-US"/>
        </w:rPr>
        <w:t>60</w:t>
      </w:r>
      <w:r w:rsidRPr="005846B1">
        <w:rPr>
          <w:lang w:val="en-US"/>
        </w:rPr>
        <w:fldChar w:fldCharType="end"/>
      </w:r>
      <w:r w:rsidRPr="005846B1">
        <w:rPr>
          <w:lang w:val="en-US"/>
        </w:rPr>
        <w:t>, pp. 19 and 50.</w:t>
      </w:r>
    </w:p>
  </w:footnote>
  <w:footnote w:id="91">
    <w:p w14:paraId="4B0B201B" w14:textId="0518DE1D"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EFFAT calls for </w:t>
      </w:r>
      <w:r>
        <w:t>hefty</w:t>
      </w:r>
      <w:r w:rsidRPr="005846B1">
        <w:t xml:space="preserve"> sanctions for employers </w:t>
      </w:r>
      <w:r>
        <w:t xml:space="preserve">who </w:t>
      </w:r>
      <w:r w:rsidRPr="005846B1">
        <w:t>infring</w:t>
      </w:r>
      <w:r>
        <w:t xml:space="preserve">e </w:t>
      </w:r>
      <w:r w:rsidRPr="005846B1">
        <w:t xml:space="preserve">the Directive, </w:t>
      </w:r>
      <w:r>
        <w:t>footnote</w:t>
      </w:r>
      <w:r w:rsidRPr="005846B1">
        <w:t xml:space="preserve"> </w:t>
      </w:r>
      <w:r w:rsidRPr="005846B1">
        <w:fldChar w:fldCharType="begin"/>
      </w:r>
      <w:r w:rsidRPr="005846B1">
        <w:instrText xml:space="preserve"> NOTEREF _Ref220421960 \h </w:instrText>
      </w:r>
      <w:r w:rsidRPr="00935D47">
        <w:instrText xml:space="preserve"> \* MERGEFORMAT </w:instrText>
      </w:r>
      <w:r w:rsidRPr="005846B1">
        <w:fldChar w:fldCharType="separate"/>
      </w:r>
      <w:r w:rsidR="00764D65">
        <w:t>81</w:t>
      </w:r>
      <w:r w:rsidRPr="005846B1">
        <w:fldChar w:fldCharType="end"/>
      </w:r>
      <w:r w:rsidRPr="005846B1">
        <w:t>.</w:t>
      </w:r>
    </w:p>
  </w:footnote>
  <w:footnote w:id="92">
    <w:p w14:paraId="04DB7EC2"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r>
      <w:r w:rsidRPr="005846B1">
        <w:rPr>
          <w:lang w:val="en-US"/>
        </w:rPr>
        <w:t xml:space="preserve">Some </w:t>
      </w:r>
      <w:r>
        <w:rPr>
          <w:lang w:val="en-US"/>
        </w:rPr>
        <w:t>EU countries</w:t>
      </w:r>
      <w:r w:rsidRPr="005846B1">
        <w:rPr>
          <w:lang w:val="en-US"/>
        </w:rPr>
        <w:t xml:space="preserve"> </w:t>
      </w:r>
      <w:r>
        <w:rPr>
          <w:lang w:val="en-US"/>
        </w:rPr>
        <w:t xml:space="preserve">– for example, </w:t>
      </w:r>
      <w:r>
        <w:t>Greece</w:t>
      </w:r>
      <w:r w:rsidRPr="005846B1">
        <w:t>, F</w:t>
      </w:r>
      <w:r>
        <w:t>inland</w:t>
      </w:r>
      <w:r w:rsidRPr="005846B1">
        <w:t xml:space="preserve">, </w:t>
      </w:r>
      <w:r>
        <w:t>Croatia</w:t>
      </w:r>
      <w:r w:rsidRPr="005846B1">
        <w:t>, H</w:t>
      </w:r>
      <w:r>
        <w:t>ungary</w:t>
      </w:r>
      <w:r w:rsidRPr="005846B1">
        <w:t xml:space="preserve">, </w:t>
      </w:r>
      <w:r>
        <w:t>the Netherlands</w:t>
      </w:r>
      <w:r w:rsidRPr="005846B1">
        <w:t xml:space="preserve">, </w:t>
      </w:r>
      <w:r>
        <w:t>Portugal</w:t>
      </w:r>
      <w:r w:rsidRPr="005846B1">
        <w:t xml:space="preserve"> and S</w:t>
      </w:r>
      <w:r>
        <w:t xml:space="preserve">lovakia – </w:t>
      </w:r>
      <w:r w:rsidRPr="005846B1">
        <w:rPr>
          <w:lang w:val="en-US"/>
        </w:rPr>
        <w:t>explicitly link employer</w:t>
      </w:r>
      <w:r>
        <w:rPr>
          <w:lang w:val="en-US"/>
        </w:rPr>
        <w:t>s’</w:t>
      </w:r>
      <w:r w:rsidRPr="005846B1">
        <w:rPr>
          <w:lang w:val="en-US"/>
        </w:rPr>
        <w:t xml:space="preserve"> obligations under the Directive to specific sanction clauses, including </w:t>
      </w:r>
      <w:r>
        <w:rPr>
          <w:lang w:val="en-US"/>
        </w:rPr>
        <w:t xml:space="preserve">fines for each </w:t>
      </w:r>
      <w:r w:rsidRPr="005846B1">
        <w:rPr>
          <w:lang w:val="en-US"/>
        </w:rPr>
        <w:t>worker</w:t>
      </w:r>
      <w:r>
        <w:rPr>
          <w:lang w:val="en-US"/>
        </w:rPr>
        <w:t xml:space="preserve"> exploited</w:t>
      </w:r>
      <w:r w:rsidRPr="005846B1">
        <w:rPr>
          <w:lang w:val="en-US"/>
        </w:rPr>
        <w:t xml:space="preserve">, rent caps or thresholds and direct references to permit refusal or withdrawal, thereby improving clarity and </w:t>
      </w:r>
      <w:r>
        <w:rPr>
          <w:lang w:val="en-US"/>
        </w:rPr>
        <w:t xml:space="preserve">increasing </w:t>
      </w:r>
      <w:r w:rsidRPr="005846B1">
        <w:rPr>
          <w:lang w:val="en-US"/>
        </w:rPr>
        <w:t>deterrence.</w:t>
      </w:r>
    </w:p>
  </w:footnote>
  <w:footnote w:id="93">
    <w:p w14:paraId="739A8EDF"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rPr>
          <w:lang w:val="en-US"/>
        </w:rPr>
        <w:tab/>
        <w:t>For example, L</w:t>
      </w:r>
      <w:r>
        <w:rPr>
          <w:lang w:val="en-US"/>
        </w:rPr>
        <w:t>ithuania</w:t>
      </w:r>
      <w:r w:rsidRPr="005846B1">
        <w:rPr>
          <w:lang w:val="en-US"/>
        </w:rPr>
        <w:t xml:space="preserve">, </w:t>
      </w:r>
      <w:r>
        <w:rPr>
          <w:lang w:val="en-US"/>
        </w:rPr>
        <w:t>Poland</w:t>
      </w:r>
      <w:r w:rsidRPr="005846B1">
        <w:rPr>
          <w:lang w:val="en-US"/>
        </w:rPr>
        <w:t xml:space="preserve"> and </w:t>
      </w:r>
      <w:r>
        <w:rPr>
          <w:lang w:val="en-US"/>
        </w:rPr>
        <w:t>Romania</w:t>
      </w:r>
      <w:r w:rsidRPr="005846B1">
        <w:rPr>
          <w:lang w:val="en-US"/>
        </w:rPr>
        <w:t>.</w:t>
      </w:r>
    </w:p>
  </w:footnote>
  <w:footnote w:id="94">
    <w:p w14:paraId="0B67FC46"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Austria</w:t>
      </w:r>
      <w:r w:rsidRPr="005846B1">
        <w:t xml:space="preserve">, </w:t>
      </w:r>
      <w:r>
        <w:t>Belgium</w:t>
      </w:r>
      <w:r w:rsidRPr="005846B1">
        <w:t xml:space="preserve"> (Wallonia), C</w:t>
      </w:r>
      <w:r>
        <w:t>zechia</w:t>
      </w:r>
      <w:r w:rsidRPr="005846B1">
        <w:t xml:space="preserve">, </w:t>
      </w:r>
      <w:r>
        <w:t>Estonia</w:t>
      </w:r>
      <w:r w:rsidRPr="005846B1">
        <w:t xml:space="preserve">, </w:t>
      </w:r>
      <w:r>
        <w:t>Greece</w:t>
      </w:r>
      <w:r w:rsidRPr="005846B1">
        <w:t xml:space="preserve">, </w:t>
      </w:r>
      <w:r>
        <w:t>Italy</w:t>
      </w:r>
      <w:r w:rsidRPr="005846B1">
        <w:t xml:space="preserve">, </w:t>
      </w:r>
      <w:r>
        <w:t>Latvia</w:t>
      </w:r>
      <w:r w:rsidRPr="005846B1">
        <w:t>, L</w:t>
      </w:r>
      <w:r>
        <w:t>uxembourg</w:t>
      </w:r>
      <w:r w:rsidRPr="005846B1">
        <w:t>, P</w:t>
      </w:r>
      <w:r>
        <w:t>ortugal</w:t>
      </w:r>
      <w:r w:rsidRPr="005846B1">
        <w:t xml:space="preserve">, </w:t>
      </w:r>
      <w:r>
        <w:t>Romania</w:t>
      </w:r>
      <w:r w:rsidRPr="005846B1">
        <w:t xml:space="preserve"> and S</w:t>
      </w:r>
      <w:r>
        <w:t>weden</w:t>
      </w:r>
      <w:r w:rsidRPr="005846B1">
        <w:t>.</w:t>
      </w:r>
    </w:p>
  </w:footnote>
  <w:footnote w:id="95">
    <w:p w14:paraId="2F45B544" w14:textId="749F48CF" w:rsidR="006976D7" w:rsidRPr="005846B1" w:rsidRDefault="006976D7" w:rsidP="00E57A38">
      <w:pPr>
        <w:pStyle w:val="FootnoteText"/>
        <w:spacing w:after="0"/>
      </w:pPr>
      <w:r w:rsidRPr="005846B1">
        <w:rPr>
          <w:rStyle w:val="FootnoteReference"/>
        </w:rPr>
        <w:footnoteRef/>
      </w:r>
      <w:r w:rsidRPr="005846B1">
        <w:t xml:space="preserve"> </w:t>
      </w:r>
      <w:r w:rsidRPr="005846B1">
        <w:tab/>
        <w:t>For example</w:t>
      </w:r>
      <w:r w:rsidRPr="00137972">
        <w:t>, Cyprus</w:t>
      </w:r>
      <w:r w:rsidRPr="005846B1">
        <w:t xml:space="preserve">, </w:t>
      </w:r>
      <w:r>
        <w:t>Germany</w:t>
      </w:r>
      <w:r w:rsidRPr="005846B1">
        <w:t xml:space="preserve">, </w:t>
      </w:r>
      <w:r>
        <w:t>Spain</w:t>
      </w:r>
      <w:r w:rsidRPr="005846B1">
        <w:t>, F</w:t>
      </w:r>
      <w:r>
        <w:t>inland</w:t>
      </w:r>
      <w:r w:rsidRPr="005846B1">
        <w:t>, F</w:t>
      </w:r>
      <w:r>
        <w:t>rance</w:t>
      </w:r>
      <w:r w:rsidRPr="005846B1">
        <w:t xml:space="preserve">, </w:t>
      </w:r>
      <w:r>
        <w:t>Croatia</w:t>
      </w:r>
      <w:r w:rsidRPr="005846B1">
        <w:t>, H</w:t>
      </w:r>
      <w:r>
        <w:t>ungary</w:t>
      </w:r>
      <w:r w:rsidRPr="005846B1">
        <w:t>, L</w:t>
      </w:r>
      <w:r>
        <w:t>ithuania</w:t>
      </w:r>
      <w:r w:rsidRPr="005846B1">
        <w:t>, M</w:t>
      </w:r>
      <w:r>
        <w:t>alta</w:t>
      </w:r>
      <w:r w:rsidRPr="005846B1">
        <w:t xml:space="preserve">, </w:t>
      </w:r>
      <w:r>
        <w:t>the Netherlands</w:t>
      </w:r>
      <w:r w:rsidRPr="005846B1">
        <w:t>, P</w:t>
      </w:r>
      <w:r>
        <w:t>oland</w:t>
      </w:r>
      <w:r w:rsidRPr="005846B1">
        <w:t xml:space="preserve">, </w:t>
      </w:r>
      <w:r>
        <w:t>Slovakia</w:t>
      </w:r>
      <w:r w:rsidRPr="005846B1">
        <w:t xml:space="preserve"> and S</w:t>
      </w:r>
      <w:r>
        <w:t>lovenia</w:t>
      </w:r>
      <w:r w:rsidRPr="005846B1">
        <w:t>.</w:t>
      </w:r>
    </w:p>
  </w:footnote>
  <w:footnote w:id="96">
    <w:p w14:paraId="2047AF26" w14:textId="77777777" w:rsidR="006976D7" w:rsidRPr="00935D47" w:rsidRDefault="006976D7" w:rsidP="00E57A38">
      <w:pPr>
        <w:pStyle w:val="FootnoteText"/>
        <w:spacing w:after="0"/>
        <w:rPr>
          <w:lang w:val="en-US"/>
        </w:rPr>
      </w:pPr>
      <w:r>
        <w:rPr>
          <w:rStyle w:val="FootnoteReference"/>
        </w:rPr>
        <w:footnoteRef/>
      </w:r>
      <w:r>
        <w:t xml:space="preserve"> </w:t>
      </w:r>
      <w:r>
        <w:tab/>
      </w:r>
      <w:r w:rsidRPr="00935D47">
        <w:rPr>
          <w:lang w:val="en-US"/>
        </w:rPr>
        <w:t>Except for Greece and Croatia</w:t>
      </w:r>
      <w:r>
        <w:rPr>
          <w:lang w:val="en-US"/>
        </w:rPr>
        <w:t>.</w:t>
      </w:r>
    </w:p>
  </w:footnote>
  <w:footnote w:id="97">
    <w:p w14:paraId="7916F62E" w14:textId="2CF112CF"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 xml:space="preserve">Council of Europe, </w:t>
      </w:r>
      <w:r>
        <w:t>footnote</w:t>
      </w:r>
      <w:r w:rsidRPr="005846B1">
        <w:t xml:space="preserve"> </w:t>
      </w:r>
      <w:r w:rsidRPr="005846B1">
        <w:fldChar w:fldCharType="begin"/>
      </w:r>
      <w:r w:rsidRPr="005846B1">
        <w:instrText xml:space="preserve"> NOTEREF _Ref220421960 \h </w:instrText>
      </w:r>
      <w:r w:rsidRPr="00935D47">
        <w:instrText xml:space="preserve"> \* MERGEFORMAT </w:instrText>
      </w:r>
      <w:r w:rsidRPr="005846B1">
        <w:fldChar w:fldCharType="separate"/>
      </w:r>
      <w:r w:rsidR="00764D65">
        <w:t>81</w:t>
      </w:r>
      <w:r w:rsidRPr="005846B1">
        <w:fldChar w:fldCharType="end"/>
      </w:r>
      <w:r w:rsidRPr="005846B1">
        <w:rPr>
          <w:lang w:val="en-US"/>
        </w:rPr>
        <w:t xml:space="preserve">, point 24.7; Targeted study, </w:t>
      </w:r>
      <w:r>
        <w:rPr>
          <w:lang w:val="en-US"/>
        </w:rPr>
        <w:t>footnote</w:t>
      </w:r>
      <w:r w:rsidRPr="005846B1">
        <w:rPr>
          <w:lang w:val="en-US"/>
        </w:rPr>
        <w:t xml:space="preserve"> </w:t>
      </w:r>
      <w:r>
        <w:rPr>
          <w:lang w:val="en-US"/>
        </w:rPr>
        <w:fldChar w:fldCharType="begin"/>
      </w:r>
      <w:r>
        <w:rPr>
          <w:lang w:val="en-US"/>
        </w:rPr>
        <w:instrText xml:space="preserve"> NOTEREF _Ref223017783 \h </w:instrText>
      </w:r>
      <w:r>
        <w:rPr>
          <w:lang w:val="en-US"/>
        </w:rPr>
      </w:r>
      <w:r>
        <w:rPr>
          <w:lang w:val="en-US"/>
        </w:rPr>
        <w:fldChar w:fldCharType="separate"/>
      </w:r>
      <w:r w:rsidR="00764D65">
        <w:rPr>
          <w:lang w:val="en-US"/>
        </w:rPr>
        <w:t>10</w:t>
      </w:r>
      <w:r>
        <w:rPr>
          <w:lang w:val="en-US"/>
        </w:rPr>
        <w:fldChar w:fldCharType="end"/>
      </w:r>
      <w:r w:rsidRPr="005846B1">
        <w:rPr>
          <w:lang w:val="en-US"/>
        </w:rPr>
        <w:t>.</w:t>
      </w:r>
    </w:p>
  </w:footnote>
  <w:footnote w:id="98">
    <w:p w14:paraId="00EF3774"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Austria</w:t>
      </w:r>
      <w:r w:rsidRPr="005846B1">
        <w:rPr>
          <w:lang w:val="en-US"/>
        </w:rPr>
        <w:t>, B</w:t>
      </w:r>
      <w:r>
        <w:rPr>
          <w:lang w:val="en-US"/>
        </w:rPr>
        <w:t>elgium</w:t>
      </w:r>
      <w:r w:rsidRPr="005846B1">
        <w:rPr>
          <w:lang w:val="en-US"/>
        </w:rPr>
        <w:t>, B</w:t>
      </w:r>
      <w:r>
        <w:rPr>
          <w:lang w:val="en-US"/>
        </w:rPr>
        <w:t>ulgaria</w:t>
      </w:r>
      <w:r w:rsidRPr="005846B1">
        <w:rPr>
          <w:lang w:val="en-US"/>
        </w:rPr>
        <w:t>, C</w:t>
      </w:r>
      <w:r>
        <w:rPr>
          <w:lang w:val="en-US"/>
        </w:rPr>
        <w:t>yprus</w:t>
      </w:r>
      <w:r w:rsidRPr="005846B1">
        <w:rPr>
          <w:lang w:val="en-US"/>
        </w:rPr>
        <w:t>, C</w:t>
      </w:r>
      <w:r>
        <w:rPr>
          <w:lang w:val="en-US"/>
        </w:rPr>
        <w:t>zechia</w:t>
      </w:r>
      <w:r w:rsidRPr="005846B1">
        <w:rPr>
          <w:lang w:val="en-US"/>
        </w:rPr>
        <w:t xml:space="preserve">, </w:t>
      </w:r>
      <w:r>
        <w:rPr>
          <w:lang w:val="en-US"/>
        </w:rPr>
        <w:t>Germany</w:t>
      </w:r>
      <w:r w:rsidRPr="005846B1">
        <w:rPr>
          <w:lang w:val="en-US"/>
        </w:rPr>
        <w:t>, E</w:t>
      </w:r>
      <w:r>
        <w:rPr>
          <w:lang w:val="en-US"/>
        </w:rPr>
        <w:t>stonia</w:t>
      </w:r>
      <w:r w:rsidRPr="005846B1">
        <w:rPr>
          <w:lang w:val="en-US"/>
        </w:rPr>
        <w:t>, S</w:t>
      </w:r>
      <w:r>
        <w:rPr>
          <w:lang w:val="en-US"/>
        </w:rPr>
        <w:t>pain</w:t>
      </w:r>
      <w:r w:rsidRPr="005846B1">
        <w:rPr>
          <w:lang w:val="en-US"/>
        </w:rPr>
        <w:t>, F</w:t>
      </w:r>
      <w:r>
        <w:rPr>
          <w:lang w:val="en-US"/>
        </w:rPr>
        <w:t>inland</w:t>
      </w:r>
      <w:r w:rsidRPr="005846B1">
        <w:rPr>
          <w:lang w:val="en-US"/>
        </w:rPr>
        <w:t>, F</w:t>
      </w:r>
      <w:r>
        <w:rPr>
          <w:lang w:val="en-US"/>
        </w:rPr>
        <w:t>rance</w:t>
      </w:r>
      <w:r w:rsidRPr="005846B1">
        <w:rPr>
          <w:lang w:val="en-US"/>
        </w:rPr>
        <w:t xml:space="preserve">, </w:t>
      </w:r>
      <w:r>
        <w:rPr>
          <w:lang w:val="en-US"/>
        </w:rPr>
        <w:t>Croatia</w:t>
      </w:r>
      <w:r w:rsidRPr="005846B1">
        <w:rPr>
          <w:lang w:val="en-US"/>
        </w:rPr>
        <w:t>, I</w:t>
      </w:r>
      <w:r>
        <w:rPr>
          <w:lang w:val="en-US"/>
        </w:rPr>
        <w:t>taly</w:t>
      </w:r>
      <w:r w:rsidRPr="005846B1">
        <w:rPr>
          <w:lang w:val="en-US"/>
        </w:rPr>
        <w:t>, L</w:t>
      </w:r>
      <w:r>
        <w:rPr>
          <w:lang w:val="en-US"/>
        </w:rPr>
        <w:t>atvia</w:t>
      </w:r>
      <w:r w:rsidRPr="005846B1">
        <w:rPr>
          <w:lang w:val="en-US"/>
        </w:rPr>
        <w:t>, L</w:t>
      </w:r>
      <w:r>
        <w:rPr>
          <w:lang w:val="en-US"/>
        </w:rPr>
        <w:t>ithuania</w:t>
      </w:r>
      <w:r w:rsidRPr="005846B1">
        <w:rPr>
          <w:lang w:val="en-US"/>
        </w:rPr>
        <w:t>, L</w:t>
      </w:r>
      <w:r>
        <w:rPr>
          <w:lang w:val="en-US"/>
        </w:rPr>
        <w:t>uxembourg</w:t>
      </w:r>
      <w:r w:rsidRPr="005846B1">
        <w:rPr>
          <w:lang w:val="en-US"/>
        </w:rPr>
        <w:t>, M</w:t>
      </w:r>
      <w:r>
        <w:rPr>
          <w:lang w:val="en-US"/>
        </w:rPr>
        <w:t>alta</w:t>
      </w:r>
      <w:r w:rsidRPr="005846B1">
        <w:rPr>
          <w:lang w:val="en-US"/>
        </w:rPr>
        <w:t>, P</w:t>
      </w:r>
      <w:r>
        <w:rPr>
          <w:lang w:val="en-US"/>
        </w:rPr>
        <w:t>ortugal</w:t>
      </w:r>
      <w:r w:rsidRPr="005846B1">
        <w:rPr>
          <w:lang w:val="en-US"/>
        </w:rPr>
        <w:t>, S</w:t>
      </w:r>
      <w:r>
        <w:rPr>
          <w:lang w:val="en-US"/>
        </w:rPr>
        <w:t>lovenia</w:t>
      </w:r>
      <w:r w:rsidRPr="005846B1">
        <w:rPr>
          <w:lang w:val="en-US"/>
        </w:rPr>
        <w:t>, S</w:t>
      </w:r>
      <w:r>
        <w:rPr>
          <w:lang w:val="en-US"/>
        </w:rPr>
        <w:t>lovakia</w:t>
      </w:r>
      <w:r w:rsidRPr="005846B1">
        <w:rPr>
          <w:lang w:val="en-US"/>
        </w:rPr>
        <w:t xml:space="preserve"> and S</w:t>
      </w:r>
      <w:r>
        <w:rPr>
          <w:lang w:val="en-US"/>
        </w:rPr>
        <w:t>weden</w:t>
      </w:r>
      <w:r w:rsidRPr="005846B1">
        <w:rPr>
          <w:lang w:val="en-US"/>
        </w:rPr>
        <w:t xml:space="preserve">. </w:t>
      </w:r>
    </w:p>
  </w:footnote>
  <w:footnote w:id="99">
    <w:p w14:paraId="742F109D"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Greece</w:t>
      </w:r>
      <w:r w:rsidRPr="005846B1">
        <w:t xml:space="preserve">, </w:t>
      </w:r>
      <w:r>
        <w:t>Hungary</w:t>
      </w:r>
      <w:r w:rsidRPr="005846B1">
        <w:t xml:space="preserve"> and P</w:t>
      </w:r>
      <w:r>
        <w:t>oland</w:t>
      </w:r>
      <w:r w:rsidRPr="005846B1">
        <w:t>.</w:t>
      </w:r>
    </w:p>
  </w:footnote>
  <w:footnote w:id="100">
    <w:p w14:paraId="4C9D4F12" w14:textId="51E5E0FE"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Bulgaria</w:t>
      </w:r>
      <w:r w:rsidRPr="005846B1">
        <w:t xml:space="preserve">, </w:t>
      </w:r>
      <w:r>
        <w:t>Germany</w:t>
      </w:r>
      <w:r w:rsidRPr="005846B1">
        <w:t xml:space="preserve">, </w:t>
      </w:r>
      <w:r>
        <w:t>Greece</w:t>
      </w:r>
      <w:r w:rsidRPr="005846B1">
        <w:t>,</w:t>
      </w:r>
      <w:r>
        <w:t xml:space="preserve"> the</w:t>
      </w:r>
      <w:r w:rsidRPr="005846B1">
        <w:t xml:space="preserve"> </w:t>
      </w:r>
      <w:r>
        <w:t>Netherlands</w:t>
      </w:r>
      <w:r w:rsidRPr="005846B1">
        <w:t xml:space="preserve"> and S</w:t>
      </w:r>
      <w:r>
        <w:t>lovenia</w:t>
      </w:r>
      <w:r w:rsidRPr="005846B1">
        <w:t xml:space="preserve">; </w:t>
      </w:r>
      <w:r>
        <w:t>Hellenic Foundation for European and Foreign Policy (</w:t>
      </w:r>
      <w:r w:rsidRPr="005846B1">
        <w:t>ELIAMEP</w:t>
      </w:r>
      <w:r>
        <w:t>)</w:t>
      </w:r>
      <w:r w:rsidRPr="005846B1">
        <w:t xml:space="preserve">, </w:t>
      </w:r>
      <w:r>
        <w:t>footnote</w:t>
      </w:r>
      <w:r w:rsidRPr="005846B1">
        <w:t xml:space="preserve"> </w:t>
      </w:r>
      <w:r w:rsidRPr="005846B1">
        <w:fldChar w:fldCharType="begin"/>
      </w:r>
      <w:r w:rsidRPr="005846B1">
        <w:instrText xml:space="preserve"> NOTEREF _Ref220419329 \h </w:instrText>
      </w:r>
      <w:r w:rsidRPr="00935D47">
        <w:instrText xml:space="preserve"> \* MERGEFORMAT </w:instrText>
      </w:r>
      <w:r w:rsidRPr="005846B1">
        <w:fldChar w:fldCharType="separate"/>
      </w:r>
      <w:r w:rsidR="00764D65">
        <w:t>60</w:t>
      </w:r>
      <w:r w:rsidRPr="005846B1">
        <w:fldChar w:fldCharType="end"/>
      </w:r>
      <w:r w:rsidRPr="005846B1">
        <w:t>, p. 19</w:t>
      </w:r>
      <w:r w:rsidRPr="005846B1">
        <w:rPr>
          <w:lang w:val="en-US"/>
        </w:rPr>
        <w:t>.</w:t>
      </w:r>
    </w:p>
  </w:footnote>
  <w:footnote w:id="101">
    <w:p w14:paraId="49EF4A78"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rsidRPr="005846B1">
        <w:rPr>
          <w:lang w:val="en-US"/>
        </w:rPr>
        <w:t>B</w:t>
      </w:r>
      <w:r>
        <w:rPr>
          <w:lang w:val="en-US"/>
        </w:rPr>
        <w:t>elgium</w:t>
      </w:r>
      <w:r w:rsidRPr="005846B1">
        <w:rPr>
          <w:lang w:val="en-US"/>
        </w:rPr>
        <w:t>, C</w:t>
      </w:r>
      <w:r>
        <w:rPr>
          <w:lang w:val="en-US"/>
        </w:rPr>
        <w:t>zechia</w:t>
      </w:r>
      <w:r w:rsidRPr="005846B1">
        <w:rPr>
          <w:lang w:val="en-US"/>
        </w:rPr>
        <w:t>, F</w:t>
      </w:r>
      <w:r>
        <w:rPr>
          <w:lang w:val="en-US"/>
        </w:rPr>
        <w:t>inland</w:t>
      </w:r>
      <w:r w:rsidRPr="005846B1">
        <w:rPr>
          <w:lang w:val="en-US"/>
        </w:rPr>
        <w:t xml:space="preserve">, </w:t>
      </w:r>
      <w:r>
        <w:rPr>
          <w:lang w:val="en-US"/>
        </w:rPr>
        <w:t>Croatia</w:t>
      </w:r>
      <w:r w:rsidRPr="005846B1">
        <w:rPr>
          <w:lang w:val="en-US"/>
        </w:rPr>
        <w:t xml:space="preserve"> and M</w:t>
      </w:r>
      <w:r>
        <w:rPr>
          <w:lang w:val="en-US"/>
        </w:rPr>
        <w:t>alta</w:t>
      </w:r>
      <w:r w:rsidRPr="005846B1">
        <w:rPr>
          <w:lang w:val="en-US"/>
        </w:rPr>
        <w:t>.</w:t>
      </w:r>
    </w:p>
  </w:footnote>
  <w:footnote w:id="102">
    <w:p w14:paraId="7C08AAC4"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rPr>
          <w:lang w:val="en-US"/>
        </w:rPr>
        <w:tab/>
        <w:t xml:space="preserve">For example, </w:t>
      </w:r>
      <w:r>
        <w:rPr>
          <w:lang w:val="en-US"/>
        </w:rPr>
        <w:t>Belgium</w:t>
      </w:r>
      <w:r w:rsidRPr="005846B1">
        <w:rPr>
          <w:lang w:val="en-US"/>
        </w:rPr>
        <w:t xml:space="preserve"> and M</w:t>
      </w:r>
      <w:r>
        <w:rPr>
          <w:lang w:val="en-US"/>
        </w:rPr>
        <w:t>alta</w:t>
      </w:r>
      <w:r w:rsidRPr="005846B1">
        <w:rPr>
          <w:lang w:val="en-US"/>
        </w:rPr>
        <w:t>.</w:t>
      </w:r>
    </w:p>
  </w:footnote>
  <w:footnote w:id="103">
    <w:p w14:paraId="738C24D9"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rPr>
          <w:lang w:val="en-US"/>
        </w:rPr>
        <w:t>Austria</w:t>
      </w:r>
      <w:r w:rsidRPr="005846B1">
        <w:rPr>
          <w:lang w:val="en-US"/>
        </w:rPr>
        <w:t>,</w:t>
      </w:r>
      <w:r w:rsidRPr="005846B1">
        <w:t xml:space="preserve"> </w:t>
      </w:r>
      <w:r>
        <w:t>Germany</w:t>
      </w:r>
      <w:r w:rsidRPr="005846B1">
        <w:t>.</w:t>
      </w:r>
    </w:p>
  </w:footnote>
  <w:footnote w:id="104">
    <w:p w14:paraId="626E9E94" w14:textId="77777777" w:rsidR="006976D7" w:rsidRPr="005846B1" w:rsidRDefault="006976D7" w:rsidP="00E57A38">
      <w:pPr>
        <w:pStyle w:val="FootnoteText"/>
        <w:spacing w:after="0"/>
        <w:rPr>
          <w:lang w:val="en-US"/>
        </w:rPr>
      </w:pPr>
      <w:r w:rsidRPr="005846B1">
        <w:rPr>
          <w:rStyle w:val="FootnoteReference"/>
        </w:rPr>
        <w:footnoteRef/>
      </w:r>
      <w:r w:rsidRPr="005846B1">
        <w:t xml:space="preserve"> </w:t>
      </w:r>
      <w:r w:rsidRPr="005846B1">
        <w:tab/>
        <w:t>For example in C</w:t>
      </w:r>
      <w:r>
        <w:t>yprus</w:t>
      </w:r>
      <w:r w:rsidRPr="005846B1">
        <w:t xml:space="preserve">, </w:t>
      </w:r>
      <w:r>
        <w:t>Greece</w:t>
      </w:r>
      <w:r w:rsidRPr="005846B1">
        <w:t>, I</w:t>
      </w:r>
      <w:r>
        <w:t>taly</w:t>
      </w:r>
      <w:r w:rsidRPr="005846B1">
        <w:t xml:space="preserve">, </w:t>
      </w:r>
      <w:r>
        <w:t>Portugal</w:t>
      </w:r>
      <w:r w:rsidRPr="005846B1">
        <w:t xml:space="preserve"> and </w:t>
      </w:r>
      <w:r>
        <w:t>Spain</w:t>
      </w:r>
      <w:r w:rsidRPr="005846B1">
        <w:t>. 10 000 migrant workers were counted as living in informal settlements in Italy</w:t>
      </w:r>
      <w:r>
        <w:t>:</w:t>
      </w:r>
      <w:r w:rsidRPr="005846B1">
        <w:t xml:space="preserve"> Ministry of Labour and Social Policies and National Association of Italian Municipalities, </w:t>
      </w:r>
      <w:r w:rsidRPr="000E5414">
        <w:rPr>
          <w:i/>
          <w:iCs/>
          <w:lang w:val="en-US"/>
        </w:rPr>
        <w:t>Le condizioni abitative dei migrant</w:t>
      </w:r>
      <w:r>
        <w:rPr>
          <w:i/>
          <w:iCs/>
          <w:lang w:val="en-US"/>
        </w:rPr>
        <w:t>i</w:t>
      </w:r>
      <w:r w:rsidRPr="000E5414">
        <w:rPr>
          <w:i/>
          <w:iCs/>
          <w:lang w:val="en-US"/>
        </w:rPr>
        <w:t xml:space="preserve"> che lavorano nel settore agro-alimentare</w:t>
      </w:r>
      <w:r>
        <w:rPr>
          <w:lang w:val="en-US"/>
        </w:rPr>
        <w:t xml:space="preserve"> (The living conditions of migrants working in the agri-food sector)</w:t>
      </w:r>
      <w:r w:rsidRPr="005846B1">
        <w:rPr>
          <w:lang w:val="en-US"/>
        </w:rPr>
        <w:t>, 2022.</w:t>
      </w:r>
    </w:p>
  </w:footnote>
  <w:footnote w:id="105">
    <w:p w14:paraId="48C67672" w14:textId="1BFF9054"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 xml:space="preserve">the </w:t>
      </w:r>
      <w:r w:rsidRPr="005846B1">
        <w:t xml:space="preserve">Finnish Government, </w:t>
      </w:r>
      <w:r>
        <w:t>footnote</w:t>
      </w:r>
      <w:r w:rsidRPr="005846B1">
        <w:t xml:space="preserve"> </w:t>
      </w:r>
      <w:r w:rsidRPr="005846B1">
        <w:fldChar w:fldCharType="begin"/>
      </w:r>
      <w:r w:rsidRPr="00F81F61">
        <w:rPr>
          <w:lang w:val="en-IE"/>
        </w:rPr>
        <w:instrText xml:space="preserve"> NOTEREF _Ref220421960 \h  \* MERGEFORMAT </w:instrText>
      </w:r>
      <w:r w:rsidRPr="005846B1">
        <w:fldChar w:fldCharType="separate"/>
      </w:r>
      <w:r w:rsidR="00764D65" w:rsidRPr="00F81F61">
        <w:rPr>
          <w:lang w:val="en-IE"/>
        </w:rPr>
        <w:t>81</w:t>
      </w:r>
      <w:r w:rsidRPr="005846B1">
        <w:fldChar w:fldCharType="end"/>
      </w:r>
      <w:r w:rsidRPr="00F81F61">
        <w:rPr>
          <w:lang w:val="en-IE"/>
        </w:rPr>
        <w:t xml:space="preserve">; ELIAMEP, footnote </w:t>
      </w:r>
      <w:r w:rsidRPr="005846B1">
        <w:fldChar w:fldCharType="begin"/>
      </w:r>
      <w:r w:rsidRPr="00F81F61">
        <w:rPr>
          <w:lang w:val="en-IE"/>
        </w:rPr>
        <w:instrText xml:space="preserve"> NOTEREF _Ref220419329 \h  \* MERGEFORMAT </w:instrText>
      </w:r>
      <w:r w:rsidRPr="005846B1">
        <w:fldChar w:fldCharType="separate"/>
      </w:r>
      <w:r w:rsidR="00764D65" w:rsidRPr="00F81F61">
        <w:rPr>
          <w:lang w:val="en-IE"/>
        </w:rPr>
        <w:t>60</w:t>
      </w:r>
      <w:r w:rsidRPr="005846B1">
        <w:fldChar w:fldCharType="end"/>
      </w:r>
      <w:r w:rsidRPr="00F81F61">
        <w:rPr>
          <w:lang w:val="en-IE"/>
        </w:rPr>
        <w:t xml:space="preserve">, pages 19 and 25, Eurispes, footnote </w:t>
      </w:r>
      <w:r w:rsidRPr="005846B1">
        <w:fldChar w:fldCharType="begin"/>
      </w:r>
      <w:r w:rsidRPr="005846B1">
        <w:instrText xml:space="preserve"> NOTEREF _Ref221275612 \h </w:instrText>
      </w:r>
      <w:r w:rsidRPr="00935D47">
        <w:instrText xml:space="preserve"> \* MERGEFORMAT </w:instrText>
      </w:r>
      <w:r w:rsidRPr="005846B1">
        <w:fldChar w:fldCharType="separate"/>
      </w:r>
      <w:r w:rsidR="00764D65">
        <w:t>41</w:t>
      </w:r>
      <w:r w:rsidRPr="005846B1">
        <w:fldChar w:fldCharType="end"/>
      </w:r>
      <w:r w:rsidRPr="005846B1">
        <w:t>.</w:t>
      </w:r>
    </w:p>
  </w:footnote>
  <w:footnote w:id="106">
    <w:p w14:paraId="65673B90" w14:textId="5617D6EA" w:rsidR="00585C71" w:rsidRPr="004E7036" w:rsidRDefault="00585C71" w:rsidP="00F81F61">
      <w:pPr>
        <w:pStyle w:val="FootnoteText"/>
        <w:spacing w:after="0"/>
        <w:rPr>
          <w:lang w:val="it-IT"/>
        </w:rPr>
      </w:pPr>
      <w:r>
        <w:rPr>
          <w:rStyle w:val="FootnoteReference"/>
        </w:rPr>
        <w:footnoteRef/>
      </w:r>
      <w:r w:rsidRPr="004E7036">
        <w:rPr>
          <w:lang w:val="it-IT"/>
        </w:rPr>
        <w:t xml:space="preserve"> </w:t>
      </w:r>
      <w:r w:rsidRPr="004E7036">
        <w:rPr>
          <w:lang w:val="it-IT"/>
        </w:rPr>
        <w:tab/>
        <w:t>See</w:t>
      </w:r>
      <w:r w:rsidR="00A325A5" w:rsidRPr="004E7036">
        <w:rPr>
          <w:lang w:val="it-IT"/>
        </w:rPr>
        <w:t xml:space="preserve"> footnote</w:t>
      </w:r>
      <w:r w:rsidRPr="004E7036">
        <w:rPr>
          <w:lang w:val="it-IT"/>
        </w:rPr>
        <w:t xml:space="preserve"> </w:t>
      </w:r>
      <w:r>
        <w:rPr>
          <w:lang w:val="en-US"/>
        </w:rPr>
        <w:fldChar w:fldCharType="begin"/>
      </w:r>
      <w:r w:rsidRPr="00F81F61">
        <w:rPr>
          <w:lang w:val="it-IT"/>
        </w:rPr>
        <w:instrText xml:space="preserve"> NOTEREF _Ref225510537 \h </w:instrText>
      </w:r>
      <w:r>
        <w:rPr>
          <w:lang w:val="en-US"/>
        </w:rPr>
      </w:r>
      <w:r>
        <w:rPr>
          <w:lang w:val="en-US"/>
        </w:rPr>
        <w:fldChar w:fldCharType="separate"/>
      </w:r>
      <w:r w:rsidRPr="004E7036">
        <w:rPr>
          <w:lang w:val="it-IT"/>
        </w:rPr>
        <w:t>22</w:t>
      </w:r>
      <w:r>
        <w:rPr>
          <w:lang w:val="en-US"/>
        </w:rPr>
        <w:fldChar w:fldCharType="end"/>
      </w:r>
      <w:r w:rsidR="00A325A5" w:rsidRPr="004E7036">
        <w:rPr>
          <w:lang w:val="it-IT"/>
        </w:rPr>
        <w:t xml:space="preserve"> and </w:t>
      </w:r>
      <w:hyperlink r:id="rId14" w:history="1">
        <w:r w:rsidRPr="004E7036">
          <w:rPr>
            <w:rStyle w:val="Hyperlink"/>
            <w:lang w:val="it-IT"/>
          </w:rPr>
          <w:t xml:space="preserve">Programmazione pluriennale in tema di politiche del lavoro, </w:t>
        </w:r>
        <w:r w:rsidR="00A325A5" w:rsidRPr="004E7036">
          <w:rPr>
            <w:rStyle w:val="Hyperlink"/>
            <w:lang w:val="it-IT"/>
          </w:rPr>
          <w:t>integrazione e inclusione</w:t>
        </w:r>
        <w:r w:rsidRPr="004E7036">
          <w:rPr>
            <w:rStyle w:val="Hyperlink"/>
            <w:lang w:val="it-IT"/>
          </w:rPr>
          <w:t xml:space="preserve"> 2021-2027</w:t>
        </w:r>
      </w:hyperlink>
      <w:r w:rsidRPr="004E7036">
        <w:rPr>
          <w:lang w:val="it-IT"/>
        </w:rPr>
        <w:t>.</w:t>
      </w:r>
    </w:p>
  </w:footnote>
  <w:footnote w:id="107">
    <w:p w14:paraId="0BBF2506" w14:textId="23B474DE" w:rsidR="0028331F" w:rsidRPr="00F81F61" w:rsidRDefault="0028331F" w:rsidP="00F81F61">
      <w:pPr>
        <w:pStyle w:val="FootnoteText"/>
        <w:spacing w:after="0"/>
        <w:rPr>
          <w:lang w:val="en-US"/>
        </w:rPr>
      </w:pPr>
      <w:r>
        <w:rPr>
          <w:rStyle w:val="FootnoteReference"/>
        </w:rPr>
        <w:footnoteRef/>
      </w:r>
      <w:r>
        <w:t xml:space="preserve"> </w:t>
      </w:r>
      <w:r w:rsidRPr="00F81F61">
        <w:rPr>
          <w:lang w:val="en-US"/>
        </w:rPr>
        <w:tab/>
        <w:t xml:space="preserve">National </w:t>
      </w:r>
      <w:r>
        <w:rPr>
          <w:lang w:val="en-US"/>
        </w:rPr>
        <w:t xml:space="preserve">programme for inclusion and fight against poverty 2021 - 2027, </w:t>
      </w:r>
      <w:hyperlink r:id="rId15" w:history="1">
        <w:r w:rsidRPr="00F81F61">
          <w:rPr>
            <w:rStyle w:val="Hyperlink"/>
            <w:lang w:val="en-US"/>
          </w:rPr>
          <w:t>Priorities | MLPS - PN</w:t>
        </w:r>
      </w:hyperlink>
      <w:r w:rsidRPr="00F81F61">
        <w:rPr>
          <w:lang w:val="en-US"/>
        </w:rPr>
        <w:t>.</w:t>
      </w:r>
    </w:p>
  </w:footnote>
  <w:footnote w:id="108">
    <w:p w14:paraId="1565C4DF" w14:textId="60D145D8" w:rsidR="0028331F" w:rsidRPr="00F81F61" w:rsidRDefault="0028331F" w:rsidP="00F81F61">
      <w:pPr>
        <w:pStyle w:val="FootnoteText"/>
        <w:spacing w:after="0"/>
        <w:rPr>
          <w:lang w:val="en-US"/>
        </w:rPr>
      </w:pPr>
      <w:r>
        <w:rPr>
          <w:rStyle w:val="FootnoteReference"/>
        </w:rPr>
        <w:footnoteRef/>
      </w:r>
      <w:r>
        <w:t xml:space="preserve"> </w:t>
      </w:r>
      <w:r w:rsidRPr="00F81F61">
        <w:rPr>
          <w:lang w:val="en-US"/>
        </w:rPr>
        <w:tab/>
      </w:r>
      <w:hyperlink r:id="rId16" w:history="1">
        <w:r w:rsidRPr="00F81F61">
          <w:rPr>
            <w:rStyle w:val="Hyperlink"/>
            <w:lang w:val="en-US"/>
          </w:rPr>
          <w:t>PNRR, 200 million to 37 municipalities to overcome informal settlements</w:t>
        </w:r>
      </w:hyperlink>
      <w:r w:rsidRPr="00F81F61">
        <w:rPr>
          <w:lang w:val="en-US"/>
        </w:rPr>
        <w:t>.</w:t>
      </w:r>
    </w:p>
  </w:footnote>
  <w:footnote w:id="109">
    <w:p w14:paraId="00BAD5B9" w14:textId="77777777" w:rsidR="006976D7" w:rsidRPr="005846B1" w:rsidRDefault="006976D7" w:rsidP="00E57A38">
      <w:pPr>
        <w:pStyle w:val="FootnoteText"/>
        <w:spacing w:after="0"/>
        <w:rPr>
          <w:lang w:val="en-US"/>
        </w:rPr>
      </w:pPr>
      <w:r w:rsidRPr="005846B1">
        <w:rPr>
          <w:rStyle w:val="FootnoteReference"/>
        </w:rPr>
        <w:footnoteRef/>
      </w:r>
      <w:r w:rsidRPr="004E7036">
        <w:rPr>
          <w:lang w:val="pt-PT"/>
        </w:rPr>
        <w:t xml:space="preserve"> </w:t>
      </w:r>
      <w:r w:rsidRPr="004E7036">
        <w:rPr>
          <w:lang w:val="pt-PT"/>
        </w:rPr>
        <w:tab/>
        <w:t xml:space="preserve">For example, Bulgaria, Croatia, Italy, Lithuania, Luxembourg, Malta, Poland, Portugal and Romania. </w:t>
      </w:r>
      <w:r w:rsidRPr="005846B1">
        <w:rPr>
          <w:lang w:val="en-US"/>
        </w:rPr>
        <w:t xml:space="preserve">Others, such as </w:t>
      </w:r>
      <w:r>
        <w:rPr>
          <w:lang w:val="en-US"/>
        </w:rPr>
        <w:t>Austria</w:t>
      </w:r>
      <w:r w:rsidRPr="005846B1">
        <w:rPr>
          <w:lang w:val="en-US"/>
        </w:rPr>
        <w:t xml:space="preserve">, </w:t>
      </w:r>
      <w:r>
        <w:rPr>
          <w:lang w:val="en-US"/>
        </w:rPr>
        <w:t>Belgium</w:t>
      </w:r>
      <w:r w:rsidRPr="005846B1">
        <w:rPr>
          <w:lang w:val="en-US"/>
        </w:rPr>
        <w:t>, C</w:t>
      </w:r>
      <w:r>
        <w:rPr>
          <w:lang w:val="en-US"/>
        </w:rPr>
        <w:t>yprus</w:t>
      </w:r>
      <w:r w:rsidRPr="005846B1">
        <w:rPr>
          <w:lang w:val="en-US"/>
        </w:rPr>
        <w:t>, C</w:t>
      </w:r>
      <w:r>
        <w:rPr>
          <w:lang w:val="en-US"/>
        </w:rPr>
        <w:t>zechia</w:t>
      </w:r>
      <w:r w:rsidRPr="005846B1">
        <w:rPr>
          <w:lang w:val="en-US"/>
        </w:rPr>
        <w:t xml:space="preserve">, </w:t>
      </w:r>
      <w:r>
        <w:rPr>
          <w:lang w:val="en-US"/>
        </w:rPr>
        <w:t>Germany</w:t>
      </w:r>
      <w:r w:rsidRPr="005846B1">
        <w:rPr>
          <w:lang w:val="en-US"/>
        </w:rPr>
        <w:t xml:space="preserve">, </w:t>
      </w:r>
      <w:r>
        <w:rPr>
          <w:lang w:val="en-US"/>
        </w:rPr>
        <w:t>Estonia</w:t>
      </w:r>
      <w:r w:rsidRPr="005846B1">
        <w:rPr>
          <w:lang w:val="en-US"/>
        </w:rPr>
        <w:t xml:space="preserve">, </w:t>
      </w:r>
      <w:r>
        <w:rPr>
          <w:lang w:val="en-US"/>
        </w:rPr>
        <w:t>Greece</w:t>
      </w:r>
      <w:r w:rsidRPr="005846B1">
        <w:rPr>
          <w:lang w:val="en-US"/>
        </w:rPr>
        <w:t xml:space="preserve">, </w:t>
      </w:r>
      <w:r>
        <w:rPr>
          <w:lang w:val="en-US"/>
        </w:rPr>
        <w:t>Spain</w:t>
      </w:r>
      <w:r w:rsidRPr="005846B1">
        <w:rPr>
          <w:lang w:val="en-US"/>
        </w:rPr>
        <w:t>, F</w:t>
      </w:r>
      <w:r>
        <w:rPr>
          <w:lang w:val="en-US"/>
        </w:rPr>
        <w:t>inland</w:t>
      </w:r>
      <w:r w:rsidRPr="005846B1">
        <w:rPr>
          <w:lang w:val="en-US"/>
        </w:rPr>
        <w:t>, F</w:t>
      </w:r>
      <w:r>
        <w:rPr>
          <w:lang w:val="en-US"/>
        </w:rPr>
        <w:t>rance</w:t>
      </w:r>
      <w:r w:rsidRPr="005846B1">
        <w:rPr>
          <w:lang w:val="en-US"/>
        </w:rPr>
        <w:t>, H</w:t>
      </w:r>
      <w:r>
        <w:rPr>
          <w:lang w:val="en-US"/>
        </w:rPr>
        <w:t>ungary</w:t>
      </w:r>
      <w:r w:rsidRPr="005846B1">
        <w:rPr>
          <w:lang w:val="en-US"/>
        </w:rPr>
        <w:t>, L</w:t>
      </w:r>
      <w:r>
        <w:rPr>
          <w:lang w:val="en-US"/>
        </w:rPr>
        <w:t>atvia</w:t>
      </w:r>
      <w:r w:rsidRPr="005846B1">
        <w:rPr>
          <w:lang w:val="en-US"/>
        </w:rPr>
        <w:t xml:space="preserve">, </w:t>
      </w:r>
      <w:r>
        <w:rPr>
          <w:lang w:val="en-US"/>
        </w:rPr>
        <w:t xml:space="preserve">the </w:t>
      </w:r>
      <w:r w:rsidRPr="005846B1">
        <w:rPr>
          <w:lang w:val="en-US"/>
        </w:rPr>
        <w:t>N</w:t>
      </w:r>
      <w:r>
        <w:rPr>
          <w:lang w:val="en-US"/>
        </w:rPr>
        <w:t>etherlands</w:t>
      </w:r>
      <w:r w:rsidRPr="005846B1">
        <w:rPr>
          <w:lang w:val="en-US"/>
        </w:rPr>
        <w:t>, S</w:t>
      </w:r>
      <w:r>
        <w:rPr>
          <w:lang w:val="en-US"/>
        </w:rPr>
        <w:t>weden</w:t>
      </w:r>
      <w:r w:rsidRPr="005846B1">
        <w:rPr>
          <w:lang w:val="en-US"/>
        </w:rPr>
        <w:t>, S</w:t>
      </w:r>
      <w:r>
        <w:rPr>
          <w:lang w:val="en-US"/>
        </w:rPr>
        <w:t>lovakia</w:t>
      </w:r>
      <w:r w:rsidRPr="005846B1">
        <w:rPr>
          <w:lang w:val="en-US"/>
        </w:rPr>
        <w:t xml:space="preserve"> and </w:t>
      </w:r>
      <w:r>
        <w:rPr>
          <w:lang w:val="en-US"/>
        </w:rPr>
        <w:t>Slovenia</w:t>
      </w:r>
      <w:r w:rsidRPr="005846B1">
        <w:rPr>
          <w:lang w:val="en-US"/>
        </w:rPr>
        <w:t xml:space="preserve"> transposed them </w:t>
      </w:r>
      <w:r>
        <w:rPr>
          <w:lang w:val="en-US"/>
        </w:rPr>
        <w:t xml:space="preserve">in a </w:t>
      </w:r>
      <w:r w:rsidRPr="005846B1">
        <w:rPr>
          <w:lang w:val="en-US"/>
        </w:rPr>
        <w:t>more fragmented</w:t>
      </w:r>
      <w:r>
        <w:rPr>
          <w:lang w:val="en-US"/>
        </w:rPr>
        <w:t xml:space="preserve"> way</w:t>
      </w:r>
      <w:r w:rsidRPr="005846B1">
        <w:rPr>
          <w:lang w:val="en-US"/>
        </w:rPr>
        <w:t>.</w:t>
      </w:r>
    </w:p>
  </w:footnote>
  <w:footnote w:id="110">
    <w:p w14:paraId="1AA5D9AD"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 xml:space="preserve">For example, </w:t>
      </w:r>
      <w:r>
        <w:t>Germany</w:t>
      </w:r>
      <w:r w:rsidRPr="005846B1">
        <w:t>, I</w:t>
      </w:r>
      <w:r>
        <w:t>taly</w:t>
      </w:r>
      <w:r w:rsidRPr="005846B1">
        <w:t xml:space="preserve">, </w:t>
      </w:r>
      <w:r>
        <w:t>Lithuania</w:t>
      </w:r>
      <w:r w:rsidRPr="005846B1">
        <w:t xml:space="preserve"> and </w:t>
      </w:r>
      <w:r>
        <w:t>Malta</w:t>
      </w:r>
      <w:r w:rsidRPr="005846B1">
        <w:t>.</w:t>
      </w:r>
    </w:p>
  </w:footnote>
  <w:footnote w:id="111">
    <w:p w14:paraId="679C6F8E" w14:textId="3752C5F7" w:rsidR="006976D7" w:rsidRPr="00935D47" w:rsidRDefault="006976D7" w:rsidP="00E57A38">
      <w:pPr>
        <w:pStyle w:val="FootnoteText"/>
        <w:spacing w:after="0"/>
        <w:rPr>
          <w:lang w:val="en-US"/>
        </w:rPr>
      </w:pPr>
      <w:r w:rsidRPr="005846B1">
        <w:rPr>
          <w:rStyle w:val="FootnoteReference"/>
        </w:rPr>
        <w:footnoteRef/>
      </w:r>
      <w:r w:rsidRPr="000E5414">
        <w:t xml:space="preserve"> </w:t>
      </w:r>
      <w:r w:rsidRPr="000E5414">
        <w:tab/>
      </w:r>
      <w:r w:rsidRPr="000E5414">
        <w:rPr>
          <w:i/>
          <w:iCs/>
        </w:rPr>
        <w:t>Cour des Comptes</w:t>
      </w:r>
      <w:r w:rsidRPr="000E5414">
        <w:t xml:space="preserve">, </w:t>
      </w:r>
      <w:r w:rsidRPr="000E5414">
        <w:rPr>
          <w:i/>
          <w:iCs/>
        </w:rPr>
        <w:t xml:space="preserve">Le logement des travailleurs saisonniers </w:t>
      </w:r>
      <w:r w:rsidRPr="000E5414">
        <w:t xml:space="preserve">(Seasonal workers’ accommodation), rapport, 2025; SME United, Business Europe, SGI Europe, footnote </w:t>
      </w:r>
      <w:r w:rsidRPr="005846B1">
        <w:rPr>
          <w:lang w:val="de-DE"/>
        </w:rPr>
        <w:fldChar w:fldCharType="begin"/>
      </w:r>
      <w:r w:rsidRPr="000E5414">
        <w:rPr>
          <w:lang w:val="en-US"/>
        </w:rPr>
        <w:instrText xml:space="preserve"> NOTEREF _Ref220419113 \h  \* MERGEFORMAT </w:instrText>
      </w:r>
      <w:r w:rsidRPr="005846B1">
        <w:rPr>
          <w:lang w:val="de-DE"/>
        </w:rPr>
      </w:r>
      <w:r w:rsidRPr="005846B1">
        <w:rPr>
          <w:lang w:val="de-DE"/>
        </w:rPr>
        <w:fldChar w:fldCharType="separate"/>
      </w:r>
      <w:r w:rsidR="00764D65">
        <w:rPr>
          <w:lang w:val="en-US"/>
        </w:rPr>
        <w:t>56</w:t>
      </w:r>
      <w:r w:rsidRPr="005846B1">
        <w:rPr>
          <w:lang w:val="de-DE"/>
        </w:rPr>
        <w:fldChar w:fldCharType="end"/>
      </w:r>
      <w:r w:rsidRPr="000E5414">
        <w:rPr>
          <w:lang w:val="en-US"/>
        </w:rPr>
        <w:t xml:space="preserve">; Generation 2.0 RED, SolidarityNow, footnote </w:t>
      </w:r>
      <w:r w:rsidRPr="005846B1">
        <w:rPr>
          <w:lang w:val="de-DE"/>
        </w:rPr>
        <w:fldChar w:fldCharType="begin"/>
      </w:r>
      <w:r w:rsidRPr="000E5414">
        <w:rPr>
          <w:lang w:val="en-US"/>
        </w:rPr>
        <w:instrText xml:space="preserve"> NOTEREF _Ref221275612 \h  \* MERGEFORMAT </w:instrText>
      </w:r>
      <w:r w:rsidRPr="005846B1">
        <w:rPr>
          <w:lang w:val="de-DE"/>
        </w:rPr>
      </w:r>
      <w:r w:rsidRPr="005846B1">
        <w:rPr>
          <w:lang w:val="de-DE"/>
        </w:rPr>
        <w:fldChar w:fldCharType="separate"/>
      </w:r>
      <w:r w:rsidR="00764D65">
        <w:rPr>
          <w:lang w:val="en-US"/>
        </w:rPr>
        <w:t>41</w:t>
      </w:r>
      <w:r w:rsidRPr="005846B1">
        <w:rPr>
          <w:lang w:val="de-DE"/>
        </w:rPr>
        <w:fldChar w:fldCharType="end"/>
      </w:r>
      <w:r w:rsidRPr="000E5414">
        <w:rPr>
          <w:lang w:val="en-US"/>
        </w:rPr>
        <w:t xml:space="preserve">, p. 38; ELIAMEP, footnote </w:t>
      </w:r>
      <w:r w:rsidRPr="005846B1">
        <w:rPr>
          <w:lang w:val="de-DE"/>
        </w:rPr>
        <w:fldChar w:fldCharType="begin"/>
      </w:r>
      <w:r w:rsidRPr="000E5414">
        <w:rPr>
          <w:lang w:val="en-US"/>
        </w:rPr>
        <w:instrText xml:space="preserve"> NOTEREF _Ref220419329 \h  \* MERGEFORMAT </w:instrText>
      </w:r>
      <w:r w:rsidRPr="005846B1">
        <w:rPr>
          <w:lang w:val="de-DE"/>
        </w:rPr>
      </w:r>
      <w:r w:rsidRPr="005846B1">
        <w:rPr>
          <w:lang w:val="de-DE"/>
        </w:rPr>
        <w:fldChar w:fldCharType="separate"/>
      </w:r>
      <w:r w:rsidR="00764D65">
        <w:rPr>
          <w:lang w:val="en-US"/>
        </w:rPr>
        <w:t>60</w:t>
      </w:r>
      <w:r w:rsidRPr="005846B1">
        <w:rPr>
          <w:lang w:val="de-DE"/>
        </w:rPr>
        <w:fldChar w:fldCharType="end"/>
      </w:r>
      <w:r w:rsidRPr="000E5414">
        <w:rPr>
          <w:lang w:val="en-US"/>
        </w:rPr>
        <w:t xml:space="preserve">, p. 25; Targeted study, footnote </w:t>
      </w:r>
      <w:r>
        <w:rPr>
          <w:lang w:val="de-DE"/>
        </w:rPr>
        <w:fldChar w:fldCharType="begin"/>
      </w:r>
      <w:r w:rsidRPr="000E5414">
        <w:rPr>
          <w:lang w:val="en-US"/>
        </w:rPr>
        <w:instrText xml:space="preserve"> NOTEREF _Ref223017783 \h </w:instrText>
      </w:r>
      <w:r>
        <w:rPr>
          <w:lang w:val="de-DE"/>
        </w:rPr>
      </w:r>
      <w:r>
        <w:rPr>
          <w:lang w:val="de-DE"/>
        </w:rPr>
        <w:fldChar w:fldCharType="separate"/>
      </w:r>
      <w:r w:rsidR="00764D65">
        <w:rPr>
          <w:lang w:val="en-US"/>
        </w:rPr>
        <w:t>10</w:t>
      </w:r>
      <w:r>
        <w:rPr>
          <w:lang w:val="de-DE"/>
        </w:rPr>
        <w:fldChar w:fldCharType="end"/>
      </w:r>
      <w:r w:rsidRPr="000E5414">
        <w:rPr>
          <w:lang w:val="en-US"/>
        </w:rPr>
        <w:t xml:space="preserve">; IG Bau, </w:t>
      </w:r>
      <w:r w:rsidRPr="000E5414">
        <w:rPr>
          <w:i/>
          <w:iCs/>
          <w:lang w:val="en-US"/>
        </w:rPr>
        <w:t xml:space="preserve">Saisonarbeit in der Landwirtschaft </w:t>
      </w:r>
      <w:r w:rsidRPr="000E5414">
        <w:rPr>
          <w:lang w:val="en-US"/>
        </w:rPr>
        <w:t xml:space="preserve">(Seasonal work in agriculture), Bericht 2024; Oxfam, </w:t>
      </w:r>
      <w:r w:rsidR="00D400F0">
        <w:rPr>
          <w:lang w:val="en-US"/>
        </w:rPr>
        <w:t xml:space="preserve">footnote </w:t>
      </w:r>
      <w:r>
        <w:rPr>
          <w:lang w:val="en-US"/>
        </w:rPr>
        <w:fldChar w:fldCharType="begin"/>
      </w:r>
      <w:r>
        <w:rPr>
          <w:lang w:val="en-US"/>
        </w:rPr>
        <w:instrText xml:space="preserve"> NOTEREF _Ref223017783 \h </w:instrText>
      </w:r>
      <w:r>
        <w:rPr>
          <w:lang w:val="en-US"/>
        </w:rPr>
      </w:r>
      <w:r>
        <w:rPr>
          <w:lang w:val="en-US"/>
        </w:rPr>
        <w:fldChar w:fldCharType="separate"/>
      </w:r>
      <w:r w:rsidR="00764D65">
        <w:rPr>
          <w:lang w:val="en-US"/>
        </w:rPr>
        <w:t>10</w:t>
      </w:r>
      <w:r>
        <w:rPr>
          <w:lang w:val="en-US"/>
        </w:rPr>
        <w:fldChar w:fldCharType="end"/>
      </w:r>
      <w:r w:rsidRPr="00935D47">
        <w:rPr>
          <w:lang w:val="en-US"/>
        </w:rPr>
        <w:t xml:space="preserve">), p. 45; </w:t>
      </w:r>
      <w:r w:rsidRPr="000E5414">
        <w:rPr>
          <w:i/>
          <w:iCs/>
          <w:lang w:val="en-US"/>
        </w:rPr>
        <w:t>Boletín de Igualdad en el Empleo</w:t>
      </w:r>
      <w:r w:rsidRPr="00935D47">
        <w:rPr>
          <w:lang w:val="en-US"/>
        </w:rPr>
        <w:t xml:space="preserve">, </w:t>
      </w:r>
      <w:r>
        <w:rPr>
          <w:lang w:val="en-US"/>
        </w:rPr>
        <w:t xml:space="preserve">footnote </w:t>
      </w:r>
      <w:r>
        <w:rPr>
          <w:lang w:val="en-US"/>
        </w:rPr>
        <w:fldChar w:fldCharType="begin"/>
      </w:r>
      <w:r>
        <w:rPr>
          <w:lang w:val="en-US"/>
        </w:rPr>
        <w:instrText xml:space="preserve"> NOTEREF _Ref223017783 \h </w:instrText>
      </w:r>
      <w:r>
        <w:rPr>
          <w:lang w:val="en-US"/>
        </w:rPr>
      </w:r>
      <w:r>
        <w:rPr>
          <w:lang w:val="en-US"/>
        </w:rPr>
        <w:fldChar w:fldCharType="separate"/>
      </w:r>
      <w:r w:rsidR="00764D65">
        <w:rPr>
          <w:lang w:val="en-US"/>
        </w:rPr>
        <w:t>10</w:t>
      </w:r>
      <w:r>
        <w:rPr>
          <w:lang w:val="en-US"/>
        </w:rPr>
        <w:fldChar w:fldCharType="end"/>
      </w:r>
      <w:r w:rsidRPr="00935D47">
        <w:rPr>
          <w:lang w:val="en-US"/>
        </w:rPr>
        <w:t>.</w:t>
      </w:r>
    </w:p>
  </w:footnote>
  <w:footnote w:id="112">
    <w:p w14:paraId="77707848" w14:textId="77777777" w:rsidR="006976D7" w:rsidRPr="005846B1" w:rsidRDefault="006976D7" w:rsidP="00E57A38">
      <w:pPr>
        <w:pStyle w:val="FootnoteText"/>
        <w:spacing w:after="0"/>
      </w:pPr>
      <w:r w:rsidRPr="005846B1">
        <w:rPr>
          <w:rStyle w:val="FootnoteReference"/>
        </w:rPr>
        <w:footnoteRef/>
      </w:r>
      <w:r w:rsidRPr="005846B1">
        <w:t xml:space="preserve"> </w:t>
      </w:r>
      <w:r w:rsidRPr="005846B1">
        <w:tab/>
        <w:t>S</w:t>
      </w:r>
      <w:r w:rsidRPr="005846B1">
        <w:rPr>
          <w:lang w:val="en-US"/>
        </w:rPr>
        <w:t xml:space="preserve">ickness, maternity and paternity, invalidity, old-age and survivors’ benefits, benefits </w:t>
      </w:r>
      <w:r>
        <w:rPr>
          <w:lang w:val="en-US"/>
        </w:rPr>
        <w:t>for</w:t>
      </w:r>
      <w:r w:rsidRPr="005846B1">
        <w:rPr>
          <w:lang w:val="en-US"/>
        </w:rPr>
        <w:t xml:space="preserve"> accidents at work and occupational diseases, death grants.</w:t>
      </w:r>
    </w:p>
  </w:footnote>
  <w:footnote w:id="113">
    <w:p w14:paraId="30C354A6" w14:textId="4C973CD9"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Austria</w:t>
      </w:r>
      <w:r w:rsidRPr="005846B1">
        <w:rPr>
          <w:lang w:val="en-US"/>
        </w:rPr>
        <w:t xml:space="preserve">, </w:t>
      </w:r>
      <w:r>
        <w:rPr>
          <w:lang w:val="en-US"/>
        </w:rPr>
        <w:t>Belgium</w:t>
      </w:r>
      <w:r w:rsidRPr="005846B1">
        <w:rPr>
          <w:lang w:val="en-US"/>
        </w:rPr>
        <w:t>, B</w:t>
      </w:r>
      <w:r>
        <w:rPr>
          <w:lang w:val="en-US"/>
        </w:rPr>
        <w:t>ulgaria</w:t>
      </w:r>
      <w:r w:rsidRPr="005846B1">
        <w:rPr>
          <w:lang w:val="en-US"/>
        </w:rPr>
        <w:t>, C</w:t>
      </w:r>
      <w:r>
        <w:rPr>
          <w:lang w:val="en-US"/>
        </w:rPr>
        <w:t>zechia</w:t>
      </w:r>
      <w:r w:rsidRPr="005846B1">
        <w:rPr>
          <w:lang w:val="en-US"/>
        </w:rPr>
        <w:t xml:space="preserve">, </w:t>
      </w:r>
      <w:r>
        <w:rPr>
          <w:lang w:val="en-US"/>
        </w:rPr>
        <w:t>Germany</w:t>
      </w:r>
      <w:r w:rsidRPr="005846B1">
        <w:rPr>
          <w:lang w:val="en-US"/>
        </w:rPr>
        <w:t xml:space="preserve">, </w:t>
      </w:r>
      <w:r>
        <w:rPr>
          <w:lang w:val="en-US"/>
        </w:rPr>
        <w:t>Estonia</w:t>
      </w:r>
      <w:r w:rsidRPr="005846B1">
        <w:rPr>
          <w:lang w:val="en-US"/>
        </w:rPr>
        <w:t xml:space="preserve">, </w:t>
      </w:r>
      <w:r>
        <w:rPr>
          <w:lang w:val="en-US"/>
        </w:rPr>
        <w:t>Greece</w:t>
      </w:r>
      <w:r w:rsidRPr="005846B1">
        <w:rPr>
          <w:lang w:val="en-US"/>
        </w:rPr>
        <w:t xml:space="preserve">, </w:t>
      </w:r>
      <w:r>
        <w:rPr>
          <w:lang w:val="en-US"/>
        </w:rPr>
        <w:t>Spain</w:t>
      </w:r>
      <w:r w:rsidRPr="005846B1">
        <w:rPr>
          <w:lang w:val="en-US"/>
        </w:rPr>
        <w:t>, F</w:t>
      </w:r>
      <w:r>
        <w:rPr>
          <w:lang w:val="en-US"/>
        </w:rPr>
        <w:t>inland</w:t>
      </w:r>
      <w:r w:rsidRPr="005846B1">
        <w:rPr>
          <w:lang w:val="en-US"/>
        </w:rPr>
        <w:t>, F</w:t>
      </w:r>
      <w:r>
        <w:rPr>
          <w:lang w:val="en-US"/>
        </w:rPr>
        <w:t>rance</w:t>
      </w:r>
      <w:r w:rsidRPr="005846B1">
        <w:rPr>
          <w:lang w:val="en-US"/>
        </w:rPr>
        <w:t xml:space="preserve">, </w:t>
      </w:r>
      <w:r>
        <w:rPr>
          <w:lang w:val="en-US"/>
        </w:rPr>
        <w:t>Croatia</w:t>
      </w:r>
      <w:r w:rsidRPr="005846B1">
        <w:rPr>
          <w:lang w:val="en-US"/>
        </w:rPr>
        <w:t>, H</w:t>
      </w:r>
      <w:r>
        <w:rPr>
          <w:lang w:val="en-US"/>
        </w:rPr>
        <w:t>ungary</w:t>
      </w:r>
      <w:r w:rsidRPr="005846B1">
        <w:rPr>
          <w:lang w:val="en-US"/>
        </w:rPr>
        <w:t>, I</w:t>
      </w:r>
      <w:r>
        <w:rPr>
          <w:lang w:val="en-US"/>
        </w:rPr>
        <w:t>taly</w:t>
      </w:r>
      <w:r w:rsidR="00FF5689">
        <w:rPr>
          <w:lang w:val="en-US"/>
        </w:rPr>
        <w:t xml:space="preserve">, </w:t>
      </w:r>
      <w:r w:rsidRPr="005846B1">
        <w:rPr>
          <w:lang w:val="en-US"/>
        </w:rPr>
        <w:t>L</w:t>
      </w:r>
      <w:r>
        <w:rPr>
          <w:lang w:val="en-US"/>
        </w:rPr>
        <w:t>uxembourg</w:t>
      </w:r>
      <w:r w:rsidRPr="005846B1">
        <w:rPr>
          <w:lang w:val="en-US"/>
        </w:rPr>
        <w:t>, M</w:t>
      </w:r>
      <w:r>
        <w:rPr>
          <w:lang w:val="en-US"/>
        </w:rPr>
        <w:t>alta</w:t>
      </w:r>
      <w:r w:rsidR="0074188D">
        <w:rPr>
          <w:lang w:val="en-US"/>
        </w:rPr>
        <w:t xml:space="preserve"> and</w:t>
      </w:r>
      <w:r w:rsidRPr="005846B1">
        <w:rPr>
          <w:lang w:val="en-US"/>
        </w:rPr>
        <w:t xml:space="preserve"> </w:t>
      </w:r>
      <w:r>
        <w:rPr>
          <w:lang w:val="en-US"/>
        </w:rPr>
        <w:t>Poland</w:t>
      </w:r>
      <w:r w:rsidRPr="005846B1">
        <w:rPr>
          <w:lang w:val="en-US"/>
        </w:rPr>
        <w:t>.</w:t>
      </w:r>
    </w:p>
  </w:footnote>
  <w:footnote w:id="114">
    <w:p w14:paraId="50932CC2" w14:textId="5ADA1D5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Austria</w:t>
      </w:r>
      <w:r w:rsidRPr="005846B1">
        <w:rPr>
          <w:lang w:val="en-US"/>
        </w:rPr>
        <w:t>, B</w:t>
      </w:r>
      <w:r>
        <w:rPr>
          <w:lang w:val="en-US"/>
        </w:rPr>
        <w:t>elgium</w:t>
      </w:r>
      <w:r w:rsidRPr="005846B1">
        <w:rPr>
          <w:lang w:val="en-US"/>
        </w:rPr>
        <w:t>, B</w:t>
      </w:r>
      <w:r>
        <w:rPr>
          <w:lang w:val="en-US"/>
        </w:rPr>
        <w:t>ulgaria</w:t>
      </w:r>
      <w:r w:rsidRPr="005846B1">
        <w:rPr>
          <w:lang w:val="en-US"/>
        </w:rPr>
        <w:t>, C</w:t>
      </w:r>
      <w:r>
        <w:rPr>
          <w:lang w:val="en-US"/>
        </w:rPr>
        <w:t>zechia</w:t>
      </w:r>
      <w:r w:rsidRPr="005846B1">
        <w:rPr>
          <w:lang w:val="en-US"/>
        </w:rPr>
        <w:t xml:space="preserve">, </w:t>
      </w:r>
      <w:r>
        <w:rPr>
          <w:lang w:val="en-US"/>
        </w:rPr>
        <w:t>Germany</w:t>
      </w:r>
      <w:r w:rsidRPr="005846B1">
        <w:rPr>
          <w:lang w:val="en-US"/>
        </w:rPr>
        <w:t xml:space="preserve">, </w:t>
      </w:r>
      <w:r>
        <w:rPr>
          <w:lang w:val="en-US"/>
        </w:rPr>
        <w:t>Estonia</w:t>
      </w:r>
      <w:r w:rsidRPr="005846B1">
        <w:rPr>
          <w:lang w:val="en-US"/>
        </w:rPr>
        <w:t xml:space="preserve">, </w:t>
      </w:r>
      <w:r>
        <w:rPr>
          <w:lang w:val="en-US"/>
        </w:rPr>
        <w:t>Greece</w:t>
      </w:r>
      <w:r w:rsidRPr="005846B1">
        <w:rPr>
          <w:lang w:val="en-US"/>
        </w:rPr>
        <w:t>, F</w:t>
      </w:r>
      <w:r>
        <w:rPr>
          <w:lang w:val="en-US"/>
        </w:rPr>
        <w:t>inland</w:t>
      </w:r>
      <w:r w:rsidRPr="005846B1">
        <w:rPr>
          <w:lang w:val="en-US"/>
        </w:rPr>
        <w:t>, F</w:t>
      </w:r>
      <w:r>
        <w:rPr>
          <w:lang w:val="en-US"/>
        </w:rPr>
        <w:t>rance</w:t>
      </w:r>
      <w:r w:rsidRPr="005846B1">
        <w:rPr>
          <w:lang w:val="en-US"/>
        </w:rPr>
        <w:t>, H</w:t>
      </w:r>
      <w:r>
        <w:rPr>
          <w:lang w:val="en-US"/>
        </w:rPr>
        <w:t>ungary</w:t>
      </w:r>
      <w:r w:rsidRPr="005846B1">
        <w:rPr>
          <w:lang w:val="en-US"/>
        </w:rPr>
        <w:t>, I</w:t>
      </w:r>
      <w:r>
        <w:rPr>
          <w:lang w:val="en-US"/>
        </w:rPr>
        <w:t>taly</w:t>
      </w:r>
      <w:r w:rsidRPr="005846B1">
        <w:rPr>
          <w:lang w:val="en-US"/>
        </w:rPr>
        <w:t>, L</w:t>
      </w:r>
      <w:r>
        <w:rPr>
          <w:lang w:val="en-US"/>
        </w:rPr>
        <w:t>ithuania</w:t>
      </w:r>
      <w:r w:rsidRPr="005846B1">
        <w:rPr>
          <w:lang w:val="en-US"/>
        </w:rPr>
        <w:t>, L</w:t>
      </w:r>
      <w:r>
        <w:rPr>
          <w:lang w:val="en-US"/>
        </w:rPr>
        <w:t>uxembourg</w:t>
      </w:r>
      <w:r w:rsidRPr="005846B1">
        <w:rPr>
          <w:lang w:val="en-US"/>
        </w:rPr>
        <w:t xml:space="preserve"> and </w:t>
      </w:r>
      <w:r>
        <w:rPr>
          <w:lang w:val="en-US"/>
        </w:rPr>
        <w:t>Poland</w:t>
      </w:r>
      <w:r w:rsidRPr="005846B1">
        <w:rPr>
          <w:lang w:val="en-US"/>
        </w:rPr>
        <w:t>.</w:t>
      </w:r>
    </w:p>
  </w:footnote>
  <w:footnote w:id="115">
    <w:p w14:paraId="3929011E"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Belgium</w:t>
      </w:r>
      <w:r w:rsidRPr="005846B1">
        <w:rPr>
          <w:lang w:val="en-US"/>
        </w:rPr>
        <w:t>, C</w:t>
      </w:r>
      <w:r>
        <w:rPr>
          <w:lang w:val="en-US"/>
        </w:rPr>
        <w:t>yprus</w:t>
      </w:r>
      <w:r w:rsidRPr="005846B1">
        <w:rPr>
          <w:lang w:val="en-US"/>
        </w:rPr>
        <w:t>, C</w:t>
      </w:r>
      <w:r>
        <w:rPr>
          <w:lang w:val="en-US"/>
        </w:rPr>
        <w:t>zechia</w:t>
      </w:r>
      <w:r w:rsidRPr="005846B1">
        <w:rPr>
          <w:lang w:val="en-US"/>
        </w:rPr>
        <w:t xml:space="preserve">, </w:t>
      </w:r>
      <w:r>
        <w:rPr>
          <w:lang w:val="en-US"/>
        </w:rPr>
        <w:t>Greece</w:t>
      </w:r>
      <w:r w:rsidRPr="005846B1">
        <w:rPr>
          <w:lang w:val="en-US"/>
        </w:rPr>
        <w:t>, S</w:t>
      </w:r>
      <w:r>
        <w:rPr>
          <w:lang w:val="en-US"/>
        </w:rPr>
        <w:t>pain</w:t>
      </w:r>
      <w:r w:rsidRPr="005846B1">
        <w:rPr>
          <w:lang w:val="en-US"/>
        </w:rPr>
        <w:t>, F</w:t>
      </w:r>
      <w:r>
        <w:rPr>
          <w:lang w:val="en-US"/>
        </w:rPr>
        <w:t>rance</w:t>
      </w:r>
      <w:r w:rsidRPr="005846B1">
        <w:rPr>
          <w:lang w:val="en-US"/>
        </w:rPr>
        <w:t xml:space="preserve">, </w:t>
      </w:r>
      <w:r>
        <w:rPr>
          <w:lang w:val="en-US"/>
        </w:rPr>
        <w:t>Croatia</w:t>
      </w:r>
      <w:r w:rsidRPr="005846B1">
        <w:rPr>
          <w:lang w:val="en-US"/>
        </w:rPr>
        <w:t>, L</w:t>
      </w:r>
      <w:r>
        <w:rPr>
          <w:lang w:val="en-US"/>
        </w:rPr>
        <w:t>uxembourg</w:t>
      </w:r>
      <w:r w:rsidRPr="005846B1">
        <w:rPr>
          <w:lang w:val="en-US"/>
        </w:rPr>
        <w:t>, M</w:t>
      </w:r>
      <w:r>
        <w:rPr>
          <w:lang w:val="en-US"/>
        </w:rPr>
        <w:t>alta</w:t>
      </w:r>
      <w:r w:rsidRPr="005846B1">
        <w:rPr>
          <w:lang w:val="en-US"/>
        </w:rPr>
        <w:t xml:space="preserve">, </w:t>
      </w:r>
      <w:r>
        <w:rPr>
          <w:lang w:val="en-US"/>
        </w:rPr>
        <w:t>Poland</w:t>
      </w:r>
      <w:r w:rsidRPr="005846B1">
        <w:rPr>
          <w:lang w:val="en-US"/>
        </w:rPr>
        <w:t>, P</w:t>
      </w:r>
      <w:r>
        <w:rPr>
          <w:lang w:val="en-US"/>
        </w:rPr>
        <w:t>ortugal</w:t>
      </w:r>
      <w:r w:rsidRPr="005846B1">
        <w:rPr>
          <w:lang w:val="en-US"/>
        </w:rPr>
        <w:t>, R</w:t>
      </w:r>
      <w:r>
        <w:rPr>
          <w:lang w:val="en-US"/>
        </w:rPr>
        <w:t>omania</w:t>
      </w:r>
      <w:r w:rsidRPr="005846B1">
        <w:rPr>
          <w:lang w:val="en-US"/>
        </w:rPr>
        <w:t xml:space="preserve">, </w:t>
      </w:r>
      <w:r>
        <w:rPr>
          <w:lang w:val="en-US"/>
        </w:rPr>
        <w:t>Slovenia</w:t>
      </w:r>
      <w:r w:rsidRPr="005846B1">
        <w:rPr>
          <w:lang w:val="en-US"/>
        </w:rPr>
        <w:t xml:space="preserve"> and S</w:t>
      </w:r>
      <w:r>
        <w:rPr>
          <w:lang w:val="en-US"/>
        </w:rPr>
        <w:t>lovakia.</w:t>
      </w:r>
    </w:p>
  </w:footnote>
  <w:footnote w:id="116">
    <w:p w14:paraId="751CB24A" w14:textId="77777777" w:rsidR="006976D7" w:rsidRPr="005846B1" w:rsidRDefault="006976D7" w:rsidP="00E57A38">
      <w:pPr>
        <w:pStyle w:val="FootnoteText"/>
        <w:spacing w:after="0"/>
        <w:rPr>
          <w:lang w:val="en-US"/>
        </w:rPr>
      </w:pPr>
      <w:r w:rsidRPr="005846B1">
        <w:rPr>
          <w:rStyle w:val="FootnoteReference"/>
        </w:rPr>
        <w:footnoteRef/>
      </w:r>
      <w:r w:rsidRPr="005846B1">
        <w:rPr>
          <w:lang w:val="en-US"/>
        </w:rPr>
        <w:t xml:space="preserve"> </w:t>
      </w:r>
      <w:r w:rsidRPr="005846B1">
        <w:rPr>
          <w:lang w:val="en-US"/>
        </w:rPr>
        <w:tab/>
        <w:t xml:space="preserve">For example, </w:t>
      </w:r>
      <w:r>
        <w:rPr>
          <w:lang w:val="en-US"/>
        </w:rPr>
        <w:t>Austria</w:t>
      </w:r>
      <w:r w:rsidRPr="005846B1">
        <w:rPr>
          <w:lang w:val="en-US"/>
        </w:rPr>
        <w:t>, F</w:t>
      </w:r>
      <w:r>
        <w:rPr>
          <w:lang w:val="en-US"/>
        </w:rPr>
        <w:t>inland</w:t>
      </w:r>
      <w:r w:rsidRPr="005846B1">
        <w:rPr>
          <w:lang w:val="en-US"/>
        </w:rPr>
        <w:t xml:space="preserve">, </w:t>
      </w:r>
      <w:r>
        <w:rPr>
          <w:lang w:val="en-US"/>
        </w:rPr>
        <w:t>the Netherlands</w:t>
      </w:r>
      <w:r w:rsidRPr="005846B1">
        <w:rPr>
          <w:lang w:val="en-US"/>
        </w:rPr>
        <w:t xml:space="preserve"> and </w:t>
      </w:r>
      <w:r>
        <w:rPr>
          <w:lang w:val="en-US"/>
        </w:rPr>
        <w:t>Sweden</w:t>
      </w:r>
      <w:r w:rsidRPr="005846B1">
        <w:rPr>
          <w:lang w:val="en-US"/>
        </w:rPr>
        <w:t>.</w:t>
      </w:r>
    </w:p>
  </w:footnote>
  <w:footnote w:id="117">
    <w:p w14:paraId="68F0AB47" w14:textId="7EF0692C" w:rsidR="006976D7" w:rsidRPr="005846B1" w:rsidRDefault="006976D7" w:rsidP="00E57A38">
      <w:pPr>
        <w:pStyle w:val="FootnoteText"/>
        <w:spacing w:after="0"/>
        <w:rPr>
          <w:lang w:val="en-US"/>
        </w:rPr>
      </w:pPr>
      <w:r w:rsidRPr="005846B1">
        <w:rPr>
          <w:rStyle w:val="FootnoteReference"/>
        </w:rPr>
        <w:footnoteRef/>
      </w:r>
      <w:r w:rsidRPr="00935D47">
        <w:rPr>
          <w:lang w:val="en-US"/>
        </w:rPr>
        <w:t xml:space="preserve"> </w:t>
      </w:r>
      <w:r w:rsidRPr="00935D47">
        <w:rPr>
          <w:lang w:val="en-US"/>
        </w:rPr>
        <w:tab/>
      </w:r>
      <w:r w:rsidR="00030390" w:rsidRPr="00137972">
        <w:rPr>
          <w:lang w:val="en-US"/>
        </w:rPr>
        <w:t xml:space="preserve">For example, </w:t>
      </w:r>
      <w:r>
        <w:rPr>
          <w:lang w:val="en-US"/>
        </w:rPr>
        <w:t>Germany</w:t>
      </w:r>
      <w:r w:rsidR="00030390">
        <w:rPr>
          <w:lang w:val="en-US"/>
        </w:rPr>
        <w:t xml:space="preserve"> </w:t>
      </w:r>
      <w:r w:rsidR="00030390" w:rsidRPr="00137972">
        <w:rPr>
          <w:lang w:val="en-US"/>
        </w:rPr>
        <w:t>and</w:t>
      </w:r>
      <w:r w:rsidRPr="00935D47">
        <w:rPr>
          <w:lang w:val="en-US"/>
        </w:rPr>
        <w:t xml:space="preserve"> </w:t>
      </w:r>
      <w:r>
        <w:rPr>
          <w:lang w:val="en-US"/>
        </w:rPr>
        <w:t>Hungary</w:t>
      </w:r>
      <w:r w:rsidRPr="00935D47">
        <w:rPr>
          <w:lang w:val="en-US"/>
        </w:rPr>
        <w:t xml:space="preserve"> (for seasonal workers in agricul</w:t>
      </w:r>
      <w:r w:rsidRPr="005846B1">
        <w:rPr>
          <w:lang w:val="en-US"/>
        </w:rPr>
        <w:t>ture for stays not exceeding 210 days)</w:t>
      </w:r>
      <w:r w:rsidRPr="00935D47">
        <w:rPr>
          <w:lang w:val="en-US"/>
        </w:rPr>
        <w:t xml:space="preserve">; for </w:t>
      </w:r>
      <w:r>
        <w:rPr>
          <w:lang w:val="en-US"/>
        </w:rPr>
        <w:t>Germany</w:t>
      </w:r>
      <w:r w:rsidRPr="00935D47">
        <w:rPr>
          <w:lang w:val="en-US"/>
        </w:rPr>
        <w:t xml:space="preserve">, see SVR, </w:t>
      </w:r>
      <w:r>
        <w:rPr>
          <w:lang w:val="en-US"/>
        </w:rPr>
        <w:t>footnote</w:t>
      </w:r>
      <w:r w:rsidRPr="00935D47">
        <w:rPr>
          <w:lang w:val="en-US"/>
        </w:rPr>
        <w:t xml:space="preserve"> </w:t>
      </w:r>
      <w:r w:rsidRPr="005846B1">
        <w:rPr>
          <w:lang w:val="de-DE"/>
        </w:rPr>
        <w:fldChar w:fldCharType="begin"/>
      </w:r>
      <w:r w:rsidRPr="00935D47">
        <w:rPr>
          <w:lang w:val="en-US"/>
        </w:rPr>
        <w:instrText xml:space="preserve"> NOTEREF _Ref220418120 \h  \* MERGEFORMAT </w:instrText>
      </w:r>
      <w:r w:rsidRPr="005846B1">
        <w:rPr>
          <w:lang w:val="de-DE"/>
        </w:rPr>
      </w:r>
      <w:r w:rsidRPr="005846B1">
        <w:rPr>
          <w:lang w:val="de-DE"/>
        </w:rPr>
        <w:fldChar w:fldCharType="separate"/>
      </w:r>
      <w:r w:rsidR="00764D65">
        <w:rPr>
          <w:lang w:val="en-US"/>
        </w:rPr>
        <w:t>40</w:t>
      </w:r>
      <w:r w:rsidRPr="005846B1">
        <w:rPr>
          <w:lang w:val="de-DE"/>
        </w:rPr>
        <w:fldChar w:fldCharType="end"/>
      </w:r>
      <w:r w:rsidRPr="00935D47">
        <w:rPr>
          <w:lang w:val="en-US"/>
        </w:rPr>
        <w:t xml:space="preserve">; IG Bau, </w:t>
      </w:r>
      <w:r>
        <w:rPr>
          <w:lang w:val="en-US"/>
        </w:rPr>
        <w:t>footnote</w:t>
      </w:r>
      <w:r w:rsidRPr="00935D47">
        <w:rPr>
          <w:lang w:val="en-US"/>
        </w:rPr>
        <w:t xml:space="preserve"> </w:t>
      </w:r>
      <w:r w:rsidRPr="005846B1">
        <w:rPr>
          <w:lang w:val="en-US"/>
        </w:rPr>
        <w:fldChar w:fldCharType="begin"/>
      </w:r>
      <w:r w:rsidRPr="005846B1">
        <w:rPr>
          <w:lang w:val="en-US"/>
        </w:rPr>
        <w:instrText xml:space="preserve"> NOTEREF _Ref220426466 \h </w:instrText>
      </w:r>
      <w:r w:rsidRPr="00935D47">
        <w:rPr>
          <w:lang w:val="en-US"/>
        </w:rPr>
        <w:instrText xml:space="preserve"> \* MERGEFORMAT </w:instrText>
      </w:r>
      <w:r w:rsidRPr="005846B1">
        <w:rPr>
          <w:lang w:val="en-US"/>
        </w:rPr>
      </w:r>
      <w:r w:rsidRPr="005846B1">
        <w:rPr>
          <w:lang w:val="en-US"/>
        </w:rPr>
        <w:fldChar w:fldCharType="separate"/>
      </w:r>
      <w:r w:rsidR="00764D65">
        <w:rPr>
          <w:lang w:val="en-US"/>
        </w:rPr>
        <w:t>119</w:t>
      </w:r>
      <w:r w:rsidRPr="005846B1">
        <w:rPr>
          <w:lang w:val="en-US"/>
        </w:rPr>
        <w:fldChar w:fldCharType="end"/>
      </w:r>
      <w:r w:rsidRPr="005846B1">
        <w:rPr>
          <w:lang w:val="en-US"/>
        </w:rPr>
        <w:t>, 2024, S. 8.</w:t>
      </w:r>
    </w:p>
  </w:footnote>
  <w:footnote w:id="118">
    <w:p w14:paraId="73E7C04C" w14:textId="77777777" w:rsidR="006976D7" w:rsidRPr="00935D47" w:rsidRDefault="006976D7" w:rsidP="00E57A38">
      <w:pPr>
        <w:pStyle w:val="FootnoteText"/>
        <w:spacing w:after="0"/>
        <w:rPr>
          <w:lang w:val="en-IE"/>
        </w:rPr>
      </w:pPr>
      <w:r w:rsidRPr="005846B1">
        <w:rPr>
          <w:rStyle w:val="FootnoteReference"/>
        </w:rPr>
        <w:footnoteRef/>
      </w:r>
      <w:r w:rsidRPr="005846B1">
        <w:t xml:space="preserve"> </w:t>
      </w:r>
      <w:r>
        <w:tab/>
      </w:r>
      <w:r w:rsidRPr="005846B1">
        <w:t xml:space="preserve">Survivors of seasonal workers residing in a </w:t>
      </w:r>
      <w:r>
        <w:t xml:space="preserve">non-EU </w:t>
      </w:r>
      <w:r w:rsidRPr="005846B1">
        <w:t>country deriving rights from the seasonal worker.</w:t>
      </w:r>
    </w:p>
  </w:footnote>
  <w:footnote w:id="119">
    <w:p w14:paraId="1CC906F7" w14:textId="0B5868A7" w:rsidR="006976D7" w:rsidRPr="005846B1" w:rsidRDefault="006976D7" w:rsidP="00E57A38">
      <w:pPr>
        <w:pStyle w:val="FootnoteText"/>
        <w:spacing w:after="0"/>
      </w:pPr>
      <w:r w:rsidRPr="005846B1">
        <w:rPr>
          <w:rStyle w:val="FootnoteReference"/>
        </w:rPr>
        <w:footnoteRef/>
      </w:r>
      <w:r w:rsidRPr="005846B1">
        <w:t xml:space="preserve"> </w:t>
      </w:r>
      <w:r w:rsidRPr="005846B1">
        <w:tab/>
      </w:r>
      <w:r>
        <w:rPr>
          <w:lang w:val="en-US"/>
        </w:rPr>
        <w:t>Austria</w:t>
      </w:r>
      <w:r w:rsidRPr="005846B1">
        <w:rPr>
          <w:lang w:val="en-US"/>
        </w:rPr>
        <w:t xml:space="preserve">, </w:t>
      </w:r>
      <w:r>
        <w:rPr>
          <w:lang w:val="en-US"/>
        </w:rPr>
        <w:t>Spain</w:t>
      </w:r>
      <w:r w:rsidRPr="005846B1">
        <w:rPr>
          <w:lang w:val="en-US"/>
        </w:rPr>
        <w:t xml:space="preserve">, </w:t>
      </w:r>
      <w:r>
        <w:rPr>
          <w:lang w:val="en-US"/>
        </w:rPr>
        <w:t>France</w:t>
      </w:r>
      <w:r w:rsidRPr="005846B1">
        <w:rPr>
          <w:lang w:val="en-US"/>
        </w:rPr>
        <w:t xml:space="preserve">, </w:t>
      </w:r>
      <w:r>
        <w:rPr>
          <w:lang w:val="en-US"/>
        </w:rPr>
        <w:t>Croatia</w:t>
      </w:r>
      <w:r w:rsidRPr="005846B1">
        <w:rPr>
          <w:lang w:val="en-US"/>
        </w:rPr>
        <w:t xml:space="preserve">, </w:t>
      </w:r>
      <w:r>
        <w:rPr>
          <w:lang w:val="en-US"/>
        </w:rPr>
        <w:t>Italy</w:t>
      </w:r>
      <w:r w:rsidRPr="005846B1">
        <w:rPr>
          <w:lang w:val="en-US"/>
        </w:rPr>
        <w:t xml:space="preserve"> and </w:t>
      </w:r>
      <w:r>
        <w:rPr>
          <w:lang w:val="en-US"/>
        </w:rPr>
        <w:t>Poland</w:t>
      </w:r>
      <w:r w:rsidRPr="005846B1">
        <w:rPr>
          <w:lang w:val="en-US"/>
        </w:rPr>
        <w:t xml:space="preserve"> </w:t>
      </w:r>
      <w:r w:rsidRPr="00137972">
        <w:rPr>
          <w:lang w:val="en-US"/>
        </w:rPr>
        <w:t>ensure export of pensions</w:t>
      </w:r>
      <w:r w:rsidR="00454155" w:rsidRPr="00137972">
        <w:rPr>
          <w:lang w:val="en-US"/>
        </w:rPr>
        <w:t xml:space="preserve"> and aggregation of insurance and contribution periods </w:t>
      </w:r>
      <w:r w:rsidRPr="00137972">
        <w:rPr>
          <w:lang w:val="en-US"/>
        </w:rPr>
        <w:t>through bilateral agreements with the most common</w:t>
      </w:r>
      <w:r w:rsidRPr="005846B1">
        <w:rPr>
          <w:lang w:val="en-US"/>
        </w:rPr>
        <w:t xml:space="preserve"> or all countries of origin of their third-country seasonal workers. In </w:t>
      </w:r>
      <w:r>
        <w:rPr>
          <w:lang w:val="en-US"/>
        </w:rPr>
        <w:t>Bulgaria</w:t>
      </w:r>
      <w:r w:rsidRPr="005846B1">
        <w:rPr>
          <w:lang w:val="en-US"/>
        </w:rPr>
        <w:t>,</w:t>
      </w:r>
      <w:r>
        <w:rPr>
          <w:lang w:val="en-US"/>
        </w:rPr>
        <w:t xml:space="preserve"> Cyprus</w:t>
      </w:r>
      <w:r w:rsidRPr="005846B1">
        <w:rPr>
          <w:lang w:val="en-US"/>
        </w:rPr>
        <w:t xml:space="preserve">, </w:t>
      </w:r>
      <w:r>
        <w:rPr>
          <w:lang w:val="en-US"/>
        </w:rPr>
        <w:t>Finland</w:t>
      </w:r>
      <w:r w:rsidRPr="005846B1">
        <w:rPr>
          <w:lang w:val="en-US"/>
        </w:rPr>
        <w:t xml:space="preserve">, </w:t>
      </w:r>
      <w:r>
        <w:rPr>
          <w:lang w:val="en-US"/>
        </w:rPr>
        <w:t>Sweden</w:t>
      </w:r>
      <w:r w:rsidRPr="005846B1">
        <w:rPr>
          <w:lang w:val="en-US"/>
        </w:rPr>
        <w:t xml:space="preserve">, </w:t>
      </w:r>
      <w:r>
        <w:rPr>
          <w:lang w:val="en-US"/>
        </w:rPr>
        <w:t>Portugal</w:t>
      </w:r>
      <w:r w:rsidRPr="005846B1">
        <w:rPr>
          <w:lang w:val="en-US"/>
        </w:rPr>
        <w:t xml:space="preserve">, </w:t>
      </w:r>
      <w:r>
        <w:rPr>
          <w:lang w:val="en-US"/>
        </w:rPr>
        <w:t>Latvia</w:t>
      </w:r>
      <w:r w:rsidRPr="005846B1">
        <w:rPr>
          <w:lang w:val="en-US"/>
        </w:rPr>
        <w:t xml:space="preserve">, </w:t>
      </w:r>
      <w:r>
        <w:rPr>
          <w:lang w:val="en-US"/>
        </w:rPr>
        <w:t>Luxembourg</w:t>
      </w:r>
      <w:r w:rsidRPr="005846B1">
        <w:rPr>
          <w:lang w:val="en-US"/>
        </w:rPr>
        <w:t xml:space="preserve"> and R</w:t>
      </w:r>
      <w:r>
        <w:rPr>
          <w:lang w:val="en-US"/>
        </w:rPr>
        <w:t>omania</w:t>
      </w:r>
      <w:r w:rsidRPr="005846B1">
        <w:rPr>
          <w:lang w:val="en-US"/>
        </w:rPr>
        <w:t xml:space="preserve"> such bilateral agreements exist only for a part of the common countries of origin.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3BF4F" w14:textId="77777777" w:rsidR="00E06DA5" w:rsidRPr="00E06DA5" w:rsidRDefault="00E06DA5" w:rsidP="00E06D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8BAC8" w14:textId="77777777" w:rsidR="00E06DA5" w:rsidRPr="00E06DA5" w:rsidRDefault="00E06DA5" w:rsidP="00E06D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62F92" w14:textId="77777777" w:rsidR="00E06DA5" w:rsidRPr="00E06DA5" w:rsidRDefault="00E06DA5" w:rsidP="00E06D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D518" w14:textId="77777777" w:rsidR="00DC324D" w:rsidRDefault="00DC32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498F6" w14:textId="77777777" w:rsidR="00DC324D" w:rsidRDefault="00DC32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CEDE" w14:textId="77777777" w:rsidR="00DC324D" w:rsidRDefault="00DC3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18C1"/>
    <w:multiLevelType w:val="multilevel"/>
    <w:tmpl w:val="C5A87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01F8C"/>
    <w:multiLevelType w:val="hybridMultilevel"/>
    <w:tmpl w:val="D666935C"/>
    <w:lvl w:ilvl="0" w:tplc="66CC255A">
      <w:start w:val="3"/>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25C37B"/>
    <w:multiLevelType w:val="hybridMultilevel"/>
    <w:tmpl w:val="73924A0E"/>
    <w:lvl w:ilvl="0" w:tplc="66066D7A">
      <w:start w:val="1"/>
      <w:numFmt w:val="bullet"/>
      <w:lvlText w:val=""/>
      <w:lvlJc w:val="left"/>
      <w:pPr>
        <w:ind w:left="360" w:hanging="360"/>
      </w:pPr>
      <w:rPr>
        <w:rFonts w:ascii="Symbol" w:hAnsi="Symbol" w:hint="default"/>
      </w:rPr>
    </w:lvl>
    <w:lvl w:ilvl="1" w:tplc="5FE8CF94">
      <w:start w:val="1"/>
      <w:numFmt w:val="bullet"/>
      <w:lvlText w:val="o"/>
      <w:lvlJc w:val="left"/>
      <w:pPr>
        <w:ind w:left="1080" w:hanging="360"/>
      </w:pPr>
      <w:rPr>
        <w:rFonts w:ascii="Courier New" w:hAnsi="Courier New" w:hint="default"/>
      </w:rPr>
    </w:lvl>
    <w:lvl w:ilvl="2" w:tplc="085899E4">
      <w:start w:val="1"/>
      <w:numFmt w:val="bullet"/>
      <w:lvlText w:val=""/>
      <w:lvlJc w:val="left"/>
      <w:pPr>
        <w:ind w:left="1800" w:hanging="360"/>
      </w:pPr>
      <w:rPr>
        <w:rFonts w:ascii="Wingdings" w:hAnsi="Wingdings" w:hint="default"/>
      </w:rPr>
    </w:lvl>
    <w:lvl w:ilvl="3" w:tplc="486A81A4">
      <w:start w:val="1"/>
      <w:numFmt w:val="bullet"/>
      <w:lvlText w:val=""/>
      <w:lvlJc w:val="left"/>
      <w:pPr>
        <w:ind w:left="2520" w:hanging="360"/>
      </w:pPr>
      <w:rPr>
        <w:rFonts w:ascii="Symbol" w:hAnsi="Symbol" w:hint="default"/>
      </w:rPr>
    </w:lvl>
    <w:lvl w:ilvl="4" w:tplc="FA66AADE">
      <w:start w:val="1"/>
      <w:numFmt w:val="bullet"/>
      <w:lvlText w:val="o"/>
      <w:lvlJc w:val="left"/>
      <w:pPr>
        <w:ind w:left="3240" w:hanging="360"/>
      </w:pPr>
      <w:rPr>
        <w:rFonts w:ascii="Courier New" w:hAnsi="Courier New" w:hint="default"/>
      </w:rPr>
    </w:lvl>
    <w:lvl w:ilvl="5" w:tplc="B5DEBB04">
      <w:start w:val="1"/>
      <w:numFmt w:val="bullet"/>
      <w:lvlText w:val=""/>
      <w:lvlJc w:val="left"/>
      <w:pPr>
        <w:ind w:left="3960" w:hanging="360"/>
      </w:pPr>
      <w:rPr>
        <w:rFonts w:ascii="Wingdings" w:hAnsi="Wingdings" w:hint="default"/>
      </w:rPr>
    </w:lvl>
    <w:lvl w:ilvl="6" w:tplc="165C1474">
      <w:start w:val="1"/>
      <w:numFmt w:val="bullet"/>
      <w:lvlText w:val=""/>
      <w:lvlJc w:val="left"/>
      <w:pPr>
        <w:ind w:left="4680" w:hanging="360"/>
      </w:pPr>
      <w:rPr>
        <w:rFonts w:ascii="Symbol" w:hAnsi="Symbol" w:hint="default"/>
      </w:rPr>
    </w:lvl>
    <w:lvl w:ilvl="7" w:tplc="2030140E">
      <w:start w:val="1"/>
      <w:numFmt w:val="bullet"/>
      <w:lvlText w:val="o"/>
      <w:lvlJc w:val="left"/>
      <w:pPr>
        <w:ind w:left="5400" w:hanging="360"/>
      </w:pPr>
      <w:rPr>
        <w:rFonts w:ascii="Courier New" w:hAnsi="Courier New" w:hint="default"/>
      </w:rPr>
    </w:lvl>
    <w:lvl w:ilvl="8" w:tplc="AE0818F2">
      <w:start w:val="1"/>
      <w:numFmt w:val="bullet"/>
      <w:lvlText w:val=""/>
      <w:lvlJc w:val="left"/>
      <w:pPr>
        <w:ind w:left="6120" w:hanging="360"/>
      </w:pPr>
      <w:rPr>
        <w:rFonts w:ascii="Wingdings" w:hAnsi="Wingdings" w:hint="default"/>
      </w:rPr>
    </w:lvl>
  </w:abstractNum>
  <w:abstractNum w:abstractNumId="3" w15:restartNumberingAfterBreak="0">
    <w:nsid w:val="11A81361"/>
    <w:multiLevelType w:val="hybridMultilevel"/>
    <w:tmpl w:val="3E4C62B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72814E5"/>
    <w:multiLevelType w:val="hybridMultilevel"/>
    <w:tmpl w:val="4224B872"/>
    <w:lvl w:ilvl="0" w:tplc="89ACFA8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6AD340"/>
    <w:multiLevelType w:val="hybridMultilevel"/>
    <w:tmpl w:val="C30E6190"/>
    <w:lvl w:ilvl="0" w:tplc="18090011">
      <w:start w:val="1"/>
      <w:numFmt w:val="decimal"/>
      <w:lvlText w:val="%1)"/>
      <w:lvlJc w:val="left"/>
      <w:pPr>
        <w:ind w:left="360" w:hanging="360"/>
      </w:pPr>
    </w:lvl>
    <w:lvl w:ilvl="1" w:tplc="C3C25D9A">
      <w:start w:val="1"/>
      <w:numFmt w:val="lowerLetter"/>
      <w:lvlText w:val="%2."/>
      <w:lvlJc w:val="left"/>
      <w:pPr>
        <w:ind w:left="1080" w:hanging="360"/>
      </w:pPr>
    </w:lvl>
    <w:lvl w:ilvl="2" w:tplc="43A0D180">
      <w:start w:val="1"/>
      <w:numFmt w:val="lowerRoman"/>
      <w:lvlText w:val="%3."/>
      <w:lvlJc w:val="right"/>
      <w:pPr>
        <w:ind w:left="1800" w:hanging="180"/>
      </w:pPr>
    </w:lvl>
    <w:lvl w:ilvl="3" w:tplc="9AB8F8BC">
      <w:start w:val="1"/>
      <w:numFmt w:val="decimal"/>
      <w:lvlText w:val="%4."/>
      <w:lvlJc w:val="left"/>
      <w:pPr>
        <w:ind w:left="2520" w:hanging="360"/>
      </w:pPr>
    </w:lvl>
    <w:lvl w:ilvl="4" w:tplc="F7A4F98C">
      <w:start w:val="1"/>
      <w:numFmt w:val="lowerLetter"/>
      <w:lvlText w:val="%5."/>
      <w:lvlJc w:val="left"/>
      <w:pPr>
        <w:ind w:left="3240" w:hanging="360"/>
      </w:pPr>
    </w:lvl>
    <w:lvl w:ilvl="5" w:tplc="09F094D2">
      <w:start w:val="1"/>
      <w:numFmt w:val="lowerRoman"/>
      <w:lvlText w:val="%6."/>
      <w:lvlJc w:val="right"/>
      <w:pPr>
        <w:ind w:left="3960" w:hanging="180"/>
      </w:pPr>
    </w:lvl>
    <w:lvl w:ilvl="6" w:tplc="C0F62F38">
      <w:start w:val="1"/>
      <w:numFmt w:val="decimal"/>
      <w:lvlText w:val="%7."/>
      <w:lvlJc w:val="left"/>
      <w:pPr>
        <w:ind w:left="4680" w:hanging="360"/>
      </w:pPr>
    </w:lvl>
    <w:lvl w:ilvl="7" w:tplc="00FC2B18">
      <w:start w:val="1"/>
      <w:numFmt w:val="lowerLetter"/>
      <w:lvlText w:val="%8."/>
      <w:lvlJc w:val="left"/>
      <w:pPr>
        <w:ind w:left="5400" w:hanging="360"/>
      </w:pPr>
    </w:lvl>
    <w:lvl w:ilvl="8" w:tplc="BEF20378">
      <w:start w:val="1"/>
      <w:numFmt w:val="lowerRoman"/>
      <w:lvlText w:val="%9."/>
      <w:lvlJc w:val="right"/>
      <w:pPr>
        <w:ind w:left="6120" w:hanging="180"/>
      </w:pPr>
    </w:lvl>
  </w:abstractNum>
  <w:abstractNum w:abstractNumId="6" w15:restartNumberingAfterBreak="0">
    <w:nsid w:val="1EF66AFF"/>
    <w:multiLevelType w:val="hybridMultilevel"/>
    <w:tmpl w:val="E94EEED0"/>
    <w:lvl w:ilvl="0" w:tplc="1809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CC5476A"/>
    <w:multiLevelType w:val="hybridMultilevel"/>
    <w:tmpl w:val="EABCF1B6"/>
    <w:lvl w:ilvl="0" w:tplc="75E44AA8">
      <w:start w:val="1"/>
      <w:numFmt w:val="bullet"/>
      <w:lvlText w:val=""/>
      <w:lvlJc w:val="left"/>
      <w:pPr>
        <w:ind w:left="1800" w:hanging="360"/>
      </w:pPr>
      <w:rPr>
        <w:rFonts w:ascii="Symbol" w:hAnsi="Symbol"/>
      </w:rPr>
    </w:lvl>
    <w:lvl w:ilvl="1" w:tplc="9E4E7D82">
      <w:start w:val="1"/>
      <w:numFmt w:val="bullet"/>
      <w:lvlText w:val=""/>
      <w:lvlJc w:val="left"/>
      <w:pPr>
        <w:ind w:left="1800" w:hanging="360"/>
      </w:pPr>
      <w:rPr>
        <w:rFonts w:ascii="Symbol" w:hAnsi="Symbol"/>
      </w:rPr>
    </w:lvl>
    <w:lvl w:ilvl="2" w:tplc="4A282E70">
      <w:start w:val="1"/>
      <w:numFmt w:val="bullet"/>
      <w:lvlText w:val=""/>
      <w:lvlJc w:val="left"/>
      <w:pPr>
        <w:ind w:left="1800" w:hanging="360"/>
      </w:pPr>
      <w:rPr>
        <w:rFonts w:ascii="Symbol" w:hAnsi="Symbol"/>
      </w:rPr>
    </w:lvl>
    <w:lvl w:ilvl="3" w:tplc="FA843E42">
      <w:start w:val="1"/>
      <w:numFmt w:val="bullet"/>
      <w:lvlText w:val=""/>
      <w:lvlJc w:val="left"/>
      <w:pPr>
        <w:ind w:left="1800" w:hanging="360"/>
      </w:pPr>
      <w:rPr>
        <w:rFonts w:ascii="Symbol" w:hAnsi="Symbol"/>
      </w:rPr>
    </w:lvl>
    <w:lvl w:ilvl="4" w:tplc="D9A66C24">
      <w:start w:val="1"/>
      <w:numFmt w:val="bullet"/>
      <w:lvlText w:val=""/>
      <w:lvlJc w:val="left"/>
      <w:pPr>
        <w:ind w:left="1800" w:hanging="360"/>
      </w:pPr>
      <w:rPr>
        <w:rFonts w:ascii="Symbol" w:hAnsi="Symbol"/>
      </w:rPr>
    </w:lvl>
    <w:lvl w:ilvl="5" w:tplc="05C6FEE2">
      <w:start w:val="1"/>
      <w:numFmt w:val="bullet"/>
      <w:lvlText w:val=""/>
      <w:lvlJc w:val="left"/>
      <w:pPr>
        <w:ind w:left="1800" w:hanging="360"/>
      </w:pPr>
      <w:rPr>
        <w:rFonts w:ascii="Symbol" w:hAnsi="Symbol"/>
      </w:rPr>
    </w:lvl>
    <w:lvl w:ilvl="6" w:tplc="D2ACAD54">
      <w:start w:val="1"/>
      <w:numFmt w:val="bullet"/>
      <w:lvlText w:val=""/>
      <w:lvlJc w:val="left"/>
      <w:pPr>
        <w:ind w:left="1800" w:hanging="360"/>
      </w:pPr>
      <w:rPr>
        <w:rFonts w:ascii="Symbol" w:hAnsi="Symbol"/>
      </w:rPr>
    </w:lvl>
    <w:lvl w:ilvl="7" w:tplc="E280D908">
      <w:start w:val="1"/>
      <w:numFmt w:val="bullet"/>
      <w:lvlText w:val=""/>
      <w:lvlJc w:val="left"/>
      <w:pPr>
        <w:ind w:left="1800" w:hanging="360"/>
      </w:pPr>
      <w:rPr>
        <w:rFonts w:ascii="Symbol" w:hAnsi="Symbol"/>
      </w:rPr>
    </w:lvl>
    <w:lvl w:ilvl="8" w:tplc="8C6A2A94">
      <w:start w:val="1"/>
      <w:numFmt w:val="bullet"/>
      <w:lvlText w:val=""/>
      <w:lvlJc w:val="left"/>
      <w:pPr>
        <w:ind w:left="1800" w:hanging="360"/>
      </w:pPr>
      <w:rPr>
        <w:rFonts w:ascii="Symbol" w:hAnsi="Symbol"/>
      </w:rPr>
    </w:lvl>
  </w:abstractNum>
  <w:abstractNum w:abstractNumId="8" w15:restartNumberingAfterBreak="0">
    <w:nsid w:val="2FD8201D"/>
    <w:multiLevelType w:val="hybridMultilevel"/>
    <w:tmpl w:val="5B1EF228"/>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886A3B9"/>
    <w:multiLevelType w:val="hybridMultilevel"/>
    <w:tmpl w:val="FA84542A"/>
    <w:lvl w:ilvl="0" w:tplc="3B0C8A5C">
      <w:start w:val="1"/>
      <w:numFmt w:val="bullet"/>
      <w:lvlText w:val=""/>
      <w:lvlJc w:val="left"/>
      <w:pPr>
        <w:ind w:left="360" w:hanging="360"/>
      </w:pPr>
      <w:rPr>
        <w:rFonts w:ascii="Symbol" w:hAnsi="Symbol" w:hint="default"/>
      </w:rPr>
    </w:lvl>
    <w:lvl w:ilvl="1" w:tplc="6F3A7326">
      <w:start w:val="1"/>
      <w:numFmt w:val="bullet"/>
      <w:lvlText w:val="o"/>
      <w:lvlJc w:val="left"/>
      <w:pPr>
        <w:ind w:left="1080" w:hanging="360"/>
      </w:pPr>
      <w:rPr>
        <w:rFonts w:ascii="Courier New" w:hAnsi="Courier New" w:hint="default"/>
      </w:rPr>
    </w:lvl>
    <w:lvl w:ilvl="2" w:tplc="15108A14">
      <w:start w:val="1"/>
      <w:numFmt w:val="bullet"/>
      <w:lvlText w:val=""/>
      <w:lvlJc w:val="left"/>
      <w:pPr>
        <w:ind w:left="1800" w:hanging="360"/>
      </w:pPr>
      <w:rPr>
        <w:rFonts w:ascii="Wingdings" w:hAnsi="Wingdings" w:hint="default"/>
      </w:rPr>
    </w:lvl>
    <w:lvl w:ilvl="3" w:tplc="B832D19A">
      <w:start w:val="1"/>
      <w:numFmt w:val="bullet"/>
      <w:lvlText w:val=""/>
      <w:lvlJc w:val="left"/>
      <w:pPr>
        <w:ind w:left="2520" w:hanging="360"/>
      </w:pPr>
      <w:rPr>
        <w:rFonts w:ascii="Symbol" w:hAnsi="Symbol" w:hint="default"/>
      </w:rPr>
    </w:lvl>
    <w:lvl w:ilvl="4" w:tplc="9C167B4E">
      <w:start w:val="1"/>
      <w:numFmt w:val="bullet"/>
      <w:lvlText w:val="o"/>
      <w:lvlJc w:val="left"/>
      <w:pPr>
        <w:ind w:left="3240" w:hanging="360"/>
      </w:pPr>
      <w:rPr>
        <w:rFonts w:ascii="Courier New" w:hAnsi="Courier New" w:hint="default"/>
      </w:rPr>
    </w:lvl>
    <w:lvl w:ilvl="5" w:tplc="C1D0DCDA">
      <w:start w:val="1"/>
      <w:numFmt w:val="bullet"/>
      <w:lvlText w:val=""/>
      <w:lvlJc w:val="left"/>
      <w:pPr>
        <w:ind w:left="3960" w:hanging="360"/>
      </w:pPr>
      <w:rPr>
        <w:rFonts w:ascii="Wingdings" w:hAnsi="Wingdings" w:hint="default"/>
      </w:rPr>
    </w:lvl>
    <w:lvl w:ilvl="6" w:tplc="47527C3E">
      <w:start w:val="1"/>
      <w:numFmt w:val="bullet"/>
      <w:lvlText w:val=""/>
      <w:lvlJc w:val="left"/>
      <w:pPr>
        <w:ind w:left="4680" w:hanging="360"/>
      </w:pPr>
      <w:rPr>
        <w:rFonts w:ascii="Symbol" w:hAnsi="Symbol" w:hint="default"/>
      </w:rPr>
    </w:lvl>
    <w:lvl w:ilvl="7" w:tplc="C0F29F8A">
      <w:start w:val="1"/>
      <w:numFmt w:val="bullet"/>
      <w:lvlText w:val="o"/>
      <w:lvlJc w:val="left"/>
      <w:pPr>
        <w:ind w:left="5400" w:hanging="360"/>
      </w:pPr>
      <w:rPr>
        <w:rFonts w:ascii="Courier New" w:hAnsi="Courier New" w:hint="default"/>
      </w:rPr>
    </w:lvl>
    <w:lvl w:ilvl="8" w:tplc="F1224630">
      <w:start w:val="1"/>
      <w:numFmt w:val="bullet"/>
      <w:lvlText w:val=""/>
      <w:lvlJc w:val="left"/>
      <w:pPr>
        <w:ind w:left="6120" w:hanging="360"/>
      </w:pPr>
      <w:rPr>
        <w:rFonts w:ascii="Wingdings" w:hAnsi="Wingdings" w:hint="default"/>
      </w:rPr>
    </w:lvl>
  </w:abstractNum>
  <w:abstractNum w:abstractNumId="10" w15:restartNumberingAfterBreak="0">
    <w:nsid w:val="3E381BFE"/>
    <w:multiLevelType w:val="hybridMultilevel"/>
    <w:tmpl w:val="75D6F05A"/>
    <w:lvl w:ilvl="0" w:tplc="E29CFF22">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42B8F04F"/>
    <w:multiLevelType w:val="hybridMultilevel"/>
    <w:tmpl w:val="65CCD15A"/>
    <w:lvl w:ilvl="0" w:tplc="0DD87A4E">
      <w:start w:val="1"/>
      <w:numFmt w:val="bullet"/>
      <w:lvlText w:val=""/>
      <w:lvlJc w:val="left"/>
      <w:pPr>
        <w:ind w:left="360" w:hanging="360"/>
      </w:pPr>
      <w:rPr>
        <w:rFonts w:ascii="Symbol" w:hAnsi="Symbol" w:hint="default"/>
      </w:rPr>
    </w:lvl>
    <w:lvl w:ilvl="1" w:tplc="5DC23F8A">
      <w:start w:val="1"/>
      <w:numFmt w:val="bullet"/>
      <w:lvlText w:val="o"/>
      <w:lvlJc w:val="left"/>
      <w:pPr>
        <w:ind w:left="1080" w:hanging="360"/>
      </w:pPr>
      <w:rPr>
        <w:rFonts w:ascii="Courier New" w:hAnsi="Courier New" w:hint="default"/>
      </w:rPr>
    </w:lvl>
    <w:lvl w:ilvl="2" w:tplc="ED8817C2">
      <w:start w:val="1"/>
      <w:numFmt w:val="bullet"/>
      <w:lvlText w:val=""/>
      <w:lvlJc w:val="left"/>
      <w:pPr>
        <w:ind w:left="1800" w:hanging="360"/>
      </w:pPr>
      <w:rPr>
        <w:rFonts w:ascii="Wingdings" w:hAnsi="Wingdings" w:hint="default"/>
      </w:rPr>
    </w:lvl>
    <w:lvl w:ilvl="3" w:tplc="B3C62BBA">
      <w:start w:val="1"/>
      <w:numFmt w:val="bullet"/>
      <w:lvlText w:val=""/>
      <w:lvlJc w:val="left"/>
      <w:pPr>
        <w:ind w:left="2520" w:hanging="360"/>
      </w:pPr>
      <w:rPr>
        <w:rFonts w:ascii="Symbol" w:hAnsi="Symbol" w:hint="default"/>
      </w:rPr>
    </w:lvl>
    <w:lvl w:ilvl="4" w:tplc="E48C9206">
      <w:start w:val="1"/>
      <w:numFmt w:val="bullet"/>
      <w:lvlText w:val="o"/>
      <w:lvlJc w:val="left"/>
      <w:pPr>
        <w:ind w:left="3240" w:hanging="360"/>
      </w:pPr>
      <w:rPr>
        <w:rFonts w:ascii="Courier New" w:hAnsi="Courier New" w:hint="default"/>
      </w:rPr>
    </w:lvl>
    <w:lvl w:ilvl="5" w:tplc="62E8BEC6">
      <w:start w:val="1"/>
      <w:numFmt w:val="bullet"/>
      <w:lvlText w:val=""/>
      <w:lvlJc w:val="left"/>
      <w:pPr>
        <w:ind w:left="3960" w:hanging="360"/>
      </w:pPr>
      <w:rPr>
        <w:rFonts w:ascii="Wingdings" w:hAnsi="Wingdings" w:hint="default"/>
      </w:rPr>
    </w:lvl>
    <w:lvl w:ilvl="6" w:tplc="2FCE4486">
      <w:start w:val="1"/>
      <w:numFmt w:val="bullet"/>
      <w:lvlText w:val=""/>
      <w:lvlJc w:val="left"/>
      <w:pPr>
        <w:ind w:left="4680" w:hanging="360"/>
      </w:pPr>
      <w:rPr>
        <w:rFonts w:ascii="Symbol" w:hAnsi="Symbol" w:hint="default"/>
      </w:rPr>
    </w:lvl>
    <w:lvl w:ilvl="7" w:tplc="4B8EFD6C">
      <w:start w:val="1"/>
      <w:numFmt w:val="bullet"/>
      <w:lvlText w:val="o"/>
      <w:lvlJc w:val="left"/>
      <w:pPr>
        <w:ind w:left="5400" w:hanging="360"/>
      </w:pPr>
      <w:rPr>
        <w:rFonts w:ascii="Courier New" w:hAnsi="Courier New" w:hint="default"/>
      </w:rPr>
    </w:lvl>
    <w:lvl w:ilvl="8" w:tplc="B21C5706">
      <w:start w:val="1"/>
      <w:numFmt w:val="bullet"/>
      <w:lvlText w:val=""/>
      <w:lvlJc w:val="left"/>
      <w:pPr>
        <w:ind w:left="6120" w:hanging="360"/>
      </w:pPr>
      <w:rPr>
        <w:rFonts w:ascii="Wingdings" w:hAnsi="Wingdings" w:hint="default"/>
      </w:rPr>
    </w:lvl>
  </w:abstractNum>
  <w:abstractNum w:abstractNumId="12" w15:restartNumberingAfterBreak="0">
    <w:nsid w:val="47304106"/>
    <w:multiLevelType w:val="hybridMultilevel"/>
    <w:tmpl w:val="EE8E7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9D23F13"/>
    <w:multiLevelType w:val="hybridMultilevel"/>
    <w:tmpl w:val="53E28C10"/>
    <w:lvl w:ilvl="0" w:tplc="96DE6370">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5B022B7E"/>
    <w:multiLevelType w:val="hybridMultilevel"/>
    <w:tmpl w:val="71C89B7A"/>
    <w:lvl w:ilvl="0" w:tplc="DE3C48A6">
      <w:start w:val="1"/>
      <w:numFmt w:val="bullet"/>
      <w:lvlText w:val="-"/>
      <w:lvlJc w:val="left"/>
      <w:pPr>
        <w:ind w:left="360" w:hanging="360"/>
      </w:pPr>
      <w:rPr>
        <w:rFonts w:ascii="Times New Roman" w:eastAsia="Times New Roman" w:hAnsi="Times New Roman" w:cs="Times New Roman"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BA223AB"/>
    <w:multiLevelType w:val="hybridMultilevel"/>
    <w:tmpl w:val="19DED7A6"/>
    <w:lvl w:ilvl="0" w:tplc="349CC0F6">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669E0085"/>
    <w:multiLevelType w:val="hybridMultilevel"/>
    <w:tmpl w:val="26D4EAF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A20106D"/>
    <w:multiLevelType w:val="multilevel"/>
    <w:tmpl w:val="A9967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397498"/>
    <w:multiLevelType w:val="hybridMultilevel"/>
    <w:tmpl w:val="7A127C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558063C"/>
    <w:multiLevelType w:val="hybridMultilevel"/>
    <w:tmpl w:val="9F8664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CCB4506"/>
    <w:multiLevelType w:val="hybridMultilevel"/>
    <w:tmpl w:val="5FF25A18"/>
    <w:lvl w:ilvl="0" w:tplc="080C0001">
      <w:start w:val="1"/>
      <w:numFmt w:val="bullet"/>
      <w:lvlText w:val=""/>
      <w:lvlJc w:val="left"/>
      <w:pPr>
        <w:ind w:left="360" w:hanging="360"/>
      </w:pPr>
      <w:rPr>
        <w:rFonts w:ascii="Symbol" w:hAnsi="Symbol" w:hint="default"/>
      </w:rPr>
    </w:lvl>
    <w:lvl w:ilvl="1" w:tplc="5BD6796A">
      <w:start w:val="1"/>
      <w:numFmt w:val="bullet"/>
      <w:lvlText w:val="­"/>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4"/>
  </w:num>
  <w:num w:numId="2">
    <w:abstractNumId w:val="20"/>
  </w:num>
  <w:num w:numId="3">
    <w:abstractNumId w:val="2"/>
  </w:num>
  <w:num w:numId="4">
    <w:abstractNumId w:val="1"/>
  </w:num>
  <w:num w:numId="5">
    <w:abstractNumId w:val="11"/>
  </w:num>
  <w:num w:numId="6">
    <w:abstractNumId w:val="9"/>
  </w:num>
  <w:num w:numId="7">
    <w:abstractNumId w:val="16"/>
  </w:num>
  <w:num w:numId="8">
    <w:abstractNumId w:val="8"/>
  </w:num>
  <w:num w:numId="9">
    <w:abstractNumId w:val="18"/>
  </w:num>
  <w:num w:numId="10">
    <w:abstractNumId w:val="3"/>
  </w:num>
  <w:num w:numId="11">
    <w:abstractNumId w:val="7"/>
  </w:num>
  <w:num w:numId="12">
    <w:abstractNumId w:val="17"/>
  </w:num>
  <w:num w:numId="13">
    <w:abstractNumId w:val="0"/>
  </w:num>
  <w:num w:numId="14">
    <w:abstractNumId w:val="19"/>
  </w:num>
  <w:num w:numId="15">
    <w:abstractNumId w:val="13"/>
  </w:num>
  <w:num w:numId="16">
    <w:abstractNumId w:val="15"/>
  </w:num>
  <w:num w:numId="17">
    <w:abstractNumId w:val="5"/>
  </w:num>
  <w:num w:numId="18">
    <w:abstractNumId w:val="10"/>
  </w:num>
  <w:num w:numId="19">
    <w:abstractNumId w:val="12"/>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4980E6E-8A53-4F1D-9AF2-AC3338B509D4"/>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 accordance with Article 27 of Directive 2014/36/EU on the conditions of entry and stay of third-country nationals for the purpose of employment as seasonal workers"/>
    <w:docVar w:name="LW_TYPE.DOC.CP" w:val="REPORT FROM THE COMMISSION TO THE EUROPEAN PARLIAMENT AND THE COUNCIL"/>
    <w:docVar w:name="LwApiVersions" w:val="LW4CoDe 1.24.5.0; LW 9.2, Build 20251112"/>
  </w:docVars>
  <w:rsids>
    <w:rsidRoot w:val="000432BD"/>
    <w:rsid w:val="0000465E"/>
    <w:rsid w:val="00007D30"/>
    <w:rsid w:val="00011744"/>
    <w:rsid w:val="000263DF"/>
    <w:rsid w:val="000269CB"/>
    <w:rsid w:val="00027578"/>
    <w:rsid w:val="00030390"/>
    <w:rsid w:val="00030589"/>
    <w:rsid w:val="00031FC7"/>
    <w:rsid w:val="0003236E"/>
    <w:rsid w:val="00032C93"/>
    <w:rsid w:val="00036D1A"/>
    <w:rsid w:val="0004189F"/>
    <w:rsid w:val="00042364"/>
    <w:rsid w:val="00043090"/>
    <w:rsid w:val="000432BD"/>
    <w:rsid w:val="0004678A"/>
    <w:rsid w:val="000501F3"/>
    <w:rsid w:val="0005312F"/>
    <w:rsid w:val="00054F3C"/>
    <w:rsid w:val="00060BB2"/>
    <w:rsid w:val="00070834"/>
    <w:rsid w:val="00075601"/>
    <w:rsid w:val="00075A88"/>
    <w:rsid w:val="000918F3"/>
    <w:rsid w:val="000928D8"/>
    <w:rsid w:val="000A14A4"/>
    <w:rsid w:val="000B5BC5"/>
    <w:rsid w:val="000B6EDA"/>
    <w:rsid w:val="000C24F3"/>
    <w:rsid w:val="000C4A71"/>
    <w:rsid w:val="000D5EAB"/>
    <w:rsid w:val="000D7543"/>
    <w:rsid w:val="000E2D3C"/>
    <w:rsid w:val="000E2E46"/>
    <w:rsid w:val="000F2BDE"/>
    <w:rsid w:val="000F3B0D"/>
    <w:rsid w:val="000F6C09"/>
    <w:rsid w:val="00100C76"/>
    <w:rsid w:val="001013F0"/>
    <w:rsid w:val="00102451"/>
    <w:rsid w:val="00103882"/>
    <w:rsid w:val="00123791"/>
    <w:rsid w:val="001329EB"/>
    <w:rsid w:val="00136D78"/>
    <w:rsid w:val="00137972"/>
    <w:rsid w:val="00150A4F"/>
    <w:rsid w:val="00154F02"/>
    <w:rsid w:val="00184A97"/>
    <w:rsid w:val="0018511B"/>
    <w:rsid w:val="001869C1"/>
    <w:rsid w:val="00192E2D"/>
    <w:rsid w:val="00196233"/>
    <w:rsid w:val="001A3181"/>
    <w:rsid w:val="001A384F"/>
    <w:rsid w:val="001B0E9A"/>
    <w:rsid w:val="001C00BA"/>
    <w:rsid w:val="001C2E29"/>
    <w:rsid w:val="001D5D22"/>
    <w:rsid w:val="001E1D27"/>
    <w:rsid w:val="001E508E"/>
    <w:rsid w:val="001F0FA8"/>
    <w:rsid w:val="00205036"/>
    <w:rsid w:val="00207BA2"/>
    <w:rsid w:val="00214A02"/>
    <w:rsid w:val="002204E1"/>
    <w:rsid w:val="002254AE"/>
    <w:rsid w:val="002418B0"/>
    <w:rsid w:val="002447FA"/>
    <w:rsid w:val="00253713"/>
    <w:rsid w:val="0026193E"/>
    <w:rsid w:val="00263239"/>
    <w:rsid w:val="0026362F"/>
    <w:rsid w:val="0028331F"/>
    <w:rsid w:val="00285B0E"/>
    <w:rsid w:val="0029716C"/>
    <w:rsid w:val="00297549"/>
    <w:rsid w:val="002A118B"/>
    <w:rsid w:val="002A1368"/>
    <w:rsid w:val="002B0157"/>
    <w:rsid w:val="002B2145"/>
    <w:rsid w:val="002C3714"/>
    <w:rsid w:val="002C4840"/>
    <w:rsid w:val="002D037C"/>
    <w:rsid w:val="002D0C03"/>
    <w:rsid w:val="002D31C9"/>
    <w:rsid w:val="002D4BD4"/>
    <w:rsid w:val="002F12F9"/>
    <w:rsid w:val="003007D4"/>
    <w:rsid w:val="00302B6A"/>
    <w:rsid w:val="00303D98"/>
    <w:rsid w:val="0030459D"/>
    <w:rsid w:val="00304EEC"/>
    <w:rsid w:val="0031227F"/>
    <w:rsid w:val="00315549"/>
    <w:rsid w:val="003300E5"/>
    <w:rsid w:val="00331295"/>
    <w:rsid w:val="00332496"/>
    <w:rsid w:val="003340E3"/>
    <w:rsid w:val="003347C1"/>
    <w:rsid w:val="0033681C"/>
    <w:rsid w:val="00337E72"/>
    <w:rsid w:val="003470C9"/>
    <w:rsid w:val="0035524F"/>
    <w:rsid w:val="00365C85"/>
    <w:rsid w:val="00370076"/>
    <w:rsid w:val="00375F06"/>
    <w:rsid w:val="00387DD0"/>
    <w:rsid w:val="00390FCF"/>
    <w:rsid w:val="00392493"/>
    <w:rsid w:val="003B0C89"/>
    <w:rsid w:val="003B588A"/>
    <w:rsid w:val="003B6E43"/>
    <w:rsid w:val="003C507F"/>
    <w:rsid w:val="003C7BB1"/>
    <w:rsid w:val="003D0D84"/>
    <w:rsid w:val="003D4454"/>
    <w:rsid w:val="00407131"/>
    <w:rsid w:val="004166C2"/>
    <w:rsid w:val="0041720B"/>
    <w:rsid w:val="00421682"/>
    <w:rsid w:val="00425707"/>
    <w:rsid w:val="004257BE"/>
    <w:rsid w:val="004262CD"/>
    <w:rsid w:val="004309C1"/>
    <w:rsid w:val="00454155"/>
    <w:rsid w:val="0045625D"/>
    <w:rsid w:val="004629A0"/>
    <w:rsid w:val="00465A43"/>
    <w:rsid w:val="00466233"/>
    <w:rsid w:val="004665B7"/>
    <w:rsid w:val="00473B35"/>
    <w:rsid w:val="00485C35"/>
    <w:rsid w:val="004948A2"/>
    <w:rsid w:val="004960D2"/>
    <w:rsid w:val="004A05B8"/>
    <w:rsid w:val="004A61F9"/>
    <w:rsid w:val="004A6DFB"/>
    <w:rsid w:val="004B27D4"/>
    <w:rsid w:val="004B2A61"/>
    <w:rsid w:val="004C14D0"/>
    <w:rsid w:val="004D188C"/>
    <w:rsid w:val="004D232C"/>
    <w:rsid w:val="004D56FC"/>
    <w:rsid w:val="004E13E0"/>
    <w:rsid w:val="004E4DFE"/>
    <w:rsid w:val="004E7036"/>
    <w:rsid w:val="004F41C9"/>
    <w:rsid w:val="0050475F"/>
    <w:rsid w:val="0051371F"/>
    <w:rsid w:val="0051522A"/>
    <w:rsid w:val="00517DC3"/>
    <w:rsid w:val="00523D4F"/>
    <w:rsid w:val="0052496A"/>
    <w:rsid w:val="00526B77"/>
    <w:rsid w:val="00526FE0"/>
    <w:rsid w:val="0053438E"/>
    <w:rsid w:val="00540594"/>
    <w:rsid w:val="00553595"/>
    <w:rsid w:val="00566892"/>
    <w:rsid w:val="005774C9"/>
    <w:rsid w:val="0058172E"/>
    <w:rsid w:val="005838DE"/>
    <w:rsid w:val="00584D00"/>
    <w:rsid w:val="00585C71"/>
    <w:rsid w:val="00597FBE"/>
    <w:rsid w:val="005B05CB"/>
    <w:rsid w:val="005B206C"/>
    <w:rsid w:val="005B2498"/>
    <w:rsid w:val="005C0925"/>
    <w:rsid w:val="005C56D5"/>
    <w:rsid w:val="005E07C3"/>
    <w:rsid w:val="005E71E2"/>
    <w:rsid w:val="005F204E"/>
    <w:rsid w:val="005F42DB"/>
    <w:rsid w:val="005F5874"/>
    <w:rsid w:val="006007FC"/>
    <w:rsid w:val="00610975"/>
    <w:rsid w:val="00610AD0"/>
    <w:rsid w:val="00617389"/>
    <w:rsid w:val="00621664"/>
    <w:rsid w:val="0062406D"/>
    <w:rsid w:val="00627C51"/>
    <w:rsid w:val="00640047"/>
    <w:rsid w:val="006409C1"/>
    <w:rsid w:val="0064203E"/>
    <w:rsid w:val="006442D2"/>
    <w:rsid w:val="00650440"/>
    <w:rsid w:val="006507AE"/>
    <w:rsid w:val="00653A5F"/>
    <w:rsid w:val="0066220D"/>
    <w:rsid w:val="00693D7F"/>
    <w:rsid w:val="0069501E"/>
    <w:rsid w:val="006976D7"/>
    <w:rsid w:val="006A177A"/>
    <w:rsid w:val="006A3898"/>
    <w:rsid w:val="006A7268"/>
    <w:rsid w:val="006B1A6D"/>
    <w:rsid w:val="006C1DCC"/>
    <w:rsid w:val="006C3C95"/>
    <w:rsid w:val="006C5026"/>
    <w:rsid w:val="006C7DB2"/>
    <w:rsid w:val="006D067F"/>
    <w:rsid w:val="006D216D"/>
    <w:rsid w:val="006E61CC"/>
    <w:rsid w:val="006F3505"/>
    <w:rsid w:val="00702322"/>
    <w:rsid w:val="00722CA7"/>
    <w:rsid w:val="00726259"/>
    <w:rsid w:val="0074188D"/>
    <w:rsid w:val="00750119"/>
    <w:rsid w:val="00750B90"/>
    <w:rsid w:val="00757BE0"/>
    <w:rsid w:val="00760234"/>
    <w:rsid w:val="00764D65"/>
    <w:rsid w:val="007660A9"/>
    <w:rsid w:val="00766F47"/>
    <w:rsid w:val="00771606"/>
    <w:rsid w:val="00774E93"/>
    <w:rsid w:val="00783470"/>
    <w:rsid w:val="007966E2"/>
    <w:rsid w:val="007A1957"/>
    <w:rsid w:val="007B055C"/>
    <w:rsid w:val="007C1387"/>
    <w:rsid w:val="007D0BC9"/>
    <w:rsid w:val="007D1CD0"/>
    <w:rsid w:val="007E5889"/>
    <w:rsid w:val="007F193A"/>
    <w:rsid w:val="007F1F2A"/>
    <w:rsid w:val="007F501E"/>
    <w:rsid w:val="00803A7A"/>
    <w:rsid w:val="00806845"/>
    <w:rsid w:val="00810003"/>
    <w:rsid w:val="00811B99"/>
    <w:rsid w:val="00822870"/>
    <w:rsid w:val="00822B66"/>
    <w:rsid w:val="008254A6"/>
    <w:rsid w:val="008275FF"/>
    <w:rsid w:val="00835200"/>
    <w:rsid w:val="00835DC1"/>
    <w:rsid w:val="00842BB8"/>
    <w:rsid w:val="0084656B"/>
    <w:rsid w:val="008477F4"/>
    <w:rsid w:val="00851C7E"/>
    <w:rsid w:val="008563D2"/>
    <w:rsid w:val="0085718E"/>
    <w:rsid w:val="00864EA4"/>
    <w:rsid w:val="0087076C"/>
    <w:rsid w:val="00871EA0"/>
    <w:rsid w:val="00871FA7"/>
    <w:rsid w:val="00885CEE"/>
    <w:rsid w:val="008939E2"/>
    <w:rsid w:val="008B1B16"/>
    <w:rsid w:val="008B44F8"/>
    <w:rsid w:val="008B4B5D"/>
    <w:rsid w:val="008C27FC"/>
    <w:rsid w:val="008E0E70"/>
    <w:rsid w:val="008E1B68"/>
    <w:rsid w:val="008E2A9C"/>
    <w:rsid w:val="008E3DEA"/>
    <w:rsid w:val="008F1014"/>
    <w:rsid w:val="008F1981"/>
    <w:rsid w:val="008F1C85"/>
    <w:rsid w:val="00911041"/>
    <w:rsid w:val="009149CD"/>
    <w:rsid w:val="00933E61"/>
    <w:rsid w:val="00935CDD"/>
    <w:rsid w:val="0094130E"/>
    <w:rsid w:val="0094345A"/>
    <w:rsid w:val="00944F22"/>
    <w:rsid w:val="00947B2F"/>
    <w:rsid w:val="00952D7E"/>
    <w:rsid w:val="00961E9F"/>
    <w:rsid w:val="00964139"/>
    <w:rsid w:val="0096524E"/>
    <w:rsid w:val="00965648"/>
    <w:rsid w:val="0096612F"/>
    <w:rsid w:val="00971863"/>
    <w:rsid w:val="00976E54"/>
    <w:rsid w:val="00994594"/>
    <w:rsid w:val="009A73CE"/>
    <w:rsid w:val="009B3003"/>
    <w:rsid w:val="009B399F"/>
    <w:rsid w:val="009B6881"/>
    <w:rsid w:val="009B78CC"/>
    <w:rsid w:val="009C2946"/>
    <w:rsid w:val="009C5C21"/>
    <w:rsid w:val="009D01F8"/>
    <w:rsid w:val="009D1662"/>
    <w:rsid w:val="009D5658"/>
    <w:rsid w:val="009D7E95"/>
    <w:rsid w:val="009E4310"/>
    <w:rsid w:val="009E44B4"/>
    <w:rsid w:val="009F1ED5"/>
    <w:rsid w:val="009F3FD9"/>
    <w:rsid w:val="009F5B1A"/>
    <w:rsid w:val="009F6605"/>
    <w:rsid w:val="00A05F3E"/>
    <w:rsid w:val="00A1053C"/>
    <w:rsid w:val="00A1598D"/>
    <w:rsid w:val="00A17647"/>
    <w:rsid w:val="00A2065A"/>
    <w:rsid w:val="00A24150"/>
    <w:rsid w:val="00A325A5"/>
    <w:rsid w:val="00A349AC"/>
    <w:rsid w:val="00A4509C"/>
    <w:rsid w:val="00A52979"/>
    <w:rsid w:val="00A631FF"/>
    <w:rsid w:val="00A678E1"/>
    <w:rsid w:val="00A72196"/>
    <w:rsid w:val="00A757EF"/>
    <w:rsid w:val="00A8577E"/>
    <w:rsid w:val="00A86AAF"/>
    <w:rsid w:val="00A929EA"/>
    <w:rsid w:val="00A93A10"/>
    <w:rsid w:val="00A96D71"/>
    <w:rsid w:val="00AA1BBE"/>
    <w:rsid w:val="00AB18DC"/>
    <w:rsid w:val="00AB2068"/>
    <w:rsid w:val="00AB23A3"/>
    <w:rsid w:val="00AC40ED"/>
    <w:rsid w:val="00AC42C6"/>
    <w:rsid w:val="00AD46EA"/>
    <w:rsid w:val="00AE0520"/>
    <w:rsid w:val="00AE0876"/>
    <w:rsid w:val="00AE43E9"/>
    <w:rsid w:val="00AE5D83"/>
    <w:rsid w:val="00AF0A84"/>
    <w:rsid w:val="00AF3A40"/>
    <w:rsid w:val="00AF489B"/>
    <w:rsid w:val="00B0252D"/>
    <w:rsid w:val="00B2105A"/>
    <w:rsid w:val="00B24A5A"/>
    <w:rsid w:val="00B4082F"/>
    <w:rsid w:val="00B417CB"/>
    <w:rsid w:val="00B430C0"/>
    <w:rsid w:val="00B46F40"/>
    <w:rsid w:val="00B51AC1"/>
    <w:rsid w:val="00B524E6"/>
    <w:rsid w:val="00B52EA5"/>
    <w:rsid w:val="00B533BB"/>
    <w:rsid w:val="00B5373D"/>
    <w:rsid w:val="00B60C1F"/>
    <w:rsid w:val="00B64159"/>
    <w:rsid w:val="00B6611D"/>
    <w:rsid w:val="00B67AC3"/>
    <w:rsid w:val="00B703B8"/>
    <w:rsid w:val="00B714BA"/>
    <w:rsid w:val="00B72609"/>
    <w:rsid w:val="00B72A56"/>
    <w:rsid w:val="00B7681F"/>
    <w:rsid w:val="00B81528"/>
    <w:rsid w:val="00BA4D2C"/>
    <w:rsid w:val="00BB1780"/>
    <w:rsid w:val="00BB54C7"/>
    <w:rsid w:val="00BE00E7"/>
    <w:rsid w:val="00BE2119"/>
    <w:rsid w:val="00BF1C09"/>
    <w:rsid w:val="00BF296D"/>
    <w:rsid w:val="00BF3021"/>
    <w:rsid w:val="00BF3E7B"/>
    <w:rsid w:val="00BF77A6"/>
    <w:rsid w:val="00C03436"/>
    <w:rsid w:val="00C03876"/>
    <w:rsid w:val="00C10991"/>
    <w:rsid w:val="00C11CA5"/>
    <w:rsid w:val="00C139CF"/>
    <w:rsid w:val="00C307DD"/>
    <w:rsid w:val="00C338AB"/>
    <w:rsid w:val="00C34740"/>
    <w:rsid w:val="00C3523B"/>
    <w:rsid w:val="00C47B1A"/>
    <w:rsid w:val="00C57B57"/>
    <w:rsid w:val="00C728A6"/>
    <w:rsid w:val="00C7723A"/>
    <w:rsid w:val="00C818F4"/>
    <w:rsid w:val="00C85263"/>
    <w:rsid w:val="00C8674E"/>
    <w:rsid w:val="00C86D7F"/>
    <w:rsid w:val="00C93DEA"/>
    <w:rsid w:val="00C94978"/>
    <w:rsid w:val="00C952E3"/>
    <w:rsid w:val="00C9584E"/>
    <w:rsid w:val="00C95EF2"/>
    <w:rsid w:val="00C9722C"/>
    <w:rsid w:val="00CA0E78"/>
    <w:rsid w:val="00CA1FE4"/>
    <w:rsid w:val="00CA2A59"/>
    <w:rsid w:val="00CB448C"/>
    <w:rsid w:val="00CC18D7"/>
    <w:rsid w:val="00CC2466"/>
    <w:rsid w:val="00CC2789"/>
    <w:rsid w:val="00CC437B"/>
    <w:rsid w:val="00CD4054"/>
    <w:rsid w:val="00CD6DF2"/>
    <w:rsid w:val="00CE2409"/>
    <w:rsid w:val="00CE44FB"/>
    <w:rsid w:val="00CE4F5A"/>
    <w:rsid w:val="00CE7CB4"/>
    <w:rsid w:val="00CF0D8B"/>
    <w:rsid w:val="00CF52D2"/>
    <w:rsid w:val="00D11EC4"/>
    <w:rsid w:val="00D12223"/>
    <w:rsid w:val="00D122EC"/>
    <w:rsid w:val="00D141C1"/>
    <w:rsid w:val="00D21FAE"/>
    <w:rsid w:val="00D260A1"/>
    <w:rsid w:val="00D27EA1"/>
    <w:rsid w:val="00D32084"/>
    <w:rsid w:val="00D34AF2"/>
    <w:rsid w:val="00D36F71"/>
    <w:rsid w:val="00D400F0"/>
    <w:rsid w:val="00D404A8"/>
    <w:rsid w:val="00D41911"/>
    <w:rsid w:val="00D572B5"/>
    <w:rsid w:val="00D60F6F"/>
    <w:rsid w:val="00D675C0"/>
    <w:rsid w:val="00D727C7"/>
    <w:rsid w:val="00D80B55"/>
    <w:rsid w:val="00D80DD9"/>
    <w:rsid w:val="00D8130D"/>
    <w:rsid w:val="00D83543"/>
    <w:rsid w:val="00D83803"/>
    <w:rsid w:val="00D90875"/>
    <w:rsid w:val="00D911FD"/>
    <w:rsid w:val="00D95377"/>
    <w:rsid w:val="00D979EA"/>
    <w:rsid w:val="00DB0AF6"/>
    <w:rsid w:val="00DB122C"/>
    <w:rsid w:val="00DC02A6"/>
    <w:rsid w:val="00DC324D"/>
    <w:rsid w:val="00DD2DCA"/>
    <w:rsid w:val="00DE6F04"/>
    <w:rsid w:val="00DF3FFD"/>
    <w:rsid w:val="00DF591A"/>
    <w:rsid w:val="00E05937"/>
    <w:rsid w:val="00E06DA5"/>
    <w:rsid w:val="00E16FD9"/>
    <w:rsid w:val="00E21ECD"/>
    <w:rsid w:val="00E2240B"/>
    <w:rsid w:val="00E253FE"/>
    <w:rsid w:val="00E25F1E"/>
    <w:rsid w:val="00E26ACD"/>
    <w:rsid w:val="00E3210F"/>
    <w:rsid w:val="00E3282F"/>
    <w:rsid w:val="00E3323E"/>
    <w:rsid w:val="00E37842"/>
    <w:rsid w:val="00E41D4B"/>
    <w:rsid w:val="00E428E8"/>
    <w:rsid w:val="00E55C7F"/>
    <w:rsid w:val="00E56C35"/>
    <w:rsid w:val="00E57A38"/>
    <w:rsid w:val="00E6077E"/>
    <w:rsid w:val="00E8553F"/>
    <w:rsid w:val="00E90AD6"/>
    <w:rsid w:val="00E92BA9"/>
    <w:rsid w:val="00EA71DD"/>
    <w:rsid w:val="00EB1A9F"/>
    <w:rsid w:val="00EB3B59"/>
    <w:rsid w:val="00EB3D28"/>
    <w:rsid w:val="00EB69B8"/>
    <w:rsid w:val="00EC17F8"/>
    <w:rsid w:val="00EC3182"/>
    <w:rsid w:val="00EC6D8B"/>
    <w:rsid w:val="00EC7834"/>
    <w:rsid w:val="00ED27ED"/>
    <w:rsid w:val="00ED58BD"/>
    <w:rsid w:val="00EF367C"/>
    <w:rsid w:val="00EF3906"/>
    <w:rsid w:val="00EF422F"/>
    <w:rsid w:val="00EF56C3"/>
    <w:rsid w:val="00F02368"/>
    <w:rsid w:val="00F042B5"/>
    <w:rsid w:val="00F27745"/>
    <w:rsid w:val="00F31D8E"/>
    <w:rsid w:val="00F44B12"/>
    <w:rsid w:val="00F45D70"/>
    <w:rsid w:val="00F52F09"/>
    <w:rsid w:val="00F56C61"/>
    <w:rsid w:val="00F729DE"/>
    <w:rsid w:val="00F73BB8"/>
    <w:rsid w:val="00F7532A"/>
    <w:rsid w:val="00F803FD"/>
    <w:rsid w:val="00F81F61"/>
    <w:rsid w:val="00F82317"/>
    <w:rsid w:val="00F85AEC"/>
    <w:rsid w:val="00F979B1"/>
    <w:rsid w:val="00FA0B2D"/>
    <w:rsid w:val="00FC080F"/>
    <w:rsid w:val="00FC14AF"/>
    <w:rsid w:val="00FC21B5"/>
    <w:rsid w:val="00FC5859"/>
    <w:rsid w:val="00FC65C2"/>
    <w:rsid w:val="00FD3FE7"/>
    <w:rsid w:val="00FD4643"/>
    <w:rsid w:val="00FD5894"/>
    <w:rsid w:val="00FE1D97"/>
    <w:rsid w:val="00FE7573"/>
    <w:rsid w:val="00FE7B3F"/>
    <w:rsid w:val="00FF513A"/>
    <w:rsid w:val="00FF56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C4FB1"/>
  <w15:chartTrackingRefBased/>
  <w15:docId w15:val="{864F5D4D-63CF-4F0D-9001-62F0C9EE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3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3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32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2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2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2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2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2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2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3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2BD"/>
    <w:rPr>
      <w:rFonts w:eastAsiaTheme="majorEastAsia" w:cstheme="majorBidi"/>
      <w:color w:val="272727" w:themeColor="text1" w:themeTint="D8"/>
    </w:rPr>
  </w:style>
  <w:style w:type="paragraph" w:styleId="Title">
    <w:name w:val="Title"/>
    <w:basedOn w:val="Normal"/>
    <w:next w:val="Normal"/>
    <w:link w:val="TitleChar"/>
    <w:uiPriority w:val="10"/>
    <w:qFormat/>
    <w:rsid w:val="000432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2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2BD"/>
    <w:pPr>
      <w:spacing w:before="160"/>
      <w:jc w:val="center"/>
    </w:pPr>
    <w:rPr>
      <w:i/>
      <w:iCs/>
      <w:color w:val="404040" w:themeColor="text1" w:themeTint="BF"/>
    </w:rPr>
  </w:style>
  <w:style w:type="character" w:customStyle="1" w:styleId="QuoteChar">
    <w:name w:val="Quote Char"/>
    <w:basedOn w:val="DefaultParagraphFont"/>
    <w:link w:val="Quote"/>
    <w:uiPriority w:val="29"/>
    <w:rsid w:val="000432BD"/>
    <w:rPr>
      <w:i/>
      <w:iCs/>
      <w:color w:val="404040" w:themeColor="text1" w:themeTint="BF"/>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0432BD"/>
    <w:pPr>
      <w:ind w:left="720"/>
      <w:contextualSpacing/>
    </w:pPr>
  </w:style>
  <w:style w:type="character" w:styleId="IntenseEmphasis">
    <w:name w:val="Intense Emphasis"/>
    <w:basedOn w:val="DefaultParagraphFont"/>
    <w:uiPriority w:val="21"/>
    <w:qFormat/>
    <w:rsid w:val="000432BD"/>
    <w:rPr>
      <w:i/>
      <w:iCs/>
      <w:color w:val="0F4761" w:themeColor="accent1" w:themeShade="BF"/>
    </w:rPr>
  </w:style>
  <w:style w:type="paragraph" w:styleId="IntenseQuote">
    <w:name w:val="Intense Quote"/>
    <w:basedOn w:val="Normal"/>
    <w:next w:val="Normal"/>
    <w:link w:val="IntenseQuoteChar"/>
    <w:uiPriority w:val="30"/>
    <w:qFormat/>
    <w:rsid w:val="00043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2BD"/>
    <w:rPr>
      <w:i/>
      <w:iCs/>
      <w:color w:val="0F4761" w:themeColor="accent1" w:themeShade="BF"/>
    </w:rPr>
  </w:style>
  <w:style w:type="character" w:styleId="IntenseReference">
    <w:name w:val="Intense Reference"/>
    <w:basedOn w:val="DefaultParagraphFont"/>
    <w:uiPriority w:val="32"/>
    <w:qFormat/>
    <w:rsid w:val="000432BD"/>
    <w:rPr>
      <w:b/>
      <w:bCs/>
      <w:smallCaps/>
      <w:color w:val="0F4761" w:themeColor="accent1" w:themeShade="BF"/>
      <w:spacing w:val="5"/>
    </w:rPr>
  </w:style>
  <w:style w:type="character" w:customStyle="1" w:styleId="Marker">
    <w:name w:val="Marker"/>
    <w:basedOn w:val="DefaultParagraphFont"/>
    <w:rsid w:val="00DC324D"/>
    <w:rPr>
      <w:color w:val="0000FF"/>
      <w:shd w:val="clear" w:color="auto" w:fill="auto"/>
    </w:rPr>
  </w:style>
  <w:style w:type="paragraph" w:styleId="Header">
    <w:name w:val="header"/>
    <w:basedOn w:val="Normal"/>
    <w:link w:val="HeaderChar"/>
    <w:uiPriority w:val="99"/>
    <w:unhideWhenUsed/>
    <w:rsid w:val="00DC32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24D"/>
  </w:style>
  <w:style w:type="paragraph" w:styleId="Footer">
    <w:name w:val="footer"/>
    <w:basedOn w:val="Normal"/>
    <w:link w:val="FooterChar"/>
    <w:uiPriority w:val="99"/>
    <w:unhideWhenUsed/>
    <w:rsid w:val="00DC32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24D"/>
  </w:style>
  <w:style w:type="paragraph" w:customStyle="1" w:styleId="Pagedecouverture">
    <w:name w:val="Page de couverture"/>
    <w:basedOn w:val="Normal"/>
    <w:next w:val="Normal"/>
    <w:rsid w:val="00DC324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C324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C324D"/>
    <w:rPr>
      <w:rFonts w:ascii="Times New Roman" w:hAnsi="Times New Roman" w:cs="Times New Roman"/>
      <w:sz w:val="24"/>
    </w:rPr>
  </w:style>
  <w:style w:type="paragraph" w:customStyle="1" w:styleId="FooterSensitivity">
    <w:name w:val="Footer Sensitivity"/>
    <w:basedOn w:val="Normal"/>
    <w:link w:val="FooterSensitivityChar"/>
    <w:rsid w:val="00DC324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C324D"/>
    <w:rPr>
      <w:rFonts w:ascii="Times New Roman" w:hAnsi="Times New Roman" w:cs="Times New Roman"/>
      <w:b/>
      <w:sz w:val="32"/>
    </w:rPr>
  </w:style>
  <w:style w:type="paragraph" w:customStyle="1" w:styleId="HeaderCoverPage">
    <w:name w:val="Header Cover Page"/>
    <w:basedOn w:val="Normal"/>
    <w:link w:val="HeaderCoverPageChar"/>
    <w:rsid w:val="00DC324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C324D"/>
    <w:rPr>
      <w:rFonts w:ascii="Times New Roman" w:hAnsi="Times New Roman" w:cs="Times New Roman"/>
      <w:sz w:val="24"/>
    </w:rPr>
  </w:style>
  <w:style w:type="paragraph" w:customStyle="1" w:styleId="HeaderSensitivity">
    <w:name w:val="Header Sensitivity"/>
    <w:basedOn w:val="Normal"/>
    <w:link w:val="HeaderSensitivityChar"/>
    <w:rsid w:val="00DC324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C324D"/>
    <w:rPr>
      <w:rFonts w:ascii="Times New Roman" w:hAnsi="Times New Roman" w:cs="Times New Roman"/>
      <w:b/>
      <w:sz w:val="32"/>
    </w:rPr>
  </w:style>
  <w:style w:type="paragraph" w:customStyle="1" w:styleId="HeaderSensitivityRight">
    <w:name w:val="Header Sensitivity Right"/>
    <w:basedOn w:val="Normal"/>
    <w:link w:val="HeaderSensitivityRightChar"/>
    <w:rsid w:val="00DC324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C324D"/>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6976D7"/>
    <w:pPr>
      <w:spacing w:after="120" w:line="240" w:lineRule="auto"/>
      <w:ind w:left="357" w:hanging="357"/>
      <w:jc w:val="both"/>
    </w:pPr>
    <w:rPr>
      <w:rFonts w:ascii="Times New Roman" w:eastAsia="Times New Roman" w:hAnsi="Times New Roman" w:cs="Times New Roman"/>
      <w:kern w:val="0"/>
      <w:sz w:val="20"/>
      <w:szCs w:val="20"/>
      <w:lang w:val="en-GB" w:eastAsia="en-GB"/>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976D7"/>
    <w:rPr>
      <w:rFonts w:ascii="Times New Roman" w:eastAsia="Times New Roman" w:hAnsi="Times New Roman" w:cs="Times New Roman"/>
      <w:kern w:val="0"/>
      <w:sz w:val="20"/>
      <w:szCs w:val="20"/>
      <w:lang w:val="en-GB" w:eastAsia="en-GB"/>
      <w14:ligatures w14:val="none"/>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BVI fnr,FR"/>
    <w:basedOn w:val="DefaultParagraphFont"/>
    <w:link w:val="fr"/>
    <w:uiPriority w:val="99"/>
    <w:qFormat/>
    <w:rsid w:val="006976D7"/>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6976D7"/>
  </w:style>
  <w:style w:type="paragraph" w:customStyle="1" w:styleId="fr">
    <w:name w:val="fr"/>
    <w:aliases w:val="Odwo&lt;0142&gt;anie przypisu,SUPER,BVI fnr Char1 Char"/>
    <w:basedOn w:val="Normal"/>
    <w:next w:val="Normal"/>
    <w:link w:val="FootnoteReference"/>
    <w:uiPriority w:val="99"/>
    <w:rsid w:val="006976D7"/>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6976D7"/>
    <w:pPr>
      <w:spacing w:line="240" w:lineRule="exact"/>
    </w:pPr>
    <w:rPr>
      <w:rFonts w:ascii="Times New Roman" w:eastAsia="Times New Roman" w:hAnsi="Times New Roman" w:cs="Times New Roman"/>
      <w:kern w:val="0"/>
      <w:sz w:val="24"/>
      <w:szCs w:val="20"/>
      <w:vertAlign w:val="superscript"/>
      <w:lang w:val="en-GB" w:eastAsia="en-GB"/>
    </w:rPr>
  </w:style>
  <w:style w:type="character" w:styleId="Hyperlink">
    <w:name w:val="Hyperlink"/>
    <w:basedOn w:val="DefaultParagraphFont"/>
    <w:uiPriority w:val="99"/>
    <w:unhideWhenUsed/>
    <w:rsid w:val="006976D7"/>
    <w:rPr>
      <w:color w:val="467886" w:themeColor="hyperlink"/>
      <w:u w:val="single"/>
    </w:rPr>
  </w:style>
  <w:style w:type="character" w:customStyle="1" w:styleId="UnresolvedMention">
    <w:name w:val="Unresolved Mention"/>
    <w:basedOn w:val="DefaultParagraphFont"/>
    <w:uiPriority w:val="99"/>
    <w:semiHidden/>
    <w:unhideWhenUsed/>
    <w:rsid w:val="006976D7"/>
    <w:rPr>
      <w:color w:val="605E5C"/>
      <w:shd w:val="clear" w:color="auto" w:fill="E1DFDD"/>
    </w:rPr>
  </w:style>
  <w:style w:type="character" w:styleId="FollowedHyperlink">
    <w:name w:val="FollowedHyperlink"/>
    <w:basedOn w:val="DefaultParagraphFont"/>
    <w:uiPriority w:val="99"/>
    <w:semiHidden/>
    <w:unhideWhenUsed/>
    <w:rsid w:val="006976D7"/>
    <w:rPr>
      <w:color w:val="96607D" w:themeColor="followedHyperlink"/>
      <w:u w:val="single"/>
    </w:rPr>
  </w:style>
  <w:style w:type="character" w:styleId="CommentReference">
    <w:name w:val="annotation reference"/>
    <w:basedOn w:val="DefaultParagraphFont"/>
    <w:uiPriority w:val="99"/>
    <w:semiHidden/>
    <w:unhideWhenUsed/>
    <w:rsid w:val="006976D7"/>
    <w:rPr>
      <w:sz w:val="16"/>
      <w:szCs w:val="16"/>
    </w:rPr>
  </w:style>
  <w:style w:type="paragraph" w:styleId="CommentText">
    <w:name w:val="annotation text"/>
    <w:basedOn w:val="Normal"/>
    <w:link w:val="CommentTextChar"/>
    <w:uiPriority w:val="99"/>
    <w:unhideWhenUsed/>
    <w:rsid w:val="006976D7"/>
    <w:pPr>
      <w:spacing w:line="240" w:lineRule="auto"/>
    </w:pPr>
    <w:rPr>
      <w:sz w:val="20"/>
      <w:szCs w:val="20"/>
    </w:rPr>
  </w:style>
  <w:style w:type="character" w:customStyle="1" w:styleId="CommentTextChar">
    <w:name w:val="Comment Text Char"/>
    <w:basedOn w:val="DefaultParagraphFont"/>
    <w:link w:val="CommentText"/>
    <w:uiPriority w:val="99"/>
    <w:rsid w:val="006976D7"/>
    <w:rPr>
      <w:sz w:val="20"/>
      <w:szCs w:val="20"/>
    </w:rPr>
  </w:style>
  <w:style w:type="paragraph" w:styleId="CommentSubject">
    <w:name w:val="annotation subject"/>
    <w:basedOn w:val="CommentText"/>
    <w:next w:val="CommentText"/>
    <w:link w:val="CommentSubjectChar"/>
    <w:uiPriority w:val="99"/>
    <w:semiHidden/>
    <w:unhideWhenUsed/>
    <w:rsid w:val="006976D7"/>
    <w:rPr>
      <w:b/>
      <w:bCs/>
    </w:rPr>
  </w:style>
  <w:style w:type="character" w:customStyle="1" w:styleId="CommentSubjectChar">
    <w:name w:val="Comment Subject Char"/>
    <w:basedOn w:val="CommentTextChar"/>
    <w:link w:val="CommentSubject"/>
    <w:uiPriority w:val="99"/>
    <w:semiHidden/>
    <w:rsid w:val="006976D7"/>
    <w:rPr>
      <w:b/>
      <w:bCs/>
      <w:sz w:val="20"/>
      <w:szCs w:val="20"/>
    </w:rPr>
  </w:style>
  <w:style w:type="paragraph" w:styleId="BodyText">
    <w:name w:val="Body Text"/>
    <w:basedOn w:val="Normal"/>
    <w:link w:val="BodyTextChar"/>
    <w:semiHidden/>
    <w:rsid w:val="006976D7"/>
    <w:pPr>
      <w:spacing w:before="120" w:after="120" w:line="240" w:lineRule="auto"/>
      <w:jc w:val="both"/>
    </w:pPr>
    <w:rPr>
      <w:rFonts w:ascii="Arial" w:eastAsia="Times New Roman" w:hAnsi="Arial" w:cs="Times New Roman"/>
      <w:kern w:val="0"/>
      <w:szCs w:val="24"/>
      <w:lang w:val="en-GB" w:eastAsia="en-GB"/>
      <w14:ligatures w14:val="none"/>
    </w:rPr>
  </w:style>
  <w:style w:type="character" w:customStyle="1" w:styleId="BodyTextChar">
    <w:name w:val="Body Text Char"/>
    <w:basedOn w:val="DefaultParagraphFont"/>
    <w:link w:val="BodyText"/>
    <w:semiHidden/>
    <w:rsid w:val="006976D7"/>
    <w:rPr>
      <w:rFonts w:ascii="Arial" w:eastAsia="Times New Roman" w:hAnsi="Arial" w:cs="Times New Roman"/>
      <w:kern w:val="0"/>
      <w:szCs w:val="24"/>
      <w:lang w:val="en-GB" w:eastAsia="en-GB"/>
      <w14:ligatures w14:val="none"/>
    </w:rPr>
  </w:style>
  <w:style w:type="paragraph" w:customStyle="1" w:styleId="CarCharCarCharCarCharCharCharCharCharCharChar">
    <w:name w:val="Car Char Car Char Car Char Char Char Char Char Char Char"/>
    <w:aliases w:val="Footnote Refernece Char,Footnote Refernece Char Char Char Char"/>
    <w:basedOn w:val="Normal"/>
    <w:uiPriority w:val="99"/>
    <w:rsid w:val="006976D7"/>
    <w:pPr>
      <w:autoSpaceDE w:val="0"/>
      <w:autoSpaceDN w:val="0"/>
      <w:spacing w:line="240" w:lineRule="exact"/>
      <w:jc w:val="both"/>
    </w:pPr>
    <w:rPr>
      <w:rFonts w:ascii="Arial" w:eastAsia="Times New Roman" w:hAnsi="Arial" w:cs="Times New Roman"/>
      <w:kern w:val="0"/>
      <w:sz w:val="20"/>
      <w:szCs w:val="24"/>
      <w:vertAlign w:val="superscript"/>
      <w:lang w:val="en-GB" w:eastAsia="en-GB"/>
      <w14:ligatures w14:val="none"/>
    </w:rPr>
  </w:style>
  <w:style w:type="paragraph" w:customStyle="1" w:styleId="BodyText1">
    <w:name w:val="Body Text1"/>
    <w:basedOn w:val="Normal"/>
    <w:link w:val="BodytextChar0"/>
    <w:qFormat/>
    <w:rsid w:val="006976D7"/>
    <w:pPr>
      <w:spacing w:before="120" w:after="120" w:line="240" w:lineRule="auto"/>
      <w:jc w:val="both"/>
    </w:pPr>
    <w:rPr>
      <w:rFonts w:ascii="Arial" w:eastAsia="Times New Roman" w:hAnsi="Arial" w:cs="Times New Roman"/>
      <w:noProof/>
      <w:kern w:val="0"/>
      <w:szCs w:val="24"/>
      <w:lang w:val="en-GB"/>
      <w14:ligatures w14:val="none"/>
    </w:rPr>
  </w:style>
  <w:style w:type="character" w:customStyle="1" w:styleId="BodytextChar0">
    <w:name w:val="Body text Char"/>
    <w:link w:val="BodyText1"/>
    <w:rsid w:val="006976D7"/>
    <w:rPr>
      <w:rFonts w:ascii="Arial" w:eastAsia="Times New Roman" w:hAnsi="Arial" w:cs="Times New Roman"/>
      <w:noProof/>
      <w:kern w:val="0"/>
      <w:szCs w:val="24"/>
      <w:lang w:val="en-GB"/>
      <w14:ligatures w14:val="none"/>
    </w:rPr>
  </w:style>
  <w:style w:type="paragraph" w:customStyle="1" w:styleId="MBT">
    <w:name w:val="M BT"/>
    <w:basedOn w:val="Normal"/>
    <w:link w:val="MBTChar"/>
    <w:qFormat/>
    <w:rsid w:val="006976D7"/>
    <w:pPr>
      <w:widowControl w:val="0"/>
      <w:spacing w:before="120" w:after="120" w:line="240" w:lineRule="auto"/>
      <w:jc w:val="both"/>
    </w:pPr>
    <w:rPr>
      <w:rFonts w:ascii="Arial" w:eastAsia="Times New Roman" w:hAnsi="Arial" w:cs="Times New Roman"/>
      <w:bCs/>
      <w:kern w:val="0"/>
      <w:lang w:val="en-GB" w:eastAsia="fr-FR"/>
      <w14:ligatures w14:val="none"/>
    </w:rPr>
  </w:style>
  <w:style w:type="character" w:customStyle="1" w:styleId="MBTChar">
    <w:name w:val="M BT Char"/>
    <w:link w:val="MBT"/>
    <w:rsid w:val="006976D7"/>
    <w:rPr>
      <w:rFonts w:ascii="Arial" w:eastAsia="Times New Roman" w:hAnsi="Arial" w:cs="Times New Roman"/>
      <w:bCs/>
      <w:kern w:val="0"/>
      <w:lang w:val="en-GB" w:eastAsia="fr-FR"/>
      <w14:ligatures w14:val="none"/>
    </w:rPr>
  </w:style>
  <w:style w:type="paragraph" w:styleId="Revision">
    <w:name w:val="Revision"/>
    <w:hidden/>
    <w:uiPriority w:val="99"/>
    <w:semiHidden/>
    <w:rsid w:val="006976D7"/>
    <w:pPr>
      <w:spacing w:after="0" w:line="240" w:lineRule="auto"/>
    </w:pPr>
  </w:style>
  <w:style w:type="paragraph" w:styleId="NormalWeb">
    <w:name w:val="Normal (Web)"/>
    <w:basedOn w:val="Normal"/>
    <w:uiPriority w:val="99"/>
    <w:semiHidden/>
    <w:unhideWhenUsed/>
    <w:rsid w:val="006976D7"/>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paragraph" w:styleId="z-TopofForm">
    <w:name w:val="HTML Top of Form"/>
    <w:basedOn w:val="Normal"/>
    <w:next w:val="Normal"/>
    <w:link w:val="z-TopofFormChar"/>
    <w:hidden/>
    <w:uiPriority w:val="99"/>
    <w:semiHidden/>
    <w:unhideWhenUsed/>
    <w:rsid w:val="006976D7"/>
    <w:pPr>
      <w:pBdr>
        <w:bottom w:val="single" w:sz="6" w:space="1" w:color="auto"/>
      </w:pBdr>
      <w:spacing w:after="0" w:line="240" w:lineRule="auto"/>
      <w:jc w:val="center"/>
    </w:pPr>
    <w:rPr>
      <w:rFonts w:ascii="Arial" w:eastAsia="Times New Roman" w:hAnsi="Arial" w:cs="Arial"/>
      <w:vanish/>
      <w:kern w:val="0"/>
      <w:sz w:val="16"/>
      <w:szCs w:val="16"/>
      <w:lang w:val="de-DE" w:eastAsia="de-DE"/>
    </w:rPr>
  </w:style>
  <w:style w:type="character" w:customStyle="1" w:styleId="z-TopofFormChar">
    <w:name w:val="z-Top of Form Char"/>
    <w:basedOn w:val="DefaultParagraphFont"/>
    <w:link w:val="z-TopofForm"/>
    <w:uiPriority w:val="99"/>
    <w:semiHidden/>
    <w:rsid w:val="006976D7"/>
    <w:rPr>
      <w:rFonts w:ascii="Arial" w:eastAsia="Times New Roman" w:hAnsi="Arial" w:cs="Arial"/>
      <w:vanish/>
      <w:kern w:val="0"/>
      <w:sz w:val="16"/>
      <w:szCs w:val="16"/>
      <w:lang w:val="de-DE" w:eastAsia="de-DE"/>
    </w:rPr>
  </w:style>
  <w:style w:type="paragraph" w:styleId="z-BottomofForm">
    <w:name w:val="HTML Bottom of Form"/>
    <w:basedOn w:val="Normal"/>
    <w:next w:val="Normal"/>
    <w:link w:val="z-BottomofFormChar"/>
    <w:hidden/>
    <w:uiPriority w:val="99"/>
    <w:semiHidden/>
    <w:unhideWhenUsed/>
    <w:rsid w:val="006976D7"/>
    <w:pPr>
      <w:pBdr>
        <w:top w:val="single" w:sz="6" w:space="1" w:color="auto"/>
      </w:pBdr>
      <w:spacing w:after="0" w:line="240" w:lineRule="auto"/>
      <w:jc w:val="center"/>
    </w:pPr>
    <w:rPr>
      <w:rFonts w:ascii="Arial" w:eastAsia="Times New Roman" w:hAnsi="Arial" w:cs="Arial"/>
      <w:vanish/>
      <w:kern w:val="0"/>
      <w:sz w:val="16"/>
      <w:szCs w:val="16"/>
      <w:lang w:val="de-DE" w:eastAsia="de-DE"/>
    </w:rPr>
  </w:style>
  <w:style w:type="character" w:customStyle="1" w:styleId="z-BottomofFormChar">
    <w:name w:val="z-Bottom of Form Char"/>
    <w:basedOn w:val="DefaultParagraphFont"/>
    <w:link w:val="z-BottomofForm"/>
    <w:uiPriority w:val="99"/>
    <w:semiHidden/>
    <w:rsid w:val="006976D7"/>
    <w:rPr>
      <w:rFonts w:ascii="Arial" w:eastAsia="Times New Roman" w:hAnsi="Arial" w:cs="Arial"/>
      <w:vanish/>
      <w:kern w:val="0"/>
      <w:sz w:val="16"/>
      <w:szCs w:val="16"/>
      <w:lang w:val="de-DE" w:eastAsia="de-DE"/>
    </w:rPr>
  </w:style>
  <w:style w:type="paragraph" w:styleId="HTMLPreformatted">
    <w:name w:val="HTML Preformatted"/>
    <w:basedOn w:val="Normal"/>
    <w:link w:val="HTMLPreformattedChar"/>
    <w:uiPriority w:val="99"/>
    <w:semiHidden/>
    <w:unhideWhenUsed/>
    <w:rsid w:val="006976D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976D7"/>
    <w:rPr>
      <w:rFonts w:ascii="Consolas" w:hAnsi="Consolas"/>
      <w:sz w:val="20"/>
      <w:szCs w:val="20"/>
    </w:rPr>
  </w:style>
  <w:style w:type="paragraph" w:customStyle="1" w:styleId="Languesfaisantfoi">
    <w:name w:val="Langues faisant foi"/>
    <w:basedOn w:val="Normal"/>
    <w:next w:val="Normal"/>
    <w:rsid w:val="006976D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6976D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6976D7"/>
    <w:pPr>
      <w:spacing w:after="0"/>
    </w:pPr>
  </w:style>
  <w:style w:type="paragraph" w:customStyle="1" w:styleId="IntrtEEEPagedecouverture">
    <w:name w:val="Intérêt EEE (Page de couverture)"/>
    <w:basedOn w:val="IntrtEEE"/>
    <w:next w:val="Normal"/>
    <w:rsid w:val="006976D7"/>
  </w:style>
  <w:style w:type="character" w:customStyle="1" w:styleId="Mention">
    <w:name w:val="Mention"/>
    <w:basedOn w:val="DefaultParagraphFont"/>
    <w:uiPriority w:val="99"/>
    <w:unhideWhenUsed/>
    <w:rsid w:val="006976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bischkek.diplo.de/kg-de/2505466-2505466" TargetMode="External"/><Relationship Id="rId13" Type="http://schemas.openxmlformats.org/officeDocument/2006/relationships/hyperlink" Target="https://www.pam.fi/en/seasonalworker/" TargetMode="External"/><Relationship Id="rId3" Type="http://schemas.openxmlformats.org/officeDocument/2006/relationships/hyperlink" Target="https://europeannewsroom.com/money-maker-or-scourge-tourism-across-the-eu-flourishes/" TargetMode="External"/><Relationship Id="rId7" Type="http://schemas.openxmlformats.org/officeDocument/2006/relationships/hyperlink" Target="https://ec.europa.eu/eurostat/databrowser/bookmark/72928398-f6f2-400b-b9a8-c19be3e63eb4?lang=en&amp;createdAt=2026-03-17T06:35:21Z" TargetMode="External"/><Relationship Id="rId12" Type="http://schemas.openxmlformats.org/officeDocument/2006/relationships/hyperlink" Target="https://www.icmpd.org/our-work/projects/seasonal-and-fair-employment-blueprints-safe" TargetMode="External"/><Relationship Id="rId2" Type="http://schemas.openxmlformats.org/officeDocument/2006/relationships/hyperlink" Target="https://ec.europa.eu/eurostat/statistics-explained/index.php?title=Tourism_statistics_-_expenditure" TargetMode="External"/><Relationship Id="rId16" Type="http://schemas.openxmlformats.org/officeDocument/2006/relationships/hyperlink" Target="https://integrazionemigranti.gov.it/it-it/Ricerca-news/Dettaglio-news/id/2571/PNRR-200-milioni-a-37-Comuni-per-superare-gli-insediamenti-informali" TargetMode="External"/><Relationship Id="rId1" Type="http://schemas.openxmlformats.org/officeDocument/2006/relationships/hyperlink" Target="https://ec.europa.eu/eurostat/statistics-explained/index.php?title=Performance_of_the_agricultural_sector" TargetMode="External"/><Relationship Id="rId6" Type="http://schemas.openxmlformats.org/officeDocument/2006/relationships/hyperlink" Target="https://www.ela.europa.eu/sites/default/files/2022-03/Information%20note%20on%20seasonal%20workers.pdf" TargetMode="External"/><Relationship Id="rId11" Type="http://schemas.openxmlformats.org/officeDocument/2006/relationships/hyperlink" Target="https://ec.europa.eu/commission/presscorner/detail/it/statement_26_224" TargetMode="External"/><Relationship Id="rId5" Type="http://schemas.openxmlformats.org/officeDocument/2006/relationships/hyperlink" Target="https://ec.europa.eu/eurostat/documents/7870049/22311228/KS-01-25-027-EN-N.pdf/d9c6397c-8c5a-1aeb-c7ce-7f07d2ae9cf5?version=1.0&amp;t=1759755461592" TargetMode="External"/><Relationship Id="rId15" Type="http://schemas.openxmlformats.org/officeDocument/2006/relationships/hyperlink" Target="https://pninclusione21-27.lavoro.gov.it/programma/priorita" TargetMode="External"/><Relationship Id="rId10" Type="http://schemas.openxmlformats.org/officeDocument/2006/relationships/hyperlink" Target="https://home-affairs.ec.europa.eu/policies/migration-and-asylum/legal-migration-and-resettlement/talent-partnerships_en" TargetMode="External"/><Relationship Id="rId4" Type="http://schemas.openxmlformats.org/officeDocument/2006/relationships/hyperlink" Target="https://ec.europa.eu/eurostat/statistics-explained/index.php?title=Tourism_industries_-_employment" TargetMode="External"/><Relationship Id="rId9" Type="http://schemas.openxmlformats.org/officeDocument/2006/relationships/hyperlink" Target="https://www.migrationsverket.se/om-migrationsverket/migrationsverket-svarar/2025/2025-04-02-vad-gor-migrationsverket-for-att-motverka-missbruk-och-brott.html?utm_source=chatgpt.com" TargetMode="External"/><Relationship Id="rId14" Type="http://schemas.openxmlformats.org/officeDocument/2006/relationships/hyperlink" Target="https://www.integrazionemigranti.gov.it/AnteprimaPDF.aspx?id=78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f659ec-8fe1-4a92-bf8c-a2c690253614"/>
    <lcf76f155ced4ddcb4097134ff3c332f xmlns="0220d199-1883-45bd-877c-911a5caedb78">
      <Terms xmlns="http://schemas.microsoft.com/office/infopath/2007/PartnerControls"/>
    </lcf76f155ced4ddcb4097134ff3c332f>
    <Topic xmlns="0220d199-1883-45bd-877c-911a5caedb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16" ma:contentTypeDescription="Create a new document." ma:contentTypeScope="" ma:versionID="5204330c0333531b34fdcc5916d6cb1b">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4c1509a08860937afba74eea07ab978e"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Topic"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opic" ma:index="21" nillable="true" ma:displayName="Topic" ma:format="Dropdown" ma:internalName="Topic">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07f447f-a667-47e0-b765-8b655ed2f3a6}" ma:internalName="TaxCatchAll" ma:showField="CatchAllData" ma:web="25f659ec-8fe1-4a92-bf8c-a2c69025361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902FB-CD37-4F7F-BD96-7FC57DFFCAA4}">
  <ds:schemaRefs>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25f659ec-8fe1-4a92-bf8c-a2c690253614"/>
    <ds:schemaRef ds:uri="0220d199-1883-45bd-877c-911a5caedb78"/>
  </ds:schemaRefs>
</ds:datastoreItem>
</file>

<file path=customXml/itemProps2.xml><?xml version="1.0" encoding="utf-8"?>
<ds:datastoreItem xmlns:ds="http://schemas.openxmlformats.org/officeDocument/2006/customXml" ds:itemID="{2653EEDA-856C-4514-BB2B-177701D02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E25516-B13A-45DF-B65C-D1863739CD31}">
  <ds:schemaRefs>
    <ds:schemaRef ds:uri="http://schemas.microsoft.com/sharepoint/v3/contenttype/forms"/>
  </ds:schemaRefs>
</ds:datastoreItem>
</file>

<file path=customXml/itemProps4.xml><?xml version="1.0" encoding="utf-8"?>
<ds:datastoreItem xmlns:ds="http://schemas.openxmlformats.org/officeDocument/2006/customXml" ds:itemID="{C6FA5035-AAEC-423C-A073-40E2B3F82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7427</Words>
  <Characters>42336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2026-05-04T06:45:00Z</dcterms:created>
  <dcterms:modified xsi:type="dcterms:W3CDTF">2026-05-06T07:08:00Z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2026-03-23T13:32:54Z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1027df96-f63e-4a07-b3dd-496095f8307f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0x0101001EF5110FB1CEE74294A4AD2C62020E74</vt:lpwstr>
  </property>
  <property fmtid="{D5CDD505-2E9C-101B-9397-08002B2CF9AE}" pid="18" name="MediaServiceImageTags">
    <vt:lpwstr/>
  </property>
</Properties>
</file>