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30" w:rsidRPr="00460961" w:rsidRDefault="002562B3" w:rsidP="002562B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5E448CC-8F4E-43C6-A3D6-D5DC003B1AF1" style="width:455.25pt;height:426.75pt">
            <v:imagedata r:id="rId8" o:title=""/>
          </v:shape>
        </w:pict>
      </w:r>
    </w:p>
    <w:p w:rsidR="00112030" w:rsidRPr="00460961" w:rsidRDefault="00112030" w:rsidP="00112030">
      <w:pPr>
        <w:rPr>
          <w:noProof/>
        </w:rPr>
        <w:sectPr w:rsidR="00112030" w:rsidRPr="00460961" w:rsidSect="002562B3">
          <w:footerReference w:type="even" r:id="rId9"/>
          <w:footerReference w:type="default" r:id="rId10"/>
          <w:pgSz w:w="11907" w:h="16839"/>
          <w:pgMar w:top="1134" w:right="1417" w:bottom="1134" w:left="1417" w:header="709" w:footer="709" w:gutter="0"/>
          <w:pgNumType w:start="0"/>
          <w:cols w:space="720"/>
          <w:docGrid w:linePitch="360"/>
        </w:sectPr>
      </w:pPr>
    </w:p>
    <w:p w:rsidR="00112030" w:rsidRPr="00460961" w:rsidRDefault="00112030" w:rsidP="00BB6B30">
      <w:pPr>
        <w:pStyle w:val="Exposdesmotifstitre"/>
        <w:rPr>
          <w:noProof/>
        </w:rPr>
      </w:pPr>
      <w:bookmarkStart w:id="0" w:name="_GoBack"/>
      <w:bookmarkEnd w:id="0"/>
      <w:r w:rsidRPr="00460961">
        <w:rPr>
          <w:noProof/>
        </w:rPr>
        <w:lastRenderedPageBreak/>
        <w:t>EXPUNERE DE MOTIVE</w:t>
      </w:r>
    </w:p>
    <w:p w:rsidR="00112030" w:rsidRPr="00460961" w:rsidRDefault="00112030" w:rsidP="00BB7C00">
      <w:pPr>
        <w:pStyle w:val="Heading"/>
        <w:numPr>
          <w:ilvl w:val="0"/>
          <w:numId w:val="1"/>
        </w:numPr>
        <w:rPr>
          <w:noProof/>
          <w:lang w:val="ro-RO"/>
        </w:rPr>
      </w:pPr>
      <w:r w:rsidRPr="00460961">
        <w:rPr>
          <w:noProof/>
          <w:lang w:val="ro-RO"/>
        </w:rPr>
        <w:t>Obiectul propunerii</w:t>
      </w:r>
    </w:p>
    <w:p w:rsidR="00112030" w:rsidRPr="00460961" w:rsidRDefault="00112030" w:rsidP="00112030">
      <w:pPr>
        <w:pStyle w:val="Body"/>
        <w:rPr>
          <w:noProof/>
          <w:lang w:val="ro-RO"/>
        </w:rPr>
      </w:pPr>
      <w:r w:rsidRPr="00460961">
        <w:rPr>
          <w:noProof/>
          <w:lang w:val="ro-RO"/>
        </w:rPr>
        <w:t>Prezenta propunere se referă la decizia de stabilire a poziției care urmează să fie luată în numele Uniunii Europene în cadrul Comitetului mixt al SEE în legătură cu adoptarea preconizată a deciziei Comitetului mixt referitoare la modificarea Protocolului 31 privind cooperarea în domenii specifice în afara celor patru libertăți anexat la Acordul privind SEE</w:t>
      </w:r>
    </w:p>
    <w:p w:rsidR="00112030" w:rsidRPr="00460961" w:rsidRDefault="00112030" w:rsidP="00BB7C00">
      <w:pPr>
        <w:pStyle w:val="Heading"/>
        <w:numPr>
          <w:ilvl w:val="0"/>
          <w:numId w:val="1"/>
        </w:numPr>
        <w:rPr>
          <w:noProof/>
          <w:lang w:val="ro-RO"/>
        </w:rPr>
      </w:pPr>
      <w:r w:rsidRPr="00460961">
        <w:rPr>
          <w:noProof/>
          <w:lang w:val="ro-RO"/>
        </w:rPr>
        <w:t>Contextul propunerii</w:t>
      </w:r>
    </w:p>
    <w:p w:rsidR="00112030" w:rsidRPr="00460961" w:rsidRDefault="00112030" w:rsidP="00BB7C00">
      <w:pPr>
        <w:pStyle w:val="ManualHeading2"/>
        <w:pBdr>
          <w:top w:val="nil"/>
          <w:left w:val="nil"/>
          <w:bottom w:val="nil"/>
          <w:right w:val="nil"/>
          <w:between w:val="nil"/>
          <w:bar w:val="nil"/>
        </w:pBdr>
        <w:rPr>
          <w:noProof/>
        </w:rPr>
      </w:pPr>
      <w:r>
        <w:rPr>
          <w:noProof/>
        </w:rPr>
        <w:t>1.1.</w:t>
      </w:r>
      <w:r>
        <w:rPr>
          <w:noProof/>
        </w:rPr>
        <w:tab/>
      </w:r>
      <w:r w:rsidRPr="00460961">
        <w:rPr>
          <w:noProof/>
        </w:rPr>
        <w:t>Acordul privind SEE</w:t>
      </w:r>
    </w:p>
    <w:p w:rsidR="00112030" w:rsidRPr="00460961" w:rsidRDefault="00112030" w:rsidP="00112030">
      <w:pPr>
        <w:pStyle w:val="Body"/>
        <w:rPr>
          <w:noProof/>
          <w:lang w:val="ro-RO"/>
        </w:rPr>
      </w:pPr>
      <w:r w:rsidRPr="00460961">
        <w:rPr>
          <w:noProof/>
          <w:lang w:val="ro-RO"/>
        </w:rPr>
        <w:t>Acordul privind Spațiul Economic European („</w:t>
      </w:r>
      <w:r w:rsidRPr="00460961">
        <w:rPr>
          <w:i/>
          <w:noProof/>
          <w:lang w:val="ro-RO"/>
        </w:rPr>
        <w:t>Acordul privind SEE</w:t>
      </w:r>
      <w:r w:rsidRPr="00460961">
        <w:rPr>
          <w:noProof/>
          <w:lang w:val="ro-RO"/>
        </w:rPr>
        <w:t>”) garantează drepturi și obligații egale în cadrul pieței interne pentru cetățenii și operatorii economici din SEE. Acordul prevede includerea legislației UE din domeniul celor patru libertăți în toate cele 30</w:t>
      </w:r>
      <w:r w:rsidR="00460961">
        <w:rPr>
          <w:noProof/>
          <w:lang w:val="ro-RO"/>
        </w:rPr>
        <w:t> </w:t>
      </w:r>
      <w:r w:rsidRPr="00460961">
        <w:rPr>
          <w:noProof/>
          <w:lang w:val="ro-RO"/>
        </w:rPr>
        <w:t>de state SEE, care cuprind statele membre ale UE, Norvegia, Islanda și Liechtenstein. În plus, Acordul privind SEE reglementează cooperarea și în alte domenii importante, cum ar fi cercetarea și dezvoltarea, educația, politica socială, mediul, protecția consumatorilor, turismul și cultura, denumite colectiv „</w:t>
      </w:r>
      <w:r w:rsidRPr="00460961">
        <w:rPr>
          <w:i/>
          <w:noProof/>
          <w:lang w:val="ro-RO"/>
        </w:rPr>
        <w:t>politici de sprijin și orizontale</w:t>
      </w:r>
      <w:r w:rsidRPr="00460961">
        <w:rPr>
          <w:noProof/>
          <w:lang w:val="ro-RO"/>
        </w:rPr>
        <w:t>”. Acordul privind SEE a intrat în vigoare la 1 ianuarie 1994. Uniunea, împreună cu statele sale membre, este parte la Acordul privind SEE.</w:t>
      </w:r>
    </w:p>
    <w:p w:rsidR="00112030" w:rsidRPr="00460961" w:rsidRDefault="00112030" w:rsidP="00BB7C00">
      <w:pPr>
        <w:pStyle w:val="ManualHeading2"/>
        <w:pBdr>
          <w:top w:val="nil"/>
          <w:left w:val="nil"/>
          <w:bottom w:val="nil"/>
          <w:right w:val="nil"/>
          <w:between w:val="nil"/>
          <w:bar w:val="nil"/>
        </w:pBdr>
        <w:rPr>
          <w:noProof/>
        </w:rPr>
      </w:pPr>
      <w:r>
        <w:rPr>
          <w:noProof/>
        </w:rPr>
        <w:t>1.2.</w:t>
      </w:r>
      <w:r>
        <w:rPr>
          <w:noProof/>
        </w:rPr>
        <w:tab/>
      </w:r>
      <w:r w:rsidRPr="00460961">
        <w:rPr>
          <w:noProof/>
        </w:rPr>
        <w:t>Comitetul mixt al SEE</w:t>
      </w:r>
    </w:p>
    <w:p w:rsidR="00112030" w:rsidRPr="00460961" w:rsidRDefault="00112030" w:rsidP="00112030">
      <w:pPr>
        <w:pStyle w:val="Body"/>
        <w:rPr>
          <w:noProof/>
          <w:lang w:val="ro-RO"/>
        </w:rPr>
      </w:pPr>
      <w:r w:rsidRPr="00460961">
        <w:rPr>
          <w:noProof/>
          <w:lang w:val="ro-RO"/>
        </w:rPr>
        <w:t>Comitetul mixt al SEE este responsabil cu gestionarea Acordului privind SEE. Comitetul mixt este un forum pentru schimbul de opinii cu privire la funcționarea Acordului privind SEE. Deciziile sale sunt luate prin consens și sunt obligatorii pentru părți. În cazul UE, responsabilitatea pentru coordonarea aspectelor legate de SEE revine Secretariatului General al Comisiei Europene. </w:t>
      </w:r>
    </w:p>
    <w:p w:rsidR="00112030" w:rsidRPr="00460961" w:rsidRDefault="00112030" w:rsidP="00BB7C00">
      <w:pPr>
        <w:pStyle w:val="ManualHeading2"/>
        <w:pBdr>
          <w:top w:val="nil"/>
          <w:left w:val="nil"/>
          <w:bottom w:val="nil"/>
          <w:right w:val="nil"/>
          <w:between w:val="nil"/>
          <w:bar w:val="nil"/>
        </w:pBdr>
        <w:rPr>
          <w:noProof/>
        </w:rPr>
      </w:pPr>
      <w:r>
        <w:rPr>
          <w:noProof/>
        </w:rPr>
        <w:t>1.3.</w:t>
      </w:r>
      <w:r>
        <w:rPr>
          <w:noProof/>
        </w:rPr>
        <w:tab/>
      </w:r>
      <w:r w:rsidRPr="00460961">
        <w:rPr>
          <w:noProof/>
        </w:rPr>
        <w:t>Actul avut în vedere spre adoptare de către Comitetul mixt al SEE</w:t>
      </w:r>
    </w:p>
    <w:p w:rsidR="00112030" w:rsidRPr="00460961" w:rsidRDefault="00112030" w:rsidP="00112030">
      <w:pPr>
        <w:pStyle w:val="Body"/>
        <w:rPr>
          <w:noProof/>
          <w:lang w:val="ro-RO"/>
        </w:rPr>
      </w:pPr>
      <w:r w:rsidRPr="00460961">
        <w:rPr>
          <w:noProof/>
          <w:lang w:val="ro-RO"/>
        </w:rPr>
        <w:t>Comitetul mixt al SEE urmează să adopte Decizia Comitetului mixt al SEE („actul avut în vedere”) referitoare la modificarea Protocolului 31 privind cooperarea în domenii specifice în afara celor patru libertăți anexat la Acordul privind SEE.</w:t>
      </w:r>
    </w:p>
    <w:p w:rsidR="00112030" w:rsidRPr="00460961" w:rsidRDefault="00112030" w:rsidP="00112030">
      <w:pPr>
        <w:pStyle w:val="Body"/>
        <w:rPr>
          <w:noProof/>
          <w:lang w:val="ro-RO"/>
        </w:rPr>
      </w:pPr>
      <w:r w:rsidRPr="00460961">
        <w:rPr>
          <w:noProof/>
          <w:lang w:val="ro-RO"/>
        </w:rPr>
        <w:t>Scopul actului avut în vedere este de a extinde cooperarea dintre părțile contractante la Acordul privind SEE pentru a include Regulamentul (UE) 2025/2643 de stabilire a Programului privind industria europeană de apărare și a unui cadru de măsuri care să asigure disponibilitatea și aprovizionarea în timp util cu produse din domeniul apărării</w:t>
      </w:r>
      <w:r w:rsidRPr="00460961">
        <w:rPr>
          <w:rStyle w:val="FootnoteReference"/>
          <w:noProof/>
          <w:lang w:val="ro-RO"/>
        </w:rPr>
        <w:footnoteReference w:id="1"/>
      </w:r>
      <w:r w:rsidRPr="00460961">
        <w:rPr>
          <w:noProof/>
          <w:lang w:val="ro-RO"/>
        </w:rPr>
        <w:t xml:space="preserve">. </w:t>
      </w:r>
    </w:p>
    <w:p w:rsidR="00F13A47" w:rsidRPr="00460961" w:rsidRDefault="00F13A47" w:rsidP="00F13A47">
      <w:pPr>
        <w:pStyle w:val="Body"/>
        <w:rPr>
          <w:noProof/>
          <w:color w:val="auto"/>
          <w:lang w:val="ro-RO"/>
        </w:rPr>
      </w:pPr>
      <w:r w:rsidRPr="00460961">
        <w:rPr>
          <w:noProof/>
          <w:color w:val="auto"/>
          <w:lang w:val="ro-RO"/>
        </w:rPr>
        <w:t xml:space="preserve">Islanda și Principatul Liechtenstein sunt exceptate de la participarea și de la contribuția financiară la acest instrument. </w:t>
      </w:r>
    </w:p>
    <w:p w:rsidR="00F13A47" w:rsidRPr="00460961" w:rsidRDefault="00F13A47" w:rsidP="00F13A47">
      <w:pPr>
        <w:pStyle w:val="Body"/>
        <w:rPr>
          <w:rFonts w:eastAsia="Arial Unicode MS" w:cs="Arial Unicode MS"/>
          <w:noProof/>
          <w:lang w:val="ro-RO"/>
        </w:rPr>
      </w:pPr>
      <w:bookmarkStart w:id="1" w:name="_Hlk154059888"/>
      <w:r w:rsidRPr="00460961">
        <w:rPr>
          <w:noProof/>
          <w:color w:val="auto"/>
          <w:lang w:val="ro-RO"/>
        </w:rPr>
        <w:t>Actul avut în vedere este o expresie a cooperării foarte strânse dintre Norvegia și Uniunea Europeană în contextul geopolitic actual.</w:t>
      </w:r>
    </w:p>
    <w:bookmarkEnd w:id="1"/>
    <w:p w:rsidR="00F13A47" w:rsidRPr="00460961" w:rsidRDefault="00F13A47" w:rsidP="00F13A47">
      <w:pPr>
        <w:pStyle w:val="Normal1"/>
        <w:shd w:val="clear" w:color="auto" w:fill="FFFFFF"/>
        <w:spacing w:before="0" w:beforeAutospacing="0" w:after="0" w:afterAutospacing="0"/>
        <w:jc w:val="both"/>
        <w:textAlignment w:val="baseline"/>
        <w:rPr>
          <w:noProof/>
          <w:color w:val="000000"/>
          <w:bdr w:val="none" w:sz="0" w:space="0" w:color="auto" w:frame="1"/>
        </w:rPr>
      </w:pPr>
      <w:r w:rsidRPr="00460961">
        <w:rPr>
          <w:noProof/>
          <w:color w:val="000000"/>
          <w:bdr w:val="none" w:sz="0" w:space="0" w:color="auto" w:frame="1"/>
        </w:rPr>
        <w:t xml:space="preserve">În concordanță cu politica bugetară a UE, participarea la o activitate a UE poate avea loc numai după achitarea contribuției financiare corespunzătoare. Cu toate acestea, plata poate fi efectuată după adoptarea proiectului de decizie a Consiliului și după transmiterea către statele </w:t>
      </w:r>
      <w:r w:rsidRPr="00460961">
        <w:rPr>
          <w:noProof/>
          <w:color w:val="000000"/>
          <w:bdr w:val="none" w:sz="0" w:space="0" w:color="auto" w:frame="1"/>
        </w:rPr>
        <w:lastRenderedPageBreak/>
        <w:t xml:space="preserve">AELS care fac parte din SEE a cererii de fonduri din partea UE, lansată de Comisia Europeană. </w:t>
      </w:r>
    </w:p>
    <w:p w:rsidR="00F13A47" w:rsidRPr="00460961" w:rsidRDefault="00F13A47" w:rsidP="00F13A47">
      <w:pPr>
        <w:pStyle w:val="Normal1"/>
        <w:shd w:val="clear" w:color="auto" w:fill="FFFFFF"/>
        <w:spacing w:before="0" w:beforeAutospacing="0" w:after="0" w:afterAutospacing="0"/>
        <w:jc w:val="both"/>
        <w:textAlignment w:val="baseline"/>
        <w:rPr>
          <w:noProof/>
          <w:color w:val="000000"/>
          <w:bdr w:val="none" w:sz="0" w:space="0" w:color="auto" w:frame="1"/>
        </w:rPr>
      </w:pPr>
    </w:p>
    <w:p w:rsidR="00F13A47" w:rsidRPr="00460961" w:rsidRDefault="00F13A47" w:rsidP="00F13A47">
      <w:pPr>
        <w:pStyle w:val="Normal1"/>
        <w:shd w:val="clear" w:color="auto" w:fill="FFFFFF"/>
        <w:spacing w:before="0" w:beforeAutospacing="0" w:after="0" w:afterAutospacing="0"/>
        <w:jc w:val="both"/>
        <w:textAlignment w:val="baseline"/>
        <w:rPr>
          <w:noProof/>
          <w:color w:val="000000"/>
          <w:bdr w:val="none" w:sz="0" w:space="0" w:color="auto" w:frame="1"/>
        </w:rPr>
      </w:pPr>
      <w:r w:rsidRPr="00460961">
        <w:rPr>
          <w:noProof/>
          <w:color w:val="000000"/>
          <w:bdr w:val="none" w:sz="0" w:space="0" w:color="auto" w:frame="1"/>
        </w:rPr>
        <w:t xml:space="preserve">Prin urmare, pentru a acoperi perioada cuprinsă între 1 ianuarie 2026 și primirea acestei plăți, actul avut în vedere ar trebui să se aplice și retroactiv, începând cu 1 ianuarie 2026. </w:t>
      </w:r>
      <w:r w:rsidRPr="00460961">
        <w:rPr>
          <w:noProof/>
          <w:color w:val="222222"/>
          <w:shd w:val="clear" w:color="auto" w:fill="FFFFFF"/>
        </w:rPr>
        <w:t>Retroactivitatea nu aduce atingere drepturilor și obligațiilor persoanelor vizate și respectă principiul încrederii legitime.</w:t>
      </w:r>
    </w:p>
    <w:p w:rsidR="00AB72F8" w:rsidRPr="00460961" w:rsidRDefault="00AB72F8" w:rsidP="00F13A47">
      <w:pPr>
        <w:pStyle w:val="Body"/>
        <w:rPr>
          <w:rFonts w:eastAsia="Arial Unicode MS" w:cs="Arial Unicode MS"/>
          <w:noProof/>
          <w:lang w:val="ro-RO"/>
        </w:rPr>
      </w:pPr>
      <w:r w:rsidRPr="00460961">
        <w:rPr>
          <w:noProof/>
          <w:lang w:val="ro-RO"/>
        </w:rPr>
        <w:t xml:space="preserve">Actul avut în vedere va deveni obligatoriu pentru părți în conformitate cu articolele 103 și 104 din Acordul privind SEE. </w:t>
      </w:r>
    </w:p>
    <w:p w:rsidR="00AB72F8" w:rsidRPr="00460961" w:rsidRDefault="00AB72F8" w:rsidP="00112030">
      <w:pPr>
        <w:pStyle w:val="Body"/>
        <w:rPr>
          <w:noProof/>
          <w:lang w:val="ro-RO"/>
        </w:rPr>
      </w:pPr>
    </w:p>
    <w:p w:rsidR="00112030" w:rsidRPr="00460961" w:rsidRDefault="00112030" w:rsidP="00BB7C00">
      <w:pPr>
        <w:pStyle w:val="Heading"/>
        <w:numPr>
          <w:ilvl w:val="0"/>
          <w:numId w:val="1"/>
        </w:numPr>
        <w:rPr>
          <w:noProof/>
          <w:lang w:val="ro-RO"/>
        </w:rPr>
      </w:pPr>
      <w:r w:rsidRPr="00460961">
        <w:rPr>
          <w:noProof/>
          <w:lang w:val="ro-RO"/>
        </w:rPr>
        <w:t>Poziția care urmează să fie adoptată în numele Uniunii</w:t>
      </w:r>
    </w:p>
    <w:p w:rsidR="00112030" w:rsidRPr="00460961" w:rsidRDefault="00112030" w:rsidP="00215B5D">
      <w:pPr>
        <w:pStyle w:val="Body"/>
        <w:rPr>
          <w:noProof/>
          <w:lang w:val="ro-RO"/>
        </w:rPr>
      </w:pPr>
      <w:r w:rsidRPr="00460961">
        <w:rPr>
          <w:noProof/>
          <w:lang w:val="ro-RO"/>
        </w:rPr>
        <w:t>Comisia prezintă proiectul atașat de decizie a Comitetului mixt al SEE în vederea adoptării de către Consiliu ca poziție a Uniunii. Odată adoptată, poziția ar trebui să fie prezentată în cel mai scurt timp în cadrul Comitetului mixt al SEE.</w:t>
      </w:r>
    </w:p>
    <w:p w:rsidR="00112030" w:rsidRPr="00460961" w:rsidRDefault="00112030" w:rsidP="00215B5D">
      <w:pPr>
        <w:pStyle w:val="Body"/>
        <w:rPr>
          <w:noProof/>
          <w:lang w:val="ro-RO"/>
        </w:rPr>
      </w:pPr>
      <w:r w:rsidRPr="00460961">
        <w:rPr>
          <w:noProof/>
          <w:lang w:val="ro-RO"/>
        </w:rPr>
        <w:t>Proiectul de decizie a Comitetului mixt al SEE anexat introduce drepturi de participare pentru statele AELS care fac parte din SEE la activitățile care decurg din Regulamentul (UE) 2025/2643 de stabilire a Programului privind industria europeană de apărare și a unui cadru de măsuri care să asigure disponibilitatea și aprovizionarea în timp util cu produse din domeniul apărării. Acestea nu pot fi considerate simple adaptări tehnice în sensul Regulamentului (CE) nr. 2894/94 al Consiliului</w:t>
      </w:r>
      <w:r w:rsidRPr="00460961">
        <w:rPr>
          <w:rStyle w:val="FootnoteReference"/>
          <w:rFonts w:eastAsia="Arial Unicode MS" w:cs="Arial Unicode MS"/>
          <w:noProof/>
          <w:lang w:val="ro-RO"/>
        </w:rPr>
        <w:footnoteReference w:id="2"/>
      </w:r>
      <w:r w:rsidRPr="00460961">
        <w:rPr>
          <w:noProof/>
          <w:lang w:val="ro-RO"/>
        </w:rPr>
        <w:t>. Prin urmare, poziția Uniunii trebuie stabilită de Consiliu.</w:t>
      </w:r>
    </w:p>
    <w:p w:rsidR="00112030" w:rsidRPr="00460961" w:rsidRDefault="00112030" w:rsidP="00215B5D">
      <w:pPr>
        <w:pStyle w:val="Body"/>
        <w:rPr>
          <w:i/>
          <w:iCs/>
          <w:noProof/>
          <w:lang w:val="ro-RO"/>
        </w:rPr>
      </w:pPr>
      <w:r w:rsidRPr="00460961">
        <w:rPr>
          <w:noProof/>
          <w:lang w:val="ro-RO"/>
        </w:rPr>
        <w:t>Proiectul de decizie a Comitetului mixt al SEE anexat conține, de asemenea, următoarele adaptări principale pentru statele AELS care fac parte din SEE.</w:t>
      </w:r>
    </w:p>
    <w:p w:rsidR="003B0AF5" w:rsidRPr="00460961" w:rsidRDefault="003B0AF5" w:rsidP="00215B5D">
      <w:pPr>
        <w:pStyle w:val="Body"/>
        <w:rPr>
          <w:rFonts w:asciiTheme="minorHAnsi" w:hAnsiTheme="minorHAnsi" w:cstheme="minorHAnsi"/>
          <w:noProof/>
          <w:lang w:val="ro-RO"/>
        </w:rPr>
      </w:pPr>
      <w:r w:rsidRPr="00460961">
        <w:rPr>
          <w:noProof/>
          <w:lang w:val="ro-RO"/>
        </w:rPr>
        <w:t>În cadrul sistemului instituit prin decizia Comitetului mixt, în urma încorporării Regulamentului EDIP în Acordul privind SEE, competența Comisiei de a adopta decizii referitoare la întreprinderile stabilite și/sau situate în statele AELS, în ceea ce privește impunerea de amenzi, îi revine Autorității AELS de Supraveghere în cadrul pilonului AELS [adaptările (ii) și (iii)].</w:t>
      </w:r>
    </w:p>
    <w:p w:rsidR="003B0AF5" w:rsidRPr="00460961" w:rsidRDefault="003B0AF5" w:rsidP="00215B5D">
      <w:pPr>
        <w:pStyle w:val="Body"/>
        <w:rPr>
          <w:rFonts w:asciiTheme="minorHAnsi" w:hAnsiTheme="minorHAnsi" w:cstheme="minorHAnsi"/>
          <w:noProof/>
          <w:lang w:val="ro-RO"/>
        </w:rPr>
      </w:pPr>
      <w:r w:rsidRPr="00460961">
        <w:rPr>
          <w:noProof/>
          <w:lang w:val="ro-RO"/>
        </w:rPr>
        <w:t>Comisia are competența de a lua astfel de măsuri obligatorii numai în ceea ce privește întreprinderile stabilite în afara statelor AELS, în timp ce, pentru persoanele juridice stabilite și/sau situate în statele AELS, competența de a exercita aceleași competențe este conferită Autorității AELS de Supraveghere.</w:t>
      </w:r>
    </w:p>
    <w:p w:rsidR="003B0AF5" w:rsidRPr="00460961" w:rsidRDefault="003B0AF5" w:rsidP="00215B5D">
      <w:pPr>
        <w:pStyle w:val="Body"/>
        <w:rPr>
          <w:rFonts w:asciiTheme="minorHAnsi" w:hAnsiTheme="minorHAnsi" w:cstheme="minorHAnsi"/>
          <w:noProof/>
          <w:lang w:val="ro-RO"/>
        </w:rPr>
      </w:pPr>
      <w:r w:rsidRPr="00460961">
        <w:rPr>
          <w:noProof/>
          <w:lang w:val="ro-RO"/>
        </w:rPr>
        <w:t xml:space="preserve">Comisia poate elabora un proiect de decizie pentru Autoritatea AELS de Supraveghere atunci când se consideră necesară impunerea de amenzi întreprinderilor stabilite și/sau situate în statele AELS. </w:t>
      </w:r>
    </w:p>
    <w:p w:rsidR="003B0AF5" w:rsidRPr="00460961" w:rsidRDefault="003B0AF5" w:rsidP="00215B5D">
      <w:pPr>
        <w:pStyle w:val="Body"/>
        <w:rPr>
          <w:rFonts w:asciiTheme="minorHAnsi" w:hAnsiTheme="minorHAnsi" w:cstheme="minorHAnsi"/>
          <w:noProof/>
          <w:lang w:val="ro-RO"/>
        </w:rPr>
      </w:pPr>
      <w:r w:rsidRPr="00460961">
        <w:rPr>
          <w:noProof/>
          <w:lang w:val="ro-RO"/>
        </w:rPr>
        <w:t>Deciziile Autorității AELS de Supraveghere pot fi atacate la Curtea de Justiție a AELS în temeiul articolului 36 din Acordul privind Autoritatea de Supraveghere și Curtea de Justiție. Curtea AELS are competența exclusivă de a examina legalitatea deciziilor Autorității AELS de Supraveghere [adaptarea (v)].</w:t>
      </w:r>
    </w:p>
    <w:p w:rsidR="00112030" w:rsidRPr="00460961" w:rsidRDefault="003B0AF5" w:rsidP="00215B5D">
      <w:pPr>
        <w:pStyle w:val="Body"/>
        <w:rPr>
          <w:rFonts w:asciiTheme="minorHAnsi" w:hAnsiTheme="minorHAnsi" w:cstheme="minorHAnsi"/>
          <w:noProof/>
          <w:lang w:val="ro-RO"/>
        </w:rPr>
      </w:pPr>
      <w:r w:rsidRPr="00460961">
        <w:rPr>
          <w:noProof/>
          <w:lang w:val="ro-RO"/>
        </w:rPr>
        <w:t xml:space="preserve">Alocarea cuantumurilor amenzilor colectate în statele AELS de către Autoritatea AELS de Supraveghere se stabilește de către statele AELS [adaptarea (iv)]. Acest lucru rezultă din </w:t>
      </w:r>
      <w:r w:rsidRPr="00460961">
        <w:rPr>
          <w:noProof/>
          <w:lang w:val="ro-RO"/>
        </w:rPr>
        <w:lastRenderedPageBreak/>
        <w:t>structura pe doi piloni a Acordului privind SEE și din practica îndelungată în materie de adaptări în ceea ce privește alocarea amenzilor.</w:t>
      </w:r>
    </w:p>
    <w:p w:rsidR="00F13A47" w:rsidRPr="00460961" w:rsidRDefault="00F13A47" w:rsidP="00F13A47">
      <w:pPr>
        <w:pStyle w:val="Body"/>
        <w:rPr>
          <w:rFonts w:eastAsia="Arial Unicode MS" w:cs="Arial Unicode MS"/>
          <w:noProof/>
          <w:lang w:val="ro-RO"/>
        </w:rPr>
      </w:pPr>
      <w:r w:rsidRPr="00460961">
        <w:rPr>
          <w:noProof/>
          <w:lang w:val="ro-RO"/>
        </w:rPr>
        <w:t>De asemenea, statele AELS care fac parte din SEE ar trebui să contribuie financiar la activitățile menționate mai sus. Islanda și Principatul Liechtenstein sunt exceptate de la participarea și de la contribuția financiară la acest instrument.</w:t>
      </w:r>
    </w:p>
    <w:p w:rsidR="007339F2" w:rsidRPr="00460961" w:rsidRDefault="007339F2" w:rsidP="00112030">
      <w:pPr>
        <w:pStyle w:val="Body"/>
        <w:rPr>
          <w:noProof/>
          <w:lang w:val="ro-RO"/>
        </w:rPr>
      </w:pPr>
    </w:p>
    <w:p w:rsidR="00112030" w:rsidRPr="00460961" w:rsidRDefault="00112030" w:rsidP="00BB7C00">
      <w:pPr>
        <w:pStyle w:val="Heading"/>
        <w:numPr>
          <w:ilvl w:val="0"/>
          <w:numId w:val="1"/>
        </w:numPr>
        <w:rPr>
          <w:noProof/>
          <w:lang w:val="ro-RO"/>
        </w:rPr>
      </w:pPr>
      <w:r w:rsidRPr="00460961">
        <w:rPr>
          <w:noProof/>
          <w:lang w:val="ro-RO"/>
        </w:rPr>
        <w:t>Temei juridic</w:t>
      </w:r>
    </w:p>
    <w:p w:rsidR="00112030" w:rsidRPr="00460961" w:rsidRDefault="00112030" w:rsidP="00BB7C00">
      <w:pPr>
        <w:pStyle w:val="ManualHeading2"/>
        <w:pBdr>
          <w:top w:val="nil"/>
          <w:left w:val="nil"/>
          <w:bottom w:val="nil"/>
          <w:right w:val="nil"/>
          <w:between w:val="nil"/>
          <w:bar w:val="nil"/>
        </w:pBdr>
        <w:rPr>
          <w:noProof/>
        </w:rPr>
      </w:pPr>
      <w:r>
        <w:rPr>
          <w:noProof/>
        </w:rPr>
        <w:t>1.4.</w:t>
      </w:r>
      <w:r>
        <w:rPr>
          <w:noProof/>
        </w:rPr>
        <w:tab/>
      </w:r>
      <w:r w:rsidRPr="00460961">
        <w:rPr>
          <w:noProof/>
        </w:rPr>
        <w:t>Temeiul juridic procedural</w:t>
      </w:r>
    </w:p>
    <w:p w:rsidR="00112030" w:rsidRPr="00460961" w:rsidRDefault="00112030" w:rsidP="00BB7C00">
      <w:pPr>
        <w:pStyle w:val="ManualHeading3"/>
        <w:pBdr>
          <w:top w:val="nil"/>
          <w:left w:val="nil"/>
          <w:bottom w:val="nil"/>
          <w:right w:val="nil"/>
          <w:between w:val="nil"/>
          <w:bar w:val="nil"/>
        </w:pBdr>
        <w:rPr>
          <w:noProof/>
        </w:rPr>
      </w:pPr>
      <w:r>
        <w:rPr>
          <w:noProof/>
        </w:rPr>
        <w:t>1.4.1.</w:t>
      </w:r>
      <w:r>
        <w:rPr>
          <w:noProof/>
        </w:rPr>
        <w:tab/>
      </w:r>
      <w:r w:rsidRPr="00460961">
        <w:rPr>
          <w:noProof/>
        </w:rPr>
        <w:t>Principii</w:t>
      </w:r>
    </w:p>
    <w:p w:rsidR="00112030" w:rsidRPr="00460961" w:rsidRDefault="00112030" w:rsidP="00112030">
      <w:pPr>
        <w:pStyle w:val="Body"/>
        <w:rPr>
          <w:noProof/>
          <w:lang w:val="ro-RO"/>
        </w:rPr>
      </w:pPr>
      <w:r w:rsidRPr="00460961">
        <w:rPr>
          <w:noProof/>
          <w:lang w:val="ro-RO"/>
        </w:rPr>
        <w:t xml:space="preserve">Articolul 218 alineatul (9) din Tratatul privind funcționarea Uniunii Europene (TFUE) prevede posibilitatea adoptării unor decizii de stabilire a </w:t>
      </w:r>
      <w:r w:rsidRPr="00460961">
        <w:rPr>
          <w:i/>
          <w:noProof/>
          <w:lang w:val="ro-RO"/>
        </w:rPr>
        <w:t>„pozițiilor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460961">
        <w:rPr>
          <w:noProof/>
          <w:lang w:val="ro-RO"/>
        </w:rPr>
        <w:t>.</w:t>
      </w:r>
    </w:p>
    <w:p w:rsidR="00112030" w:rsidRPr="00460961" w:rsidRDefault="00112030" w:rsidP="00112030">
      <w:pPr>
        <w:pStyle w:val="Body"/>
        <w:rPr>
          <w:noProof/>
          <w:lang w:val="ro-RO"/>
        </w:rPr>
      </w:pPr>
      <w:r w:rsidRPr="00460961">
        <w:rPr>
          <w:noProof/>
          <w:lang w:val="ro-RO"/>
        </w:rPr>
        <w:t>Conceptul de „</w:t>
      </w:r>
      <w:r w:rsidRPr="00460961">
        <w:rPr>
          <w:i/>
          <w:iCs/>
          <w:noProof/>
          <w:lang w:val="ro-RO"/>
        </w:rPr>
        <w:t>acte cu efecte juridice</w:t>
      </w:r>
      <w:r w:rsidRPr="00460961">
        <w:rPr>
          <w:noProof/>
          <w:lang w:val="ro-RO"/>
        </w:rPr>
        <w:t xml:space="preserve">” include actele care au efecte juridice în temeiul normelor de drept internațional aplicabile organismului în cauză. Sunt, de asemenea, incluse instrumente care nu au un caracter obligatoriu în temeiul dreptului internațional, dar care </w:t>
      </w:r>
      <w:r w:rsidRPr="00460961">
        <w:rPr>
          <w:i/>
          <w:noProof/>
          <w:lang w:val="ro-RO"/>
        </w:rPr>
        <w:t>„au vocația de a influența în mod decisiv conținutul reglementării adoptate de legiuitorul Uniunii”</w:t>
      </w:r>
      <w:r w:rsidRPr="00460961">
        <w:rPr>
          <w:rStyle w:val="FootnoteReference"/>
          <w:noProof/>
          <w:lang w:val="ro-RO"/>
        </w:rPr>
        <w:footnoteReference w:id="3"/>
      </w:r>
      <w:r w:rsidRPr="00460961">
        <w:rPr>
          <w:noProof/>
          <w:lang w:val="ro-RO"/>
        </w:rPr>
        <w:t>.</w:t>
      </w:r>
    </w:p>
    <w:p w:rsidR="00112030" w:rsidRPr="00460961" w:rsidRDefault="00112030" w:rsidP="00BB7C00">
      <w:pPr>
        <w:pStyle w:val="ManualHeading3"/>
        <w:pBdr>
          <w:top w:val="nil"/>
          <w:left w:val="nil"/>
          <w:bottom w:val="nil"/>
          <w:right w:val="nil"/>
          <w:between w:val="nil"/>
          <w:bar w:val="nil"/>
        </w:pBdr>
        <w:rPr>
          <w:noProof/>
        </w:rPr>
      </w:pPr>
      <w:r>
        <w:rPr>
          <w:noProof/>
        </w:rPr>
        <w:t>1.4.2.</w:t>
      </w:r>
      <w:r>
        <w:rPr>
          <w:noProof/>
        </w:rPr>
        <w:tab/>
      </w:r>
      <w:r w:rsidRPr="00460961">
        <w:rPr>
          <w:noProof/>
        </w:rPr>
        <w:t>Aplicarea la cazul în discuție</w:t>
      </w:r>
    </w:p>
    <w:p w:rsidR="00112030" w:rsidRPr="00460961" w:rsidRDefault="00112030" w:rsidP="00112030">
      <w:pPr>
        <w:pStyle w:val="Body"/>
        <w:rPr>
          <w:noProof/>
          <w:lang w:val="ro-RO"/>
        </w:rPr>
      </w:pPr>
      <w:r w:rsidRPr="00460961">
        <w:rPr>
          <w:noProof/>
          <w:lang w:val="ro-RO"/>
        </w:rPr>
        <w:t xml:space="preserve">Comitetul mixt al SEE este un organism creat printr-un acord, și anume Acordul privind SEE. Actul pe care Comitetul mixt al SEE este invitat să îl adopte este un act cu efecte juridice. Actul avut în vedere va avea caracter obligatoriu în temeiul dreptului internațional, în conformitate cu articolele 103 și 104 din Acordul privind SEE. </w:t>
      </w:r>
    </w:p>
    <w:p w:rsidR="00112030" w:rsidRPr="00460961" w:rsidRDefault="00112030" w:rsidP="00112030">
      <w:pPr>
        <w:pStyle w:val="Body"/>
        <w:rPr>
          <w:noProof/>
          <w:lang w:val="ro-RO"/>
        </w:rPr>
      </w:pPr>
      <w:r w:rsidRPr="00460961">
        <w:rPr>
          <w:noProof/>
          <w:lang w:val="ro-RO"/>
        </w:rPr>
        <w:t>Actul avut în vedere nu aduce completări sau modificări cadrului instituțional al acordului. Prin urmare, temeiul juridic procedural al deciziei propuse este articolul 218 alineatul (9) din TFUE, coroborat cu articolul 1 alineatul (3) din Regulamentul (CE) nr. 2894/94 al Consiliului.</w:t>
      </w:r>
    </w:p>
    <w:p w:rsidR="00112030" w:rsidRPr="00460961" w:rsidRDefault="00112030" w:rsidP="00BB7C00">
      <w:pPr>
        <w:pStyle w:val="ManualHeading2"/>
        <w:pBdr>
          <w:top w:val="nil"/>
          <w:left w:val="nil"/>
          <w:bottom w:val="nil"/>
          <w:right w:val="nil"/>
          <w:between w:val="nil"/>
          <w:bar w:val="nil"/>
        </w:pBdr>
        <w:rPr>
          <w:noProof/>
        </w:rPr>
      </w:pPr>
      <w:r>
        <w:rPr>
          <w:noProof/>
        </w:rPr>
        <w:t>1.5.</w:t>
      </w:r>
      <w:r>
        <w:rPr>
          <w:noProof/>
        </w:rPr>
        <w:tab/>
      </w:r>
      <w:r w:rsidRPr="00460961">
        <w:rPr>
          <w:noProof/>
        </w:rPr>
        <w:t>Temeiul juridic material</w:t>
      </w:r>
    </w:p>
    <w:p w:rsidR="00112030" w:rsidRPr="00460961" w:rsidRDefault="00112030" w:rsidP="00BB7C00">
      <w:pPr>
        <w:pStyle w:val="ManualHeading3"/>
        <w:pBdr>
          <w:top w:val="nil"/>
          <w:left w:val="nil"/>
          <w:bottom w:val="nil"/>
          <w:right w:val="nil"/>
          <w:between w:val="nil"/>
          <w:bar w:val="nil"/>
        </w:pBdr>
        <w:rPr>
          <w:noProof/>
        </w:rPr>
      </w:pPr>
      <w:r>
        <w:rPr>
          <w:noProof/>
        </w:rPr>
        <w:t>1.5.1.</w:t>
      </w:r>
      <w:r>
        <w:rPr>
          <w:noProof/>
        </w:rPr>
        <w:tab/>
      </w:r>
      <w:r w:rsidRPr="00460961">
        <w:rPr>
          <w:noProof/>
        </w:rPr>
        <w:t>Principii</w:t>
      </w:r>
    </w:p>
    <w:p w:rsidR="00112030" w:rsidRPr="00460961" w:rsidRDefault="00112030" w:rsidP="00112030">
      <w:pPr>
        <w:pStyle w:val="Body"/>
        <w:rPr>
          <w:noProof/>
          <w:lang w:val="ro-RO"/>
        </w:rPr>
      </w:pPr>
      <w:r w:rsidRPr="00460961">
        <w:rPr>
          <w:noProof/>
          <w:lang w:val="ro-RO"/>
        </w:rPr>
        <w:t xml:space="preserve">Temeiul juridic material al unei decizii adoptate în temeiul articolului 218 alineatul (9) din TFUE, coroborat cu articolul 1 alineatul (3) din Regulamentul (CE) nr. 2894/94 al Consiliului, depinde în primul rând de temeiul juridic material al actului juridic al UE care urmează să fie încorporat în Acordul privind SEE. </w:t>
      </w:r>
    </w:p>
    <w:p w:rsidR="00112030" w:rsidRPr="00460961" w:rsidRDefault="00112030" w:rsidP="00112030">
      <w:pPr>
        <w:pStyle w:val="Body"/>
        <w:rPr>
          <w:noProof/>
          <w:lang w:val="ro-RO"/>
        </w:rPr>
      </w:pPr>
      <w:r w:rsidRPr="00460961">
        <w:rPr>
          <w:noProof/>
          <w:lang w:val="ro-RO"/>
        </w:rPr>
        <w:t>Dacă actul avut în vedere urmărește două obiective sau include două elemente, dintre care unul poate fi identificat ca fiind principal, iar celălalt ca având mai degrabă un caracter accesoriu, decizia adoptată în temeiul articolului 218 alineatul (9) din TFUE trebuie să se întemeieze pe un singur temei juridic material, respectiv cel impus de obiectivul sau de elementul principal sau predominant.</w:t>
      </w:r>
    </w:p>
    <w:p w:rsidR="00112030" w:rsidRPr="00460961" w:rsidRDefault="00112030" w:rsidP="00BB7C00">
      <w:pPr>
        <w:pStyle w:val="ManualHeading3"/>
        <w:pBdr>
          <w:top w:val="nil"/>
          <w:left w:val="nil"/>
          <w:bottom w:val="nil"/>
          <w:right w:val="nil"/>
          <w:between w:val="nil"/>
          <w:bar w:val="nil"/>
        </w:pBdr>
        <w:rPr>
          <w:noProof/>
        </w:rPr>
      </w:pPr>
      <w:r>
        <w:rPr>
          <w:noProof/>
        </w:rPr>
        <w:lastRenderedPageBreak/>
        <w:t>1.5.2.</w:t>
      </w:r>
      <w:r>
        <w:rPr>
          <w:noProof/>
        </w:rPr>
        <w:tab/>
      </w:r>
      <w:r w:rsidRPr="00460961">
        <w:rPr>
          <w:noProof/>
        </w:rPr>
        <w:t>Aplicarea la cazul în discuție</w:t>
      </w:r>
    </w:p>
    <w:p w:rsidR="00112030" w:rsidRPr="00460961" w:rsidRDefault="00112030" w:rsidP="00112030">
      <w:pPr>
        <w:pStyle w:val="Body"/>
        <w:rPr>
          <w:noProof/>
          <w:lang w:val="ro-RO"/>
        </w:rPr>
      </w:pPr>
      <w:r w:rsidRPr="00460961">
        <w:rPr>
          <w:noProof/>
          <w:lang w:val="ro-RO"/>
        </w:rPr>
        <w:t>Întrucât decizia Comitetului mixt extinde cooperarea dintre părțile contractante la Acordul privind SEE pentru a include Regulamentul (UE) 2025/2643 de stabilire a Programului privind industria europeană de apărare și a unui cadru de măsuri care să asigure disponibilitatea și aprovizionarea în timp util cu produse din domeniul apărării, este oportun ca prezenta decizie a Consiliului să se bazeze pe același temei juridic material ca actul Uniunii care face obiectul cooperării respective. Prin urmare, temeiul juridic material al deciziei propuse este articolul 114 alineatul (1), articolul 173 alineatul (3), articolul 212 alineatul (2) și articolul 322 alineatul (1) din TFUE.</w:t>
      </w:r>
    </w:p>
    <w:p w:rsidR="00112030" w:rsidRPr="00460961" w:rsidRDefault="00112030" w:rsidP="00BB7C00">
      <w:pPr>
        <w:pStyle w:val="ManualHeading2"/>
        <w:pBdr>
          <w:top w:val="nil"/>
          <w:left w:val="nil"/>
          <w:bottom w:val="nil"/>
          <w:right w:val="nil"/>
          <w:between w:val="nil"/>
          <w:bar w:val="nil"/>
        </w:pBdr>
        <w:rPr>
          <w:noProof/>
        </w:rPr>
      </w:pPr>
      <w:r>
        <w:rPr>
          <w:noProof/>
        </w:rPr>
        <w:t>1.6.</w:t>
      </w:r>
      <w:r>
        <w:rPr>
          <w:noProof/>
        </w:rPr>
        <w:tab/>
      </w:r>
      <w:r w:rsidRPr="00460961">
        <w:rPr>
          <w:noProof/>
        </w:rPr>
        <w:t>Concluzie</w:t>
      </w:r>
    </w:p>
    <w:p w:rsidR="00112030" w:rsidRPr="00460961" w:rsidRDefault="00112030" w:rsidP="00112030">
      <w:pPr>
        <w:pStyle w:val="Body"/>
        <w:rPr>
          <w:noProof/>
          <w:lang w:val="ro-RO"/>
        </w:rPr>
      </w:pPr>
      <w:r w:rsidRPr="00460961">
        <w:rPr>
          <w:noProof/>
          <w:lang w:val="ro-RO"/>
        </w:rPr>
        <w:t>Temeiul juridic al deciziei propuse ar trebui să fie articolul 114 alineatul (1), articolul 173 alineatul (3), articolul 212 alineatul (2) și articolul 322 alineatul (1) din TFUE, coroborate cu articolul 218 alineatul (9) din TFUE și cu articolul 1 alineatul (3) din Regulamentul (CE) nr. 2894/94 al Consiliului.</w:t>
      </w:r>
    </w:p>
    <w:p w:rsidR="00112030" w:rsidRPr="00460961" w:rsidRDefault="00112030" w:rsidP="00BB7C00">
      <w:pPr>
        <w:pStyle w:val="Heading"/>
        <w:numPr>
          <w:ilvl w:val="0"/>
          <w:numId w:val="1"/>
        </w:numPr>
        <w:rPr>
          <w:noProof/>
          <w:lang w:val="ro-RO"/>
        </w:rPr>
      </w:pPr>
      <w:r w:rsidRPr="00460961">
        <w:rPr>
          <w:noProof/>
          <w:lang w:val="ro-RO"/>
        </w:rPr>
        <w:t>Publicarea actului avut în vedere</w:t>
      </w:r>
    </w:p>
    <w:p w:rsidR="00112030" w:rsidRPr="00460961" w:rsidRDefault="00112030" w:rsidP="00112030">
      <w:pPr>
        <w:pStyle w:val="Body"/>
        <w:rPr>
          <w:noProof/>
          <w:lang w:val="ro-RO"/>
        </w:rPr>
      </w:pPr>
      <w:r w:rsidRPr="00460961">
        <w:rPr>
          <w:noProof/>
          <w:lang w:val="ro-RO"/>
        </w:rPr>
        <w:t xml:space="preserve">Întrucât actul Comitetului mixt al SEE va modifica Protocolul 31 la Acordul privind SEE privind cooperarea în domenii specifice în afara celor patru libertăți, este oportună publicarea acestuia, după adoptare, în </w:t>
      </w:r>
      <w:r w:rsidRPr="00460961">
        <w:rPr>
          <w:i/>
          <w:noProof/>
          <w:lang w:val="ro-RO"/>
        </w:rPr>
        <w:t>Jurnalul Oficial al Uniunii Europene</w:t>
      </w:r>
      <w:r w:rsidRPr="00460961">
        <w:rPr>
          <w:noProof/>
          <w:lang w:val="ro-RO"/>
        </w:rPr>
        <w:t>.</w:t>
      </w:r>
    </w:p>
    <w:p w:rsidR="00112030" w:rsidRPr="00460961" w:rsidRDefault="00112030" w:rsidP="00112030">
      <w:pPr>
        <w:pStyle w:val="ManualHeading1"/>
        <w:rPr>
          <w:i/>
          <w:iCs/>
          <w:noProof/>
        </w:rPr>
      </w:pPr>
    </w:p>
    <w:p w:rsidR="00112030" w:rsidRPr="00460961" w:rsidRDefault="00112030" w:rsidP="00112030">
      <w:pPr>
        <w:pStyle w:val="BodyText2"/>
        <w:jc w:val="both"/>
        <w:rPr>
          <w:i w:val="0"/>
          <w:iCs w:val="0"/>
          <w:noProof/>
        </w:rPr>
      </w:pPr>
    </w:p>
    <w:p w:rsidR="00112030" w:rsidRPr="00460961" w:rsidRDefault="00112030" w:rsidP="00112030">
      <w:pPr>
        <w:pStyle w:val="Body"/>
        <w:rPr>
          <w:noProof/>
          <w:lang w:val="ro-RO"/>
        </w:rPr>
        <w:sectPr w:rsidR="00112030" w:rsidRPr="00460961" w:rsidSect="002562B3">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rsidR="008F3398" w:rsidRDefault="00AE2300">
      <w:pPr>
        <w:pStyle w:val="Rfrenceinterinstitutionnelle"/>
        <w:rPr>
          <w:noProof/>
        </w:rPr>
      </w:pPr>
      <w:r>
        <w:rPr>
          <w:noProof/>
        </w:rPr>
        <w:lastRenderedPageBreak/>
        <w:t>2026/0135 (NLE)</w:t>
      </w:r>
    </w:p>
    <w:p w:rsidR="00112030" w:rsidRPr="00460961" w:rsidRDefault="00984338" w:rsidP="00984338">
      <w:pPr>
        <w:pStyle w:val="Statut"/>
        <w:rPr>
          <w:noProof/>
        </w:rPr>
      </w:pPr>
      <w:r w:rsidRPr="00460961">
        <w:rPr>
          <w:noProof/>
        </w:rPr>
        <w:t>Propunere de</w:t>
      </w:r>
    </w:p>
    <w:p w:rsidR="00112030" w:rsidRPr="00460961" w:rsidRDefault="00984338" w:rsidP="00984338">
      <w:pPr>
        <w:pStyle w:val="Typedudocument"/>
        <w:rPr>
          <w:noProof/>
        </w:rPr>
      </w:pPr>
      <w:r w:rsidRPr="00460961">
        <w:rPr>
          <w:noProof/>
        </w:rPr>
        <w:t>DECIZIE A CONSILIULUI</w:t>
      </w:r>
    </w:p>
    <w:p w:rsidR="00112030" w:rsidRPr="00460961" w:rsidRDefault="00984338" w:rsidP="00984338">
      <w:pPr>
        <w:pStyle w:val="Titreobjet"/>
        <w:rPr>
          <w:noProof/>
        </w:rPr>
      </w:pPr>
      <w:r w:rsidRPr="00460961">
        <w:rPr>
          <w:noProof/>
        </w:rPr>
        <w:t xml:space="preserve">privind poziția care urmează să fie luată în numele Uniunii Europene în cadrul Comitetului mixt al SEE cu privire la o modificare a Protocolului 31 privind cooperarea în domenii specifice în afara celor patru libertăți anexat la Acordul privind SEE </w:t>
      </w:r>
      <w:r w:rsidRPr="00460961">
        <w:rPr>
          <w:noProof/>
        </w:rPr>
        <w:br/>
        <w:t xml:space="preserve"> </w:t>
      </w:r>
      <w:r w:rsidRPr="00460961">
        <w:rPr>
          <w:noProof/>
        </w:rPr>
        <w:br/>
        <w:t xml:space="preserve">(Regulamentul privind EDIP) </w:t>
      </w:r>
      <w:r w:rsidRPr="00460961">
        <w:rPr>
          <w:noProof/>
        </w:rPr>
        <w:br/>
        <w:t xml:space="preserve"> </w:t>
      </w:r>
      <w:r w:rsidRPr="00460961">
        <w:rPr>
          <w:noProof/>
        </w:rPr>
        <w:br/>
      </w:r>
    </w:p>
    <w:p w:rsidR="00112030" w:rsidRPr="00460961" w:rsidRDefault="00984338" w:rsidP="00984338">
      <w:pPr>
        <w:pStyle w:val="IntrtEEE"/>
        <w:rPr>
          <w:noProof/>
        </w:rPr>
      </w:pPr>
      <w:r w:rsidRPr="00460961">
        <w:rPr>
          <w:noProof/>
        </w:rPr>
        <w:t>(Text cu relevanță pentru SEE)</w:t>
      </w:r>
    </w:p>
    <w:p w:rsidR="00112030" w:rsidRPr="00460961" w:rsidRDefault="00112030" w:rsidP="00112030">
      <w:pPr>
        <w:pStyle w:val="Institutionquiagit"/>
        <w:rPr>
          <w:noProof/>
        </w:rPr>
      </w:pPr>
      <w:r w:rsidRPr="00460961">
        <w:rPr>
          <w:noProof/>
        </w:rPr>
        <w:t>CONSILIUL UNIUNII EUROPENE,</w:t>
      </w:r>
    </w:p>
    <w:p w:rsidR="00112030" w:rsidRPr="00460961" w:rsidRDefault="00112030" w:rsidP="00112030">
      <w:pPr>
        <w:rPr>
          <w:noProof/>
        </w:rPr>
      </w:pPr>
      <w:r w:rsidRPr="00460961">
        <w:rPr>
          <w:noProof/>
        </w:rPr>
        <w:t>având în vedere Tratatul privind funcționarea Uniunii Europene, în special articolul 114 alineatul (1), articolul 173 alineatul (3), articolul 212 alineatul (2) și articolul 322 alineatul</w:t>
      </w:r>
      <w:r w:rsidR="00460961">
        <w:rPr>
          <w:noProof/>
        </w:rPr>
        <w:t> </w:t>
      </w:r>
      <w:r w:rsidRPr="00460961">
        <w:rPr>
          <w:noProof/>
        </w:rPr>
        <w:t>(1), coroborate cu articolul 218 alineatul (9),</w:t>
      </w:r>
    </w:p>
    <w:p w:rsidR="00112030" w:rsidRPr="00460961" w:rsidRDefault="00112030" w:rsidP="00112030">
      <w:pPr>
        <w:rPr>
          <w:noProof/>
        </w:rPr>
      </w:pPr>
      <w:r w:rsidRPr="00460961">
        <w:rPr>
          <w:noProof/>
        </w:rPr>
        <w:t>având în vedere Regulamentul (CE) nr. 2894/94 al Consiliului din 28 noiembrie 1994 privind normele de punere în aplicare a Acordului privind Spațiul Economic European</w:t>
      </w:r>
      <w:r w:rsidRPr="00460961">
        <w:rPr>
          <w:rStyle w:val="FootnoteReference"/>
          <w:noProof/>
        </w:rPr>
        <w:footnoteReference w:id="4"/>
      </w:r>
      <w:r w:rsidRPr="00460961">
        <w:rPr>
          <w:noProof/>
        </w:rPr>
        <w:t>, în special articolul 1 alineatul (3),</w:t>
      </w:r>
    </w:p>
    <w:p w:rsidR="00112030" w:rsidRPr="00460961" w:rsidRDefault="00112030" w:rsidP="00112030">
      <w:pPr>
        <w:rPr>
          <w:noProof/>
        </w:rPr>
      </w:pPr>
      <w:r w:rsidRPr="00460961">
        <w:rPr>
          <w:noProof/>
        </w:rPr>
        <w:t>având în vedere propunerea Comisiei Europene,</w:t>
      </w:r>
    </w:p>
    <w:p w:rsidR="00112030" w:rsidRPr="00460961" w:rsidRDefault="00112030" w:rsidP="00112030">
      <w:pPr>
        <w:rPr>
          <w:noProof/>
        </w:rPr>
      </w:pPr>
      <w:r w:rsidRPr="00460961">
        <w:rPr>
          <w:noProof/>
        </w:rPr>
        <w:t>întrucât:</w:t>
      </w:r>
    </w:p>
    <w:p w:rsidR="00112030" w:rsidRPr="00460961" w:rsidRDefault="00112030" w:rsidP="00BB7C00">
      <w:pPr>
        <w:pStyle w:val="ManualConsidrant"/>
        <w:pBdr>
          <w:top w:val="nil"/>
          <w:left w:val="nil"/>
          <w:bottom w:val="nil"/>
          <w:right w:val="nil"/>
          <w:between w:val="nil"/>
          <w:bar w:val="nil"/>
        </w:pBdr>
        <w:tabs>
          <w:tab w:val="left" w:pos="709"/>
        </w:tabs>
        <w:rPr>
          <w:noProof/>
        </w:rPr>
      </w:pPr>
      <w:r>
        <w:rPr>
          <w:noProof/>
        </w:rPr>
        <w:t>(1)</w:t>
      </w:r>
      <w:r>
        <w:rPr>
          <w:noProof/>
        </w:rPr>
        <w:tab/>
      </w:r>
      <w:r w:rsidRPr="00460961">
        <w:rPr>
          <w:noProof/>
        </w:rPr>
        <w:t>Acordul privind Spațiul Economic European</w:t>
      </w:r>
      <w:r w:rsidRPr="00460961">
        <w:rPr>
          <w:rStyle w:val="FootnoteReference"/>
          <w:rFonts w:eastAsia="Times New Roman"/>
          <w:noProof/>
        </w:rPr>
        <w:footnoteReference w:id="5"/>
      </w:r>
      <w:r w:rsidRPr="00460961">
        <w:rPr>
          <w:noProof/>
        </w:rPr>
        <w:t xml:space="preserve"> („Acordul privind SEE”) a intrat în vigoare la 1 ianuarie 1994.</w:t>
      </w:r>
    </w:p>
    <w:p w:rsidR="006109A7" w:rsidRPr="00460961" w:rsidRDefault="00112030" w:rsidP="00BB7C00">
      <w:pPr>
        <w:pStyle w:val="ManualConsidrant"/>
        <w:pBdr>
          <w:top w:val="nil"/>
          <w:left w:val="nil"/>
          <w:bottom w:val="nil"/>
          <w:right w:val="nil"/>
          <w:between w:val="nil"/>
          <w:bar w:val="nil"/>
        </w:pBdr>
        <w:tabs>
          <w:tab w:val="left" w:pos="709"/>
        </w:tabs>
        <w:rPr>
          <w:noProof/>
        </w:rPr>
      </w:pPr>
      <w:r>
        <w:rPr>
          <w:noProof/>
        </w:rPr>
        <w:t>(2)</w:t>
      </w:r>
      <w:r>
        <w:rPr>
          <w:noProof/>
        </w:rPr>
        <w:tab/>
      </w:r>
      <w:r w:rsidRPr="00460961">
        <w:rPr>
          <w:noProof/>
        </w:rPr>
        <w:t>În temeiul articolului 98 din Acordul privind SEE, Comitetul mixt al SEE poate decide să modifice, printre altele, Protocolul 31 privind cooperarea în domenii specifice în afara celor patru libertăți anexat la Acordul privind SEE.</w:t>
      </w:r>
    </w:p>
    <w:p w:rsidR="00112030" w:rsidRPr="00460961" w:rsidRDefault="006109A7" w:rsidP="00BB7C00">
      <w:pPr>
        <w:pStyle w:val="ManualConsidrant"/>
        <w:pBdr>
          <w:top w:val="nil"/>
          <w:left w:val="nil"/>
          <w:bottom w:val="nil"/>
          <w:right w:val="nil"/>
          <w:between w:val="nil"/>
          <w:bar w:val="nil"/>
        </w:pBdr>
        <w:tabs>
          <w:tab w:val="left" w:pos="709"/>
        </w:tabs>
        <w:rPr>
          <w:noProof/>
        </w:rPr>
      </w:pPr>
      <w:r>
        <w:rPr>
          <w:noProof/>
        </w:rPr>
        <w:t>(3)</w:t>
      </w:r>
      <w:r>
        <w:rPr>
          <w:noProof/>
        </w:rPr>
        <w:tab/>
      </w:r>
      <w:r w:rsidRPr="00460961">
        <w:rPr>
          <w:noProof/>
        </w:rPr>
        <w:t>Este oportună extinderea cooperării dintre părțile contractante la Acordul privind SEE pentru a include Regulamentul (UE) 2025/2643 al Parlamentului European și al Consiliului</w:t>
      </w:r>
      <w:r w:rsidRPr="00460961">
        <w:rPr>
          <w:rStyle w:val="FootnoteReference"/>
          <w:rFonts w:eastAsia="Times New Roman"/>
          <w:noProof/>
        </w:rPr>
        <w:footnoteReference w:id="6"/>
      </w:r>
      <w:r w:rsidRPr="00460961">
        <w:rPr>
          <w:noProof/>
        </w:rPr>
        <w:t xml:space="preserve">. </w:t>
      </w:r>
    </w:p>
    <w:p w:rsidR="00112030" w:rsidRPr="00460961" w:rsidRDefault="008D78FB" w:rsidP="008D78FB">
      <w:pPr>
        <w:pStyle w:val="ManualConsidrant"/>
        <w:pBdr>
          <w:top w:val="nil"/>
          <w:left w:val="nil"/>
          <w:bottom w:val="nil"/>
          <w:right w:val="nil"/>
          <w:between w:val="nil"/>
          <w:bar w:val="nil"/>
        </w:pBdr>
        <w:tabs>
          <w:tab w:val="left" w:pos="709"/>
        </w:tabs>
        <w:rPr>
          <w:noProof/>
        </w:rPr>
      </w:pPr>
      <w:r>
        <w:rPr>
          <w:noProof/>
        </w:rPr>
        <w:t>(4)</w:t>
      </w:r>
      <w:r>
        <w:rPr>
          <w:noProof/>
        </w:rPr>
        <w:tab/>
      </w:r>
      <w:r w:rsidRPr="00460961">
        <w:rPr>
          <w:noProof/>
        </w:rPr>
        <w:t>Protocolul 31 la Acordul privind SEE ar trebui modificat în consecință, pentru a face posibilă această cooperare extinsă.</w:t>
      </w:r>
    </w:p>
    <w:p w:rsidR="00112030" w:rsidRPr="00460961" w:rsidRDefault="00112030" w:rsidP="00BB7C00">
      <w:pPr>
        <w:pStyle w:val="ManualConsidrant"/>
        <w:pBdr>
          <w:top w:val="nil"/>
          <w:left w:val="nil"/>
          <w:bottom w:val="nil"/>
          <w:right w:val="nil"/>
          <w:between w:val="nil"/>
          <w:bar w:val="nil"/>
        </w:pBdr>
        <w:tabs>
          <w:tab w:val="left" w:pos="709"/>
        </w:tabs>
        <w:rPr>
          <w:noProof/>
        </w:rPr>
      </w:pPr>
      <w:r>
        <w:rPr>
          <w:noProof/>
        </w:rPr>
        <w:t>(5)</w:t>
      </w:r>
      <w:r>
        <w:rPr>
          <w:noProof/>
        </w:rPr>
        <w:tab/>
      </w:r>
      <w:r w:rsidRPr="00460961">
        <w:rPr>
          <w:noProof/>
        </w:rPr>
        <w:t>Prin urmare, poziția Uniunii în cadrul Comitetului mixt al SEE ar trebui să se bazeze pe proiectul de decizie atașat,</w:t>
      </w:r>
    </w:p>
    <w:p w:rsidR="00112030" w:rsidRPr="00460961" w:rsidRDefault="00112030" w:rsidP="00112030">
      <w:pPr>
        <w:pStyle w:val="Formuledadoption"/>
        <w:rPr>
          <w:noProof/>
        </w:rPr>
      </w:pPr>
      <w:r w:rsidRPr="00460961">
        <w:rPr>
          <w:noProof/>
        </w:rPr>
        <w:lastRenderedPageBreak/>
        <w:t xml:space="preserve">ADOPTĂ PREZENTA DECIZIE: </w:t>
      </w:r>
    </w:p>
    <w:p w:rsidR="00112030" w:rsidRPr="00460961" w:rsidRDefault="00112030" w:rsidP="00112030">
      <w:pPr>
        <w:pStyle w:val="Titrearticle"/>
        <w:rPr>
          <w:noProof/>
        </w:rPr>
      </w:pPr>
      <w:r w:rsidRPr="00460961">
        <w:rPr>
          <w:noProof/>
        </w:rPr>
        <w:t>Articolul 1</w:t>
      </w:r>
    </w:p>
    <w:p w:rsidR="00112030" w:rsidRPr="00460961" w:rsidRDefault="00112030" w:rsidP="00112030">
      <w:pPr>
        <w:pStyle w:val="Body"/>
        <w:rPr>
          <w:noProof/>
          <w:lang w:val="ro-RO"/>
        </w:rPr>
      </w:pPr>
      <w:r w:rsidRPr="00460961">
        <w:rPr>
          <w:noProof/>
          <w:lang w:val="ro-RO"/>
        </w:rPr>
        <w:t>Poziția care urmează să fie luată în numele Uniunii în cadrul Comitetului mixt al SEE cu privire la propunerea de modificare a Protocolului 31 privind cooperarea în domenii specifice în afara celor patru libertăți anexat la Acordul privind SEE se bazează pe proiectul de decizie a Comitetului mixt al SEE atașat la prezenta decizie.</w:t>
      </w:r>
    </w:p>
    <w:p w:rsidR="00112030" w:rsidRPr="00460961" w:rsidRDefault="00112030" w:rsidP="00D959D6">
      <w:pPr>
        <w:pStyle w:val="Titrearticle"/>
        <w:rPr>
          <w:noProof/>
        </w:rPr>
      </w:pPr>
      <w:r w:rsidRPr="00460961">
        <w:rPr>
          <w:noProof/>
        </w:rPr>
        <w:t>Articolul 2</w:t>
      </w:r>
    </w:p>
    <w:p w:rsidR="00112030" w:rsidRPr="00460961" w:rsidRDefault="00112030" w:rsidP="00112030">
      <w:pPr>
        <w:pStyle w:val="Body"/>
        <w:keepLines/>
        <w:rPr>
          <w:noProof/>
          <w:lang w:val="ro-RO"/>
        </w:rPr>
      </w:pPr>
      <w:r w:rsidRPr="00460961">
        <w:rPr>
          <w:noProof/>
          <w:lang w:val="ro-RO"/>
        </w:rPr>
        <w:t>Prezenta decizie intră în vigoare la data adoptării.</w:t>
      </w:r>
    </w:p>
    <w:p w:rsidR="00112030" w:rsidRPr="00460961" w:rsidRDefault="00984338" w:rsidP="00D959D6">
      <w:pPr>
        <w:pStyle w:val="Fait"/>
        <w:rPr>
          <w:noProof/>
        </w:rPr>
      </w:pPr>
      <w:r>
        <w:rPr>
          <w:noProof/>
        </w:rPr>
        <w:t>Adoptată la Bruxelles,</w:t>
      </w:r>
    </w:p>
    <w:p w:rsidR="00112030" w:rsidRPr="00460961" w:rsidRDefault="00112030" w:rsidP="00D959D6">
      <w:pPr>
        <w:pStyle w:val="Institutionquisigne"/>
        <w:rPr>
          <w:noProof/>
        </w:rPr>
      </w:pPr>
      <w:r w:rsidRPr="00460961">
        <w:rPr>
          <w:noProof/>
        </w:rPr>
        <w:tab/>
        <w:t>Pentru Consiliu</w:t>
      </w:r>
    </w:p>
    <w:p w:rsidR="00112030" w:rsidRPr="00460961" w:rsidRDefault="00112030" w:rsidP="00112030">
      <w:pPr>
        <w:pStyle w:val="Personnequisigne"/>
        <w:rPr>
          <w:noProof/>
        </w:rPr>
      </w:pPr>
      <w:r w:rsidRPr="00460961">
        <w:rPr>
          <w:noProof/>
        </w:rPr>
        <w:tab/>
        <w:t>Președintele</w:t>
      </w:r>
    </w:p>
    <w:sectPr w:rsidR="00112030" w:rsidRPr="00460961" w:rsidSect="002562B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030" w:rsidRDefault="00112030" w:rsidP="00112030">
      <w:pPr>
        <w:spacing w:before="0" w:after="0"/>
      </w:pPr>
      <w:r>
        <w:separator/>
      </w:r>
    </w:p>
  </w:endnote>
  <w:endnote w:type="continuationSeparator" w:id="0">
    <w:p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2B3" w:rsidRPr="002562B3" w:rsidRDefault="002562B3" w:rsidP="002562B3">
    <w:pPr>
      <w:pStyle w:val="Footer"/>
      <w:rPr>
        <w:rFonts w:ascii="Arial" w:hAnsi="Arial" w:cs="Arial"/>
        <w:b/>
        <w:sz w:val="48"/>
      </w:rPr>
    </w:pPr>
    <w:r w:rsidRPr="002562B3">
      <w:rPr>
        <w:rFonts w:ascii="Arial" w:hAnsi="Arial" w:cs="Arial"/>
        <w:b/>
        <w:sz w:val="48"/>
      </w:rPr>
      <w:t>RO</w:t>
    </w:r>
    <w:r w:rsidRPr="002562B3">
      <w:rPr>
        <w:rFonts w:ascii="Arial" w:hAnsi="Arial" w:cs="Arial"/>
        <w:b/>
        <w:sz w:val="48"/>
      </w:rPr>
      <w:tab/>
    </w:r>
    <w:r w:rsidRPr="002562B3">
      <w:rPr>
        <w:rFonts w:ascii="Arial" w:hAnsi="Arial" w:cs="Arial"/>
        <w:b/>
        <w:sz w:val="48"/>
      </w:rPr>
      <w:tab/>
    </w:r>
    <w:r w:rsidRPr="002562B3">
      <w:tab/>
    </w:r>
    <w:r w:rsidRPr="002562B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2B3" w:rsidRPr="002562B3" w:rsidRDefault="002562B3" w:rsidP="002562B3">
    <w:pPr>
      <w:pStyle w:val="Footer"/>
      <w:rPr>
        <w:rFonts w:ascii="Arial" w:hAnsi="Arial" w:cs="Arial"/>
        <w:b/>
        <w:sz w:val="48"/>
      </w:rPr>
    </w:pPr>
    <w:r w:rsidRPr="002562B3">
      <w:rPr>
        <w:rFonts w:ascii="Arial" w:hAnsi="Arial" w:cs="Arial"/>
        <w:b/>
        <w:sz w:val="48"/>
      </w:rPr>
      <w:t>RO</w:t>
    </w:r>
    <w:r w:rsidRPr="002562B3">
      <w:rPr>
        <w:rFonts w:ascii="Arial" w:hAnsi="Arial" w:cs="Arial"/>
        <w:b/>
        <w:sz w:val="48"/>
      </w:rPr>
      <w:tab/>
    </w:r>
    <w:r w:rsidRPr="002562B3">
      <w:rPr>
        <w:rFonts w:ascii="Arial" w:hAnsi="Arial" w:cs="Arial"/>
        <w:b/>
        <w:sz w:val="48"/>
      </w:rPr>
      <w:tab/>
    </w:r>
    <w:r w:rsidRPr="002562B3">
      <w:tab/>
    </w:r>
    <w:r w:rsidRPr="002562B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2B3" w:rsidRDefault="002562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2B3" w:rsidRPr="002562B3" w:rsidRDefault="002562B3" w:rsidP="002562B3">
    <w:pPr>
      <w:pStyle w:val="Footer"/>
      <w:rPr>
        <w:rFonts w:ascii="Arial" w:hAnsi="Arial" w:cs="Arial"/>
        <w:b/>
        <w:sz w:val="48"/>
      </w:rPr>
    </w:pPr>
    <w:r w:rsidRPr="002562B3">
      <w:rPr>
        <w:rFonts w:ascii="Arial" w:hAnsi="Arial" w:cs="Arial"/>
        <w:b/>
        <w:sz w:val="48"/>
      </w:rPr>
      <w:t>RO</w:t>
    </w:r>
    <w:r w:rsidRPr="002562B3">
      <w:rPr>
        <w:rFonts w:ascii="Arial" w:hAnsi="Arial" w:cs="Arial"/>
        <w:b/>
        <w:sz w:val="48"/>
      </w:rPr>
      <w:tab/>
    </w:r>
    <w:r>
      <w:fldChar w:fldCharType="begin"/>
    </w:r>
    <w:r>
      <w:instrText xml:space="preserve"> PAGE  \* MERGEFORMAT </w:instrText>
    </w:r>
    <w:r>
      <w:fldChar w:fldCharType="separate"/>
    </w:r>
    <w:r w:rsidR="00D959D6">
      <w:rPr>
        <w:noProof/>
      </w:rPr>
      <w:t>6</w:t>
    </w:r>
    <w:r>
      <w:fldChar w:fldCharType="end"/>
    </w:r>
    <w:r>
      <w:tab/>
    </w:r>
    <w:r w:rsidRPr="002562B3">
      <w:tab/>
    </w:r>
    <w:r w:rsidRPr="002562B3">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2B3" w:rsidRDefault="002562B3" w:rsidP="002562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030" w:rsidRDefault="00112030" w:rsidP="00112030">
      <w:pPr>
        <w:spacing w:before="0" w:after="0"/>
      </w:pPr>
      <w:r>
        <w:separator/>
      </w:r>
    </w:p>
  </w:footnote>
  <w:footnote w:type="continuationSeparator" w:id="0">
    <w:p w:rsidR="00112030" w:rsidRDefault="00112030" w:rsidP="00112030">
      <w:pPr>
        <w:spacing w:before="0" w:after="0"/>
      </w:pPr>
      <w:r>
        <w:continuationSeparator/>
      </w:r>
    </w:p>
  </w:footnote>
  <w:footnote w:id="1">
    <w:p w:rsidR="00112030" w:rsidRPr="00F13A47" w:rsidRDefault="00112030" w:rsidP="00112030">
      <w:pPr>
        <w:pStyle w:val="FootnoteText"/>
      </w:pPr>
      <w:r>
        <w:rPr>
          <w:rStyle w:val="FootnoteReference"/>
        </w:rPr>
        <w:footnoteRef/>
      </w:r>
      <w:r>
        <w:tab/>
        <w:t xml:space="preserve">Regulamentul (UE) </w:t>
      </w:r>
      <w:r w:rsidRPr="00460961">
        <w:t>2025</w:t>
      </w:r>
      <w:r>
        <w:t>/</w:t>
      </w:r>
      <w:r w:rsidRPr="00460961">
        <w:t>2643</w:t>
      </w:r>
      <w:r>
        <w:t xml:space="preserve"> al Parlamentului European și al Consiliului din </w:t>
      </w:r>
      <w:r w:rsidRPr="00460961">
        <w:t>16</w:t>
      </w:r>
      <w:r>
        <w:t xml:space="preserve"> decembrie </w:t>
      </w:r>
      <w:r w:rsidRPr="00460961">
        <w:t>2025</w:t>
      </w:r>
      <w:r>
        <w:t xml:space="preserve"> de stabilire a Programului privind industria europeană de apărare și a unui cadru de măsuri care să asigure disponibilitatea și aprovizionarea în timp util cu produse din domeniul apărării, JO L, </w:t>
      </w:r>
      <w:r w:rsidRPr="00460961">
        <w:t>2025</w:t>
      </w:r>
      <w:r>
        <w:t>/</w:t>
      </w:r>
      <w:r w:rsidRPr="00460961">
        <w:t>2643</w:t>
      </w:r>
      <w:r>
        <w:t xml:space="preserve">, </w:t>
      </w:r>
      <w:r w:rsidRPr="00460961">
        <w:t>29</w:t>
      </w:r>
      <w:r>
        <w:t>.</w:t>
      </w:r>
      <w:r w:rsidRPr="00460961">
        <w:t>12</w:t>
      </w:r>
      <w:r>
        <w:t>.</w:t>
      </w:r>
      <w:r w:rsidRPr="00460961">
        <w:t>2025</w:t>
      </w:r>
      <w:r>
        <w:t xml:space="preserve">. </w:t>
      </w:r>
    </w:p>
  </w:footnote>
  <w:footnote w:id="2">
    <w:p w:rsidR="00977C02" w:rsidRPr="00977C02" w:rsidRDefault="00977C02">
      <w:pPr>
        <w:pStyle w:val="FootnoteText"/>
      </w:pPr>
      <w:r>
        <w:rPr>
          <w:rStyle w:val="FootnoteReference"/>
        </w:rPr>
        <w:footnoteRef/>
      </w:r>
      <w:r>
        <w:tab/>
        <w:t>Regulamentul (CE) nr. </w:t>
      </w:r>
      <w:r w:rsidRPr="00460961">
        <w:t>2894</w:t>
      </w:r>
      <w:r>
        <w:t>/</w:t>
      </w:r>
      <w:r w:rsidRPr="00460961">
        <w:t>94</w:t>
      </w:r>
      <w:r>
        <w:t xml:space="preserve"> al Consiliului din </w:t>
      </w:r>
      <w:r w:rsidRPr="00460961">
        <w:t>28</w:t>
      </w:r>
      <w:r>
        <w:t xml:space="preserve"> noiembrie </w:t>
      </w:r>
      <w:r w:rsidRPr="00460961">
        <w:t>1994</w:t>
      </w:r>
      <w:r>
        <w:t xml:space="preserve"> privind normele de punere în aplicare a Acordului privind Spațiul Economic European, JO L </w:t>
      </w:r>
      <w:r w:rsidRPr="00460961">
        <w:t>305</w:t>
      </w:r>
      <w:r>
        <w:t xml:space="preserve">, </w:t>
      </w:r>
      <w:r w:rsidRPr="00460961">
        <w:t>30</w:t>
      </w:r>
      <w:r>
        <w:t>.</w:t>
      </w:r>
      <w:r w:rsidRPr="00460961">
        <w:t>11</w:t>
      </w:r>
      <w:r>
        <w:t>.</w:t>
      </w:r>
      <w:r w:rsidRPr="00460961">
        <w:t>1994</w:t>
      </w:r>
      <w:r>
        <w:t xml:space="preserve">, p. </w:t>
      </w:r>
      <w:r w:rsidRPr="00460961">
        <w:t>6</w:t>
      </w:r>
      <w:r>
        <w:t>.</w:t>
      </w:r>
    </w:p>
  </w:footnote>
  <w:footnote w:id="3">
    <w:p w:rsidR="00112030" w:rsidRDefault="00112030" w:rsidP="00112030">
      <w:pPr>
        <w:pStyle w:val="FootnoteText"/>
      </w:pPr>
      <w:r>
        <w:rPr>
          <w:rStyle w:val="FootnoteReference"/>
        </w:rPr>
        <w:footnoteRef/>
      </w:r>
      <w:r>
        <w:tab/>
        <w:t xml:space="preserve">Hotărârea Curții de Justiție din </w:t>
      </w:r>
      <w:r w:rsidRPr="00460961">
        <w:t>7</w:t>
      </w:r>
      <w:r>
        <w:t xml:space="preserve"> octombrie </w:t>
      </w:r>
      <w:r w:rsidRPr="00460961">
        <w:t>2014</w:t>
      </w:r>
      <w:r>
        <w:t>, Germania/Consiliu, C-</w:t>
      </w:r>
      <w:r w:rsidRPr="00460961">
        <w:t>399</w:t>
      </w:r>
      <w:r>
        <w:t>/</w:t>
      </w:r>
      <w:r w:rsidRPr="00460961">
        <w:t>12</w:t>
      </w:r>
      <w:r>
        <w:t>, ECLI:EU:C:</w:t>
      </w:r>
      <w:r w:rsidRPr="00460961">
        <w:t>2014</w:t>
      </w:r>
      <w:r>
        <w:t>:</w:t>
      </w:r>
      <w:r w:rsidRPr="00460961">
        <w:t>2258</w:t>
      </w:r>
      <w:r>
        <w:t xml:space="preserve">, punctele </w:t>
      </w:r>
      <w:r w:rsidRPr="00460961">
        <w:t>61</w:t>
      </w:r>
      <w:r>
        <w:t>-</w:t>
      </w:r>
      <w:r w:rsidRPr="00460961">
        <w:t>64</w:t>
      </w:r>
      <w:r>
        <w:t xml:space="preserve">. </w:t>
      </w:r>
    </w:p>
  </w:footnote>
  <w:footnote w:id="4">
    <w:p w:rsidR="00112030" w:rsidRDefault="00112030" w:rsidP="00112030">
      <w:pPr>
        <w:pStyle w:val="FootnoteText"/>
      </w:pPr>
      <w:r>
        <w:rPr>
          <w:rStyle w:val="FootnoteReference"/>
        </w:rPr>
        <w:footnoteRef/>
      </w:r>
      <w:r>
        <w:tab/>
        <w:t xml:space="preserve">JO L </w:t>
      </w:r>
      <w:r w:rsidRPr="00460961">
        <w:t>305</w:t>
      </w:r>
      <w:r>
        <w:t xml:space="preserve">, </w:t>
      </w:r>
      <w:r w:rsidRPr="00460961">
        <w:t>30</w:t>
      </w:r>
      <w:r>
        <w:t>.</w:t>
      </w:r>
      <w:r w:rsidRPr="00460961">
        <w:t>11</w:t>
      </w:r>
      <w:r>
        <w:t>.</w:t>
      </w:r>
      <w:r w:rsidRPr="00460961">
        <w:t>1994</w:t>
      </w:r>
      <w:r>
        <w:t xml:space="preserve">, p. </w:t>
      </w:r>
      <w:r w:rsidRPr="00460961">
        <w:t>6</w:t>
      </w:r>
      <w:r>
        <w:t>.</w:t>
      </w:r>
    </w:p>
  </w:footnote>
  <w:footnote w:id="5">
    <w:p w:rsidR="00112030" w:rsidRDefault="00112030" w:rsidP="00112030">
      <w:pPr>
        <w:pStyle w:val="FootnoteText"/>
      </w:pPr>
      <w:r>
        <w:rPr>
          <w:rStyle w:val="FootnoteReference"/>
        </w:rPr>
        <w:footnoteRef/>
      </w:r>
      <w:r>
        <w:tab/>
        <w:t xml:space="preserve">JO L </w:t>
      </w:r>
      <w:r w:rsidRPr="00460961">
        <w:t>1</w:t>
      </w:r>
      <w:r>
        <w:t xml:space="preserve">, </w:t>
      </w:r>
      <w:r w:rsidRPr="00460961">
        <w:t>3</w:t>
      </w:r>
      <w:r>
        <w:t>.</w:t>
      </w:r>
      <w:r w:rsidRPr="00460961">
        <w:t>1</w:t>
      </w:r>
      <w:r>
        <w:t>.</w:t>
      </w:r>
      <w:r w:rsidRPr="00460961">
        <w:t>1994</w:t>
      </w:r>
      <w:r>
        <w:t xml:space="preserve">, p. </w:t>
      </w:r>
      <w:r w:rsidRPr="00460961">
        <w:t>3</w:t>
      </w:r>
      <w:r>
        <w:t>.</w:t>
      </w:r>
    </w:p>
  </w:footnote>
  <w:footnote w:id="6">
    <w:p w:rsidR="006109A7" w:rsidRPr="00F13A47" w:rsidRDefault="006109A7" w:rsidP="006109A7">
      <w:pPr>
        <w:pStyle w:val="FootnoteText"/>
      </w:pPr>
      <w:r>
        <w:rPr>
          <w:rStyle w:val="FootnoteReference"/>
        </w:rPr>
        <w:footnoteRef/>
      </w:r>
      <w:r>
        <w:tab/>
        <w:t xml:space="preserve">Regulamentul (UE) </w:t>
      </w:r>
      <w:r w:rsidRPr="00460961">
        <w:t>2025</w:t>
      </w:r>
      <w:r>
        <w:t>/</w:t>
      </w:r>
      <w:r w:rsidRPr="00460961">
        <w:t>2643</w:t>
      </w:r>
      <w:r>
        <w:t xml:space="preserve"> al Parlamentului European și al Consiliului din </w:t>
      </w:r>
      <w:r w:rsidRPr="00460961">
        <w:t>16</w:t>
      </w:r>
      <w:r>
        <w:t xml:space="preserve"> decembrie </w:t>
      </w:r>
      <w:r w:rsidRPr="00460961">
        <w:t>2025</w:t>
      </w:r>
      <w:r>
        <w:t xml:space="preserve"> de stabilire a Programului privind industria europeană de apărare și a unui cadru de măsuri care să asigure disponibilitatea și aprovizionarea în timp util cu produse din domeniul apărării, JO L, </w:t>
      </w:r>
      <w:r w:rsidRPr="00460961">
        <w:t>2025</w:t>
      </w:r>
      <w:r>
        <w:t>/</w:t>
      </w:r>
      <w:r w:rsidRPr="00460961">
        <w:t>2643</w:t>
      </w:r>
      <w:r>
        <w:t xml:space="preserve">, </w:t>
      </w:r>
      <w:r w:rsidRPr="00460961">
        <w:t>29</w:t>
      </w:r>
      <w:r>
        <w:t>.</w:t>
      </w:r>
      <w:r w:rsidRPr="00460961">
        <w:t>12</w:t>
      </w:r>
      <w:r>
        <w:t>.</w:t>
      </w:r>
      <w:r w:rsidRPr="00460961">
        <w:t>2025</w:t>
      </w:r>
      <w:r>
        <w:t xml:space="preserve">. </w:t>
      </w:r>
    </w:p>
    <w:p w:rsidR="006109A7" w:rsidRPr="00984338" w:rsidRDefault="006109A7" w:rsidP="006109A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2B3" w:rsidRDefault="002562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2B3" w:rsidRDefault="002562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ttachedTemplate r:id="rId1"/>
  <w:revisionView w:markup="0"/>
  <w:defaultTabStop w:val="720"/>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02 09:04: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5E448CC-8F4E-43C6-A3D6-D5DC003B1AF1"/>
    <w:docVar w:name="LW_COVERPAGE_TYPE" w:val="1"/>
    <w:docVar w:name="LW_CROSSREFERENCE" w:val="&lt;UNUSED&gt;"/>
    <w:docVar w:name="LW_DocType" w:val="COM"/>
    <w:docVar w:name="LW_EMISSION" w:val="2.6.2026"/>
    <w:docVar w:name="LW_EMISSION_ISODATE" w:val="2026-06-02"/>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35"/>
    <w:docVar w:name="LW_REF.II.NEW.CP_YEAR" w:val="2026"/>
    <w:docVar w:name="LW_REF.INST.NEW" w:val="COM"/>
    <w:docVar w:name="LW_REF.INST.NEW_ADOPTED" w:val="final"/>
    <w:docVar w:name="LW_REF.INST.NEW_TEXT" w:val="(2026) 26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luat\u259? în numele Uniunii Europene în cadrul Comitetului mixt al SEE cu privire la o modificare a Protocolului 31 privind cooperarea în domenii specifice în afara celor patru libert\u259?\u539?i anexat la Acordul privind SEE _x000b_ _x000b_(Regulamentul privind EDIP) _x000b_ _x000b_"/>
    <w:docVar w:name="LW_TYPE.DOC.CP" w:val="DECIZIE A CONSILIULUI"/>
    <w:docVar w:name="LwApiVersions" w:val="LW4CoDe 1.24.5.0; LW 9.2, Build 20251112"/>
  </w:docVars>
  <w:rsids>
    <w:rsidRoot w:val="00112030"/>
    <w:rsid w:val="00090B2C"/>
    <w:rsid w:val="00094ABF"/>
    <w:rsid w:val="000B73D8"/>
    <w:rsid w:val="000B7A7D"/>
    <w:rsid w:val="00112030"/>
    <w:rsid w:val="00152894"/>
    <w:rsid w:val="0015435A"/>
    <w:rsid w:val="00160597"/>
    <w:rsid w:val="001850B8"/>
    <w:rsid w:val="00192610"/>
    <w:rsid w:val="001A4404"/>
    <w:rsid w:val="001E698C"/>
    <w:rsid w:val="001F6357"/>
    <w:rsid w:val="00215B5D"/>
    <w:rsid w:val="002562B3"/>
    <w:rsid w:val="00273B9B"/>
    <w:rsid w:val="00274C59"/>
    <w:rsid w:val="00276F02"/>
    <w:rsid w:val="002937D6"/>
    <w:rsid w:val="002A0E72"/>
    <w:rsid w:val="002A3F52"/>
    <w:rsid w:val="002A6E86"/>
    <w:rsid w:val="002D312A"/>
    <w:rsid w:val="0030335B"/>
    <w:rsid w:val="00305D57"/>
    <w:rsid w:val="003307C0"/>
    <w:rsid w:val="00334239"/>
    <w:rsid w:val="003434E1"/>
    <w:rsid w:val="00396ACD"/>
    <w:rsid w:val="003B0AF5"/>
    <w:rsid w:val="003C1FA8"/>
    <w:rsid w:val="003E7CFC"/>
    <w:rsid w:val="004030B0"/>
    <w:rsid w:val="004040BB"/>
    <w:rsid w:val="00437AA5"/>
    <w:rsid w:val="00454287"/>
    <w:rsid w:val="00455A9C"/>
    <w:rsid w:val="00460961"/>
    <w:rsid w:val="00492396"/>
    <w:rsid w:val="00493AC2"/>
    <w:rsid w:val="004D16EE"/>
    <w:rsid w:val="004D312F"/>
    <w:rsid w:val="004E19F9"/>
    <w:rsid w:val="00500E9D"/>
    <w:rsid w:val="00513350"/>
    <w:rsid w:val="00517205"/>
    <w:rsid w:val="00542487"/>
    <w:rsid w:val="0058216B"/>
    <w:rsid w:val="00582810"/>
    <w:rsid w:val="00595540"/>
    <w:rsid w:val="005B5FA6"/>
    <w:rsid w:val="005B6744"/>
    <w:rsid w:val="006109A7"/>
    <w:rsid w:val="006260E0"/>
    <w:rsid w:val="00630C15"/>
    <w:rsid w:val="00637713"/>
    <w:rsid w:val="006605AF"/>
    <w:rsid w:val="006654AB"/>
    <w:rsid w:val="00693565"/>
    <w:rsid w:val="00697060"/>
    <w:rsid w:val="006A66EE"/>
    <w:rsid w:val="006F01B4"/>
    <w:rsid w:val="006F7EFE"/>
    <w:rsid w:val="0070711A"/>
    <w:rsid w:val="007339F2"/>
    <w:rsid w:val="00745EAD"/>
    <w:rsid w:val="0076196B"/>
    <w:rsid w:val="00776B98"/>
    <w:rsid w:val="0079095A"/>
    <w:rsid w:val="007A636C"/>
    <w:rsid w:val="007C7F02"/>
    <w:rsid w:val="007D0861"/>
    <w:rsid w:val="007E010B"/>
    <w:rsid w:val="00802FC2"/>
    <w:rsid w:val="00820F80"/>
    <w:rsid w:val="008C5D4F"/>
    <w:rsid w:val="008D1A8C"/>
    <w:rsid w:val="008D78FB"/>
    <w:rsid w:val="008E2694"/>
    <w:rsid w:val="008E4D26"/>
    <w:rsid w:val="008F3398"/>
    <w:rsid w:val="00906DC3"/>
    <w:rsid w:val="009134FD"/>
    <w:rsid w:val="00930575"/>
    <w:rsid w:val="00940731"/>
    <w:rsid w:val="00940E5A"/>
    <w:rsid w:val="00960A2F"/>
    <w:rsid w:val="00977C02"/>
    <w:rsid w:val="00984338"/>
    <w:rsid w:val="009957C5"/>
    <w:rsid w:val="00997D71"/>
    <w:rsid w:val="009E1FDF"/>
    <w:rsid w:val="00A32D68"/>
    <w:rsid w:val="00A54CC7"/>
    <w:rsid w:val="00A565C7"/>
    <w:rsid w:val="00AB72F8"/>
    <w:rsid w:val="00B311EF"/>
    <w:rsid w:val="00B842C6"/>
    <w:rsid w:val="00BB7C00"/>
    <w:rsid w:val="00BC0E33"/>
    <w:rsid w:val="00C23CF4"/>
    <w:rsid w:val="00C36BD0"/>
    <w:rsid w:val="00C3731F"/>
    <w:rsid w:val="00C51F04"/>
    <w:rsid w:val="00CA7DB2"/>
    <w:rsid w:val="00CB341E"/>
    <w:rsid w:val="00D26918"/>
    <w:rsid w:val="00D710DA"/>
    <w:rsid w:val="00D83F23"/>
    <w:rsid w:val="00D959D6"/>
    <w:rsid w:val="00D96B28"/>
    <w:rsid w:val="00DA4F00"/>
    <w:rsid w:val="00DB4B20"/>
    <w:rsid w:val="00DE03AE"/>
    <w:rsid w:val="00E07235"/>
    <w:rsid w:val="00E33C9F"/>
    <w:rsid w:val="00E37AB1"/>
    <w:rsid w:val="00E46776"/>
    <w:rsid w:val="00E51D95"/>
    <w:rsid w:val="00E944A8"/>
    <w:rsid w:val="00E979AB"/>
    <w:rsid w:val="00EB1A04"/>
    <w:rsid w:val="00EC39BC"/>
    <w:rsid w:val="00EE140B"/>
    <w:rsid w:val="00F044F0"/>
    <w:rsid w:val="00F05C40"/>
    <w:rsid w:val="00F13A47"/>
    <w:rsid w:val="00F403D3"/>
    <w:rsid w:val="00F67861"/>
    <w:rsid w:val="00F7391F"/>
    <w:rsid w:val="00FB439E"/>
    <w:rsid w:val="00FC2396"/>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977C02"/>
    <w:rPr>
      <w:vertAlign w:val="superscript"/>
    </w:rPr>
  </w:style>
  <w:style w:type="character" w:styleId="CommentReference">
    <w:name w:val="annotation reference"/>
    <w:basedOn w:val="DefaultParagraphFont"/>
    <w:uiPriority w:val="99"/>
    <w:semiHidden/>
    <w:unhideWhenUsed/>
    <w:rsid w:val="00776B98"/>
    <w:rPr>
      <w:sz w:val="16"/>
      <w:szCs w:val="16"/>
    </w:rPr>
  </w:style>
  <w:style w:type="paragraph" w:styleId="CommentText">
    <w:name w:val="annotation text"/>
    <w:basedOn w:val="Normal"/>
    <w:link w:val="CommentTextChar"/>
    <w:uiPriority w:val="99"/>
    <w:unhideWhenUsed/>
    <w:rsid w:val="00776B98"/>
    <w:rPr>
      <w:sz w:val="20"/>
      <w:szCs w:val="20"/>
    </w:rPr>
  </w:style>
  <w:style w:type="character" w:customStyle="1" w:styleId="CommentTextChar">
    <w:name w:val="Comment Text Char"/>
    <w:basedOn w:val="DefaultParagraphFont"/>
    <w:link w:val="CommentText"/>
    <w:uiPriority w:val="99"/>
    <w:rsid w:val="00776B9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776B98"/>
    <w:rPr>
      <w:b/>
      <w:bCs/>
    </w:rPr>
  </w:style>
  <w:style w:type="character" w:customStyle="1" w:styleId="CommentSubjectChar">
    <w:name w:val="Comment Subject Char"/>
    <w:basedOn w:val="CommentTextChar"/>
    <w:link w:val="CommentSubject"/>
    <w:uiPriority w:val="99"/>
    <w:semiHidden/>
    <w:rsid w:val="00776B98"/>
    <w:rPr>
      <w:rFonts w:ascii="Times New Roman" w:hAnsi="Times New Roman" w:cs="Times New Roman"/>
      <w:b/>
      <w:bCs/>
      <w:sz w:val="20"/>
      <w:szCs w:val="20"/>
      <w:lang w:val="ro-RO"/>
    </w:rPr>
  </w:style>
  <w:style w:type="paragraph" w:styleId="Revision">
    <w:name w:val="Revision"/>
    <w:hidden/>
    <w:uiPriority w:val="99"/>
    <w:semiHidden/>
    <w:rsid w:val="001850B8"/>
    <w:pPr>
      <w:spacing w:after="0" w:line="240" w:lineRule="auto"/>
    </w:pPr>
    <w:rPr>
      <w:rFonts w:ascii="Times New Roman" w:hAnsi="Times New Roman" w:cs="Times New Roman"/>
      <w:sz w:val="24"/>
    </w:rPr>
  </w:style>
  <w:style w:type="character" w:styleId="Hyperlink">
    <w:name w:val="Hyperlink"/>
    <w:basedOn w:val="DefaultParagraphFont"/>
    <w:uiPriority w:val="99"/>
    <w:unhideWhenUsed/>
    <w:rsid w:val="00F05C40"/>
    <w:rPr>
      <w:color w:val="0000FF" w:themeColor="hyperlink"/>
      <w:u w:val="single"/>
    </w:rPr>
  </w:style>
  <w:style w:type="character" w:customStyle="1" w:styleId="UnresolvedMention">
    <w:name w:val="Unresolved Mention"/>
    <w:basedOn w:val="DefaultParagraphFont"/>
    <w:uiPriority w:val="99"/>
    <w:semiHidden/>
    <w:unhideWhenUsed/>
    <w:rsid w:val="00F05C40"/>
    <w:rPr>
      <w:color w:val="605E5C"/>
      <w:shd w:val="clear" w:color="auto" w:fill="E1DFDD"/>
    </w:rPr>
  </w:style>
  <w:style w:type="character" w:customStyle="1" w:styleId="HeaderChar">
    <w:name w:val="Header Char"/>
    <w:basedOn w:val="DefaultParagraphFont"/>
    <w:link w:val="Header"/>
    <w:uiPriority w:val="99"/>
    <w:rsid w:val="002562B3"/>
    <w:rPr>
      <w:rFonts w:ascii="Times New Roman" w:hAnsi="Times New Roman" w:cs="Times New Roman"/>
      <w:sz w:val="24"/>
      <w:lang w:val="ro-RO"/>
    </w:rPr>
  </w:style>
  <w:style w:type="character" w:customStyle="1" w:styleId="FooterChar">
    <w:name w:val="Footer Char"/>
    <w:basedOn w:val="DefaultParagraphFont"/>
    <w:link w:val="Footer"/>
    <w:uiPriority w:val="99"/>
    <w:rsid w:val="002562B3"/>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562B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562B3"/>
    <w:pPr>
      <w:spacing w:before="0"/>
      <w:jc w:val="right"/>
    </w:pPr>
    <w:rPr>
      <w:sz w:val="28"/>
    </w:rPr>
  </w:style>
  <w:style w:type="paragraph" w:customStyle="1" w:styleId="FooterSensitivity">
    <w:name w:val="Footer Sensitivity"/>
    <w:basedOn w:val="Normal"/>
    <w:rsid w:val="002562B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562B3"/>
    <w:pPr>
      <w:tabs>
        <w:tab w:val="center" w:pos="4535"/>
        <w:tab w:val="right" w:pos="9071"/>
      </w:tabs>
      <w:spacing w:before="0"/>
    </w:pPr>
  </w:style>
  <w:style w:type="paragraph" w:customStyle="1" w:styleId="HeaderLandscape">
    <w:name w:val="HeaderLandscape"/>
    <w:basedOn w:val="Normal"/>
    <w:rsid w:val="002562B3"/>
    <w:pPr>
      <w:tabs>
        <w:tab w:val="center" w:pos="7285"/>
        <w:tab w:val="right" w:pos="14003"/>
      </w:tabs>
      <w:spacing w:before="0"/>
    </w:pPr>
  </w:style>
  <w:style w:type="paragraph" w:styleId="Footer">
    <w:name w:val="footer"/>
    <w:basedOn w:val="Normal"/>
    <w:link w:val="FooterChar"/>
    <w:uiPriority w:val="99"/>
    <w:unhideWhenUsed/>
    <w:rsid w:val="002562B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562B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4C46B-783E-44A7-B403-1F94F6959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23</TotalTime>
  <Pages>7</Pages>
  <Words>1772</Words>
  <Characters>10107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dcterms:created xsi:type="dcterms:W3CDTF">2026-05-07T14:48:00Z</dcterms:created>
  <dcterms:modified xsi:type="dcterms:W3CDTF">2026-06-02T07:04:00Z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