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5AC59" w14:textId="6E2BEB31" w:rsidR="00BF2871" w:rsidRPr="009347A2" w:rsidRDefault="00E75C7F" w:rsidP="00E75C7F">
      <w:pPr>
        <w:pStyle w:val="Pagedecouverture"/>
        <w:rPr>
          <w:noProof/>
        </w:rPr>
      </w:pPr>
      <w:r>
        <w:rPr>
          <w:noProof/>
        </w:rPr>
        <w:pict w14:anchorId="19BB42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88F031-BF70-4EA8-837C-D0ADCAA02E0E" style="width:455.25pt;height:424.5pt">
            <v:imagedata r:id="rId8" o:title=""/>
          </v:shape>
        </w:pict>
      </w:r>
    </w:p>
    <w:p w14:paraId="6048FAFC" w14:textId="77777777" w:rsidR="00BF2871" w:rsidRPr="009347A2" w:rsidRDefault="00BF2871" w:rsidP="00BF2871">
      <w:pPr>
        <w:rPr>
          <w:noProof/>
        </w:rPr>
        <w:sectPr w:rsidR="00BF2871" w:rsidRPr="009347A2" w:rsidSect="00E75C7F">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B595E60" w14:textId="77777777" w:rsidR="00FA089C" w:rsidRPr="009347A2" w:rsidRDefault="00FA089C" w:rsidP="00FA089C">
      <w:pPr>
        <w:pStyle w:val="Annexetitre"/>
        <w:rPr>
          <w:noProof/>
        </w:rPr>
      </w:pPr>
      <w:bookmarkStart w:id="0" w:name="_GoBack"/>
      <w:bookmarkEnd w:id="0"/>
      <w:r w:rsidRPr="009347A2">
        <w:rPr>
          <w:noProof/>
        </w:rPr>
        <w:lastRenderedPageBreak/>
        <w:t xml:space="preserve">ANEXĂ </w:t>
      </w:r>
    </w:p>
    <w:p w14:paraId="7E863707" w14:textId="77777777" w:rsidR="00BB37E9" w:rsidRPr="009347A2" w:rsidRDefault="00FB471D" w:rsidP="00BB37E9">
      <w:pPr>
        <w:pStyle w:val="Body"/>
        <w:spacing w:before="360" w:after="0"/>
        <w:jc w:val="center"/>
        <w:rPr>
          <w:b/>
          <w:bCs/>
          <w:noProof/>
          <w:lang w:val="ro-RO"/>
        </w:rPr>
      </w:pPr>
      <w:r w:rsidRPr="009347A2">
        <w:rPr>
          <w:b/>
          <w:noProof/>
          <w:lang w:val="ro-RO"/>
        </w:rPr>
        <w:t>PROIECT DE DECIZIE A COMITETULUI MIXT AL SEE</w:t>
      </w:r>
    </w:p>
    <w:p w14:paraId="7DFA038C" w14:textId="77777777" w:rsidR="00BB37E9" w:rsidRPr="009347A2" w:rsidRDefault="00BB37E9" w:rsidP="00BB37E9">
      <w:pPr>
        <w:pStyle w:val="Body"/>
        <w:spacing w:after="0"/>
        <w:jc w:val="center"/>
        <w:rPr>
          <w:b/>
          <w:bCs/>
          <w:noProof/>
          <w:color w:val="0000FF"/>
          <w:u w:color="0000FF"/>
          <w:lang w:val="ro-RO"/>
        </w:rPr>
      </w:pPr>
      <w:r w:rsidRPr="009347A2">
        <w:rPr>
          <w:b/>
          <w:noProof/>
          <w:lang w:val="ro-RO"/>
        </w:rPr>
        <w:t xml:space="preserve">NR. </w:t>
      </w:r>
      <w:r w:rsidRPr="009347A2">
        <w:rPr>
          <w:b/>
          <w:noProof/>
          <w:color w:val="0000FF"/>
          <w:u w:color="0000FF"/>
          <w:lang w:val="ro-RO"/>
        </w:rPr>
        <w:t>[…]</w:t>
      </w:r>
    </w:p>
    <w:p w14:paraId="7B67035F" w14:textId="77777777" w:rsidR="00BB37E9" w:rsidRPr="009347A2" w:rsidRDefault="00BB37E9" w:rsidP="00BB37E9">
      <w:pPr>
        <w:pStyle w:val="Body"/>
        <w:spacing w:before="360" w:after="0"/>
        <w:jc w:val="center"/>
        <w:rPr>
          <w:b/>
          <w:bCs/>
          <w:noProof/>
          <w:color w:val="0000FF"/>
          <w:u w:color="0000FF"/>
          <w:lang w:val="ro-RO"/>
        </w:rPr>
      </w:pPr>
      <w:r w:rsidRPr="009347A2">
        <w:rPr>
          <w:b/>
          <w:noProof/>
          <w:lang w:val="ro-RO"/>
        </w:rPr>
        <w:t xml:space="preserve">din </w:t>
      </w:r>
      <w:r w:rsidRPr="009347A2">
        <w:rPr>
          <w:b/>
          <w:noProof/>
          <w:color w:val="0000FF"/>
          <w:u w:color="0000FF"/>
          <w:lang w:val="ro-RO"/>
        </w:rPr>
        <w:t>[…]</w:t>
      </w:r>
    </w:p>
    <w:p w14:paraId="39F95AE8" w14:textId="77777777" w:rsidR="00616CF2" w:rsidRPr="009347A2" w:rsidRDefault="00616CF2" w:rsidP="00616CF2">
      <w:pPr>
        <w:pStyle w:val="Body"/>
        <w:spacing w:before="600"/>
        <w:jc w:val="center"/>
        <w:rPr>
          <w:b/>
          <w:bCs/>
          <w:noProof/>
          <w:lang w:val="ro-RO"/>
        </w:rPr>
      </w:pPr>
      <w:r w:rsidRPr="009347A2">
        <w:rPr>
          <w:b/>
          <w:noProof/>
          <w:lang w:val="ro-RO"/>
        </w:rPr>
        <w:t>de modificare a Protocolului 31 privind cooperarea în domenii specifice în afara celor patru libertăți, anexat la Acordul privind SEE</w:t>
      </w:r>
    </w:p>
    <w:p w14:paraId="2E2158D0" w14:textId="77777777" w:rsidR="00BB37E9" w:rsidRPr="009347A2" w:rsidRDefault="00BB37E9" w:rsidP="00BB37E9">
      <w:pPr>
        <w:pStyle w:val="Body"/>
        <w:spacing w:before="600"/>
        <w:rPr>
          <w:noProof/>
          <w:lang w:val="ro-RO"/>
        </w:rPr>
      </w:pPr>
      <w:r w:rsidRPr="009347A2">
        <w:rPr>
          <w:noProof/>
          <w:lang w:val="ro-RO"/>
        </w:rPr>
        <w:t>COMITETUL MIXT AL SEE,</w:t>
      </w:r>
    </w:p>
    <w:p w14:paraId="5058F7EE" w14:textId="77777777" w:rsidR="00BB37E9" w:rsidRPr="009347A2" w:rsidRDefault="00BB37E9" w:rsidP="00BB37E9">
      <w:pPr>
        <w:pStyle w:val="Body"/>
        <w:rPr>
          <w:noProof/>
          <w:lang w:val="ro-RO"/>
        </w:rPr>
      </w:pPr>
      <w:r w:rsidRPr="009347A2">
        <w:rPr>
          <w:noProof/>
          <w:lang w:val="ro-RO"/>
        </w:rPr>
        <w:t>având în vedere Acordul privind Spațiul Economic European („Acordul privind SEE”), în special articolele 86 și 98,</w:t>
      </w:r>
    </w:p>
    <w:p w14:paraId="002C5389" w14:textId="77777777" w:rsidR="00BB37E9" w:rsidRPr="009347A2" w:rsidRDefault="00BB37E9" w:rsidP="00BB37E9">
      <w:pPr>
        <w:pStyle w:val="Body"/>
        <w:rPr>
          <w:noProof/>
          <w:lang w:val="ro-RO"/>
        </w:rPr>
      </w:pPr>
      <w:r w:rsidRPr="009347A2">
        <w:rPr>
          <w:noProof/>
          <w:lang w:val="ro-RO"/>
        </w:rPr>
        <w:t>întrucât:</w:t>
      </w:r>
    </w:p>
    <w:p w14:paraId="3F8D5BBA" w14:textId="77777777" w:rsidR="00616CF2" w:rsidRPr="009347A2" w:rsidRDefault="00616CF2" w:rsidP="007923D4">
      <w:pPr>
        <w:pStyle w:val="Point0number"/>
        <w:numPr>
          <w:ilvl w:val="0"/>
          <w:numId w:val="14"/>
        </w:numPr>
        <w:rPr>
          <w:noProof/>
        </w:rPr>
      </w:pPr>
      <w:r w:rsidRPr="009347A2">
        <w:rPr>
          <w:noProof/>
        </w:rPr>
        <w:t>Este oportună extinderea cooperării dintre părțile contractante la Acordul privind SEE, pentru a include Regulamentul (UE) 2025/2643 al Parlamentului European și al Consiliului din 16 decembrie 2025 de stabilire a Programului privind industria europeană de apărare și a unui cadru de măsuri care să asigure disponibilitatea și aprovizionarea în timp util cu produse din domeniul apărării („Regulamentul EDIP”).</w:t>
      </w:r>
    </w:p>
    <w:p w14:paraId="2D04C7D0" w14:textId="77777777" w:rsidR="00616CF2" w:rsidRPr="009347A2" w:rsidRDefault="00616CF2" w:rsidP="00616CF2">
      <w:pPr>
        <w:pStyle w:val="Point0number"/>
        <w:rPr>
          <w:noProof/>
        </w:rPr>
      </w:pPr>
      <w:r w:rsidRPr="009347A2">
        <w:rPr>
          <w:noProof/>
        </w:rPr>
        <w:t>Este oportun ca participarea statelor AELS la activitățile care derivă din Regulamentul (UE) 2025/2643 să înceapă de la 1 ianuarie 2026, indiferent de momentul adoptării prezentei decizii sau dacă îndeplinirea eventualelor cerințe constituționale pentru prezenta decizie este notificată după data de 10 iulie 2026.</w:t>
      </w:r>
    </w:p>
    <w:p w14:paraId="2B72453D" w14:textId="081784B3" w:rsidR="00616CF2" w:rsidRPr="009347A2" w:rsidRDefault="00616CF2" w:rsidP="00616CF2">
      <w:pPr>
        <w:pStyle w:val="Point0number"/>
        <w:rPr>
          <w:noProof/>
        </w:rPr>
      </w:pPr>
      <w:r w:rsidRPr="009347A2">
        <w:rPr>
          <w:noProof/>
        </w:rPr>
        <w:t>Entitățile stabilite în statele AELS ar trebui să aibă dreptul de a participa la activitățile care încep înainte de intrarea în vigoare a prezentei decizii. Costurile suportate pentru aceste activități, a căror punere în aplicare începe după data de 1</w:t>
      </w:r>
      <w:r w:rsidR="005448A4" w:rsidRPr="009347A2">
        <w:rPr>
          <w:noProof/>
        </w:rPr>
        <w:t> </w:t>
      </w:r>
      <w:r w:rsidRPr="009347A2">
        <w:rPr>
          <w:noProof/>
        </w:rPr>
        <w:t>ianuarie 2026, pot fi considerate eligibile în aceleași condiții ca și cele aplicabile costurilor suportate de entitățile stabilite în statele membre ale UE, cu condiția ca prezenta decizie să intre în vigoare înainte de încheierea acțiunii în cauză.</w:t>
      </w:r>
    </w:p>
    <w:p w14:paraId="59D7045C" w14:textId="77777777" w:rsidR="00616CF2" w:rsidRPr="009347A2" w:rsidRDefault="00616CF2" w:rsidP="00616CF2">
      <w:pPr>
        <w:pStyle w:val="Point0number"/>
        <w:rPr>
          <w:noProof/>
        </w:rPr>
      </w:pPr>
      <w:bookmarkStart w:id="1" w:name="_Hlk51922725"/>
      <w:r w:rsidRPr="009347A2">
        <w:rPr>
          <w:noProof/>
        </w:rPr>
        <w:t>Condițiile de participare a statelor AELS și a instituțiilor, întreprinderilor, organizațiilor și resortisanților acestora la programele Uniunii Europene sunt stabilite în Acordul privind SEE, în special la articolul 81.</w:t>
      </w:r>
      <w:bookmarkEnd w:id="1"/>
    </w:p>
    <w:p w14:paraId="28CF170A" w14:textId="77777777" w:rsidR="00616CF2" w:rsidRPr="009347A2" w:rsidRDefault="00616CF2" w:rsidP="00616CF2">
      <w:pPr>
        <w:pStyle w:val="Point0number"/>
        <w:rPr>
          <w:noProof/>
          <w:color w:val="000000" w:themeColor="text1"/>
        </w:rPr>
      </w:pPr>
      <w:r w:rsidRPr="009347A2">
        <w:rPr>
          <w:noProof/>
        </w:rPr>
        <w:t>Prin urmare, Protocolul 31 la Acordul privind SEE ar trebui modificat pentru ca această cooperare extinsă să poată avea loc începând cu 1 ianuarie 2026,</w:t>
      </w:r>
    </w:p>
    <w:p w14:paraId="2BB39767" w14:textId="77777777" w:rsidR="00BB37E9" w:rsidRPr="009347A2" w:rsidRDefault="00BB37E9" w:rsidP="00BB37E9">
      <w:pPr>
        <w:pStyle w:val="Body"/>
        <w:keepNext/>
        <w:tabs>
          <w:tab w:val="left" w:pos="709"/>
        </w:tabs>
        <w:rPr>
          <w:noProof/>
          <w:lang w:val="ro-RO"/>
        </w:rPr>
      </w:pPr>
      <w:r w:rsidRPr="009347A2">
        <w:rPr>
          <w:noProof/>
          <w:lang w:val="ro-RO"/>
        </w:rPr>
        <w:t>ADOPTĂ PREZENTA DECIZIE:</w:t>
      </w:r>
    </w:p>
    <w:p w14:paraId="23C409CF" w14:textId="77777777" w:rsidR="00BB37E9" w:rsidRPr="009347A2" w:rsidRDefault="00BB37E9" w:rsidP="00BB37E9">
      <w:pPr>
        <w:pStyle w:val="Articleheading"/>
        <w:rPr>
          <w:noProof/>
        </w:rPr>
      </w:pPr>
      <w:r w:rsidRPr="009347A2">
        <w:rPr>
          <w:noProof/>
        </w:rPr>
        <w:t>Articolul 1</w:t>
      </w:r>
    </w:p>
    <w:p w14:paraId="32B9174D" w14:textId="77777777" w:rsidR="00616CF2" w:rsidRPr="009347A2" w:rsidRDefault="00616CF2" w:rsidP="00616CF2">
      <w:pPr>
        <w:rPr>
          <w:noProof/>
        </w:rPr>
      </w:pPr>
      <w:r w:rsidRPr="009347A2">
        <w:rPr>
          <w:noProof/>
        </w:rPr>
        <w:t>În Protocolul 31 la Acordul privind SEE, după articolul 7 alineatul (16) se introduce următorul alineat:</w:t>
      </w:r>
    </w:p>
    <w:p w14:paraId="01BFBB4B" w14:textId="77777777" w:rsidR="00616CF2" w:rsidRPr="009347A2" w:rsidRDefault="00616CF2" w:rsidP="00616CF2">
      <w:pPr>
        <w:pStyle w:val="Articletext"/>
        <w:tabs>
          <w:tab w:val="clear" w:pos="709"/>
          <w:tab w:val="left" w:pos="0"/>
        </w:tabs>
        <w:ind w:left="1440" w:hanging="1440"/>
        <w:rPr>
          <w:noProof/>
        </w:rPr>
      </w:pPr>
      <w:r w:rsidRPr="009347A2">
        <w:rPr>
          <w:noProof/>
        </w:rPr>
        <w:t>„17</w:t>
      </w:r>
      <w:r w:rsidRPr="009347A2">
        <w:rPr>
          <w:noProof/>
        </w:rPr>
        <w:tab/>
      </w:r>
      <w:r w:rsidRPr="009347A2">
        <w:rPr>
          <w:noProof/>
          <w:color w:val="auto"/>
        </w:rPr>
        <w:t>De la 1 ianuarie 2026, statele AELS participă la acțiunile Uniunii aferente următorului act și următoarelor linii bugetare, înscrise în bugetul general al Uniunii Europene</w:t>
      </w:r>
      <w:r w:rsidRPr="009347A2">
        <w:rPr>
          <w:noProof/>
        </w:rPr>
        <w:t>:</w:t>
      </w:r>
    </w:p>
    <w:p w14:paraId="3380E950" w14:textId="77777777" w:rsidR="00616CF2" w:rsidRPr="009347A2" w:rsidRDefault="00616CF2" w:rsidP="00616CF2">
      <w:pPr>
        <w:pStyle w:val="Articletext"/>
        <w:tabs>
          <w:tab w:val="clear" w:pos="709"/>
          <w:tab w:val="left" w:pos="0"/>
        </w:tabs>
        <w:ind w:left="1440" w:hanging="1440"/>
        <w:rPr>
          <w:noProof/>
        </w:rPr>
      </w:pPr>
      <w:r w:rsidRPr="009347A2">
        <w:rPr>
          <w:noProof/>
        </w:rPr>
        <w:tab/>
        <w:t>–</w:t>
      </w:r>
      <w:r w:rsidRPr="009347A2">
        <w:rPr>
          <w:noProof/>
        </w:rPr>
        <w:tab/>
      </w:r>
      <w:r w:rsidRPr="009347A2">
        <w:rPr>
          <w:b/>
          <w:noProof/>
          <w:color w:val="auto"/>
        </w:rPr>
        <w:t>32025 R 2643</w:t>
      </w:r>
      <w:r w:rsidRPr="009347A2">
        <w:rPr>
          <w:noProof/>
        </w:rPr>
        <w:t>: Regulamentul (UE) 2025/2643 al Parlamentului European și al Consiliului din 16 decembrie 2025 de stabilire a Programului privind industria europeană de apărare și a unui cadru de măsuri care să asigure disponibilitatea și aprovizionarea în timp util cu produse din domeniul apărării („Regulamentul EDIP”) (JO L, 2025/2643, 29.12.2025).</w:t>
      </w:r>
    </w:p>
    <w:p w14:paraId="73837D53" w14:textId="77777777" w:rsidR="00616CF2" w:rsidRPr="009347A2" w:rsidRDefault="00616CF2" w:rsidP="00616CF2">
      <w:pPr>
        <w:pStyle w:val="Articletext"/>
        <w:tabs>
          <w:tab w:val="clear" w:pos="709"/>
          <w:tab w:val="left" w:pos="0"/>
        </w:tabs>
        <w:ind w:left="1418" w:hanging="2160"/>
        <w:rPr>
          <w:noProof/>
        </w:rPr>
      </w:pPr>
      <w:r w:rsidRPr="009347A2">
        <w:rPr>
          <w:noProof/>
        </w:rPr>
        <w:tab/>
      </w:r>
      <w:r w:rsidRPr="009347A2">
        <w:rPr>
          <w:noProof/>
        </w:rPr>
        <w:tab/>
        <w:t>–</w:t>
      </w:r>
      <w:r w:rsidRPr="009347A2">
        <w:rPr>
          <w:noProof/>
        </w:rPr>
        <w:tab/>
      </w:r>
      <w:r w:rsidRPr="009347A2">
        <w:rPr>
          <w:b/>
          <w:noProof/>
        </w:rPr>
        <w:t>Linia bugetară 13 01 06</w:t>
      </w:r>
      <w:r w:rsidRPr="009347A2">
        <w:rPr>
          <w:noProof/>
        </w:rPr>
        <w:t>: „Cheltuieli de sprijin pentru Programul european de dezvoltare industrială în domeniul apărării”.</w:t>
      </w:r>
    </w:p>
    <w:p w14:paraId="166BD323" w14:textId="77777777" w:rsidR="00616CF2" w:rsidRPr="009347A2" w:rsidRDefault="00616CF2" w:rsidP="00616CF2">
      <w:pPr>
        <w:pStyle w:val="Articletext"/>
        <w:ind w:left="1418" w:hanging="2160"/>
        <w:rPr>
          <w:noProof/>
        </w:rPr>
      </w:pPr>
      <w:r w:rsidRPr="009347A2">
        <w:rPr>
          <w:noProof/>
        </w:rPr>
        <w:tab/>
      </w:r>
      <w:r w:rsidRPr="009347A2">
        <w:rPr>
          <w:noProof/>
        </w:rPr>
        <w:tab/>
        <w:t>–</w:t>
      </w:r>
      <w:r w:rsidRPr="009347A2">
        <w:rPr>
          <w:noProof/>
        </w:rPr>
        <w:tab/>
      </w:r>
      <w:r w:rsidRPr="009347A2">
        <w:rPr>
          <w:b/>
          <w:noProof/>
        </w:rPr>
        <w:t>Linia bugetară 13 08 01</w:t>
      </w:r>
      <w:r w:rsidRPr="009347A2">
        <w:rPr>
          <w:noProof/>
        </w:rPr>
        <w:t>: „Programul privind industria europeană de apărare”.</w:t>
      </w:r>
    </w:p>
    <w:p w14:paraId="418FB477" w14:textId="49EA99E1" w:rsidR="00616CF2" w:rsidRPr="009347A2" w:rsidRDefault="00616CF2" w:rsidP="00616CF2">
      <w:pPr>
        <w:pStyle w:val="Articletext"/>
        <w:ind w:left="1440" w:hanging="1440"/>
        <w:rPr>
          <w:noProof/>
          <w:color w:val="auto"/>
        </w:rPr>
      </w:pPr>
      <w:r w:rsidRPr="009347A2">
        <w:rPr>
          <w:noProof/>
        </w:rPr>
        <w:tab/>
      </w:r>
      <w:r w:rsidRPr="009347A2">
        <w:rPr>
          <w:noProof/>
        </w:rPr>
        <w:tab/>
      </w:r>
      <w:r w:rsidRPr="009347A2">
        <w:rPr>
          <w:noProof/>
          <w:color w:val="auto"/>
        </w:rPr>
        <w:t>Costurile suportate cu activitățile a căror punere în aplicare începe după 1</w:t>
      </w:r>
      <w:r w:rsidR="005448A4" w:rsidRPr="009347A2">
        <w:rPr>
          <w:noProof/>
          <w:color w:val="auto"/>
        </w:rPr>
        <w:t> </w:t>
      </w:r>
      <w:r w:rsidRPr="009347A2">
        <w:rPr>
          <w:noProof/>
          <w:color w:val="auto"/>
        </w:rPr>
        <w:t>ianuarie 2026 sau, în cazul în care sunt îndeplinite condițiile prevăzute la articolul 7 alineatul (4) din Regulamentul (UE) 2025/2643, după 5</w:t>
      </w:r>
      <w:r w:rsidR="005448A4" w:rsidRPr="009347A2">
        <w:rPr>
          <w:noProof/>
          <w:color w:val="auto"/>
        </w:rPr>
        <w:t> </w:t>
      </w:r>
      <w:r w:rsidRPr="009347A2">
        <w:rPr>
          <w:noProof/>
          <w:color w:val="auto"/>
        </w:rPr>
        <w:t>martie</w:t>
      </w:r>
      <w:r w:rsidR="005448A4" w:rsidRPr="009347A2">
        <w:rPr>
          <w:noProof/>
          <w:color w:val="auto"/>
        </w:rPr>
        <w:t> </w:t>
      </w:r>
      <w:r w:rsidRPr="009347A2">
        <w:rPr>
          <w:noProof/>
          <w:color w:val="auto"/>
        </w:rPr>
        <w:t>2024, pot fi considerate eligibile de la data începerii acțiunii stabilită în acordul de grant sau în deciziile de grаnt în cauză, în condițiile prevăzute în acestea, cu condiția ca Decizia [această decizie] a Comitetului mixt al SEE să intre în vigoare înainte de încheierea acțiunii.</w:t>
      </w:r>
    </w:p>
    <w:p w14:paraId="410B0F66" w14:textId="77777777" w:rsidR="00616CF2" w:rsidRPr="009347A2" w:rsidRDefault="00616CF2" w:rsidP="00616CF2">
      <w:pPr>
        <w:pStyle w:val="Articletext"/>
        <w:ind w:left="1440" w:hanging="1440"/>
        <w:rPr>
          <w:noProof/>
          <w:color w:val="auto"/>
        </w:rPr>
      </w:pPr>
      <w:r w:rsidRPr="009347A2">
        <w:rPr>
          <w:noProof/>
        </w:rPr>
        <w:tab/>
      </w:r>
      <w:r w:rsidRPr="009347A2">
        <w:rPr>
          <w:noProof/>
        </w:rPr>
        <w:tab/>
      </w:r>
      <w:r w:rsidRPr="009347A2">
        <w:rPr>
          <w:noProof/>
          <w:color w:val="auto"/>
        </w:rPr>
        <w:t>Islanda și Principatul Liechtenstein sunt exceptate de la participarea și de la contribuția financiară la acest instrument.</w:t>
      </w:r>
      <w:bookmarkStart w:id="2" w:name="_Hlk153880588"/>
      <w:r w:rsidRPr="009347A2">
        <w:rPr>
          <w:noProof/>
          <w:color w:val="auto"/>
        </w:rPr>
        <w:t xml:space="preserve"> În consecință, prezentul alineat nu se aplică Islandei și Liechtensteinului.</w:t>
      </w:r>
    </w:p>
    <w:p w14:paraId="605A918C" w14:textId="77777777" w:rsidR="00616CF2" w:rsidRPr="009347A2" w:rsidRDefault="00616CF2" w:rsidP="00616CF2">
      <w:pPr>
        <w:pStyle w:val="Articletext"/>
        <w:ind w:left="1440" w:hanging="1440"/>
        <w:rPr>
          <w:noProof/>
          <w:color w:val="auto"/>
        </w:rPr>
      </w:pPr>
      <w:r w:rsidRPr="009347A2">
        <w:rPr>
          <w:noProof/>
        </w:rPr>
        <w:tab/>
      </w:r>
      <w:r w:rsidRPr="009347A2">
        <w:rPr>
          <w:noProof/>
        </w:rPr>
        <w:tab/>
      </w:r>
      <w:r w:rsidRPr="009347A2">
        <w:rPr>
          <w:noProof/>
          <w:color w:val="auto"/>
        </w:rPr>
        <w:t>În temeiul articolului 79 alineatul (3) din acord, prezentului alineat i se aplică partea VII (Dispoziții instituționale) din acord.</w:t>
      </w:r>
    </w:p>
    <w:p w14:paraId="0D8E8B5E" w14:textId="77777777" w:rsidR="00616CF2" w:rsidRPr="009347A2" w:rsidRDefault="00616CF2" w:rsidP="00616CF2">
      <w:pPr>
        <w:pStyle w:val="Articletext"/>
        <w:ind w:left="1440" w:hanging="1440"/>
        <w:rPr>
          <w:noProof/>
          <w:color w:val="auto"/>
        </w:rPr>
      </w:pPr>
      <w:r w:rsidRPr="009347A2">
        <w:rPr>
          <w:noProof/>
        </w:rPr>
        <w:tab/>
      </w:r>
      <w:r w:rsidRPr="009347A2">
        <w:rPr>
          <w:noProof/>
        </w:rPr>
        <w:tab/>
        <w:t>Noțiunea de „stat membru (state membre)” și alte noțiuni referitoare la entitățile publice ale acestora, menționate în capitolul VII din regulament, se interpretează ca incluzând, pe lângă înțelesul lor din regulament, statele AELS și entitățile publice ale acestora.</w:t>
      </w:r>
    </w:p>
    <w:p w14:paraId="30855104" w14:textId="77777777" w:rsidR="00616CF2" w:rsidRPr="009347A2" w:rsidRDefault="00616CF2" w:rsidP="00616CF2">
      <w:pPr>
        <w:pStyle w:val="Articletext"/>
        <w:ind w:left="1440" w:hanging="1440"/>
        <w:rPr>
          <w:noProof/>
          <w:color w:val="auto"/>
        </w:rPr>
      </w:pPr>
      <w:r w:rsidRPr="009347A2">
        <w:rPr>
          <w:noProof/>
        </w:rPr>
        <w:tab/>
      </w:r>
      <w:r w:rsidRPr="009347A2">
        <w:rPr>
          <w:noProof/>
        </w:rPr>
        <w:tab/>
      </w:r>
      <w:r w:rsidRPr="009347A2">
        <w:rPr>
          <w:noProof/>
          <w:color w:val="auto"/>
        </w:rPr>
        <w:t>Dispozițiile aplicabile ale acestui regulament sunt enumerate mai jos și, în sensul prezentului acord, se citesc cu următoarele adaptări:</w:t>
      </w:r>
    </w:p>
    <w:p w14:paraId="0581E551" w14:textId="77777777" w:rsidR="00616CF2" w:rsidRPr="009347A2" w:rsidRDefault="00616CF2" w:rsidP="007923D4">
      <w:pPr>
        <w:pStyle w:val="Articletext"/>
        <w:numPr>
          <w:ilvl w:val="0"/>
          <w:numId w:val="13"/>
        </w:numPr>
        <w:rPr>
          <w:noProof/>
          <w:color w:val="auto"/>
        </w:rPr>
      </w:pPr>
      <w:r w:rsidRPr="009347A2">
        <w:rPr>
          <w:noProof/>
          <w:color w:val="auto"/>
        </w:rPr>
        <w:t>se aplică numai următoarele dispoziții ale regulamentului:</w:t>
      </w:r>
    </w:p>
    <w:p w14:paraId="63470640" w14:textId="77777777" w:rsidR="00616CF2" w:rsidRPr="009347A2" w:rsidRDefault="00616CF2" w:rsidP="00616CF2">
      <w:pPr>
        <w:pStyle w:val="Articletext"/>
        <w:ind w:left="2160"/>
        <w:rPr>
          <w:noProof/>
          <w:color w:val="auto"/>
        </w:rPr>
      </w:pPr>
      <w:r w:rsidRPr="009347A2">
        <w:rPr>
          <w:noProof/>
          <w:color w:val="auto"/>
        </w:rPr>
        <w:t>articolele 1-21, 35-77 și 79-86.</w:t>
      </w:r>
    </w:p>
    <w:p w14:paraId="36C7BD70" w14:textId="77777777" w:rsidR="00616CF2" w:rsidRPr="009347A2" w:rsidRDefault="00616CF2" w:rsidP="007923D4">
      <w:pPr>
        <w:pStyle w:val="Articletext"/>
        <w:numPr>
          <w:ilvl w:val="0"/>
          <w:numId w:val="13"/>
        </w:numPr>
        <w:rPr>
          <w:noProof/>
          <w:color w:val="auto"/>
        </w:rPr>
      </w:pPr>
      <w:r w:rsidRPr="009347A2">
        <w:rPr>
          <w:noProof/>
          <w:color w:val="auto"/>
        </w:rPr>
        <w:t xml:space="preserve">La articolul 72 alineatul (1), după cuvintele </w:t>
      </w:r>
      <w:r w:rsidRPr="009347A2">
        <w:rPr>
          <w:noProof/>
        </w:rPr>
        <w:t>«actelor de punere în aplicare» se introduc cuvintele «sau, în ceea ce privește statele AELS, al Autorității AELS de Supraveghere, prin decizie».</w:t>
      </w:r>
    </w:p>
    <w:p w14:paraId="27BB32A7" w14:textId="79FE46CB" w:rsidR="00616CF2" w:rsidRPr="009347A2" w:rsidRDefault="00616CF2" w:rsidP="007923D4">
      <w:pPr>
        <w:pStyle w:val="Articletext"/>
        <w:numPr>
          <w:ilvl w:val="0"/>
          <w:numId w:val="13"/>
        </w:numPr>
        <w:rPr>
          <w:noProof/>
          <w:color w:val="auto"/>
        </w:rPr>
      </w:pPr>
      <w:r w:rsidRPr="009347A2">
        <w:rPr>
          <w:noProof/>
          <w:color w:val="auto"/>
        </w:rPr>
        <w:t>La articolul 72 alineatul (2), la articolul 72 alineatul (3) și la articolele 73, 74 și 75, după cuvintele «Comisia» și «Comisiei» se introduc cuvintele «sau, în ceea ce privește statele AELS, Autoritatea AELS de Supraveghere».</w:t>
      </w:r>
    </w:p>
    <w:p w14:paraId="5392F6A6" w14:textId="77777777" w:rsidR="00616CF2" w:rsidRPr="009347A2" w:rsidRDefault="00616CF2" w:rsidP="007923D4">
      <w:pPr>
        <w:pStyle w:val="Articletext"/>
        <w:numPr>
          <w:ilvl w:val="0"/>
          <w:numId w:val="13"/>
        </w:numPr>
        <w:rPr>
          <w:noProof/>
          <w:color w:val="auto"/>
        </w:rPr>
      </w:pPr>
      <w:r w:rsidRPr="009347A2">
        <w:rPr>
          <w:noProof/>
          <w:color w:val="auto"/>
        </w:rPr>
        <w:t xml:space="preserve">La articolul 72 alineatul (4), după cuvintele «Instrumentul de sprijin pentru Ucraina» se introduc cuvintele: «Statele AELS stabilesc alocarea cuantumurilor amenzilor colectate de Autoritatea AELS de Supraveghere.». </w:t>
      </w:r>
    </w:p>
    <w:p w14:paraId="480D312B" w14:textId="77777777" w:rsidR="00616CF2" w:rsidRPr="009347A2" w:rsidRDefault="00616CF2" w:rsidP="007923D4">
      <w:pPr>
        <w:pStyle w:val="Articletext"/>
        <w:numPr>
          <w:ilvl w:val="0"/>
          <w:numId w:val="13"/>
        </w:numPr>
        <w:rPr>
          <w:noProof/>
          <w:color w:val="auto"/>
        </w:rPr>
      </w:pPr>
      <w:r w:rsidRPr="009347A2">
        <w:rPr>
          <w:noProof/>
          <w:color w:val="auto"/>
        </w:rPr>
        <w:t>La articolul 73 alineatul (5) și la articolul 74 alineatul (5) litera (b), după cuvintele «Curtea de Justiție a Uniunii Europene» sau «a Curții de Justiție a Uniunii Europene» se introduc cuvintele «sau la Curtea de Justiție a AELS» sau «sau a Curții de Justiție a AELS» .”</w:t>
      </w:r>
      <w:bookmarkEnd w:id="2"/>
    </w:p>
    <w:p w14:paraId="3D2429EB" w14:textId="77777777" w:rsidR="00BB37E9" w:rsidRPr="009347A2" w:rsidRDefault="00BB37E9" w:rsidP="00BB37E9">
      <w:pPr>
        <w:pStyle w:val="Articleheading"/>
        <w:rPr>
          <w:noProof/>
        </w:rPr>
      </w:pPr>
      <w:r w:rsidRPr="009347A2">
        <w:rPr>
          <w:noProof/>
        </w:rPr>
        <w:t>Articolul 2</w:t>
      </w:r>
    </w:p>
    <w:p w14:paraId="2F68FA68" w14:textId="03996503" w:rsidR="00616CF2" w:rsidRPr="009347A2" w:rsidRDefault="00616CF2" w:rsidP="00616CF2">
      <w:pPr>
        <w:pStyle w:val="Articletext"/>
        <w:rPr>
          <w:noProof/>
        </w:rPr>
      </w:pPr>
      <w:r w:rsidRPr="009347A2">
        <w:rPr>
          <w:noProof/>
        </w:rPr>
        <w:t>Prezenta decizie intră în vigoare în ziua următoare datei la care s-a efectuat ultima notificare prevăzută la articolul 103 alineatul (1) din Acordul privind SEE</w:t>
      </w:r>
      <w:r w:rsidRPr="009347A2">
        <w:rPr>
          <w:rStyle w:val="FootnoteTextChar"/>
          <w:noProof/>
          <w:vertAlign w:val="superscript"/>
          <w:lang w:val="ro-RO"/>
        </w:rPr>
        <w:footnoteReference w:customMarkFollows="1" w:id="1"/>
        <w:t>*</w:t>
      </w:r>
      <w:r w:rsidRPr="009347A2">
        <w:rPr>
          <w:noProof/>
        </w:rPr>
        <w:t>.</w:t>
      </w:r>
    </w:p>
    <w:p w14:paraId="695B400B" w14:textId="77777777" w:rsidR="00616CF2" w:rsidRPr="009347A2" w:rsidRDefault="00616CF2" w:rsidP="00616CF2">
      <w:pPr>
        <w:pStyle w:val="Articletext"/>
        <w:rPr>
          <w:noProof/>
        </w:rPr>
      </w:pPr>
      <w:r w:rsidRPr="009347A2">
        <w:rPr>
          <w:noProof/>
        </w:rPr>
        <w:t>Aceasta se aplică de la 1 ianuarie 2026.</w:t>
      </w:r>
    </w:p>
    <w:p w14:paraId="6CB4E526" w14:textId="77777777" w:rsidR="00BB37E9" w:rsidRPr="009347A2" w:rsidRDefault="00BB37E9" w:rsidP="00BB37E9">
      <w:pPr>
        <w:pStyle w:val="Articleheading"/>
        <w:rPr>
          <w:noProof/>
        </w:rPr>
      </w:pPr>
      <w:r w:rsidRPr="009347A2">
        <w:rPr>
          <w:noProof/>
        </w:rPr>
        <w:t>Articolul 3</w:t>
      </w:r>
    </w:p>
    <w:p w14:paraId="72C7C602" w14:textId="77777777" w:rsidR="00616CF2" w:rsidRPr="009347A2" w:rsidRDefault="00616CF2" w:rsidP="00616CF2">
      <w:pPr>
        <w:pStyle w:val="Articletext"/>
        <w:rPr>
          <w:noProof/>
        </w:rPr>
      </w:pPr>
      <w:r w:rsidRPr="009347A2">
        <w:rPr>
          <w:noProof/>
        </w:rPr>
        <w:t xml:space="preserve">Prezenta decizie se publică în secțiunea SEE și în suplimentul SEE ale </w:t>
      </w:r>
      <w:r w:rsidRPr="009347A2">
        <w:rPr>
          <w:i/>
          <w:noProof/>
        </w:rPr>
        <w:t>Jurnalului Oficial al Uniunii Europene</w:t>
      </w:r>
      <w:r w:rsidRPr="009347A2">
        <w:rPr>
          <w:noProof/>
        </w:rPr>
        <w:t>.</w:t>
      </w:r>
    </w:p>
    <w:p w14:paraId="75042772" w14:textId="77777777" w:rsidR="00F310E2" w:rsidRPr="009347A2" w:rsidRDefault="00F310E2" w:rsidP="00F310E2">
      <w:pPr>
        <w:rPr>
          <w:noProof/>
          <w:szCs w:val="24"/>
        </w:rPr>
      </w:pPr>
    </w:p>
    <w:p w14:paraId="3B6A2FD5" w14:textId="77777777" w:rsidR="00F310E2" w:rsidRPr="009347A2" w:rsidRDefault="00F310E2" w:rsidP="00F310E2">
      <w:pPr>
        <w:rPr>
          <w:noProof/>
          <w:szCs w:val="24"/>
        </w:rPr>
      </w:pPr>
      <w:r w:rsidRPr="009347A2">
        <w:rPr>
          <w:noProof/>
        </w:rPr>
        <w:t xml:space="preserve">Adoptată la Bruxelles, </w:t>
      </w:r>
      <w:r w:rsidRPr="009347A2">
        <w:rPr>
          <w:noProof/>
          <w:color w:val="0000FF"/>
          <w:u w:color="0000FF"/>
        </w:rPr>
        <w:t>[…]</w:t>
      </w:r>
      <w:r w:rsidRPr="009347A2">
        <w:rPr>
          <w:noProof/>
        </w:rPr>
        <w:t>.</w:t>
      </w:r>
    </w:p>
    <w:p w14:paraId="73B9DC1D" w14:textId="77777777" w:rsidR="00F310E2" w:rsidRPr="009347A2" w:rsidRDefault="00F310E2" w:rsidP="00F310E2">
      <w:pPr>
        <w:tabs>
          <w:tab w:val="left" w:pos="4253"/>
        </w:tabs>
        <w:spacing w:before="720" w:after="0"/>
        <w:rPr>
          <w:i/>
          <w:noProof/>
          <w:szCs w:val="24"/>
        </w:rPr>
      </w:pPr>
      <w:r w:rsidRPr="009347A2">
        <w:rPr>
          <w:noProof/>
        </w:rPr>
        <w:tab/>
      </w:r>
      <w:r w:rsidRPr="009347A2">
        <w:rPr>
          <w:i/>
          <w:noProof/>
        </w:rPr>
        <w:t>Pentru Comitetul mixt al SEE</w:t>
      </w:r>
    </w:p>
    <w:p w14:paraId="3C3E274B" w14:textId="77777777" w:rsidR="00F310E2" w:rsidRPr="009347A2" w:rsidRDefault="00F310E2" w:rsidP="00F310E2">
      <w:pPr>
        <w:tabs>
          <w:tab w:val="left" w:pos="4253"/>
        </w:tabs>
        <w:spacing w:after="0"/>
        <w:rPr>
          <w:i/>
          <w:noProof/>
          <w:szCs w:val="24"/>
        </w:rPr>
      </w:pPr>
      <w:r w:rsidRPr="009347A2">
        <w:rPr>
          <w:noProof/>
        </w:rPr>
        <w:tab/>
      </w:r>
      <w:r w:rsidRPr="009347A2">
        <w:rPr>
          <w:i/>
          <w:noProof/>
        </w:rPr>
        <w:t>Președintele</w:t>
      </w:r>
    </w:p>
    <w:p w14:paraId="37762B4F" w14:textId="77777777" w:rsidR="00F310E2" w:rsidRPr="009347A2" w:rsidRDefault="00F310E2" w:rsidP="00F310E2">
      <w:pPr>
        <w:tabs>
          <w:tab w:val="left" w:pos="4253"/>
        </w:tabs>
        <w:spacing w:after="0"/>
        <w:rPr>
          <w:i/>
          <w:noProof/>
          <w:szCs w:val="24"/>
        </w:rPr>
      </w:pPr>
      <w:r w:rsidRPr="009347A2">
        <w:rPr>
          <w:noProof/>
        </w:rPr>
        <w:tab/>
      </w:r>
    </w:p>
    <w:p w14:paraId="4B683EFB" w14:textId="77777777" w:rsidR="00F310E2" w:rsidRPr="009347A2" w:rsidRDefault="00F310E2" w:rsidP="00F310E2">
      <w:pPr>
        <w:pStyle w:val="ListParagraph"/>
        <w:ind w:left="0"/>
        <w:rPr>
          <w:noProof/>
        </w:rPr>
      </w:pPr>
    </w:p>
    <w:p w14:paraId="7944EF62" w14:textId="77777777" w:rsidR="00F310E2" w:rsidRPr="009347A2" w:rsidRDefault="00F310E2" w:rsidP="00F310E2">
      <w:pPr>
        <w:pStyle w:val="ListParagraph"/>
        <w:ind w:left="0"/>
        <w:rPr>
          <w:noProof/>
        </w:rPr>
      </w:pPr>
    </w:p>
    <w:p w14:paraId="64A07863" w14:textId="77777777" w:rsidR="00F310E2" w:rsidRPr="009347A2" w:rsidRDefault="00F310E2" w:rsidP="00F310E2">
      <w:pPr>
        <w:pStyle w:val="ListParagraph"/>
        <w:tabs>
          <w:tab w:val="left" w:pos="4253"/>
        </w:tabs>
        <w:ind w:left="0"/>
        <w:rPr>
          <w:rFonts w:cs="Times New Roman"/>
          <w:i/>
          <w:noProof/>
          <w:sz w:val="24"/>
          <w:szCs w:val="24"/>
        </w:rPr>
      </w:pPr>
      <w:r w:rsidRPr="009347A2">
        <w:rPr>
          <w:noProof/>
        </w:rPr>
        <w:tab/>
      </w:r>
      <w:r w:rsidRPr="009347A2">
        <w:rPr>
          <w:i/>
          <w:noProof/>
          <w:sz w:val="24"/>
        </w:rPr>
        <w:t>Secretarii</w:t>
      </w:r>
    </w:p>
    <w:p w14:paraId="7B375C7B" w14:textId="77777777" w:rsidR="00F310E2" w:rsidRPr="009347A2" w:rsidRDefault="00F310E2" w:rsidP="00F310E2">
      <w:pPr>
        <w:pStyle w:val="ListParagraph"/>
        <w:tabs>
          <w:tab w:val="left" w:pos="4253"/>
        </w:tabs>
        <w:ind w:left="0"/>
        <w:rPr>
          <w:rFonts w:cs="Times New Roman"/>
          <w:i/>
          <w:noProof/>
          <w:sz w:val="24"/>
          <w:szCs w:val="24"/>
        </w:rPr>
      </w:pPr>
      <w:r w:rsidRPr="009347A2">
        <w:rPr>
          <w:noProof/>
        </w:rPr>
        <w:tab/>
      </w:r>
      <w:r w:rsidRPr="009347A2">
        <w:rPr>
          <w:i/>
          <w:noProof/>
          <w:sz w:val="24"/>
        </w:rPr>
        <w:t>Comitetului mixt al SEE</w:t>
      </w:r>
    </w:p>
    <w:p w14:paraId="15E3D7D1" w14:textId="77777777" w:rsidR="00616CF2" w:rsidRPr="009347A2" w:rsidRDefault="00616CF2" w:rsidP="00F310E2">
      <w:pPr>
        <w:pStyle w:val="ListParagraph"/>
        <w:tabs>
          <w:tab w:val="left" w:pos="4253"/>
        </w:tabs>
        <w:ind w:left="0"/>
        <w:rPr>
          <w:rFonts w:cs="Times New Roman"/>
          <w:i/>
          <w:noProof/>
          <w:sz w:val="24"/>
          <w:szCs w:val="24"/>
        </w:rPr>
      </w:pPr>
    </w:p>
    <w:p w14:paraId="60DB2D96" w14:textId="77777777" w:rsidR="003C75C9" w:rsidRPr="009347A2" w:rsidRDefault="003C75C9">
      <w:pPr>
        <w:spacing w:before="0" w:after="200" w:line="276" w:lineRule="auto"/>
        <w:jc w:val="left"/>
        <w:rPr>
          <w:rFonts w:eastAsia="Times New Roman"/>
          <w:b/>
          <w:noProof/>
        </w:rPr>
      </w:pPr>
      <w:r w:rsidRPr="009347A2">
        <w:rPr>
          <w:noProof/>
        </w:rPr>
        <w:br w:type="page"/>
      </w:r>
    </w:p>
    <w:p w14:paraId="5370CA54" w14:textId="77777777" w:rsidR="00616CF2" w:rsidRPr="009347A2" w:rsidRDefault="00616CF2" w:rsidP="00616CF2">
      <w:pPr>
        <w:jc w:val="center"/>
        <w:rPr>
          <w:rFonts w:eastAsia="Times New Roman"/>
          <w:b/>
          <w:noProof/>
        </w:rPr>
      </w:pPr>
      <w:r w:rsidRPr="009347A2">
        <w:rPr>
          <w:b/>
          <w:noProof/>
        </w:rPr>
        <w:t>Declarația statelor AELS</w:t>
      </w:r>
    </w:p>
    <w:p w14:paraId="290ED581" w14:textId="77777777" w:rsidR="00616CF2" w:rsidRPr="009347A2" w:rsidRDefault="00616CF2" w:rsidP="00616CF2">
      <w:pPr>
        <w:pStyle w:val="Typedudocument"/>
        <w:rPr>
          <w:noProof/>
        </w:rPr>
      </w:pPr>
      <w:r w:rsidRPr="009347A2">
        <w:rPr>
          <w:noProof/>
        </w:rPr>
        <w:t>la Decizia nr. [...] din xx 2026 de modificare a Protocolului 31 la Acordul privind SEE în vederea extinderii cooperării dintre părțile contractante pentru a include participarea statelor AELS la Programul privind industria europeană de apărare și la un cadru de măsuri care să asigure disponibilitatea și aprovizionarea în timp util cu produse din domeniul apărării instituit prin Regulamentul (UE) 2025/2643</w:t>
      </w:r>
    </w:p>
    <w:p w14:paraId="3921794D" w14:textId="77777777" w:rsidR="00616CF2" w:rsidRPr="009347A2" w:rsidRDefault="00616CF2" w:rsidP="00616CF2">
      <w:pPr>
        <w:jc w:val="center"/>
        <w:rPr>
          <w:noProof/>
        </w:rPr>
      </w:pPr>
      <w:r w:rsidRPr="009347A2">
        <w:rPr>
          <w:b/>
          <w:noProof/>
        </w:rPr>
        <w:t>[pentru adoptare odată cu decizia și pentru publicare în JO]</w:t>
      </w:r>
    </w:p>
    <w:p w14:paraId="543744BB" w14:textId="77777777" w:rsidR="00616CF2" w:rsidRPr="009347A2" w:rsidRDefault="00616CF2" w:rsidP="00616CF2">
      <w:pPr>
        <w:rPr>
          <w:noProof/>
        </w:rPr>
      </w:pPr>
      <w:r w:rsidRPr="009347A2">
        <w:rPr>
          <w:noProof/>
        </w:rPr>
        <w:t xml:space="preserve">Prin prezenta decizie se extinde cooperarea dintre părțile contractante pentru a include participarea statelor AELS la Programul privind industria europeană de apărare și la un cadru de măsuri care să asigure disponibilitatea și aprovizionarea în timp util cu produse din domeniul apărării („EDIP”). Statele AELS consideră că aspectele legate de apărare nu intră în domeniul de aplicare al Acordului privind SEE și, prin urmare, că adoptarea acestei decizii nu extinde domeniul de aplicare al Acordului privind SEE astfel încât să includă alte aspecte legate de apărare în afară de participarea statelor AELS la EDIP. Statele AELS subliniază, de asemenea, că Islanda și Liechtenstein nu participă la EDIP și, prin urmare, nu sunt obligate să contribuie financiar la acesta. </w:t>
      </w:r>
    </w:p>
    <w:p w14:paraId="675497E4" w14:textId="77777777" w:rsidR="00F310E2" w:rsidRPr="009347A2" w:rsidRDefault="00F310E2" w:rsidP="009F5467">
      <w:pPr>
        <w:pStyle w:val="ListParagraph"/>
        <w:tabs>
          <w:tab w:val="left" w:pos="4253"/>
        </w:tabs>
        <w:ind w:left="0"/>
        <w:rPr>
          <w:rFonts w:cs="Times New Roman"/>
          <w:i/>
          <w:noProof/>
          <w:color w:val="0000FF"/>
          <w:sz w:val="24"/>
          <w:szCs w:val="24"/>
        </w:rPr>
      </w:pPr>
      <w:r w:rsidRPr="009347A2">
        <w:rPr>
          <w:noProof/>
        </w:rPr>
        <w:tab/>
      </w:r>
    </w:p>
    <w:sectPr w:rsidR="00F310E2" w:rsidRPr="009347A2" w:rsidSect="00E75C7F">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CC243" w14:textId="77777777" w:rsidR="00FA089C" w:rsidRDefault="00FA089C" w:rsidP="00FA089C">
      <w:pPr>
        <w:spacing w:before="0" w:after="0"/>
      </w:pPr>
      <w:r>
        <w:separator/>
      </w:r>
    </w:p>
  </w:endnote>
  <w:endnote w:type="continuationSeparator" w:id="0">
    <w:p w14:paraId="0E3579D1"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EBA7" w14:textId="006D4041" w:rsidR="00E75C7F" w:rsidRPr="00E75C7F" w:rsidRDefault="00E75C7F" w:rsidP="00E75C7F">
    <w:pPr>
      <w:pStyle w:val="Footer"/>
      <w:rPr>
        <w:rFonts w:ascii="Arial" w:hAnsi="Arial" w:cs="Arial"/>
        <w:b/>
        <w:sz w:val="48"/>
      </w:rPr>
    </w:pPr>
    <w:r w:rsidRPr="00E75C7F">
      <w:rPr>
        <w:rFonts w:ascii="Arial" w:hAnsi="Arial" w:cs="Arial"/>
        <w:b/>
        <w:sz w:val="48"/>
      </w:rPr>
      <w:t>RO</w:t>
    </w:r>
    <w:r w:rsidRPr="00E75C7F">
      <w:rPr>
        <w:rFonts w:ascii="Arial" w:hAnsi="Arial" w:cs="Arial"/>
        <w:b/>
        <w:sz w:val="48"/>
      </w:rPr>
      <w:tab/>
    </w:r>
    <w:r w:rsidRPr="00E75C7F">
      <w:rPr>
        <w:rFonts w:ascii="Arial" w:hAnsi="Arial" w:cs="Arial"/>
        <w:b/>
        <w:sz w:val="48"/>
      </w:rPr>
      <w:tab/>
    </w:r>
    <w:r w:rsidRPr="00E75C7F">
      <w:tab/>
    </w:r>
    <w:r w:rsidRPr="00E75C7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58600" w14:textId="6C25AC0B" w:rsidR="00E75C7F" w:rsidRPr="00E75C7F" w:rsidRDefault="00E75C7F" w:rsidP="00E75C7F">
    <w:pPr>
      <w:pStyle w:val="Footer"/>
      <w:rPr>
        <w:rFonts w:ascii="Arial" w:hAnsi="Arial" w:cs="Arial"/>
        <w:b/>
        <w:sz w:val="48"/>
      </w:rPr>
    </w:pPr>
    <w:r w:rsidRPr="00E75C7F">
      <w:rPr>
        <w:rFonts w:ascii="Arial" w:hAnsi="Arial" w:cs="Arial"/>
        <w:b/>
        <w:sz w:val="48"/>
      </w:rPr>
      <w:t>RO</w:t>
    </w:r>
    <w:r w:rsidRPr="00E75C7F">
      <w:rPr>
        <w:rFonts w:ascii="Arial" w:hAnsi="Arial" w:cs="Arial"/>
        <w:b/>
        <w:sz w:val="48"/>
      </w:rPr>
      <w:tab/>
    </w:r>
    <w:r w:rsidRPr="00E75C7F">
      <w:rPr>
        <w:rFonts w:ascii="Arial" w:hAnsi="Arial" w:cs="Arial"/>
        <w:b/>
        <w:sz w:val="48"/>
      </w:rPr>
      <w:tab/>
    </w:r>
    <w:r w:rsidRPr="00E75C7F">
      <w:tab/>
    </w:r>
    <w:r w:rsidRPr="00E75C7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3E60B" w14:textId="77777777" w:rsidR="00E75C7F" w:rsidRPr="00E75C7F" w:rsidRDefault="00E75C7F" w:rsidP="00E75C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AC923" w14:textId="77777777" w:rsidR="00E75C7F" w:rsidRDefault="00E75C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6C048" w14:textId="199BA01E" w:rsidR="00E75C7F" w:rsidRPr="00E75C7F" w:rsidRDefault="00E75C7F" w:rsidP="00E75C7F">
    <w:pPr>
      <w:pStyle w:val="Footer"/>
      <w:rPr>
        <w:rFonts w:ascii="Arial" w:hAnsi="Arial" w:cs="Arial"/>
        <w:b/>
        <w:sz w:val="48"/>
      </w:rPr>
    </w:pPr>
    <w:r w:rsidRPr="00E75C7F">
      <w:rPr>
        <w:rFonts w:ascii="Arial" w:hAnsi="Arial" w:cs="Arial"/>
        <w:b/>
        <w:sz w:val="48"/>
      </w:rPr>
      <w:t>RO</w:t>
    </w:r>
    <w:r w:rsidRPr="00E75C7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75C7F">
      <w:tab/>
    </w:r>
    <w:r w:rsidRPr="00E75C7F">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9897B" w14:textId="77777777" w:rsidR="00E75C7F" w:rsidRDefault="00E75C7F" w:rsidP="00E75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7EBB4" w14:textId="77777777" w:rsidR="00FA089C" w:rsidRDefault="00FA089C" w:rsidP="00FA089C">
      <w:pPr>
        <w:spacing w:before="0" w:after="0"/>
      </w:pPr>
      <w:r>
        <w:separator/>
      </w:r>
    </w:p>
  </w:footnote>
  <w:footnote w:type="continuationSeparator" w:id="0">
    <w:p w14:paraId="4575ABFF" w14:textId="77777777" w:rsidR="00FA089C" w:rsidRDefault="00FA089C" w:rsidP="00FA089C">
      <w:pPr>
        <w:spacing w:before="0" w:after="0"/>
      </w:pPr>
      <w:r>
        <w:continuationSeparator/>
      </w:r>
    </w:p>
  </w:footnote>
  <w:footnote w:id="1">
    <w:p w14:paraId="2EC4C369" w14:textId="77777777" w:rsidR="00B502A1" w:rsidRPr="00BF2871" w:rsidRDefault="00B502A1" w:rsidP="00B502A1">
      <w:pPr>
        <w:pStyle w:val="FootnoteText"/>
        <w:rPr>
          <w:lang w:val="fr-BE"/>
        </w:rPr>
      </w:pPr>
      <w:r w:rsidRPr="00BF2871">
        <w:rPr>
          <w:rStyle w:val="FootnoteReference"/>
          <w:lang w:val="fr-BE"/>
        </w:rPr>
        <w:t>*</w:t>
      </w:r>
      <w:r w:rsidRPr="00BF2871">
        <w:rPr>
          <w:lang w:val="fr-BE"/>
        </w:rPr>
        <w:tab/>
        <w:t>[Nu au fost semnalate obligații constituționale.] [Au fost semnalate obligații constituționale.]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57D75" w14:textId="77777777" w:rsidR="00E75C7F" w:rsidRPr="00E75C7F" w:rsidRDefault="00E75C7F" w:rsidP="00E75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BF04A" w14:textId="77777777" w:rsidR="00E75C7F" w:rsidRPr="00E75C7F" w:rsidRDefault="00E75C7F" w:rsidP="00E75C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8AD7" w14:textId="77777777" w:rsidR="00E75C7F" w:rsidRPr="00E75C7F" w:rsidRDefault="00E75C7F" w:rsidP="00E75C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C778C" w14:textId="77777777" w:rsidR="00E75C7F" w:rsidRDefault="00E75C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3C08B" w14:textId="77777777" w:rsidR="00E75C7F" w:rsidRDefault="00E75C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BB31A8D"/>
    <w:multiLevelType w:val="hybridMultilevel"/>
    <w:tmpl w:val="CDC6A086"/>
    <w:lvl w:ilvl="0" w:tplc="E66A042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num>
  <w:num w:numId="10">
    <w:abstractNumId w:val="19"/>
  </w:num>
  <w:num w:numId="11">
    <w:abstractNumId w:val="25"/>
  </w:num>
  <w:num w:numId="12">
    <w:abstractNumId w:val="13"/>
  </w:num>
  <w:num w:numId="13">
    <w:abstractNumId w:val="10"/>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5"/>
  </w:num>
  <w:num w:numId="17">
    <w:abstractNumId w:val="26"/>
  </w:num>
  <w:num w:numId="18">
    <w:abstractNumId w:val="12"/>
  </w:num>
  <w:num w:numId="19">
    <w:abstractNumId w:val="16"/>
  </w:num>
  <w:num w:numId="20">
    <w:abstractNumId w:val="17"/>
  </w:num>
  <w:num w:numId="21">
    <w:abstractNumId w:val="9"/>
  </w:num>
  <w:num w:numId="22">
    <w:abstractNumId w:val="24"/>
  </w:num>
  <w:num w:numId="23">
    <w:abstractNumId w:val="8"/>
  </w:num>
  <w:num w:numId="24">
    <w:abstractNumId w:val="18"/>
  </w:num>
  <w:num w:numId="25">
    <w:abstractNumId w:val="21"/>
  </w:num>
  <w:num w:numId="26">
    <w:abstractNumId w:val="22"/>
  </w:num>
  <w:num w:numId="27">
    <w:abstractNumId w:val="11"/>
  </w:num>
  <w:num w:numId="28">
    <w:abstractNumId w:val="20"/>
  </w:num>
  <w:num w:numId="29">
    <w:abstractNumId w:val="27"/>
  </w:num>
  <w:num w:numId="30">
    <w:abstractNumId w:val="23"/>
  </w:num>
  <w:num w:numId="31">
    <w:abstractNumId w:val="15"/>
  </w:num>
  <w:num w:numId="32">
    <w:abstractNumId w:val="26"/>
  </w:num>
  <w:num w:numId="33">
    <w:abstractNumId w:val="12"/>
  </w:num>
  <w:num w:numId="34">
    <w:abstractNumId w:val="16"/>
  </w:num>
  <w:num w:numId="35">
    <w:abstractNumId w:val="17"/>
  </w:num>
  <w:num w:numId="36">
    <w:abstractNumId w:val="9"/>
  </w:num>
  <w:num w:numId="37">
    <w:abstractNumId w:val="24"/>
  </w:num>
  <w:num w:numId="38">
    <w:abstractNumId w:val="8"/>
  </w:num>
  <w:num w:numId="39">
    <w:abstractNumId w:val="18"/>
  </w:num>
  <w:num w:numId="40">
    <w:abstractNumId w:val="21"/>
  </w:num>
  <w:num w:numId="41">
    <w:abstractNumId w:val="22"/>
  </w:num>
  <w:num w:numId="42">
    <w:abstractNumId w:val="11"/>
  </w:num>
  <w:num w:numId="43">
    <w:abstractNumId w:val="20"/>
  </w:num>
  <w:num w:numId="44">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02 09:06: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1088F031-BF70-4EA8-837C-D0ADCAA02E0E"/>
    <w:docVar w:name="LW_COVERPAGE_TYPE" w:val="1"/>
    <w:docVar w:name="LW_CROSSREFERENCE" w:val="&lt;UNUSED&gt;"/>
    <w:docVar w:name="LW_DocType" w:val="ANNEX"/>
    <w:docVar w:name="LW_EMISSION" w:val="2.6.2026"/>
    <w:docVar w:name="LW_EMISSION_ISODATE" w:val="2026-06-02"/>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luat\u259? în numele Uniunii Europene în cadrul Comitetului mixt al SEE cu privire la o modificare a Protocolului 31 privind cooperarea în domenii specifice în afara celor patru libert\u259?\u539?i anexat la Acordul privind SEE _x000d__x000d__x000d__x000d__x000b__x000d__x000d__x000b__x000d_(Regulamentul privind EDIP) "/>
    <w:docVar w:name="LW_OBJETACTEPRINCIPAL.CP" w:val="privind pozi\u539?ia care urmeaz\u259? s\u259? fie luat\u259? în numele Uniunii Europene în cadrul Comitetului mixt al SEE cu privire la o modificare a Protocolului 31 privind cooperarea în domenii specifice în afara celor patru libert\u259?\u539?i anexat la Acordul privind SEE _x000d__x000d__x000d__x000d__x000b__x000d__x000d__x000b__x000d_(Regulamentul privind EDIP) "/>
    <w:docVar w:name="LW_PART_NBR" w:val="1"/>
    <w:docVar w:name="LW_PART_NBR_TOTAL" w:val="1"/>
    <w:docVar w:name="LW_REF.INST.NEW" w:val="COM"/>
    <w:docVar w:name="LW_REF.INST.NEW_ADOPTED" w:val="final"/>
    <w:docVar w:name="LW_REF.INST.NEW_TEXT" w:val="(2026) 2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DECIZIE A CONSILIULUI"/>
    <w:docVar w:name="LW_TYPEACTEPRINCIPAL.CP" w:val="Propunerea de_x000b__x000b_DECIZIE A CONSILIULUI"/>
    <w:docVar w:name="LwApiVersions" w:val="LW4CoDe 1.24.5.0; LW 9.2, Build 20251112"/>
  </w:docVars>
  <w:rsids>
    <w:rsidRoot w:val="00FA089C"/>
    <w:rsid w:val="00004945"/>
    <w:rsid w:val="00011E17"/>
    <w:rsid w:val="00016F85"/>
    <w:rsid w:val="00020D1D"/>
    <w:rsid w:val="000233BB"/>
    <w:rsid w:val="00034722"/>
    <w:rsid w:val="000440A0"/>
    <w:rsid w:val="0005237D"/>
    <w:rsid w:val="00061BBD"/>
    <w:rsid w:val="000A67CA"/>
    <w:rsid w:val="000A7B3E"/>
    <w:rsid w:val="000C2535"/>
    <w:rsid w:val="000D4701"/>
    <w:rsid w:val="000E198E"/>
    <w:rsid w:val="000E1BD5"/>
    <w:rsid w:val="000E4EF4"/>
    <w:rsid w:val="000F2D5C"/>
    <w:rsid w:val="000F3476"/>
    <w:rsid w:val="001006E4"/>
    <w:rsid w:val="001077FD"/>
    <w:rsid w:val="0011631E"/>
    <w:rsid w:val="0012048A"/>
    <w:rsid w:val="00126B7C"/>
    <w:rsid w:val="00176271"/>
    <w:rsid w:val="001770F8"/>
    <w:rsid w:val="00185721"/>
    <w:rsid w:val="00192B5B"/>
    <w:rsid w:val="001C2816"/>
    <w:rsid w:val="001D6F25"/>
    <w:rsid w:val="002704ED"/>
    <w:rsid w:val="00285931"/>
    <w:rsid w:val="002D3DFC"/>
    <w:rsid w:val="002F2559"/>
    <w:rsid w:val="002F61FE"/>
    <w:rsid w:val="00320A4E"/>
    <w:rsid w:val="00327C3C"/>
    <w:rsid w:val="00334239"/>
    <w:rsid w:val="003346A8"/>
    <w:rsid w:val="00373143"/>
    <w:rsid w:val="00382BB1"/>
    <w:rsid w:val="003A0963"/>
    <w:rsid w:val="003C75C9"/>
    <w:rsid w:val="003E52B4"/>
    <w:rsid w:val="003E599A"/>
    <w:rsid w:val="003F0E54"/>
    <w:rsid w:val="00407DF3"/>
    <w:rsid w:val="00415CCF"/>
    <w:rsid w:val="00432358"/>
    <w:rsid w:val="004369FD"/>
    <w:rsid w:val="00437AC4"/>
    <w:rsid w:val="004476AE"/>
    <w:rsid w:val="00455DDA"/>
    <w:rsid w:val="004629BA"/>
    <w:rsid w:val="004710C5"/>
    <w:rsid w:val="00484058"/>
    <w:rsid w:val="004854DD"/>
    <w:rsid w:val="004C146F"/>
    <w:rsid w:val="004D3F8A"/>
    <w:rsid w:val="004D7DF1"/>
    <w:rsid w:val="004F20C7"/>
    <w:rsid w:val="00500040"/>
    <w:rsid w:val="005210EF"/>
    <w:rsid w:val="005448A4"/>
    <w:rsid w:val="00556764"/>
    <w:rsid w:val="0056211D"/>
    <w:rsid w:val="005845A6"/>
    <w:rsid w:val="005A3002"/>
    <w:rsid w:val="005D245C"/>
    <w:rsid w:val="005E01EC"/>
    <w:rsid w:val="005E5466"/>
    <w:rsid w:val="005E7F03"/>
    <w:rsid w:val="005F59E6"/>
    <w:rsid w:val="005F7A12"/>
    <w:rsid w:val="00616CF2"/>
    <w:rsid w:val="00637713"/>
    <w:rsid w:val="006531D7"/>
    <w:rsid w:val="00655FE8"/>
    <w:rsid w:val="006B0E16"/>
    <w:rsid w:val="006C59B2"/>
    <w:rsid w:val="006E054A"/>
    <w:rsid w:val="006E255E"/>
    <w:rsid w:val="00714404"/>
    <w:rsid w:val="00731592"/>
    <w:rsid w:val="00761D40"/>
    <w:rsid w:val="0076759F"/>
    <w:rsid w:val="00780782"/>
    <w:rsid w:val="007921C7"/>
    <w:rsid w:val="007923D4"/>
    <w:rsid w:val="007B6108"/>
    <w:rsid w:val="007D7772"/>
    <w:rsid w:val="007E131B"/>
    <w:rsid w:val="00810E27"/>
    <w:rsid w:val="00826EE6"/>
    <w:rsid w:val="00827826"/>
    <w:rsid w:val="00832FB0"/>
    <w:rsid w:val="008612AB"/>
    <w:rsid w:val="0089117E"/>
    <w:rsid w:val="008A1F01"/>
    <w:rsid w:val="008E25B2"/>
    <w:rsid w:val="00901AF2"/>
    <w:rsid w:val="00913A49"/>
    <w:rsid w:val="009347A2"/>
    <w:rsid w:val="00952E0F"/>
    <w:rsid w:val="00963E79"/>
    <w:rsid w:val="009655A5"/>
    <w:rsid w:val="00974C60"/>
    <w:rsid w:val="00986B33"/>
    <w:rsid w:val="00987AD5"/>
    <w:rsid w:val="00987B71"/>
    <w:rsid w:val="009F0A00"/>
    <w:rsid w:val="009F5467"/>
    <w:rsid w:val="00A01B77"/>
    <w:rsid w:val="00A145EF"/>
    <w:rsid w:val="00A164EF"/>
    <w:rsid w:val="00A255F3"/>
    <w:rsid w:val="00A52F7E"/>
    <w:rsid w:val="00A54CC7"/>
    <w:rsid w:val="00A71FC6"/>
    <w:rsid w:val="00A93C8A"/>
    <w:rsid w:val="00AA31D7"/>
    <w:rsid w:val="00AE5329"/>
    <w:rsid w:val="00AF77EF"/>
    <w:rsid w:val="00B05913"/>
    <w:rsid w:val="00B0658F"/>
    <w:rsid w:val="00B11E94"/>
    <w:rsid w:val="00B14D97"/>
    <w:rsid w:val="00B42901"/>
    <w:rsid w:val="00B45548"/>
    <w:rsid w:val="00B502A1"/>
    <w:rsid w:val="00B55D54"/>
    <w:rsid w:val="00B704E9"/>
    <w:rsid w:val="00B711EC"/>
    <w:rsid w:val="00B856AB"/>
    <w:rsid w:val="00B8766E"/>
    <w:rsid w:val="00B90126"/>
    <w:rsid w:val="00BB0CF3"/>
    <w:rsid w:val="00BB0E9F"/>
    <w:rsid w:val="00BB37E9"/>
    <w:rsid w:val="00BC2EB6"/>
    <w:rsid w:val="00BF17AA"/>
    <w:rsid w:val="00BF2871"/>
    <w:rsid w:val="00BF5C8E"/>
    <w:rsid w:val="00C24294"/>
    <w:rsid w:val="00C243B5"/>
    <w:rsid w:val="00C24556"/>
    <w:rsid w:val="00C362A9"/>
    <w:rsid w:val="00C445CB"/>
    <w:rsid w:val="00C5255D"/>
    <w:rsid w:val="00C55C9C"/>
    <w:rsid w:val="00C61C6D"/>
    <w:rsid w:val="00C74985"/>
    <w:rsid w:val="00C91E25"/>
    <w:rsid w:val="00CA414A"/>
    <w:rsid w:val="00CC22D7"/>
    <w:rsid w:val="00CF4F2E"/>
    <w:rsid w:val="00CF57DD"/>
    <w:rsid w:val="00CF7406"/>
    <w:rsid w:val="00D05904"/>
    <w:rsid w:val="00D57361"/>
    <w:rsid w:val="00D60DE1"/>
    <w:rsid w:val="00D7412A"/>
    <w:rsid w:val="00D801B5"/>
    <w:rsid w:val="00DE75E5"/>
    <w:rsid w:val="00DF0D83"/>
    <w:rsid w:val="00E10491"/>
    <w:rsid w:val="00E420DD"/>
    <w:rsid w:val="00E5265A"/>
    <w:rsid w:val="00E7115E"/>
    <w:rsid w:val="00E75C7F"/>
    <w:rsid w:val="00E871BC"/>
    <w:rsid w:val="00EC53A0"/>
    <w:rsid w:val="00ED1F41"/>
    <w:rsid w:val="00EE0998"/>
    <w:rsid w:val="00EE0A65"/>
    <w:rsid w:val="00EF3FF8"/>
    <w:rsid w:val="00F00E4B"/>
    <w:rsid w:val="00F016EA"/>
    <w:rsid w:val="00F310E2"/>
    <w:rsid w:val="00F33C91"/>
    <w:rsid w:val="00F34A2B"/>
    <w:rsid w:val="00F44453"/>
    <w:rsid w:val="00F57F03"/>
    <w:rsid w:val="00F614F4"/>
    <w:rsid w:val="00F6289D"/>
    <w:rsid w:val="00F62D1B"/>
    <w:rsid w:val="00F71139"/>
    <w:rsid w:val="00F71B5A"/>
    <w:rsid w:val="00F81EBC"/>
    <w:rsid w:val="00F8632F"/>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1C4C1B5F"/>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ro-RO"/>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ro-RO"/>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ro-RO"/>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ro-RO"/>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4D7DF1"/>
    <w:rPr>
      <w:color w:val="605E5C"/>
      <w:shd w:val="clear" w:color="auto" w:fill="E1DFDD"/>
    </w:rPr>
  </w:style>
  <w:style w:type="paragraph" w:customStyle="1" w:styleId="Special">
    <w:name w:val="Special"/>
    <w:basedOn w:val="FootnoteText"/>
    <w:rsid w:val="00016F85"/>
  </w:style>
  <w:style w:type="paragraph" w:styleId="NoSpacing">
    <w:name w:val="No Spacing"/>
    <w:uiPriority w:val="1"/>
    <w:qFormat/>
    <w:rsid w:val="00BF2871"/>
    <w:pPr>
      <w:spacing w:after="0" w:line="240" w:lineRule="auto"/>
      <w:jc w:val="both"/>
    </w:pPr>
    <w:rPr>
      <w:rFonts w:ascii="Times New Roman" w:hAnsi="Times New Roman" w:cs="Times New Roman"/>
      <w:sz w:val="24"/>
      <w:lang w:val="en-GB"/>
    </w:rPr>
  </w:style>
  <w:style w:type="character" w:customStyle="1" w:styleId="HeaderChar">
    <w:name w:val="Header Char"/>
    <w:basedOn w:val="DefaultParagraphFont"/>
    <w:link w:val="Header"/>
    <w:uiPriority w:val="99"/>
    <w:rsid w:val="00E75C7F"/>
    <w:rPr>
      <w:rFonts w:ascii="Times New Roman" w:hAnsi="Times New Roman" w:cs="Times New Roman"/>
      <w:sz w:val="24"/>
      <w:lang w:val="ro-RO"/>
    </w:rPr>
  </w:style>
  <w:style w:type="character" w:customStyle="1" w:styleId="FooterChar">
    <w:name w:val="Footer Char"/>
    <w:basedOn w:val="DefaultParagraphFont"/>
    <w:link w:val="Footer"/>
    <w:uiPriority w:val="99"/>
    <w:rsid w:val="00E75C7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75C7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5C7F"/>
    <w:pPr>
      <w:spacing w:before="0"/>
      <w:jc w:val="right"/>
    </w:pPr>
    <w:rPr>
      <w:sz w:val="28"/>
    </w:rPr>
  </w:style>
  <w:style w:type="paragraph" w:customStyle="1" w:styleId="FooterSensitivity">
    <w:name w:val="Footer Sensitivity"/>
    <w:basedOn w:val="Normal"/>
    <w:rsid w:val="00E75C7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75C7F"/>
    <w:pPr>
      <w:tabs>
        <w:tab w:val="center" w:pos="4535"/>
        <w:tab w:val="right" w:pos="9071"/>
      </w:tabs>
      <w:spacing w:before="0"/>
    </w:pPr>
  </w:style>
  <w:style w:type="paragraph" w:customStyle="1" w:styleId="HeaderLandscape">
    <w:name w:val="HeaderLandscape"/>
    <w:basedOn w:val="Normal"/>
    <w:rsid w:val="00E75C7F"/>
    <w:pPr>
      <w:tabs>
        <w:tab w:val="center" w:pos="7285"/>
        <w:tab w:val="right" w:pos="14003"/>
      </w:tabs>
      <w:spacing w:before="0"/>
    </w:pPr>
  </w:style>
  <w:style w:type="paragraph" w:styleId="Footer">
    <w:name w:val="footer"/>
    <w:basedOn w:val="Normal"/>
    <w:link w:val="FooterChar"/>
    <w:uiPriority w:val="99"/>
    <w:unhideWhenUsed/>
    <w:rsid w:val="00E75C7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5C7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895E2-AA4D-4F53-942B-2219F110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163</TotalTime>
  <Pages>5</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61</cp:revision>
  <dcterms:created xsi:type="dcterms:W3CDTF">2022-10-25T08:43:00Z</dcterms:created>
  <dcterms:modified xsi:type="dcterms:W3CDTF">2026-06-02T07:06:00Z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