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57099" w14:textId="494DF3BF" w:rsidR="00A551C2" w:rsidRPr="00F106C0" w:rsidRDefault="00D960D5" w:rsidP="00D960D5">
      <w:pPr>
        <w:pStyle w:val="Pagedecouverture"/>
        <w:rPr>
          <w:noProof/>
        </w:rPr>
      </w:pPr>
      <w:bookmarkStart w:id="0" w:name="LW_BM_COVERPAGE"/>
      <w:r>
        <w:rPr>
          <w:noProof/>
        </w:rPr>
        <w:pict w14:anchorId="37B6BD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BCD8D69-984F-4485-ACAA-29697DF36A2F" style="width:455.25pt;height:300pt">
            <v:imagedata r:id="rId11" o:title=""/>
          </v:shape>
        </w:pict>
      </w:r>
    </w:p>
    <w:bookmarkEnd w:id="0"/>
    <w:p w14:paraId="2796C371" w14:textId="77777777" w:rsidR="00A551C2" w:rsidRPr="00F106C0" w:rsidRDefault="00A551C2" w:rsidP="00A551C2">
      <w:pPr>
        <w:rPr>
          <w:noProof/>
        </w:rPr>
        <w:sectPr w:rsidR="00A551C2" w:rsidRPr="00F106C0" w:rsidSect="00D960D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7A3150B" w14:textId="47F56DDD" w:rsidR="008D2A73" w:rsidRPr="00F106C0" w:rsidRDefault="0022337A" w:rsidP="00FD3BF2">
      <w:pPr>
        <w:jc w:val="center"/>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RAPPORT DE LA COMMISSION AU PARLEMENT EUROPÉEN ET AU CONSEIL</w:t>
      </w:r>
    </w:p>
    <w:p w14:paraId="59101563" w14:textId="3460045C" w:rsidR="0022337A" w:rsidRPr="00F106C0" w:rsidRDefault="0022337A" w:rsidP="00FD3BF2">
      <w:pPr>
        <w:jc w:val="center"/>
        <w:rPr>
          <w:rFonts w:ascii="Times New Roman" w:hAnsi="Times New Roman" w:cs="Times New Roman"/>
          <w:b/>
          <w:bCs/>
          <w:noProof/>
          <w:sz w:val="24"/>
          <w:szCs w:val="24"/>
        </w:rPr>
      </w:pPr>
      <w:r>
        <w:rPr>
          <w:rFonts w:ascii="Times New Roman" w:hAnsi="Times New Roman"/>
          <w:b/>
          <w:noProof/>
          <w:sz w:val="24"/>
        </w:rPr>
        <w:t>concernant l’exercice du pouvoir d’adopter des actes délégués conféré à la Commission en vertu de la directive 2010/63/UE du Parlement européen et du Conseil du 22 septembre 2010 relative à la protection des animaux utilisés à des fins scientifiques</w:t>
      </w:r>
      <w:r>
        <w:rPr>
          <w:noProof/>
        </w:rPr>
        <w:t xml:space="preserve"> </w:t>
      </w:r>
      <w:r>
        <w:rPr>
          <w:noProof/>
        </w:rPr>
        <w:br/>
      </w:r>
    </w:p>
    <w:p w14:paraId="59115AEB" w14:textId="45B10FD6" w:rsidR="0022337A" w:rsidRPr="00F106C0" w:rsidRDefault="0022337A" w:rsidP="009A6036">
      <w:pPr>
        <w:spacing w:before="480" w:after="120"/>
        <w:jc w:val="both"/>
        <w:rPr>
          <w:rFonts w:ascii="Times New Roman" w:hAnsi="Times New Roman" w:cs="Times New Roman"/>
          <w:b/>
          <w:noProof/>
          <w:sz w:val="24"/>
          <w:szCs w:val="24"/>
        </w:rPr>
      </w:pPr>
      <w:r>
        <w:rPr>
          <w:rFonts w:ascii="Times New Roman" w:hAnsi="Times New Roman"/>
          <w:b/>
          <w:noProof/>
          <w:sz w:val="24"/>
        </w:rPr>
        <w:t>1. INTRODUCTION</w:t>
      </w:r>
    </w:p>
    <w:p w14:paraId="09D9CF0D" w14:textId="6A157751" w:rsidR="00623532" w:rsidRPr="00F106C0" w:rsidRDefault="0020410F" w:rsidP="001962B9">
      <w:pPr>
        <w:jc w:val="both"/>
        <w:rPr>
          <w:rFonts w:ascii="Times New Roman" w:hAnsi="Times New Roman" w:cs="Times New Roman"/>
          <w:noProof/>
          <w:sz w:val="24"/>
          <w:szCs w:val="24"/>
        </w:rPr>
      </w:pPr>
      <w:r>
        <w:rPr>
          <w:rFonts w:ascii="Times New Roman" w:hAnsi="Times New Roman"/>
          <w:noProof/>
          <w:sz w:val="24"/>
        </w:rPr>
        <w:t>La directive 2010/63/UE du Parlement européen et du Conseil du 22 septembre 2010 relative à la protection des animaux utilisés à des fins scientifiques</w:t>
      </w:r>
      <w:r>
        <w:rPr>
          <w:rStyle w:val="FootnoteReference"/>
          <w:rFonts w:ascii="Times New Roman" w:hAnsi="Times New Roman" w:cs="Times New Roman"/>
          <w:noProof/>
          <w:sz w:val="24"/>
          <w:szCs w:val="24"/>
        </w:rPr>
        <w:footnoteReference w:id="1"/>
      </w:r>
      <w:r>
        <w:rPr>
          <w:rFonts w:ascii="Times New Roman" w:hAnsi="Times New Roman"/>
          <w:noProof/>
          <w:sz w:val="24"/>
        </w:rPr>
        <w:t xml:space="preserve"> (la «directive») établit des mesures pour la protection des animaux utilisés à des fins scientifiques ou éducatives. Elle fixe des règles concernant i) le remplacement et la réduction de l’utilisation d’animaux dans les procédures et le raffinement des conditions d’élevage, d’hébergement, de soins et d’utilisation des animaux dans ces procédures; ii) l’origine, l’élevage, le marquage, les soins, l’hébergement et la mise à mort des animaux; iii) les opérations et l’agrément des éleveurs, des fournisseurs et des utilisateurs; et iv) l’évaluation et l’autorisation de projets impliquant l’utilisation d’animaux dans des procédures.</w:t>
      </w:r>
    </w:p>
    <w:p w14:paraId="19AD0B00" w14:textId="5B92B864" w:rsidR="0022337A" w:rsidRPr="00F106C0" w:rsidRDefault="0022337A" w:rsidP="001962B9">
      <w:pPr>
        <w:jc w:val="both"/>
        <w:rPr>
          <w:rFonts w:ascii="Times New Roman" w:hAnsi="Times New Roman" w:cs="Times New Roman"/>
          <w:noProof/>
          <w:sz w:val="24"/>
          <w:szCs w:val="24"/>
        </w:rPr>
      </w:pPr>
      <w:r>
        <w:rPr>
          <w:rFonts w:ascii="Times New Roman" w:hAnsi="Times New Roman"/>
          <w:noProof/>
          <w:sz w:val="24"/>
        </w:rPr>
        <w:t>La directive habilite la Commission à adopter des actes délégués pour adapter les annexes I et III à VIII (à l’exception des dispositions des sections I et II de l’annexe VIII) au progrès scientifique et technique:</w:t>
      </w:r>
    </w:p>
    <w:p w14:paraId="71AC5415" w14:textId="6CC040FA" w:rsidR="0022337A" w:rsidRPr="00F106C0" w:rsidRDefault="00FC4925" w:rsidP="00020D01">
      <w:pPr>
        <w:pStyle w:val="ListParagraph"/>
        <w:numPr>
          <w:ilvl w:val="0"/>
          <w:numId w:val="1"/>
        </w:numPr>
        <w:autoSpaceDE w:val="0"/>
        <w:autoSpaceDN w:val="0"/>
        <w:adjustRightInd w:val="0"/>
        <w:spacing w:before="60" w:after="60" w:line="240" w:lineRule="auto"/>
        <w:rPr>
          <w:rFonts w:ascii="Times New Roman" w:hAnsi="Times New Roman" w:cs="Times New Roman"/>
          <w:noProof/>
          <w:sz w:val="24"/>
          <w:szCs w:val="24"/>
        </w:rPr>
      </w:pPr>
      <w:r>
        <w:rPr>
          <w:rFonts w:ascii="Times New Roman" w:hAnsi="Times New Roman"/>
          <w:noProof/>
          <w:sz w:val="24"/>
        </w:rPr>
        <w:t>Annexe I: Liste des espèces animales visées à l’article 10 [exigeant qu’elles soient spécifiquement élevées en vue de leur utilisation dans des procédures]</w:t>
      </w:r>
    </w:p>
    <w:p w14:paraId="7B22A136" w14:textId="18321D31" w:rsidR="00020D01" w:rsidRPr="00F106C0" w:rsidRDefault="00FC4925" w:rsidP="00020D01">
      <w:pPr>
        <w:pStyle w:val="ListParagraph"/>
        <w:numPr>
          <w:ilvl w:val="0"/>
          <w:numId w:val="1"/>
        </w:numPr>
        <w:autoSpaceDE w:val="0"/>
        <w:autoSpaceDN w:val="0"/>
        <w:adjustRightInd w:val="0"/>
        <w:spacing w:before="60" w:after="60" w:line="240" w:lineRule="auto"/>
        <w:rPr>
          <w:rFonts w:ascii="Times New Roman" w:hAnsi="Times New Roman" w:cs="Times New Roman"/>
          <w:noProof/>
          <w:sz w:val="24"/>
          <w:szCs w:val="24"/>
        </w:rPr>
      </w:pPr>
      <w:r>
        <w:rPr>
          <w:rFonts w:ascii="Times New Roman" w:hAnsi="Times New Roman"/>
          <w:noProof/>
          <w:sz w:val="24"/>
        </w:rPr>
        <w:t>Annexe III: Exigences relatives aux établissements et exigences relatives aux soins et à l’hébergement des animaux</w:t>
      </w:r>
    </w:p>
    <w:p w14:paraId="7A8F90EC" w14:textId="559697F2" w:rsidR="00020D01" w:rsidRPr="00F106C0" w:rsidRDefault="00FC4925" w:rsidP="00020D01">
      <w:pPr>
        <w:pStyle w:val="ListParagraph"/>
        <w:numPr>
          <w:ilvl w:val="0"/>
          <w:numId w:val="1"/>
        </w:numPr>
        <w:autoSpaceDE w:val="0"/>
        <w:autoSpaceDN w:val="0"/>
        <w:adjustRightInd w:val="0"/>
        <w:spacing w:before="60" w:after="60" w:line="240" w:lineRule="auto"/>
        <w:rPr>
          <w:rFonts w:ascii="Times New Roman" w:hAnsi="Times New Roman" w:cs="Times New Roman"/>
          <w:noProof/>
          <w:sz w:val="24"/>
          <w:szCs w:val="24"/>
        </w:rPr>
      </w:pPr>
      <w:r>
        <w:rPr>
          <w:rFonts w:ascii="Times New Roman" w:hAnsi="Times New Roman"/>
          <w:noProof/>
          <w:sz w:val="24"/>
        </w:rPr>
        <w:t>Annexe IV: Méthodes de mise à mort des animaux</w:t>
      </w:r>
    </w:p>
    <w:p w14:paraId="70B794C2" w14:textId="2F1526BF" w:rsidR="00020D01" w:rsidRPr="00F106C0" w:rsidRDefault="00FC4925" w:rsidP="00020D01">
      <w:pPr>
        <w:pStyle w:val="ListParagraph"/>
        <w:numPr>
          <w:ilvl w:val="0"/>
          <w:numId w:val="1"/>
        </w:numPr>
        <w:autoSpaceDE w:val="0"/>
        <w:autoSpaceDN w:val="0"/>
        <w:adjustRightInd w:val="0"/>
        <w:spacing w:before="60" w:after="60" w:line="240" w:lineRule="auto"/>
        <w:rPr>
          <w:rFonts w:ascii="Times New Roman" w:hAnsi="Times New Roman" w:cs="Times New Roman"/>
          <w:noProof/>
          <w:sz w:val="24"/>
          <w:szCs w:val="24"/>
        </w:rPr>
      </w:pPr>
      <w:r>
        <w:rPr>
          <w:rFonts w:ascii="Times New Roman" w:hAnsi="Times New Roman"/>
          <w:noProof/>
          <w:sz w:val="24"/>
        </w:rPr>
        <w:t>Annexe V: Liste des éléments visés à l’article 23, paragraphe 3 [servant de base aux États membres pour fixer des exigences minimales concernant le niveau d’études et de formation du personnel]</w:t>
      </w:r>
    </w:p>
    <w:p w14:paraId="4DD2CD63" w14:textId="378C5977" w:rsidR="00020D01" w:rsidRPr="00F106C0" w:rsidRDefault="00FC4925" w:rsidP="00020D01">
      <w:pPr>
        <w:pStyle w:val="ListParagraph"/>
        <w:numPr>
          <w:ilvl w:val="0"/>
          <w:numId w:val="1"/>
        </w:numPr>
        <w:autoSpaceDE w:val="0"/>
        <w:autoSpaceDN w:val="0"/>
        <w:adjustRightInd w:val="0"/>
        <w:spacing w:before="60" w:after="60" w:line="240" w:lineRule="auto"/>
        <w:rPr>
          <w:rFonts w:ascii="Times New Roman" w:hAnsi="Times New Roman" w:cs="Times New Roman"/>
          <w:noProof/>
          <w:sz w:val="24"/>
          <w:szCs w:val="24"/>
        </w:rPr>
      </w:pPr>
      <w:r>
        <w:rPr>
          <w:rFonts w:ascii="Times New Roman" w:hAnsi="Times New Roman"/>
          <w:noProof/>
          <w:sz w:val="24"/>
        </w:rPr>
        <w:t>Annexe VI: Liste des éléments visés à l’article 37, paragraphe 1, point c) [sur les informations à inclure dans une demande d’autorisation de projet]</w:t>
      </w:r>
    </w:p>
    <w:p w14:paraId="2B1E32FF" w14:textId="4BC1E728" w:rsidR="00020D01" w:rsidRPr="00F106C0" w:rsidRDefault="00FC4925" w:rsidP="00020D01">
      <w:pPr>
        <w:pStyle w:val="ListParagraph"/>
        <w:numPr>
          <w:ilvl w:val="0"/>
          <w:numId w:val="1"/>
        </w:numPr>
        <w:autoSpaceDE w:val="0"/>
        <w:autoSpaceDN w:val="0"/>
        <w:adjustRightInd w:val="0"/>
        <w:spacing w:before="60" w:after="60" w:line="240" w:lineRule="auto"/>
        <w:rPr>
          <w:rFonts w:ascii="Times New Roman" w:hAnsi="Times New Roman" w:cs="Times New Roman"/>
          <w:noProof/>
          <w:sz w:val="24"/>
          <w:szCs w:val="24"/>
        </w:rPr>
      </w:pPr>
      <w:r>
        <w:rPr>
          <w:rFonts w:ascii="Times New Roman" w:hAnsi="Times New Roman"/>
          <w:noProof/>
          <w:sz w:val="24"/>
        </w:rPr>
        <w:t>Annexe VII: Fonctions et tâches du laboratoire de référence de l’Union [établi pour coordonner la validation des méthodes alternatives au niveau de l’Union]</w:t>
      </w:r>
    </w:p>
    <w:p w14:paraId="409726EB" w14:textId="504B968D" w:rsidR="00020D01" w:rsidRPr="00F106C0" w:rsidRDefault="00FC4925" w:rsidP="00020D01">
      <w:pPr>
        <w:pStyle w:val="ListParagraph"/>
        <w:numPr>
          <w:ilvl w:val="0"/>
          <w:numId w:val="1"/>
        </w:numPr>
        <w:autoSpaceDE w:val="0"/>
        <w:autoSpaceDN w:val="0"/>
        <w:adjustRightInd w:val="0"/>
        <w:spacing w:before="60" w:after="60" w:line="240" w:lineRule="auto"/>
        <w:rPr>
          <w:rFonts w:ascii="Times New Roman" w:hAnsi="Times New Roman" w:cs="Times New Roman"/>
          <w:noProof/>
          <w:sz w:val="24"/>
          <w:szCs w:val="24"/>
        </w:rPr>
      </w:pPr>
      <w:r>
        <w:rPr>
          <w:rFonts w:ascii="Times New Roman" w:hAnsi="Times New Roman"/>
          <w:noProof/>
          <w:sz w:val="24"/>
        </w:rPr>
        <w:t>Annexe VIII: Classification des procédures selon leur degré de gravité [exemples de différents types de procédures attribuées à chacune des classes de gravité].</w:t>
      </w:r>
    </w:p>
    <w:p w14:paraId="6E96A5FE" w14:textId="7EDB917C" w:rsidR="0022337A" w:rsidRPr="00F106C0" w:rsidRDefault="0022337A" w:rsidP="009A6036">
      <w:pPr>
        <w:spacing w:before="480" w:after="120"/>
        <w:jc w:val="both"/>
        <w:rPr>
          <w:rFonts w:ascii="Times New Roman" w:hAnsi="Times New Roman" w:cs="Times New Roman"/>
          <w:b/>
          <w:noProof/>
          <w:sz w:val="24"/>
          <w:szCs w:val="24"/>
        </w:rPr>
      </w:pPr>
      <w:r>
        <w:rPr>
          <w:rFonts w:ascii="Times New Roman" w:hAnsi="Times New Roman"/>
          <w:b/>
          <w:noProof/>
          <w:sz w:val="24"/>
        </w:rPr>
        <w:t>2. BASE JURIDIQUE</w:t>
      </w:r>
    </w:p>
    <w:p w14:paraId="05EC80BD" w14:textId="312DDABB" w:rsidR="0022337A" w:rsidRPr="00F106C0" w:rsidRDefault="0022337A" w:rsidP="001962B9">
      <w:pPr>
        <w:jc w:val="both"/>
        <w:rPr>
          <w:rFonts w:ascii="Times New Roman" w:hAnsi="Times New Roman" w:cs="Times New Roman"/>
          <w:noProof/>
          <w:sz w:val="24"/>
          <w:szCs w:val="24"/>
        </w:rPr>
      </w:pPr>
      <w:r>
        <w:rPr>
          <w:rFonts w:ascii="Times New Roman" w:hAnsi="Times New Roman"/>
          <w:noProof/>
          <w:sz w:val="24"/>
        </w:rPr>
        <w:t>Le présent rapport est requis au titre de l’article 51, paragraphe 1, de la directive. En vertu de cette disposition, le pouvoir d’adopter des actes délégués a été conféré à la Commission pour une période de huit ans à compter du 9 novembre 2010. La Commission est tenue de présenter un rapport relatif aux pouvoirs délégués au plus tard douze mois avant la fin de la période de huit ans. La délégation de pouvoir est automatiquement renouvelée pour des périodes d’une durée identique, sauf si le Parlement européen ou le Conseil la révoque conformément à l’article 52.</w:t>
      </w:r>
    </w:p>
    <w:p w14:paraId="5D137833" w14:textId="57BD1343" w:rsidR="0022337A" w:rsidRPr="00F106C0" w:rsidRDefault="0022337A" w:rsidP="009A6036">
      <w:pPr>
        <w:spacing w:before="480" w:after="120"/>
        <w:jc w:val="both"/>
        <w:rPr>
          <w:rFonts w:ascii="Times New Roman" w:hAnsi="Times New Roman" w:cs="Times New Roman"/>
          <w:b/>
          <w:noProof/>
          <w:sz w:val="24"/>
          <w:szCs w:val="24"/>
        </w:rPr>
      </w:pPr>
      <w:r>
        <w:rPr>
          <w:rFonts w:ascii="Times New Roman" w:hAnsi="Times New Roman"/>
          <w:b/>
          <w:noProof/>
          <w:sz w:val="24"/>
        </w:rPr>
        <w:t>3. EXERCICE DE LA DÉLÉGATION</w:t>
      </w:r>
    </w:p>
    <w:p w14:paraId="792E6FD3" w14:textId="6F802883" w:rsidR="00214700" w:rsidRPr="00F106C0" w:rsidRDefault="00214700" w:rsidP="001962B9">
      <w:pPr>
        <w:spacing w:after="120" w:line="252" w:lineRule="auto"/>
        <w:jc w:val="both"/>
        <w:rPr>
          <w:rFonts w:ascii="Times New Roman" w:hAnsi="Times New Roman" w:cs="Times New Roman"/>
          <w:noProof/>
          <w:sz w:val="24"/>
          <w:szCs w:val="24"/>
        </w:rPr>
      </w:pPr>
      <w:r>
        <w:rPr>
          <w:rFonts w:ascii="Times New Roman" w:hAnsi="Times New Roman"/>
          <w:noProof/>
          <w:sz w:val="24"/>
        </w:rPr>
        <w:t>Au cours de la période couverte par le présent deuxième rapport (du 9 novembre 2018 au 8 novembre 2026), sur la base des informations actuellement disponibles, la Commission a adopté un acte délégué, la directive déléguée (UE) 2024/1262 de la Commission du 13 mars 2024</w:t>
      </w:r>
      <w:r>
        <w:rPr>
          <w:rStyle w:val="FootnoteReference"/>
          <w:rFonts w:ascii="Times New Roman" w:hAnsi="Times New Roman" w:cs="Times New Roman"/>
          <w:noProof/>
          <w:sz w:val="24"/>
          <w:szCs w:val="24"/>
        </w:rPr>
        <w:footnoteReference w:id="2"/>
      </w:r>
      <w:r>
        <w:rPr>
          <w:rFonts w:ascii="Times New Roman" w:hAnsi="Times New Roman"/>
          <w:noProof/>
          <w:sz w:val="24"/>
        </w:rPr>
        <w:t>.</w:t>
      </w:r>
    </w:p>
    <w:p w14:paraId="241DD555" w14:textId="229F1710" w:rsidR="00671135" w:rsidRPr="00F106C0" w:rsidRDefault="009D71AB" w:rsidP="001962B9">
      <w:pPr>
        <w:spacing w:after="120" w:line="252" w:lineRule="auto"/>
        <w:jc w:val="both"/>
        <w:rPr>
          <w:rFonts w:ascii="Times New Roman" w:hAnsi="Times New Roman" w:cs="Times New Roman"/>
          <w:noProof/>
          <w:sz w:val="24"/>
          <w:szCs w:val="24"/>
        </w:rPr>
      </w:pPr>
      <w:r>
        <w:rPr>
          <w:rFonts w:ascii="Times New Roman" w:hAnsi="Times New Roman"/>
          <w:noProof/>
          <w:sz w:val="24"/>
        </w:rPr>
        <w:t>La directive déléguée 2024/1262 a modifié les annexes III et IV de la directive afin de les adapter au progrès scientifique et technique. Au moment de l’adoption de la directive, les données scientifiques disponibles étaient insuffisantes en ce qui concerne les exigences appropriées en matière d’hébergement et de soins ainsi que les méthodes de mise à mort appropriées pour certaines espèces. Sur la base des données scientifiques recueillies depuis 2010, la modification de l’annexe III a mis à jour les exigences relatives aux établissements ainsi qu’aux soins et à l’hébergement des céphalopodes, des poissons zèbres et des passereaux, et la modification de l’annexe IV a mis à jour les méthodes de mise à mort des céphalopodes et des poissons zèbres.</w:t>
      </w:r>
    </w:p>
    <w:p w14:paraId="2B5F038D" w14:textId="6F42F9D2" w:rsidR="00D571FE" w:rsidRPr="00F106C0" w:rsidRDefault="00214700" w:rsidP="001962B9">
      <w:pPr>
        <w:spacing w:after="120" w:line="252" w:lineRule="auto"/>
        <w:jc w:val="both"/>
        <w:rPr>
          <w:rFonts w:ascii="Times New Roman" w:hAnsi="Times New Roman" w:cs="Times New Roman"/>
          <w:i/>
          <w:iCs/>
          <w:noProof/>
          <w:sz w:val="24"/>
          <w:szCs w:val="24"/>
        </w:rPr>
      </w:pPr>
      <w:r>
        <w:rPr>
          <w:rFonts w:ascii="Times New Roman" w:hAnsi="Times New Roman"/>
          <w:noProof/>
          <w:sz w:val="24"/>
        </w:rPr>
        <w:t>Lors de l’élaboration de la directive déléguée 2024/1262, la Commission a coopéré avec des experts techniques et scientifiques des États membres afin d’évaluer quelles adaptations étaient nécessaires à la lumière des progrès des connaissances techniques et scientifiques et des nouvelles connaissances sur les exigences en matière de bien-être des animaux. D’autres contributions scientifiques ont été demandées au comité scientifique des risques sanitaires, environnementaux et émergents (CSRSEE), qui a adopté son avis le 25 septembre 2023</w:t>
      </w:r>
      <w:r>
        <w:rPr>
          <w:rStyle w:val="FootnoteReference"/>
          <w:rFonts w:ascii="Times New Roman" w:hAnsi="Times New Roman" w:cs="Times New Roman"/>
          <w:noProof/>
          <w:sz w:val="24"/>
          <w:szCs w:val="24"/>
        </w:rPr>
        <w:footnoteReference w:id="3"/>
      </w:r>
      <w:r>
        <w:rPr>
          <w:rFonts w:ascii="Times New Roman" w:hAnsi="Times New Roman"/>
          <w:noProof/>
          <w:sz w:val="24"/>
        </w:rPr>
        <w:t>. Le processus a été mené en étroite concertation avec le groupe d’experts de la Commission sur la protection des animaux utilisés à des fins scientifiques, qui est composé i) des autorités compétentes des États membres; ii) de la communauté des éleveurs et des utilisateurs d’animaux, y compris l’industrie, la science et le monde universitaire; iii) de vétérinaires; et iv) d’ONG de défense du bien-être animal</w:t>
      </w:r>
      <w:r>
        <w:rPr>
          <w:rStyle w:val="FootnoteReference"/>
          <w:rFonts w:ascii="Times New Roman" w:hAnsi="Times New Roman" w:cs="Times New Roman"/>
          <w:noProof/>
          <w:sz w:val="24"/>
          <w:szCs w:val="24"/>
        </w:rPr>
        <w:footnoteReference w:id="4"/>
      </w:r>
      <w:r>
        <w:rPr>
          <w:rFonts w:ascii="Times New Roman" w:hAnsi="Times New Roman"/>
          <w:noProof/>
          <w:sz w:val="24"/>
        </w:rPr>
        <w:t>.</w:t>
      </w:r>
    </w:p>
    <w:sectPr w:rsidR="00D571FE" w:rsidRPr="00F106C0" w:rsidSect="00A551C2">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CB51E" w14:textId="77777777" w:rsidR="00D94EE6" w:rsidRPr="00F106C0" w:rsidRDefault="00D94EE6" w:rsidP="00606591">
      <w:pPr>
        <w:spacing w:after="0" w:line="240" w:lineRule="auto"/>
      </w:pPr>
      <w:r>
        <w:separator/>
      </w:r>
    </w:p>
  </w:endnote>
  <w:endnote w:type="continuationSeparator" w:id="0">
    <w:p w14:paraId="24EA7048" w14:textId="77777777" w:rsidR="00D94EE6" w:rsidRPr="00F106C0" w:rsidRDefault="00D94EE6" w:rsidP="00606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B9FE2" w14:textId="53B2A031" w:rsidR="00D960D5" w:rsidRPr="00D960D5" w:rsidRDefault="00D960D5" w:rsidP="00D960D5">
    <w:pPr>
      <w:pStyle w:val="FooterCoverPage"/>
      <w:rPr>
        <w:rFonts w:ascii="Arial" w:hAnsi="Arial" w:cs="Arial"/>
        <w:b/>
        <w:sz w:val="48"/>
      </w:rPr>
    </w:pPr>
    <w:r w:rsidRPr="00D960D5">
      <w:rPr>
        <w:rFonts w:ascii="Arial" w:hAnsi="Arial" w:cs="Arial"/>
        <w:b/>
        <w:sz w:val="48"/>
      </w:rPr>
      <w:t>FR</w:t>
    </w:r>
    <w:r w:rsidRPr="00D960D5">
      <w:rPr>
        <w:rFonts w:ascii="Arial" w:hAnsi="Arial" w:cs="Arial"/>
        <w:b/>
        <w:sz w:val="48"/>
      </w:rPr>
      <w:tab/>
    </w:r>
    <w:r w:rsidRPr="00D960D5">
      <w:rPr>
        <w:rFonts w:ascii="Arial" w:hAnsi="Arial" w:cs="Arial"/>
        <w:b/>
        <w:sz w:val="48"/>
      </w:rPr>
      <w:tab/>
    </w:r>
    <w:r w:rsidRPr="00D960D5">
      <w:tab/>
    </w:r>
    <w:r w:rsidRPr="00D960D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8E0C8" w14:textId="283EC110" w:rsidR="00D960D5" w:rsidRPr="00D960D5" w:rsidRDefault="00D960D5" w:rsidP="00D960D5">
    <w:pPr>
      <w:pStyle w:val="FooterCoverPage"/>
      <w:rPr>
        <w:rFonts w:ascii="Arial" w:hAnsi="Arial" w:cs="Arial"/>
        <w:b/>
        <w:sz w:val="48"/>
      </w:rPr>
    </w:pPr>
    <w:r w:rsidRPr="00D960D5">
      <w:rPr>
        <w:rFonts w:ascii="Arial" w:hAnsi="Arial" w:cs="Arial"/>
        <w:b/>
        <w:sz w:val="48"/>
      </w:rPr>
      <w:t>FR</w:t>
    </w:r>
    <w:r w:rsidRPr="00D960D5">
      <w:rPr>
        <w:rFonts w:ascii="Arial" w:hAnsi="Arial" w:cs="Arial"/>
        <w:b/>
        <w:sz w:val="48"/>
      </w:rPr>
      <w:tab/>
    </w:r>
    <w:r w:rsidRPr="00D960D5">
      <w:rPr>
        <w:rFonts w:ascii="Arial" w:hAnsi="Arial" w:cs="Arial"/>
        <w:b/>
        <w:sz w:val="48"/>
      </w:rPr>
      <w:tab/>
    </w:r>
    <w:r w:rsidRPr="00D960D5">
      <w:tab/>
    </w:r>
    <w:r w:rsidRPr="00D960D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29D59" w14:textId="77777777" w:rsidR="00D960D5" w:rsidRPr="00D960D5" w:rsidRDefault="00D960D5" w:rsidP="00D960D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C6685" w14:textId="77777777" w:rsidR="00A551C2" w:rsidRPr="00F106C0" w:rsidRDefault="00A551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ADC45" w14:textId="77777777" w:rsidR="00A551C2" w:rsidRPr="00F106C0" w:rsidRDefault="00A551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2D2BB" w14:textId="77777777" w:rsidR="00A551C2" w:rsidRPr="00F106C0" w:rsidRDefault="00A551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8CB4D9" w14:textId="77777777" w:rsidR="00D94EE6" w:rsidRPr="00F106C0" w:rsidRDefault="00D94EE6" w:rsidP="00606591">
      <w:pPr>
        <w:spacing w:after="0" w:line="240" w:lineRule="auto"/>
      </w:pPr>
      <w:r>
        <w:separator/>
      </w:r>
    </w:p>
  </w:footnote>
  <w:footnote w:type="continuationSeparator" w:id="0">
    <w:p w14:paraId="0232D1D8" w14:textId="77777777" w:rsidR="00D94EE6" w:rsidRPr="00F106C0" w:rsidRDefault="00D94EE6" w:rsidP="00606591">
      <w:pPr>
        <w:spacing w:after="0" w:line="240" w:lineRule="auto"/>
      </w:pPr>
      <w:r>
        <w:continuationSeparator/>
      </w:r>
    </w:p>
  </w:footnote>
  <w:footnote w:id="1">
    <w:p w14:paraId="1D893C7E" w14:textId="4F66895F" w:rsidR="0039413D" w:rsidRPr="0099234F" w:rsidRDefault="0039413D">
      <w:pPr>
        <w:pStyle w:val="FootnoteText"/>
      </w:pPr>
      <w:r>
        <w:rPr>
          <w:rStyle w:val="FootnoteReference"/>
        </w:rPr>
        <w:footnoteRef/>
      </w:r>
      <w:r>
        <w:t xml:space="preserve"> </w:t>
      </w:r>
      <w:r>
        <w:rPr>
          <w:sz w:val="16"/>
        </w:rPr>
        <w:t>JO L 276 du 20.10.2010, p. 33.</w:t>
      </w:r>
    </w:p>
  </w:footnote>
  <w:footnote w:id="2">
    <w:p w14:paraId="4E678DFB" w14:textId="4F92E9B6" w:rsidR="00214700" w:rsidRPr="0079467B" w:rsidRDefault="00214700" w:rsidP="00214700">
      <w:pPr>
        <w:pStyle w:val="FootnoteText"/>
        <w:jc w:val="both"/>
      </w:pPr>
      <w:r>
        <w:rPr>
          <w:rStyle w:val="Emphasis"/>
          <w:i w:val="0"/>
          <w:sz w:val="18"/>
          <w:szCs w:val="18"/>
          <w:vertAlign w:val="superscript"/>
        </w:rPr>
        <w:footnoteRef/>
      </w:r>
      <w:r>
        <w:rPr>
          <w:rStyle w:val="Emphasis"/>
          <w:sz w:val="18"/>
          <w:vertAlign w:val="superscript"/>
        </w:rPr>
        <w:t xml:space="preserve"> </w:t>
      </w:r>
      <w:r>
        <w:rPr>
          <w:rFonts w:ascii="Times New Roman" w:hAnsi="Times New Roman"/>
        </w:rPr>
        <w:t>JO L, 2024/1262, 15.5.2024, ELI: </w:t>
      </w:r>
      <w:hyperlink r:id="rId1" w:tgtFrame="_blank" w:tooltip="Donne accès à ce document par l’intermédiaire de son URI ELI." w:history="1">
        <w:r>
          <w:rPr>
            <w:rStyle w:val="Hyperlink"/>
            <w:rFonts w:ascii="Times New Roman" w:hAnsi="Times New Roman"/>
          </w:rPr>
          <w:t>http://data.europa.eu/eli/dir_del/2024/1262/oj</w:t>
        </w:r>
      </w:hyperlink>
      <w:r>
        <w:rPr>
          <w:rFonts w:ascii="Times New Roman" w:hAnsi="Times New Roman"/>
        </w:rPr>
        <w:t xml:space="preserve"> </w:t>
      </w:r>
    </w:p>
  </w:footnote>
  <w:footnote w:id="3">
    <w:p w14:paraId="3FD30D49" w14:textId="54981F78" w:rsidR="00EF197F" w:rsidRPr="0079467B" w:rsidRDefault="00EF197F">
      <w:pPr>
        <w:pStyle w:val="FootnoteText"/>
      </w:pPr>
      <w:r>
        <w:rPr>
          <w:rStyle w:val="FootnoteReference"/>
        </w:rPr>
        <w:footnoteRef/>
      </w:r>
      <w:r>
        <w:t xml:space="preserve"> </w:t>
      </w:r>
      <w:hyperlink r:id="rId2" w:history="1">
        <w:r>
          <w:rPr>
            <w:rStyle w:val="Hyperlink"/>
            <w:rFonts w:ascii="Times New Roman" w:hAnsi="Times New Roman"/>
          </w:rPr>
          <w:t>https://health.ec.europa.eu/publications/scheer-revision-annexes-iii-and-iv-directive-201063eu-protection-animals-used-scientific-purposes_fr</w:t>
        </w:r>
      </w:hyperlink>
      <w:r>
        <w:t>.</w:t>
      </w:r>
    </w:p>
  </w:footnote>
  <w:footnote w:id="4">
    <w:p w14:paraId="19E3EAF4" w14:textId="04D60FA8" w:rsidR="008A503E" w:rsidRPr="00F106C0" w:rsidRDefault="008A503E">
      <w:pPr>
        <w:pStyle w:val="FootnoteText"/>
      </w:pPr>
      <w:r>
        <w:rPr>
          <w:rStyle w:val="FootnoteReference"/>
        </w:rPr>
        <w:footnoteRef/>
      </w:r>
      <w:r>
        <w:t xml:space="preserve"> </w:t>
      </w:r>
      <w:r>
        <w:rPr>
          <w:rFonts w:ascii="Times New Roman" w:hAnsi="Times New Roman"/>
        </w:rPr>
        <w:t>Voir en particulier les comptes rendus sommaires de la 21</w:t>
      </w:r>
      <w:r>
        <w:rPr>
          <w:rFonts w:ascii="Times New Roman" w:hAnsi="Times New Roman"/>
          <w:vertAlign w:val="superscript"/>
        </w:rPr>
        <w:t>e</w:t>
      </w:r>
      <w:r>
        <w:rPr>
          <w:rFonts w:ascii="Times New Roman" w:hAnsi="Times New Roman"/>
        </w:rPr>
        <w:t xml:space="preserve"> à la 24</w:t>
      </w:r>
      <w:r>
        <w:rPr>
          <w:rFonts w:ascii="Times New Roman" w:hAnsi="Times New Roman"/>
          <w:vertAlign w:val="superscript"/>
        </w:rPr>
        <w:t>e</w:t>
      </w:r>
      <w:r>
        <w:rPr>
          <w:rFonts w:ascii="Times New Roman" w:hAnsi="Times New Roman"/>
        </w:rPr>
        <w:t xml:space="preserve"> réunion et de la réunion ad hoc du 7 février 2024 du</w:t>
      </w:r>
      <w:r>
        <w:t xml:space="preserve"> </w:t>
      </w:r>
      <w:hyperlink r:id="rId3" w:tgtFrame="_self" w:history="1">
        <w:r>
          <w:rPr>
            <w:rStyle w:val="Hyperlink"/>
            <w:rFonts w:ascii="Times New Roman" w:hAnsi="Times New Roman"/>
          </w:rPr>
          <w:t>groupe d’experts des autorités compétentes sur la protection des animaux utilisés à des fins scientifiques</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58725" w14:textId="77777777" w:rsidR="00D960D5" w:rsidRPr="00D960D5" w:rsidRDefault="00D960D5" w:rsidP="00D960D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5A5D8" w14:textId="77777777" w:rsidR="00D960D5" w:rsidRPr="00D960D5" w:rsidRDefault="00D960D5" w:rsidP="00D960D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D3893" w14:textId="77777777" w:rsidR="00D960D5" w:rsidRPr="00D960D5" w:rsidRDefault="00D960D5" w:rsidP="00D960D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04C67" w14:textId="77777777" w:rsidR="00A551C2" w:rsidRPr="00F106C0" w:rsidRDefault="00A551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029C8" w14:textId="77777777" w:rsidR="00A551C2" w:rsidRPr="00F106C0" w:rsidRDefault="00A551C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49B9D" w14:textId="77777777" w:rsidR="00A551C2" w:rsidRPr="00F106C0" w:rsidRDefault="00A551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8C3959"/>
    <w:multiLevelType w:val="hybridMultilevel"/>
    <w:tmpl w:val="75CEF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BCD8D69-984F-4485-ACAA-29697DF36A2F"/>
    <w:docVar w:name="LW_COVERPAGE_TYPE" w:val="1"/>
    <w:docVar w:name="LW_CROSSREFERENCE" w:val="&lt;UNUSED&gt;"/>
    <w:docVar w:name="LW_DocType" w:val="NORMAL"/>
    <w:docVar w:name="LW_EMISSION" w:val="4.6.2026"/>
    <w:docVar w:name="LW_EMISSION_ISODATE" w:val="2026-06-04"/>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concernant l'exercice du pouvoir d'adopter des actes délégués conféré à la Commission en vertu de la directive 2010/63/UE du Parlement européen et du Conseil du _x000d__x000b_22 septembre 2010 relative à la protection des animaux utilisés à des fins scientifiques"/>
    <w:docVar w:name="LW_TYPE.DOC.CP" w:val="RAPPORT DE LA COMMISSION AU PARLEMENT EUROPÉEN ET AU CONSEIL"/>
    <w:docVar w:name="LwApiVersions" w:val="LW4CoDe 1.24.5.0; LW 9.2, Build 20251112"/>
  </w:docVars>
  <w:rsids>
    <w:rsidRoot w:val="0022337A"/>
    <w:rsid w:val="00001837"/>
    <w:rsid w:val="00013584"/>
    <w:rsid w:val="00015068"/>
    <w:rsid w:val="00020D01"/>
    <w:rsid w:val="00033632"/>
    <w:rsid w:val="000368D1"/>
    <w:rsid w:val="00045061"/>
    <w:rsid w:val="00052E4A"/>
    <w:rsid w:val="00053828"/>
    <w:rsid w:val="000751A2"/>
    <w:rsid w:val="00091761"/>
    <w:rsid w:val="000B065D"/>
    <w:rsid w:val="000B2D8F"/>
    <w:rsid w:val="000D1216"/>
    <w:rsid w:val="00121572"/>
    <w:rsid w:val="00152AA8"/>
    <w:rsid w:val="00155739"/>
    <w:rsid w:val="00164BF3"/>
    <w:rsid w:val="00165FD0"/>
    <w:rsid w:val="001711B5"/>
    <w:rsid w:val="0018583C"/>
    <w:rsid w:val="001942FE"/>
    <w:rsid w:val="001962B9"/>
    <w:rsid w:val="001A042A"/>
    <w:rsid w:val="001B5738"/>
    <w:rsid w:val="001D6BB1"/>
    <w:rsid w:val="001E1939"/>
    <w:rsid w:val="001E1C2B"/>
    <w:rsid w:val="00202799"/>
    <w:rsid w:val="0020410F"/>
    <w:rsid w:val="00210488"/>
    <w:rsid w:val="00214700"/>
    <w:rsid w:val="00214E97"/>
    <w:rsid w:val="00214E99"/>
    <w:rsid w:val="00215AF5"/>
    <w:rsid w:val="00217322"/>
    <w:rsid w:val="00220F65"/>
    <w:rsid w:val="0022301A"/>
    <w:rsid w:val="0022337A"/>
    <w:rsid w:val="00226119"/>
    <w:rsid w:val="0023302D"/>
    <w:rsid w:val="0023352D"/>
    <w:rsid w:val="00244896"/>
    <w:rsid w:val="0025438C"/>
    <w:rsid w:val="00256903"/>
    <w:rsid w:val="00260855"/>
    <w:rsid w:val="0026395E"/>
    <w:rsid w:val="0027656E"/>
    <w:rsid w:val="002C6CA7"/>
    <w:rsid w:val="002D1508"/>
    <w:rsid w:val="002E3F2E"/>
    <w:rsid w:val="002F5806"/>
    <w:rsid w:val="002F754F"/>
    <w:rsid w:val="00307E58"/>
    <w:rsid w:val="00323F0C"/>
    <w:rsid w:val="0032652A"/>
    <w:rsid w:val="0034179E"/>
    <w:rsid w:val="003502E5"/>
    <w:rsid w:val="00364DA1"/>
    <w:rsid w:val="00373A7D"/>
    <w:rsid w:val="00383AAA"/>
    <w:rsid w:val="003910C0"/>
    <w:rsid w:val="00391A3D"/>
    <w:rsid w:val="0039413D"/>
    <w:rsid w:val="00395215"/>
    <w:rsid w:val="003978AC"/>
    <w:rsid w:val="003C30FD"/>
    <w:rsid w:val="003D3916"/>
    <w:rsid w:val="003E1B5D"/>
    <w:rsid w:val="003E1FDA"/>
    <w:rsid w:val="003E7AD2"/>
    <w:rsid w:val="003F4C61"/>
    <w:rsid w:val="004020EB"/>
    <w:rsid w:val="00407B6F"/>
    <w:rsid w:val="00412971"/>
    <w:rsid w:val="0043158F"/>
    <w:rsid w:val="00440942"/>
    <w:rsid w:val="004472A4"/>
    <w:rsid w:val="00456DE6"/>
    <w:rsid w:val="0045750B"/>
    <w:rsid w:val="0046788F"/>
    <w:rsid w:val="00486669"/>
    <w:rsid w:val="00492C63"/>
    <w:rsid w:val="00495783"/>
    <w:rsid w:val="00496B75"/>
    <w:rsid w:val="00497238"/>
    <w:rsid w:val="004A5FDF"/>
    <w:rsid w:val="004A66BA"/>
    <w:rsid w:val="004B33F0"/>
    <w:rsid w:val="004B4725"/>
    <w:rsid w:val="004D2055"/>
    <w:rsid w:val="0050622B"/>
    <w:rsid w:val="00513ED3"/>
    <w:rsid w:val="0051548E"/>
    <w:rsid w:val="00522156"/>
    <w:rsid w:val="00531277"/>
    <w:rsid w:val="00532205"/>
    <w:rsid w:val="00533085"/>
    <w:rsid w:val="0053595F"/>
    <w:rsid w:val="00542BC6"/>
    <w:rsid w:val="00551441"/>
    <w:rsid w:val="00581694"/>
    <w:rsid w:val="005A01D7"/>
    <w:rsid w:val="005A193E"/>
    <w:rsid w:val="005A19AA"/>
    <w:rsid w:val="005A222C"/>
    <w:rsid w:val="005A36D6"/>
    <w:rsid w:val="005C5DD3"/>
    <w:rsid w:val="005C74EC"/>
    <w:rsid w:val="005E2589"/>
    <w:rsid w:val="005E437A"/>
    <w:rsid w:val="006011A5"/>
    <w:rsid w:val="00603571"/>
    <w:rsid w:val="00606591"/>
    <w:rsid w:val="00611228"/>
    <w:rsid w:val="00617990"/>
    <w:rsid w:val="00623532"/>
    <w:rsid w:val="0062358F"/>
    <w:rsid w:val="00643FB4"/>
    <w:rsid w:val="00661AFC"/>
    <w:rsid w:val="006643A0"/>
    <w:rsid w:val="0066495B"/>
    <w:rsid w:val="00670217"/>
    <w:rsid w:val="00671135"/>
    <w:rsid w:val="00674550"/>
    <w:rsid w:val="00692824"/>
    <w:rsid w:val="00693BDA"/>
    <w:rsid w:val="00696782"/>
    <w:rsid w:val="006A0162"/>
    <w:rsid w:val="006B0C2E"/>
    <w:rsid w:val="006C58D1"/>
    <w:rsid w:val="006C6EF4"/>
    <w:rsid w:val="006D4A18"/>
    <w:rsid w:val="006D7368"/>
    <w:rsid w:val="006F7DEB"/>
    <w:rsid w:val="007136AB"/>
    <w:rsid w:val="0073745A"/>
    <w:rsid w:val="00765370"/>
    <w:rsid w:val="007828E1"/>
    <w:rsid w:val="00787430"/>
    <w:rsid w:val="0079467B"/>
    <w:rsid w:val="007A378E"/>
    <w:rsid w:val="007A7126"/>
    <w:rsid w:val="007C38F2"/>
    <w:rsid w:val="007D05CC"/>
    <w:rsid w:val="007D17B4"/>
    <w:rsid w:val="007F4759"/>
    <w:rsid w:val="0082598D"/>
    <w:rsid w:val="00827D0E"/>
    <w:rsid w:val="00835067"/>
    <w:rsid w:val="00835F0E"/>
    <w:rsid w:val="008474A9"/>
    <w:rsid w:val="00881416"/>
    <w:rsid w:val="008977BB"/>
    <w:rsid w:val="00897BB2"/>
    <w:rsid w:val="008A503E"/>
    <w:rsid w:val="008B1608"/>
    <w:rsid w:val="008B7CDA"/>
    <w:rsid w:val="008D2A73"/>
    <w:rsid w:val="0090328E"/>
    <w:rsid w:val="009039D1"/>
    <w:rsid w:val="009150C9"/>
    <w:rsid w:val="00920B70"/>
    <w:rsid w:val="009248EB"/>
    <w:rsid w:val="00931BF3"/>
    <w:rsid w:val="00932C8A"/>
    <w:rsid w:val="0094148C"/>
    <w:rsid w:val="00954773"/>
    <w:rsid w:val="00964987"/>
    <w:rsid w:val="009851D9"/>
    <w:rsid w:val="00987525"/>
    <w:rsid w:val="0099234F"/>
    <w:rsid w:val="009A3006"/>
    <w:rsid w:val="009A3A99"/>
    <w:rsid w:val="009A6036"/>
    <w:rsid w:val="009B73D2"/>
    <w:rsid w:val="009C03F9"/>
    <w:rsid w:val="009C6E73"/>
    <w:rsid w:val="009D08BC"/>
    <w:rsid w:val="009D10E9"/>
    <w:rsid w:val="009D4363"/>
    <w:rsid w:val="009D71AB"/>
    <w:rsid w:val="009F0795"/>
    <w:rsid w:val="009F1D45"/>
    <w:rsid w:val="00A01FB3"/>
    <w:rsid w:val="00A13A19"/>
    <w:rsid w:val="00A20568"/>
    <w:rsid w:val="00A24D8E"/>
    <w:rsid w:val="00A401E5"/>
    <w:rsid w:val="00A4336B"/>
    <w:rsid w:val="00A44B2A"/>
    <w:rsid w:val="00A50457"/>
    <w:rsid w:val="00A51144"/>
    <w:rsid w:val="00A551C2"/>
    <w:rsid w:val="00A637C6"/>
    <w:rsid w:val="00A80BB7"/>
    <w:rsid w:val="00A83912"/>
    <w:rsid w:val="00A875C7"/>
    <w:rsid w:val="00AA0116"/>
    <w:rsid w:val="00AB1058"/>
    <w:rsid w:val="00AD692E"/>
    <w:rsid w:val="00AF1E65"/>
    <w:rsid w:val="00AF703C"/>
    <w:rsid w:val="00AF7B6D"/>
    <w:rsid w:val="00B07471"/>
    <w:rsid w:val="00B12691"/>
    <w:rsid w:val="00B21872"/>
    <w:rsid w:val="00B25EA3"/>
    <w:rsid w:val="00B30085"/>
    <w:rsid w:val="00B32B29"/>
    <w:rsid w:val="00B4130C"/>
    <w:rsid w:val="00B5082D"/>
    <w:rsid w:val="00B5793B"/>
    <w:rsid w:val="00B63B1D"/>
    <w:rsid w:val="00B65401"/>
    <w:rsid w:val="00B668E3"/>
    <w:rsid w:val="00B82421"/>
    <w:rsid w:val="00B83ED4"/>
    <w:rsid w:val="00B9046F"/>
    <w:rsid w:val="00BB4BD3"/>
    <w:rsid w:val="00BB6184"/>
    <w:rsid w:val="00BD2001"/>
    <w:rsid w:val="00C123B4"/>
    <w:rsid w:val="00C1797D"/>
    <w:rsid w:val="00C33964"/>
    <w:rsid w:val="00C34636"/>
    <w:rsid w:val="00C4037D"/>
    <w:rsid w:val="00C42B67"/>
    <w:rsid w:val="00C55678"/>
    <w:rsid w:val="00C56277"/>
    <w:rsid w:val="00C742A8"/>
    <w:rsid w:val="00C82FBB"/>
    <w:rsid w:val="00C83E17"/>
    <w:rsid w:val="00C9158D"/>
    <w:rsid w:val="00CB4BEF"/>
    <w:rsid w:val="00CD63AB"/>
    <w:rsid w:val="00CD6988"/>
    <w:rsid w:val="00CF2734"/>
    <w:rsid w:val="00CF6CF7"/>
    <w:rsid w:val="00D16E30"/>
    <w:rsid w:val="00D27928"/>
    <w:rsid w:val="00D313F4"/>
    <w:rsid w:val="00D33DA6"/>
    <w:rsid w:val="00D40ACE"/>
    <w:rsid w:val="00D571FE"/>
    <w:rsid w:val="00D62779"/>
    <w:rsid w:val="00D75073"/>
    <w:rsid w:val="00D9315A"/>
    <w:rsid w:val="00D94EE6"/>
    <w:rsid w:val="00D960D5"/>
    <w:rsid w:val="00DB7B55"/>
    <w:rsid w:val="00DD2CDC"/>
    <w:rsid w:val="00DE3766"/>
    <w:rsid w:val="00DF3E55"/>
    <w:rsid w:val="00E00EF2"/>
    <w:rsid w:val="00E068B4"/>
    <w:rsid w:val="00E074F9"/>
    <w:rsid w:val="00E22953"/>
    <w:rsid w:val="00E30483"/>
    <w:rsid w:val="00E4255D"/>
    <w:rsid w:val="00E43CE5"/>
    <w:rsid w:val="00E451BA"/>
    <w:rsid w:val="00E4605F"/>
    <w:rsid w:val="00E60322"/>
    <w:rsid w:val="00E65E55"/>
    <w:rsid w:val="00E732BD"/>
    <w:rsid w:val="00E7668E"/>
    <w:rsid w:val="00E84B36"/>
    <w:rsid w:val="00E92AA9"/>
    <w:rsid w:val="00EA1CF1"/>
    <w:rsid w:val="00EA622F"/>
    <w:rsid w:val="00EC50D6"/>
    <w:rsid w:val="00EC6117"/>
    <w:rsid w:val="00EE0195"/>
    <w:rsid w:val="00EE20B6"/>
    <w:rsid w:val="00EF197F"/>
    <w:rsid w:val="00EF2FB7"/>
    <w:rsid w:val="00EF5C75"/>
    <w:rsid w:val="00F03528"/>
    <w:rsid w:val="00F106C0"/>
    <w:rsid w:val="00F26CA9"/>
    <w:rsid w:val="00F273B4"/>
    <w:rsid w:val="00F373C2"/>
    <w:rsid w:val="00F41C78"/>
    <w:rsid w:val="00F42521"/>
    <w:rsid w:val="00F65A1F"/>
    <w:rsid w:val="00F7102F"/>
    <w:rsid w:val="00F74F60"/>
    <w:rsid w:val="00FB3AC9"/>
    <w:rsid w:val="00FC4925"/>
    <w:rsid w:val="00FD3BF2"/>
    <w:rsid w:val="00FD60D3"/>
    <w:rsid w:val="00FD7A80"/>
    <w:rsid w:val="00FE5B1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9E5473"/>
  <w15:docId w15:val="{7D626019-7201-4C8A-8C44-15EB80222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22337A"/>
    <w:pPr>
      <w:autoSpaceDE w:val="0"/>
      <w:autoSpaceDN w:val="0"/>
      <w:adjustRightInd w:val="0"/>
      <w:spacing w:after="0" w:line="240" w:lineRule="auto"/>
    </w:pPr>
    <w:rPr>
      <w:rFonts w:ascii="Arial" w:hAnsi="Arial" w:cs="Arial"/>
      <w:color w:val="000000"/>
      <w:sz w:val="24"/>
      <w:szCs w:val="24"/>
    </w:rPr>
  </w:style>
  <w:style w:type="paragraph" w:customStyle="1" w:styleId="CM4">
    <w:name w:val="CM4"/>
    <w:basedOn w:val="Default"/>
    <w:next w:val="Default"/>
    <w:uiPriority w:val="99"/>
    <w:rsid w:val="00A637C6"/>
    <w:rPr>
      <w:rFonts w:ascii="EUAlbertina" w:hAnsi="EUAlbertina" w:cstheme="minorBidi"/>
      <w:color w:val="auto"/>
    </w:rPr>
  </w:style>
  <w:style w:type="paragraph" w:styleId="FootnoteText">
    <w:name w:val="footnote text"/>
    <w:basedOn w:val="Normal"/>
    <w:uiPriority w:val="99"/>
    <w:semiHidden/>
    <w:unhideWhenUsed/>
    <w:rsid w:val="00606591"/>
    <w:pPr>
      <w:spacing w:after="0" w:line="240" w:lineRule="auto"/>
    </w:pPr>
    <w:rPr>
      <w:sz w:val="20"/>
      <w:szCs w:val="20"/>
    </w:rPr>
  </w:style>
  <w:style w:type="character" w:customStyle="1" w:styleId="FootnoteTextChar">
    <w:name w:val="Footnote Text Char"/>
    <w:basedOn w:val="DefaultParagraphFont"/>
    <w:uiPriority w:val="99"/>
    <w:semiHidden/>
    <w:rsid w:val="00606591"/>
    <w:rPr>
      <w:sz w:val="20"/>
      <w:szCs w:val="20"/>
    </w:rPr>
  </w:style>
  <w:style w:type="character" w:styleId="FootnoteReference">
    <w:name w:val="footnote reference"/>
    <w:basedOn w:val="DefaultParagraphFont"/>
    <w:uiPriority w:val="99"/>
    <w:semiHidden/>
    <w:unhideWhenUsed/>
    <w:rsid w:val="00606591"/>
    <w:rPr>
      <w:vertAlign w:val="superscript"/>
    </w:rPr>
  </w:style>
  <w:style w:type="paragraph" w:styleId="ListParagraph">
    <w:name w:val="List Paragraph"/>
    <w:basedOn w:val="Normal"/>
    <w:uiPriority w:val="34"/>
    <w:qFormat/>
    <w:rsid w:val="00020D01"/>
    <w:pPr>
      <w:ind w:left="720"/>
      <w:contextualSpacing/>
    </w:pPr>
  </w:style>
  <w:style w:type="paragraph" w:styleId="BalloonText">
    <w:name w:val="Balloon Text"/>
    <w:basedOn w:val="Normal"/>
    <w:link w:val="BalloonTextChar"/>
    <w:uiPriority w:val="99"/>
    <w:semiHidden/>
    <w:unhideWhenUsed/>
    <w:rsid w:val="00164B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4BF3"/>
    <w:rPr>
      <w:rFonts w:ascii="Tahoma" w:hAnsi="Tahoma" w:cs="Tahoma"/>
      <w:sz w:val="16"/>
      <w:szCs w:val="16"/>
    </w:rPr>
  </w:style>
  <w:style w:type="character" w:styleId="CommentReference">
    <w:name w:val="annotation reference"/>
    <w:basedOn w:val="DefaultParagraphFont"/>
    <w:uiPriority w:val="99"/>
    <w:semiHidden/>
    <w:unhideWhenUsed/>
    <w:rsid w:val="005C5DD3"/>
    <w:rPr>
      <w:sz w:val="16"/>
      <w:szCs w:val="16"/>
    </w:rPr>
  </w:style>
  <w:style w:type="paragraph" w:styleId="CommentText">
    <w:name w:val="annotation text"/>
    <w:basedOn w:val="Normal"/>
    <w:link w:val="CommentTextChar"/>
    <w:uiPriority w:val="99"/>
    <w:unhideWhenUsed/>
    <w:rsid w:val="005C5DD3"/>
    <w:pPr>
      <w:spacing w:line="240" w:lineRule="auto"/>
    </w:pPr>
    <w:rPr>
      <w:sz w:val="20"/>
      <w:szCs w:val="20"/>
    </w:rPr>
  </w:style>
  <w:style w:type="character" w:customStyle="1" w:styleId="CommentTextChar">
    <w:name w:val="Comment Text Char"/>
    <w:basedOn w:val="DefaultParagraphFont"/>
    <w:link w:val="CommentText"/>
    <w:uiPriority w:val="99"/>
    <w:rsid w:val="005C5DD3"/>
    <w:rPr>
      <w:sz w:val="20"/>
      <w:szCs w:val="20"/>
    </w:rPr>
  </w:style>
  <w:style w:type="paragraph" w:styleId="CommentSubject">
    <w:name w:val="annotation subject"/>
    <w:basedOn w:val="CommentText"/>
    <w:next w:val="CommentText"/>
    <w:link w:val="CommentSubjectChar"/>
    <w:uiPriority w:val="99"/>
    <w:semiHidden/>
    <w:unhideWhenUsed/>
    <w:rsid w:val="005C5DD3"/>
    <w:rPr>
      <w:b/>
      <w:bCs/>
    </w:rPr>
  </w:style>
  <w:style w:type="character" w:customStyle="1" w:styleId="CommentSubjectChar">
    <w:name w:val="Comment Subject Char"/>
    <w:basedOn w:val="CommentTextChar"/>
    <w:link w:val="CommentSubject"/>
    <w:uiPriority w:val="99"/>
    <w:semiHidden/>
    <w:rsid w:val="005C5DD3"/>
    <w:rPr>
      <w:b/>
      <w:bCs/>
      <w:sz w:val="20"/>
      <w:szCs w:val="20"/>
    </w:rPr>
  </w:style>
  <w:style w:type="character" w:customStyle="1" w:styleId="Marker">
    <w:name w:val="Marker"/>
    <w:basedOn w:val="DefaultParagraphFont"/>
    <w:rsid w:val="00A551C2"/>
    <w:rPr>
      <w:color w:val="0000FF"/>
      <w:shd w:val="clear" w:color="auto" w:fill="auto"/>
    </w:rPr>
  </w:style>
  <w:style w:type="paragraph" w:customStyle="1" w:styleId="Pagedecouverture">
    <w:name w:val="Page de couverture"/>
    <w:basedOn w:val="Normal"/>
    <w:next w:val="Normal"/>
    <w:rsid w:val="00A551C2"/>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052E4A"/>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A551C2"/>
    <w:rPr>
      <w:rFonts w:ascii="Times New Roman" w:hAnsi="Times New Roman" w:cs="Times New Roman"/>
      <w:sz w:val="24"/>
    </w:rPr>
  </w:style>
  <w:style w:type="paragraph" w:styleId="Footer">
    <w:name w:val="footer"/>
    <w:basedOn w:val="Normal"/>
    <w:link w:val="FooterChar"/>
    <w:uiPriority w:val="99"/>
    <w:unhideWhenUsed/>
    <w:rsid w:val="00052E4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A551C2"/>
    <w:rPr>
      <w:rFonts w:ascii="Times New Roman" w:hAnsi="Times New Roman" w:cs="Times New Roman"/>
      <w:sz w:val="24"/>
    </w:rPr>
  </w:style>
  <w:style w:type="paragraph" w:customStyle="1" w:styleId="FooterCoverPage">
    <w:name w:val="Footer Cover Page"/>
    <w:basedOn w:val="Normal"/>
    <w:link w:val="FooterCoverPageChar"/>
    <w:rsid w:val="00A551C2"/>
    <w:pPr>
      <w:pageBreakBefore/>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DefaultChar">
    <w:name w:val="Default Char"/>
    <w:basedOn w:val="DefaultParagraphFont"/>
    <w:link w:val="Default"/>
    <w:rsid w:val="00A551C2"/>
    <w:rPr>
      <w:rFonts w:ascii="Arial" w:hAnsi="Arial" w:cs="Arial"/>
      <w:color w:val="000000"/>
      <w:sz w:val="24"/>
      <w:szCs w:val="24"/>
    </w:rPr>
  </w:style>
  <w:style w:type="character" w:customStyle="1" w:styleId="FooterCoverPageChar">
    <w:name w:val="Footer Cover Page Char"/>
    <w:basedOn w:val="DefaultChar"/>
    <w:link w:val="FooterCoverPage"/>
    <w:rsid w:val="00A551C2"/>
    <w:rPr>
      <w:rFonts w:ascii="Times New Roman" w:hAnsi="Times New Roman" w:cs="Times New Roman"/>
      <w:color w:val="000000"/>
      <w:sz w:val="24"/>
      <w:szCs w:val="24"/>
    </w:rPr>
  </w:style>
  <w:style w:type="paragraph" w:customStyle="1" w:styleId="HeaderCoverPage">
    <w:name w:val="Header Cover Page"/>
    <w:basedOn w:val="Normal"/>
    <w:link w:val="HeaderCoverPageChar"/>
    <w:rsid w:val="00A551C2"/>
    <w:pPr>
      <w:pageBreakBefore/>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Char"/>
    <w:link w:val="HeaderCoverPage"/>
    <w:rsid w:val="00A551C2"/>
    <w:rPr>
      <w:rFonts w:ascii="Times New Roman" w:hAnsi="Times New Roman" w:cs="Times New Roman"/>
      <w:color w:val="000000"/>
      <w:sz w:val="24"/>
      <w:szCs w:val="24"/>
    </w:rPr>
  </w:style>
  <w:style w:type="paragraph" w:styleId="Revision">
    <w:name w:val="Revision"/>
    <w:hidden/>
    <w:uiPriority w:val="99"/>
    <w:semiHidden/>
    <w:rsid w:val="00C34636"/>
    <w:pPr>
      <w:spacing w:after="0" w:line="240" w:lineRule="auto"/>
    </w:pPr>
  </w:style>
  <w:style w:type="character" w:styleId="Emphasis">
    <w:name w:val="Emphasis"/>
    <w:uiPriority w:val="20"/>
    <w:qFormat/>
    <w:rsid w:val="00214700"/>
    <w:rPr>
      <w:rFonts w:ascii="Times New Roman" w:hAnsi="Times New Roman" w:cs="Times New Roman" w:hint="default"/>
      <w:i/>
      <w:iCs/>
    </w:rPr>
  </w:style>
  <w:style w:type="character" w:customStyle="1" w:styleId="Mention">
    <w:name w:val="Mention"/>
    <w:basedOn w:val="DefaultParagraphFont"/>
    <w:uiPriority w:val="99"/>
    <w:unhideWhenUsed/>
    <w:rsid w:val="003502E5"/>
    <w:rPr>
      <w:color w:val="2B579A"/>
      <w:shd w:val="clear" w:color="auto" w:fill="E1DFDD"/>
    </w:rPr>
  </w:style>
  <w:style w:type="character" w:styleId="Hyperlink">
    <w:name w:val="Hyperlink"/>
    <w:basedOn w:val="DefaultParagraphFont"/>
    <w:uiPriority w:val="99"/>
    <w:unhideWhenUsed/>
    <w:rsid w:val="00091761"/>
    <w:rPr>
      <w:color w:val="0000FF" w:themeColor="hyperlink"/>
      <w:u w:val="single"/>
    </w:rPr>
  </w:style>
  <w:style w:type="character" w:customStyle="1" w:styleId="UnresolvedMention">
    <w:name w:val="Unresolved Mention"/>
    <w:basedOn w:val="DefaultParagraphFont"/>
    <w:uiPriority w:val="99"/>
    <w:semiHidden/>
    <w:unhideWhenUsed/>
    <w:rsid w:val="00091761"/>
    <w:rPr>
      <w:color w:val="605E5C"/>
      <w:shd w:val="clear" w:color="auto" w:fill="E1DFDD"/>
    </w:rPr>
  </w:style>
  <w:style w:type="character" w:styleId="FollowedHyperlink">
    <w:name w:val="FollowedHyperlink"/>
    <w:basedOn w:val="DefaultParagraphFont"/>
    <w:uiPriority w:val="99"/>
    <w:semiHidden/>
    <w:unhideWhenUsed/>
    <w:rsid w:val="007A378E"/>
    <w:rPr>
      <w:color w:val="800080" w:themeColor="followedHyperlink"/>
      <w:u w:val="single"/>
    </w:rPr>
  </w:style>
  <w:style w:type="paragraph" w:customStyle="1" w:styleId="Titreobjet">
    <w:name w:val="Titre objet"/>
    <w:basedOn w:val="Normal"/>
    <w:next w:val="Normal"/>
    <w:rsid w:val="00495783"/>
    <w:pPr>
      <w:spacing w:before="360" w:after="360" w:line="240" w:lineRule="auto"/>
      <w:jc w:val="center"/>
    </w:pPr>
    <w:rPr>
      <w:rFonts w:ascii="Times New Roman" w:hAnsi="Times New Roman" w:cs="Times New Roman"/>
      <w:b/>
      <w:sz w:val="24"/>
    </w:rPr>
  </w:style>
  <w:style w:type="paragraph" w:customStyle="1" w:styleId="TitreobjetPagedecouverture">
    <w:name w:val="Titre objet (Page de couverture)"/>
    <w:basedOn w:val="Titreobjet"/>
    <w:next w:val="Normal"/>
    <w:rsid w:val="00495783"/>
  </w:style>
  <w:style w:type="paragraph" w:customStyle="1" w:styleId="Declassification">
    <w:name w:val="Declassification"/>
    <w:basedOn w:val="Normal"/>
    <w:next w:val="Normal"/>
    <w:rsid w:val="00495783"/>
    <w:pPr>
      <w:spacing w:after="0" w:line="240" w:lineRule="auto"/>
      <w:jc w:val="both"/>
    </w:pPr>
    <w:rPr>
      <w:rFonts w:ascii="Times New Roman" w:hAnsi="Times New Roman" w:cs="Times New Roman"/>
      <w:sz w:val="24"/>
    </w:rPr>
  </w:style>
  <w:style w:type="paragraph" w:customStyle="1" w:styleId="HeaderLandscape">
    <w:name w:val="HeaderLandscape"/>
    <w:basedOn w:val="Normal"/>
    <w:rsid w:val="00495783"/>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rsid w:val="0049578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495783"/>
    <w:pPr>
      <w:spacing w:after="120" w:line="240" w:lineRule="auto"/>
      <w:jc w:val="right"/>
    </w:pPr>
    <w:rPr>
      <w:rFonts w:ascii="Times New Roman" w:hAnsi="Times New Roman" w:cs="Times New Roman"/>
      <w:sz w:val="28"/>
    </w:rPr>
  </w:style>
  <w:style w:type="paragraph" w:customStyle="1" w:styleId="FooterLandscape">
    <w:name w:val="FooterLandscape"/>
    <w:basedOn w:val="Normal"/>
    <w:rsid w:val="00495783"/>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rsid w:val="0049578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rsid w:val="0049578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495783"/>
    <w:pPr>
      <w:spacing w:after="0"/>
      <w:ind w:left="5103"/>
    </w:pPr>
    <w:rPr>
      <w:rFonts w:ascii="Times New Roman" w:hAnsi="Times New Roman" w:cs="Times New Roman"/>
      <w:sz w:val="28"/>
    </w:rPr>
  </w:style>
  <w:style w:type="paragraph" w:customStyle="1" w:styleId="DateMarking">
    <w:name w:val="DateMarking"/>
    <w:basedOn w:val="Normal"/>
    <w:rsid w:val="00495783"/>
    <w:pPr>
      <w:spacing w:after="0"/>
      <w:ind w:left="5103"/>
    </w:pPr>
    <w:rPr>
      <w:rFonts w:ascii="Times New Roman" w:hAnsi="Times New Roman" w:cs="Times New Roman"/>
      <w:i/>
      <w:sz w:val="28"/>
    </w:rPr>
  </w:style>
  <w:style w:type="paragraph" w:customStyle="1" w:styleId="ReleasableTo">
    <w:name w:val="ReleasableTo"/>
    <w:basedOn w:val="Normal"/>
    <w:rsid w:val="00495783"/>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transparency/expert-groups-register/screen/expert-groups/consult?lang=en&amp;groupId=2539&amp;fromMeetings=true&amp;meetingId=51396" TargetMode="External"/><Relationship Id="rId2" Type="http://schemas.openxmlformats.org/officeDocument/2006/relationships/hyperlink" Target="https://health.ec.europa.eu/publications/scheer-revision-annexes-iii-and-iv-directive-201063eu-protection-animals-used-scientific-purposes_fr" TargetMode="External"/><Relationship Id="rId1" Type="http://schemas.openxmlformats.org/officeDocument/2006/relationships/hyperlink" Target="http://data.europa.eu/eli/dir_del/2024/12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0A7A6FB1E0DF41AA6701CFCA612273" ma:contentTypeVersion="13" ma:contentTypeDescription="Create a new document." ma:contentTypeScope="" ma:versionID="6812efd373ad1045f4053fcf7866ea39">
  <xsd:schema xmlns:xsd="http://www.w3.org/2001/XMLSchema" xmlns:xs="http://www.w3.org/2001/XMLSchema" xmlns:p="http://schemas.microsoft.com/office/2006/metadata/properties" xmlns:ns2="e634d651-377a-49c2-a8bf-ddef58e15d6b" xmlns:ns3="22ee0535-c74f-4e20-993e-fbce5d54a3a0" targetNamespace="http://schemas.microsoft.com/office/2006/metadata/properties" ma:root="true" ma:fieldsID="a692f30f52ff864759d82a2afe4ddc57" ns2:_="" ns3:_="">
    <xsd:import namespace="e634d651-377a-49c2-a8bf-ddef58e15d6b"/>
    <xsd:import namespace="22ee0535-c74f-4e20-993e-fbce5d54a3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34d651-377a-49c2-a8bf-ddef58e15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ee0535-c74f-4e20-993e-fbce5d54a3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3f5f67-2842-4d40-98c9-2ab1b366c27d}" ma:internalName="TaxCatchAll" ma:showField="CatchAllData" ma:web="22ee0535-c74f-4e20-993e-fbce5d54a3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34d651-377a-49c2-a8bf-ddef58e15d6b">
      <Terms xmlns="http://schemas.microsoft.com/office/infopath/2007/PartnerControls"/>
    </lcf76f155ced4ddcb4097134ff3c332f>
    <TaxCatchAll xmlns="22ee0535-c74f-4e20-993e-fbce5d54a3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2173F-E23E-43D1-A133-E4AEB84E1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34d651-377a-49c2-a8bf-ddef58e15d6b"/>
    <ds:schemaRef ds:uri="22ee0535-c74f-4e20-993e-fbce5d54a3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E1BFD-8B05-42F2-B9A5-913BD0BAA08D}">
  <ds:schemaRefs>
    <ds:schemaRef ds:uri="http://schemas.microsoft.com/office/2006/metadata/properties"/>
    <ds:schemaRef ds:uri="http://schemas.microsoft.com/office/infopath/2007/PartnerControls"/>
    <ds:schemaRef ds:uri="e634d651-377a-49c2-a8bf-ddef58e15d6b"/>
    <ds:schemaRef ds:uri="22ee0535-c74f-4e20-993e-fbce5d54a3a0"/>
  </ds:schemaRefs>
</ds:datastoreItem>
</file>

<file path=customXml/itemProps3.xml><?xml version="1.0" encoding="utf-8"?>
<ds:datastoreItem xmlns:ds="http://schemas.openxmlformats.org/officeDocument/2006/customXml" ds:itemID="{2ADB6C85-1927-4AD9-8715-08B2602DCE00}">
  <ds:schemaRefs>
    <ds:schemaRef ds:uri="http://schemas.microsoft.com/sharepoint/v3/contenttype/forms"/>
  </ds:schemaRefs>
</ds:datastoreItem>
</file>

<file path=customXml/itemProps4.xml><?xml version="1.0" encoding="utf-8"?>
<ds:datastoreItem xmlns:ds="http://schemas.openxmlformats.org/officeDocument/2006/customXml" ds:itemID="{D54EEC20-7F33-479B-B78F-679A3A4DB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734</Words>
  <Characters>4184</Characters>
  <Application>Microsoft Office Word</Application>
  <DocSecurity>0</DocSecurity>
  <PresentationFormat/>
  <Lines>34</Lines>
  <Paragraphs>9</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4909</CharactersWithSpaces>
  <SharedDoc>false</SharedDoc>
  <HyperlinkBase/>
  <HLinks>
    <vt:vector size="12" baseType="variant">
      <vt:variant>
        <vt:i4>65542</vt:i4>
      </vt:variant>
      <vt:variant>
        <vt:i4>3</vt:i4>
      </vt:variant>
      <vt:variant>
        <vt:i4>0</vt:i4>
      </vt:variant>
      <vt:variant>
        <vt:i4>5</vt:i4>
      </vt:variant>
      <vt:variant>
        <vt:lpwstr>https://ec.europa.eu/transparency/expert-groups-register/screen/expert-groups/consult?lang=en&amp;groupId=2539&amp;fromMeetings=true&amp;meetingId=51396</vt:lpwstr>
      </vt:variant>
      <vt:variant>
        <vt:lpwstr/>
      </vt:variant>
      <vt:variant>
        <vt:i4>4194412</vt:i4>
      </vt:variant>
      <vt:variant>
        <vt:i4>0</vt:i4>
      </vt:variant>
      <vt:variant>
        <vt:i4>0</vt:i4>
      </vt:variant>
      <vt:variant>
        <vt:i4>5</vt:i4>
      </vt:variant>
      <vt:variant>
        <vt:lpwstr>https://health.ec.europa.eu/publications/scheer-revision-annexes-iii-and-iv-directive-201063eu-protection-animals-used-scientific-purposes_en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dcterms:created xsi:type="dcterms:W3CDTF">2026-03-31T11:03:00Z</dcterms:created>
  <dcterms:modified xsi:type="dcterms:W3CDTF">2026-06-03T14:39:00Z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2026-03-16T11:17:10Z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6a838627-2e7d-45ab-9407-6559f60880db</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0x010100570A7A6FB1E0DF41AA6701CFCA612273</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