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44112" w14:textId="6FBB0A05" w:rsidR="00C74230" w:rsidRPr="00784BD2" w:rsidRDefault="008C17D1" w:rsidP="008C17D1">
      <w:pPr>
        <w:pStyle w:val="Pagedecouverture"/>
        <w:rPr>
          <w:noProof/>
        </w:rPr>
      </w:pPr>
      <w:r>
        <w:rPr>
          <w:noProof/>
        </w:rPr>
        <w:pict w14:anchorId="3962E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853788B-7C61-4C6C-A2DB-E321143B2FD8" style="width:455.25pt;height:345.75pt">
            <v:imagedata r:id="rId11" o:title=""/>
          </v:shape>
        </w:pict>
      </w:r>
    </w:p>
    <w:p w14:paraId="5BC12AE0" w14:textId="77777777" w:rsidR="000366FF" w:rsidRPr="00784BD2" w:rsidRDefault="000366FF" w:rsidP="000366FF">
      <w:pPr>
        <w:pStyle w:val="Pagedecouverture"/>
        <w:rPr>
          <w:noProof/>
        </w:rPr>
        <w:sectPr w:rsidR="000366FF" w:rsidRPr="00784BD2" w:rsidSect="008C17D1">
          <w:footerReference w:type="even" r:id="rId12"/>
          <w:footerReference w:type="default" r:id="rId13"/>
          <w:pgSz w:w="11907" w:h="16839"/>
          <w:pgMar w:top="1134" w:right="1417" w:bottom="1134" w:left="1417" w:header="709" w:footer="709" w:gutter="0"/>
          <w:pgNumType w:start="0"/>
          <w:cols w:space="720"/>
          <w:docGrid w:linePitch="360"/>
        </w:sectPr>
      </w:pPr>
    </w:p>
    <w:p w14:paraId="1C96BD53" w14:textId="77777777" w:rsidR="00C74230" w:rsidRPr="00784BD2" w:rsidRDefault="00C74230" w:rsidP="00BB6B30">
      <w:pPr>
        <w:pStyle w:val="Exposdesmotifstitre"/>
        <w:rPr>
          <w:noProof/>
        </w:rPr>
      </w:pPr>
      <w:bookmarkStart w:id="0" w:name="_GoBack"/>
      <w:bookmarkEnd w:id="0"/>
      <w:r w:rsidRPr="00784BD2">
        <w:rPr>
          <w:noProof/>
        </w:rPr>
        <w:lastRenderedPageBreak/>
        <w:t>EXPUNERE DE MOTIVE</w:t>
      </w:r>
    </w:p>
    <w:p w14:paraId="5DE9ECD9" w14:textId="77777777" w:rsidR="00C74230" w:rsidRPr="00784BD2" w:rsidRDefault="00C74230" w:rsidP="004128F6">
      <w:pPr>
        <w:pStyle w:val="ManualHeading1"/>
        <w:rPr>
          <w:rFonts w:eastAsia="Arial Unicode MS"/>
          <w:noProof/>
        </w:rPr>
      </w:pPr>
      <w:r>
        <w:rPr>
          <w:noProof/>
        </w:rPr>
        <w:t>1.</w:t>
      </w:r>
      <w:r>
        <w:rPr>
          <w:noProof/>
        </w:rPr>
        <w:tab/>
      </w:r>
      <w:r w:rsidRPr="00784BD2">
        <w:rPr>
          <w:noProof/>
        </w:rPr>
        <w:t>Obiectul propunerii</w:t>
      </w:r>
    </w:p>
    <w:p w14:paraId="7230168C" w14:textId="77777777" w:rsidR="00753F6D" w:rsidRPr="00784BD2" w:rsidRDefault="00C74230" w:rsidP="00736AA9">
      <w:pPr>
        <w:rPr>
          <w:rFonts w:eastAsia="Arial Unicode MS"/>
          <w:noProof/>
        </w:rPr>
      </w:pPr>
      <w:r w:rsidRPr="00784BD2">
        <w:rPr>
          <w:noProof/>
        </w:rPr>
        <w:t>Prezenta propunere se referă la decizia de stabilire a poziției care urmează să fie adoptată în numele Uniunii în cadrul celei de a 9-a sesiuni a Comitetului ad-hoc pentru afaceri juridice și cooperare internațională (denumit în continuare „Comitetul ad-hoc”) al Organizației Interguvernamentale pentru Transporturile Internaționale Feroviare (OTIF) în legătură cu adoptarea preconizată a unei decizii de modificare a regulamentului de procedură al Comitetului ad-hoc.</w:t>
      </w:r>
    </w:p>
    <w:p w14:paraId="39DDF145" w14:textId="77777777" w:rsidR="00C74230" w:rsidRPr="00784BD2" w:rsidRDefault="00C74230" w:rsidP="00736AA9">
      <w:pPr>
        <w:pStyle w:val="ManualHeading1"/>
        <w:rPr>
          <w:noProof/>
        </w:rPr>
      </w:pPr>
      <w:r>
        <w:rPr>
          <w:noProof/>
        </w:rPr>
        <w:t>2.</w:t>
      </w:r>
      <w:r>
        <w:rPr>
          <w:noProof/>
        </w:rPr>
        <w:tab/>
      </w:r>
      <w:r w:rsidRPr="00784BD2">
        <w:rPr>
          <w:noProof/>
        </w:rPr>
        <w:t>Contextul propunerii</w:t>
      </w:r>
    </w:p>
    <w:p w14:paraId="127DBA03" w14:textId="77777777" w:rsidR="00C74230" w:rsidRPr="00784BD2" w:rsidRDefault="00C74230" w:rsidP="00736AA9">
      <w:pPr>
        <w:pStyle w:val="ManualHeading2"/>
        <w:rPr>
          <w:noProof/>
        </w:rPr>
      </w:pPr>
      <w:r>
        <w:rPr>
          <w:noProof/>
        </w:rPr>
        <w:t>2.1.</w:t>
      </w:r>
      <w:r>
        <w:rPr>
          <w:noProof/>
        </w:rPr>
        <w:tab/>
      </w:r>
      <w:r w:rsidRPr="00784BD2">
        <w:rPr>
          <w:noProof/>
        </w:rPr>
        <w:t>Convenția privind transporturile internaționale feroviare (COTIF)</w:t>
      </w:r>
    </w:p>
    <w:p w14:paraId="7C55C5AD" w14:textId="77777777" w:rsidR="00C74230" w:rsidRPr="00784BD2" w:rsidRDefault="00C74230" w:rsidP="00736AA9">
      <w:pPr>
        <w:rPr>
          <w:noProof/>
        </w:rPr>
      </w:pPr>
      <w:r w:rsidRPr="00784BD2">
        <w:rPr>
          <w:noProof/>
        </w:rPr>
        <w:t>Convenția privind transporturile internaționale feroviare din 9 mai 1980, astfel cum a fost modificată prin Protocolul de la Vilnius din 3 iunie 1999 („COTIF”), este un acord internațional la care atât Uniunea, cât și 25 de state membre</w:t>
      </w:r>
      <w:r w:rsidRPr="00784BD2">
        <w:rPr>
          <w:rStyle w:val="FootnoteReference"/>
          <w:rFonts w:eastAsia="Arial Unicode MS"/>
          <w:noProof/>
        </w:rPr>
        <w:footnoteReference w:id="1"/>
      </w:r>
      <w:r w:rsidRPr="00784BD2">
        <w:rPr>
          <w:noProof/>
        </w:rPr>
        <w:t xml:space="preserve"> sunt părți contractante. </w:t>
      </w:r>
    </w:p>
    <w:p w14:paraId="018D6DB8" w14:textId="77777777" w:rsidR="00753F6D" w:rsidRPr="00784BD2" w:rsidRDefault="00753F6D" w:rsidP="00736AA9">
      <w:pPr>
        <w:rPr>
          <w:noProof/>
        </w:rPr>
      </w:pPr>
      <w:r w:rsidRPr="00784BD2">
        <w:rPr>
          <w:noProof/>
        </w:rPr>
        <w:t>La 16 iunie 2011, Consiliul a adoptat Decizia 2013/103/UE a Consiliului privind semnarea și încheierea Acordului dintre Uniunea Europeană și OTIF privind aderarea Uniunii Europene la Convenția privind transporturile internaționale feroviare (COTIF) din 9 mai 1980, astfel cum a fost modificată prin Protocolul de la Vilnius din 3 iunie 1999 („Acordul de aderare UE-COTIF”)</w:t>
      </w:r>
      <w:r w:rsidRPr="00784BD2">
        <w:rPr>
          <w:rStyle w:val="FootnoteReference"/>
          <w:rFonts w:eastAsia="Arial Unicode MS"/>
          <w:noProof/>
        </w:rPr>
        <w:footnoteReference w:id="2"/>
      </w:r>
      <w:r w:rsidRPr="00784BD2">
        <w:rPr>
          <w:noProof/>
        </w:rPr>
        <w:t>.</w:t>
      </w:r>
    </w:p>
    <w:p w14:paraId="29B6E6AA" w14:textId="77777777" w:rsidR="005D41AA" w:rsidRPr="00784BD2" w:rsidRDefault="005D41AA" w:rsidP="00736AA9">
      <w:pPr>
        <w:rPr>
          <w:noProof/>
        </w:rPr>
      </w:pPr>
      <w:r w:rsidRPr="00784BD2">
        <w:rPr>
          <w:noProof/>
        </w:rPr>
        <w:t>Acordul de aderarea UE-COTIF a intrat în vigoare la 1 iulie 2011.</w:t>
      </w:r>
    </w:p>
    <w:p w14:paraId="68BBD1C9" w14:textId="77777777" w:rsidR="005D41AA" w:rsidRPr="00784BD2" w:rsidRDefault="005D41AA" w:rsidP="00736AA9">
      <w:pPr>
        <w:rPr>
          <w:noProof/>
        </w:rPr>
      </w:pPr>
      <w:r w:rsidRPr="00784BD2">
        <w:rPr>
          <w:noProof/>
        </w:rPr>
        <w:t>În conformitate cu articolul 2 alineatul (1) din COTIF, OTIF are ca scop să promoveze, să îmbunătățească și să faciliteze, din toate punctele de vedere, traficul internațional feroviar, în special prin stabilirea de regimuri legislative uniforme în diverse domenii juridice legate de traficul internațional feroviar. COTIF reglementează totodată funcționarea organizației, precum și obiectivele, atribuțiile, relațiile cu statele contractante și activitățile sale în general.</w:t>
      </w:r>
    </w:p>
    <w:p w14:paraId="086C030C" w14:textId="77777777" w:rsidR="005D41AA" w:rsidRPr="00784BD2" w:rsidRDefault="005D41AA" w:rsidP="005D41AA">
      <w:pPr>
        <w:kinsoku w:val="0"/>
        <w:overflowPunct w:val="0"/>
        <w:autoSpaceDE w:val="0"/>
        <w:autoSpaceDN w:val="0"/>
        <w:adjustRightInd w:val="0"/>
        <w:spacing w:before="0" w:after="0"/>
        <w:ind w:right="139"/>
        <w:rPr>
          <w:noProof/>
          <w:szCs w:val="24"/>
        </w:rPr>
      </w:pPr>
      <w:r w:rsidRPr="00784BD2">
        <w:rPr>
          <w:noProof/>
        </w:rPr>
        <w:t>COTIF abordează o serie de aspecte juridice și tehnice ale legislației din domeniul feroviar, grupate în două părți: Convenția însăși, care reglementează funcționarea OTIF, și opt apendice la convenție, care instituie o legislație feroviară uniformă:</w:t>
      </w:r>
    </w:p>
    <w:p w14:paraId="32BD9843" w14:textId="77777777" w:rsidR="005D41AA" w:rsidRPr="00784BD2" w:rsidRDefault="005D41AA" w:rsidP="00F72080">
      <w:pPr>
        <w:pStyle w:val="Tiret0"/>
        <w:numPr>
          <w:ilvl w:val="0"/>
          <w:numId w:val="7"/>
        </w:numPr>
        <w:rPr>
          <w:noProof/>
        </w:rPr>
      </w:pPr>
      <w:r w:rsidRPr="00784BD2">
        <w:rPr>
          <w:noProof/>
        </w:rPr>
        <w:t xml:space="preserve">Apendicele A – Contract de transport internațional feroviar de călători </w:t>
      </w:r>
      <w:r w:rsidRPr="00784BD2">
        <w:rPr>
          <w:b/>
          <w:bCs/>
          <w:noProof/>
        </w:rPr>
        <w:t>(CIV</w:t>
      </w:r>
      <w:r w:rsidRPr="00784BD2">
        <w:rPr>
          <w:noProof/>
        </w:rPr>
        <w:t>)</w:t>
      </w:r>
    </w:p>
    <w:p w14:paraId="2E86FEF5" w14:textId="77777777" w:rsidR="005D41AA" w:rsidRPr="00784BD2" w:rsidRDefault="005D41AA" w:rsidP="003D77F6">
      <w:pPr>
        <w:pStyle w:val="Tiret0"/>
        <w:rPr>
          <w:b/>
          <w:bCs/>
          <w:noProof/>
        </w:rPr>
      </w:pPr>
      <w:r w:rsidRPr="00784BD2">
        <w:rPr>
          <w:noProof/>
        </w:rPr>
        <w:t>Apendicele B – Contract de transport internațional feroviar de marfă (</w:t>
      </w:r>
      <w:r w:rsidRPr="00784BD2">
        <w:rPr>
          <w:b/>
          <w:bCs/>
          <w:noProof/>
        </w:rPr>
        <w:t>CIM)</w:t>
      </w:r>
    </w:p>
    <w:p w14:paraId="0BEFD4D3" w14:textId="77777777" w:rsidR="005D41AA" w:rsidRPr="00784BD2" w:rsidRDefault="005D41AA" w:rsidP="003D77F6">
      <w:pPr>
        <w:pStyle w:val="Tiret0"/>
        <w:rPr>
          <w:noProof/>
        </w:rPr>
      </w:pPr>
      <w:r w:rsidRPr="00784BD2">
        <w:rPr>
          <w:noProof/>
        </w:rPr>
        <w:t xml:space="preserve">Apendicele C – Transportul internațional feroviar al mărfurilor periculoase </w:t>
      </w:r>
      <w:r w:rsidRPr="00784BD2">
        <w:rPr>
          <w:b/>
          <w:bCs/>
          <w:noProof/>
        </w:rPr>
        <w:t>(RID</w:t>
      </w:r>
      <w:r w:rsidRPr="00784BD2">
        <w:rPr>
          <w:noProof/>
        </w:rPr>
        <w:t>)</w:t>
      </w:r>
    </w:p>
    <w:p w14:paraId="0AC451A3" w14:textId="77777777" w:rsidR="005D41AA" w:rsidRPr="00784BD2" w:rsidRDefault="005D41AA" w:rsidP="003D77F6">
      <w:pPr>
        <w:pStyle w:val="Tiret0"/>
        <w:rPr>
          <w:b/>
          <w:bCs/>
          <w:noProof/>
        </w:rPr>
      </w:pPr>
      <w:r w:rsidRPr="00784BD2">
        <w:rPr>
          <w:noProof/>
        </w:rPr>
        <w:t>Apendicele D – Contract de utilizare a vehiculelor în traficul internațional feroviar (</w:t>
      </w:r>
      <w:r w:rsidRPr="00784BD2">
        <w:rPr>
          <w:b/>
          <w:bCs/>
          <w:noProof/>
        </w:rPr>
        <w:t>CUV)</w:t>
      </w:r>
    </w:p>
    <w:p w14:paraId="287C896C" w14:textId="77777777" w:rsidR="005D41AA" w:rsidRPr="00784BD2" w:rsidRDefault="005D41AA" w:rsidP="003D77F6">
      <w:pPr>
        <w:pStyle w:val="Tiret0"/>
        <w:rPr>
          <w:b/>
          <w:bCs/>
          <w:noProof/>
        </w:rPr>
      </w:pPr>
      <w:r w:rsidRPr="00784BD2">
        <w:rPr>
          <w:noProof/>
        </w:rPr>
        <w:t>Apendicele E – Contract de utilizare a infrastructurii în traficul internațional feroviar (</w:t>
      </w:r>
      <w:r w:rsidRPr="00784BD2">
        <w:rPr>
          <w:b/>
          <w:bCs/>
          <w:noProof/>
        </w:rPr>
        <w:t>CUI)</w:t>
      </w:r>
    </w:p>
    <w:p w14:paraId="4CB0B858" w14:textId="77777777" w:rsidR="005D41AA" w:rsidRPr="00784BD2" w:rsidRDefault="005D41AA" w:rsidP="003D77F6">
      <w:pPr>
        <w:pStyle w:val="Tiret0"/>
        <w:rPr>
          <w:b/>
          <w:bCs/>
          <w:noProof/>
        </w:rPr>
      </w:pPr>
      <w:r w:rsidRPr="00784BD2">
        <w:rPr>
          <w:noProof/>
        </w:rPr>
        <w:lastRenderedPageBreak/>
        <w:t xml:space="preserve">Apendicele F – Reguli uniforme privind validarea standardelor tehnice și adoptarea de specificații tehnice uniforme aplicabile materialului feroviar destinat utilizării în traficul internațional </w:t>
      </w:r>
      <w:r w:rsidRPr="00784BD2">
        <w:rPr>
          <w:b/>
          <w:bCs/>
          <w:noProof/>
        </w:rPr>
        <w:t>(RU APTU)</w:t>
      </w:r>
    </w:p>
    <w:p w14:paraId="329CE614" w14:textId="77777777" w:rsidR="005D41AA" w:rsidRPr="00784BD2" w:rsidRDefault="005D41AA" w:rsidP="003D77F6">
      <w:pPr>
        <w:pStyle w:val="Tiret0"/>
        <w:rPr>
          <w:b/>
          <w:bCs/>
          <w:noProof/>
        </w:rPr>
      </w:pPr>
      <w:r w:rsidRPr="00784BD2">
        <w:rPr>
          <w:noProof/>
        </w:rPr>
        <w:t xml:space="preserve">Apendicele G – Reguli uniforme privind admiterea din punct de vedere tehnic a materialului feroviar utilizat în traficul internațional </w:t>
      </w:r>
      <w:r w:rsidRPr="00784BD2">
        <w:rPr>
          <w:b/>
          <w:bCs/>
          <w:noProof/>
        </w:rPr>
        <w:t>(RU ATMF)</w:t>
      </w:r>
    </w:p>
    <w:p w14:paraId="48336C80" w14:textId="77777777" w:rsidR="005D41AA" w:rsidRPr="00784BD2" w:rsidRDefault="005D41AA" w:rsidP="003D77F6">
      <w:pPr>
        <w:pStyle w:val="Tiret0"/>
        <w:rPr>
          <w:b/>
          <w:bCs/>
          <w:noProof/>
        </w:rPr>
      </w:pPr>
      <w:r w:rsidRPr="00784BD2">
        <w:rPr>
          <w:noProof/>
        </w:rPr>
        <w:t xml:space="preserve">Apendicele H – Reguli uniforme privind exploatarea în condiții de siguranță a trenurilor în traficul internațional </w:t>
      </w:r>
      <w:r w:rsidRPr="00784BD2">
        <w:rPr>
          <w:b/>
          <w:bCs/>
          <w:noProof/>
        </w:rPr>
        <w:t>(RU EST)</w:t>
      </w:r>
    </w:p>
    <w:p w14:paraId="77D63F2A" w14:textId="77777777" w:rsidR="005D41AA" w:rsidRPr="00784BD2" w:rsidRDefault="005D41AA" w:rsidP="00736AA9">
      <w:pPr>
        <w:rPr>
          <w:rFonts w:eastAsia="Arial Unicode MS"/>
          <w:noProof/>
        </w:rPr>
      </w:pPr>
    </w:p>
    <w:p w14:paraId="71423833" w14:textId="77777777" w:rsidR="00C74230" w:rsidRPr="00784BD2" w:rsidRDefault="00C74230" w:rsidP="00736AA9">
      <w:pPr>
        <w:pStyle w:val="ManualHeading2"/>
        <w:rPr>
          <w:noProof/>
        </w:rPr>
      </w:pPr>
      <w:r>
        <w:rPr>
          <w:noProof/>
        </w:rPr>
        <w:t>2.2.</w:t>
      </w:r>
      <w:r>
        <w:rPr>
          <w:noProof/>
        </w:rPr>
        <w:tab/>
      </w:r>
      <w:r w:rsidRPr="00784BD2">
        <w:rPr>
          <w:noProof/>
        </w:rPr>
        <w:t>Comitetul ad-hoc al OTIF pentru afaceri juridice și cooperare internațională</w:t>
      </w:r>
    </w:p>
    <w:p w14:paraId="1472E5CE" w14:textId="77777777" w:rsidR="005D41AA" w:rsidRPr="00784BD2" w:rsidRDefault="005D41AA" w:rsidP="00736AA9">
      <w:pPr>
        <w:rPr>
          <w:rFonts w:eastAsia="Arial Unicode MS"/>
          <w:noProof/>
        </w:rPr>
      </w:pPr>
      <w:r w:rsidRPr="00784BD2">
        <w:rPr>
          <w:noProof/>
        </w:rPr>
        <w:t xml:space="preserve">În cadrul celei de a 15-a sesiuni, din septembrie 2021, Adunarea generală a decis să înființeze un Comitet ad-hoc pentru afaceri juridice și cooperare internațională, în conformitate cu articolul 13 alineatul (2) din COTIF, pentru o perioadă de trei ani (septembrie 2021-septembrie 2024). În cadrul celei de a 16-a sesiuni, din septembrie 2024, Adunarea generală a decis să reînnoiască mandatul Comitetului ad-hoc pentru o perioadă de șase ani, până la 1 octombrie 2030. </w:t>
      </w:r>
    </w:p>
    <w:p w14:paraId="16E6CB42" w14:textId="77777777" w:rsidR="005D41AA" w:rsidRPr="00784BD2" w:rsidRDefault="005D41AA" w:rsidP="00736AA9">
      <w:pPr>
        <w:rPr>
          <w:rFonts w:eastAsia="Arial Unicode MS"/>
          <w:noProof/>
        </w:rPr>
      </w:pPr>
      <w:r w:rsidRPr="00784BD2">
        <w:rPr>
          <w:noProof/>
        </w:rPr>
        <w:t xml:space="preserve">Fără a aduce atingere competenței organelor menționate la articolul 13 alineatul (1) din COTIF, Adunarea generală a acordat Comitetului ad-hoc următorul mandat, prevăzut la articolul 2 din regulamentul său de procedură: </w:t>
      </w:r>
    </w:p>
    <w:p w14:paraId="2F105807" w14:textId="77777777" w:rsidR="005D41AA" w:rsidRPr="00784BD2" w:rsidRDefault="005D41AA" w:rsidP="003D77F6">
      <w:pPr>
        <w:pStyle w:val="Tiret0"/>
        <w:rPr>
          <w:noProof/>
        </w:rPr>
      </w:pPr>
      <w:r w:rsidRPr="00784BD2">
        <w:rPr>
          <w:noProof/>
        </w:rPr>
        <w:t>să pregătească proiecte de modificări sau completări ale convenției;</w:t>
      </w:r>
    </w:p>
    <w:p w14:paraId="210DCF19" w14:textId="77777777" w:rsidR="005D41AA" w:rsidRPr="00784BD2" w:rsidRDefault="005D41AA" w:rsidP="003D77F6">
      <w:pPr>
        <w:pStyle w:val="Tiret0"/>
        <w:rPr>
          <w:noProof/>
        </w:rPr>
      </w:pPr>
      <w:r w:rsidRPr="00784BD2">
        <w:rPr>
          <w:noProof/>
        </w:rPr>
        <w:t>să ofere consultanță juridică din proprie inițiativă sau la cererea organelor menționate la articolul 13 alineatele (1) și (2) din COTIF sau la cererea organelor instituite de acestea;</w:t>
      </w:r>
    </w:p>
    <w:p w14:paraId="29CEC1A8" w14:textId="77777777" w:rsidR="004E182B" w:rsidRPr="00784BD2" w:rsidRDefault="004E182B" w:rsidP="003D77F6">
      <w:pPr>
        <w:pStyle w:val="Tiret0"/>
        <w:rPr>
          <w:noProof/>
        </w:rPr>
      </w:pPr>
      <w:r w:rsidRPr="00784BD2">
        <w:rPr>
          <w:noProof/>
        </w:rPr>
        <w:t>să promoveze și să faciliteze funcționarea și punerea în aplicare a COTIF;</w:t>
      </w:r>
    </w:p>
    <w:p w14:paraId="7BE8201F" w14:textId="77777777" w:rsidR="004E182B" w:rsidRPr="00784BD2" w:rsidRDefault="004E182B" w:rsidP="003D77F6">
      <w:pPr>
        <w:pStyle w:val="Tiret0"/>
        <w:rPr>
          <w:noProof/>
        </w:rPr>
      </w:pPr>
      <w:r w:rsidRPr="00784BD2">
        <w:rPr>
          <w:noProof/>
        </w:rPr>
        <w:t>să monitorizeze și să evalueze instrumentele juridice;</w:t>
      </w:r>
    </w:p>
    <w:p w14:paraId="13253A27" w14:textId="77777777" w:rsidR="004E182B" w:rsidRPr="00784BD2" w:rsidRDefault="004E182B" w:rsidP="003D77F6">
      <w:pPr>
        <w:pStyle w:val="Tiret0"/>
        <w:rPr>
          <w:noProof/>
        </w:rPr>
      </w:pPr>
      <w:r w:rsidRPr="00784BD2">
        <w:rPr>
          <w:noProof/>
        </w:rPr>
        <w:t>să ia decizii privind cooperarea cu alte organizații și asociații internaționale, inclusiv privind înființarea și dizolvarea unor grupuri consultative de contact cu alte organizații și asociații internaționale și privind monitorizarea funcționării grupurilor de contact.</w:t>
      </w:r>
    </w:p>
    <w:p w14:paraId="1634AB6F" w14:textId="77777777" w:rsidR="004E182B" w:rsidRPr="00784BD2" w:rsidRDefault="004E182B" w:rsidP="004E182B">
      <w:pPr>
        <w:rPr>
          <w:noProof/>
        </w:rPr>
      </w:pPr>
      <w:r w:rsidRPr="00784BD2">
        <w:rPr>
          <w:noProof/>
        </w:rPr>
        <w:t xml:space="preserve">Adunarea generală a decis că, ori de câte ori este cazul, Comitetul ad-hoc își prezintă concluziile și propunerile organelor competente menționate la articolul 13 alineatul </w:t>
      </w:r>
      <w:bookmarkStart w:id="1" w:name="_Hlk230161818"/>
      <w:r w:rsidRPr="00784BD2">
        <w:rPr>
          <w:noProof/>
        </w:rPr>
        <w:t>(1)</w:t>
      </w:r>
      <w:bookmarkEnd w:id="1"/>
      <w:r w:rsidRPr="00784BD2">
        <w:rPr>
          <w:noProof/>
        </w:rPr>
        <w:t xml:space="preserve"> din COTIF, spre examinare și decizie. </w:t>
      </w:r>
    </w:p>
    <w:p w14:paraId="7DA17CD0" w14:textId="77777777" w:rsidR="001F2CE9" w:rsidRPr="00784BD2" w:rsidRDefault="001F2CE9" w:rsidP="004E182B">
      <w:pPr>
        <w:rPr>
          <w:noProof/>
        </w:rPr>
      </w:pPr>
    </w:p>
    <w:p w14:paraId="373E404F" w14:textId="77777777" w:rsidR="00C74230" w:rsidRPr="00784BD2" w:rsidRDefault="00C74230" w:rsidP="00736AA9">
      <w:pPr>
        <w:pStyle w:val="ManualHeading2"/>
        <w:rPr>
          <w:noProof/>
        </w:rPr>
      </w:pPr>
      <w:r>
        <w:rPr>
          <w:noProof/>
        </w:rPr>
        <w:t>2.3.</w:t>
      </w:r>
      <w:r>
        <w:rPr>
          <w:noProof/>
        </w:rPr>
        <w:tab/>
      </w:r>
      <w:r w:rsidRPr="00784BD2">
        <w:rPr>
          <w:noProof/>
        </w:rPr>
        <w:t>Actul avut în vedere de Comitetul ad-hoc</w:t>
      </w:r>
    </w:p>
    <w:p w14:paraId="6A35DD34" w14:textId="77777777" w:rsidR="00C74230" w:rsidRPr="00784BD2" w:rsidRDefault="00C74230" w:rsidP="00736AA9">
      <w:pPr>
        <w:rPr>
          <w:rFonts w:eastAsia="Arial Unicode MS"/>
          <w:noProof/>
        </w:rPr>
      </w:pPr>
      <w:r w:rsidRPr="00784BD2">
        <w:rPr>
          <w:noProof/>
        </w:rPr>
        <w:t>La 24 iunie 2026, în cadrul celei de a 9-a sesiuni, Comitetul ad-hoc urmează să adopte o decizie de modificare a regulamentului său de procedură („actul avut în vedere”).</w:t>
      </w:r>
    </w:p>
    <w:p w14:paraId="2F74112C" w14:textId="77777777" w:rsidR="00C74230" w:rsidRPr="00784BD2" w:rsidRDefault="00C74230" w:rsidP="00736AA9">
      <w:pPr>
        <w:rPr>
          <w:noProof/>
        </w:rPr>
      </w:pPr>
      <w:r w:rsidRPr="00784BD2">
        <w:rPr>
          <w:noProof/>
        </w:rPr>
        <w:t xml:space="preserve">Scopul actului avut în vedere este de a alinia practicile tuturor organelor OTIF, pe baza recomandărilor Comitetului ad-hoc din cadrul celei de a 8-a sesiuni, care a avut loc la 4 decembrie 2025. Comitetul ad-hoc a recomandat dispoziții menite să armonizeze regulamentele de procedură ale tuturor organelor OTIF în ceea ce privește drepturile membrilor, ale membrilor asociați și ale observatorilor, astfel încât să se asigure coerența. În plus, propunerea include unele alinieri suplimentare la practicile altor organe și câteva corecturi de redactare. </w:t>
      </w:r>
    </w:p>
    <w:p w14:paraId="12C39370" w14:textId="77777777" w:rsidR="002535E8" w:rsidRPr="00784BD2" w:rsidRDefault="002535E8" w:rsidP="00736AA9">
      <w:pPr>
        <w:rPr>
          <w:noProof/>
        </w:rPr>
      </w:pPr>
      <w:r w:rsidRPr="00784BD2">
        <w:rPr>
          <w:noProof/>
        </w:rPr>
        <w:lastRenderedPageBreak/>
        <w:t>Actul avut în vedere va deveni obligatoriu pentru părți în conformitate cu articolul 16 alineatul (10) din COTIF, conform căruia comitetele OTIF trebuie să își stabilească regulamentul de procedură, și cu articolul 30 din regulamentul de procedură al Comitetului ad-hoc, conform căruia acest regulament poate fi modificat, integral sau parțial, printr-o decizie a acestui organ.</w:t>
      </w:r>
    </w:p>
    <w:p w14:paraId="73FBE9FB" w14:textId="77777777" w:rsidR="00C74230" w:rsidRPr="00784BD2" w:rsidRDefault="00C74230" w:rsidP="00736AA9">
      <w:pPr>
        <w:pStyle w:val="ManualHeading1"/>
        <w:rPr>
          <w:rFonts w:eastAsia="Arial Unicode MS"/>
          <w:noProof/>
        </w:rPr>
      </w:pPr>
      <w:r>
        <w:rPr>
          <w:noProof/>
        </w:rPr>
        <w:t>3.</w:t>
      </w:r>
      <w:r>
        <w:rPr>
          <w:noProof/>
        </w:rPr>
        <w:tab/>
      </w:r>
      <w:r w:rsidRPr="00784BD2">
        <w:rPr>
          <w:noProof/>
        </w:rPr>
        <w:t>Poziția care urmează să fie adoptată în numele Uniunii</w:t>
      </w:r>
    </w:p>
    <w:p w14:paraId="224C282A" w14:textId="77777777" w:rsidR="00364878" w:rsidRPr="00784BD2" w:rsidRDefault="00364878" w:rsidP="000D7E07">
      <w:pPr>
        <w:kinsoku w:val="0"/>
        <w:overflowPunct w:val="0"/>
        <w:autoSpaceDE w:val="0"/>
        <w:autoSpaceDN w:val="0"/>
        <w:adjustRightInd w:val="0"/>
        <w:spacing w:line="258" w:lineRule="exact"/>
        <w:ind w:left="39"/>
        <w:jc w:val="left"/>
        <w:rPr>
          <w:noProof/>
          <w:szCs w:val="24"/>
        </w:rPr>
      </w:pPr>
      <w:r w:rsidRPr="00784BD2">
        <w:rPr>
          <w:noProof/>
        </w:rPr>
        <w:t>În temeiul articolului 6 din Acordul de aderare UE-COTIF:</w:t>
      </w:r>
    </w:p>
    <w:p w14:paraId="5EAD8EF9" w14:textId="77777777" w:rsidR="00364878" w:rsidRPr="00784BD2" w:rsidRDefault="00364878" w:rsidP="000D7E07">
      <w:pPr>
        <w:kinsoku w:val="0"/>
        <w:overflowPunct w:val="0"/>
        <w:autoSpaceDE w:val="0"/>
        <w:autoSpaceDN w:val="0"/>
        <w:adjustRightInd w:val="0"/>
        <w:spacing w:line="258" w:lineRule="exact"/>
        <w:ind w:left="39"/>
        <w:rPr>
          <w:i/>
          <w:iCs/>
          <w:noProof/>
          <w:szCs w:val="24"/>
        </w:rPr>
      </w:pPr>
      <w:r w:rsidRPr="00784BD2">
        <w:rPr>
          <w:noProof/>
        </w:rPr>
        <w:t>„</w:t>
      </w:r>
      <w:r w:rsidRPr="00784BD2">
        <w:rPr>
          <w:i/>
          <w:noProof/>
        </w:rPr>
        <w:t xml:space="preserve">1. În ceea ce privește deciziile privind aspecte care sunt de competența exclusivă a Uniunii Europene, Uniunea Europeană va exercita drepturile de vot ale statelor sale membre în temeiul convenției. </w:t>
      </w:r>
    </w:p>
    <w:p w14:paraId="4352DDBE" w14:textId="77777777" w:rsidR="00364878" w:rsidRPr="00784BD2" w:rsidRDefault="00364878" w:rsidP="000D7E07">
      <w:pPr>
        <w:kinsoku w:val="0"/>
        <w:overflowPunct w:val="0"/>
        <w:autoSpaceDE w:val="0"/>
        <w:autoSpaceDN w:val="0"/>
        <w:adjustRightInd w:val="0"/>
        <w:ind w:left="39"/>
        <w:rPr>
          <w:i/>
          <w:iCs/>
          <w:noProof/>
          <w:szCs w:val="24"/>
        </w:rPr>
      </w:pPr>
      <w:r w:rsidRPr="00784BD2">
        <w:rPr>
          <w:i/>
          <w:noProof/>
        </w:rPr>
        <w:t>2. În ceea ce privește deciziile privind aspecte care sunt de competența partajată a Uniunii și a statelor sale membre, votează fie Uniunea, fie statele sale membre.</w:t>
      </w:r>
    </w:p>
    <w:p w14:paraId="5D11A274" w14:textId="77777777" w:rsidR="00364878" w:rsidRPr="00784BD2" w:rsidRDefault="00364878" w:rsidP="000D7E07">
      <w:pPr>
        <w:kinsoku w:val="0"/>
        <w:overflowPunct w:val="0"/>
        <w:autoSpaceDE w:val="0"/>
        <w:autoSpaceDN w:val="0"/>
        <w:adjustRightInd w:val="0"/>
        <w:ind w:left="39"/>
        <w:rPr>
          <w:i/>
          <w:iCs/>
          <w:noProof/>
          <w:szCs w:val="24"/>
        </w:rPr>
      </w:pPr>
      <w:r w:rsidRPr="00784BD2">
        <w:rPr>
          <w:i/>
          <w:noProof/>
        </w:rPr>
        <w:t xml:space="preserve">3. Sub rezerva dispozițiilor de la articolul 26 alineatul (7) din convenție, Uniunea dispune de un număr de voturi egal cu cel al statelor sale membre care sunt în același timp parte la convenție. </w:t>
      </w:r>
      <w:r w:rsidRPr="00784BD2">
        <w:rPr>
          <w:i/>
          <w:iCs/>
          <w:noProof/>
        </w:rPr>
        <w:t>Atunci când votează Uniunea, nu votează statele sale membre.</w:t>
      </w:r>
      <w:r w:rsidRPr="00784BD2">
        <w:rPr>
          <w:noProof/>
        </w:rPr>
        <w:t>”</w:t>
      </w:r>
    </w:p>
    <w:p w14:paraId="08923394" w14:textId="77777777" w:rsidR="00364878" w:rsidRPr="00784BD2" w:rsidRDefault="00364878" w:rsidP="000D7E07">
      <w:pPr>
        <w:kinsoku w:val="0"/>
        <w:overflowPunct w:val="0"/>
        <w:autoSpaceDE w:val="0"/>
        <w:autoSpaceDN w:val="0"/>
        <w:adjustRightInd w:val="0"/>
        <w:ind w:left="39" w:right="137"/>
        <w:rPr>
          <w:noProof/>
          <w:szCs w:val="24"/>
        </w:rPr>
      </w:pPr>
      <w:r w:rsidRPr="00784BD2">
        <w:rPr>
          <w:noProof/>
        </w:rPr>
        <w:t>În temeiul articolului 3 alineatul (2) din TFUE, Uniunea are competență exclusivă în ceea ce privește angajamentele internaționale care urmează să fie asumate în contextul COTIF, inclusiv instrumentele juridice adoptate în temeiul acesteia, atunci când respectivele angajamente sunt susceptibile să afecteze normele existente ale Uniunii sau să modifice domeniul de aplicare al acestora.</w:t>
      </w:r>
    </w:p>
    <w:p w14:paraId="6BD17CC5" w14:textId="6B445F8B" w:rsidR="00364878" w:rsidRPr="00784BD2" w:rsidRDefault="00364878" w:rsidP="000D7E07">
      <w:pPr>
        <w:kinsoku w:val="0"/>
        <w:overflowPunct w:val="0"/>
        <w:autoSpaceDE w:val="0"/>
        <w:autoSpaceDN w:val="0"/>
        <w:adjustRightInd w:val="0"/>
        <w:spacing w:line="258" w:lineRule="exact"/>
        <w:ind w:left="39"/>
        <w:rPr>
          <w:noProof/>
          <w:szCs w:val="24"/>
        </w:rPr>
      </w:pPr>
      <w:r w:rsidRPr="00784BD2">
        <w:rPr>
          <w:noProof/>
        </w:rPr>
        <w:t xml:space="preserve">Obiectivul propunerii de decizie este modificarea regulamentului de procedură al Comitetului ad-hoc pentru a-l alinia la regulamentele de procedură ale altor organe ale OTIF. </w:t>
      </w:r>
    </w:p>
    <w:p w14:paraId="5EAC80C2" w14:textId="39124604" w:rsidR="00364878" w:rsidRPr="00784BD2" w:rsidRDefault="007A3E24" w:rsidP="000D7E07">
      <w:pPr>
        <w:kinsoku w:val="0"/>
        <w:overflowPunct w:val="0"/>
        <w:autoSpaceDE w:val="0"/>
        <w:autoSpaceDN w:val="0"/>
        <w:adjustRightInd w:val="0"/>
        <w:spacing w:line="258" w:lineRule="exact"/>
        <w:ind w:left="39"/>
        <w:rPr>
          <w:noProof/>
          <w:szCs w:val="24"/>
        </w:rPr>
      </w:pPr>
      <w:r w:rsidRPr="00784BD2">
        <w:rPr>
          <w:noProof/>
        </w:rPr>
        <w:t>Modificarea regulamentului de procedură al Comitetului ad-hoc este o chestiune orizontală, deoarece este auxiliară în raport cu instrumentele juridice și domeniile de politică pentru care Uniunea are competență exclusivă. Prin urmare, Uniunea are competență exclusivă în ceea ce privește modificările regulamentului de procedură al Comitetului ad-hoc, în temeiul articolului 3 alineatul (2) din TFUE. Uniunea, reprezentată de Comisie, ar trebui să exercite drepturile de vot în ceea ce privește adoptarea prezentei decizii, în conformitate cu punctul 3.3 din anexa III la Decizia 2013/103/UE a Consiliului.</w:t>
      </w:r>
    </w:p>
    <w:p w14:paraId="1AD48199" w14:textId="77777777" w:rsidR="00C74230" w:rsidRPr="00784BD2" w:rsidRDefault="00C74230" w:rsidP="00736AA9">
      <w:pPr>
        <w:pStyle w:val="ManualHeading1"/>
        <w:rPr>
          <w:noProof/>
        </w:rPr>
      </w:pPr>
      <w:r>
        <w:rPr>
          <w:noProof/>
        </w:rPr>
        <w:t>4.</w:t>
      </w:r>
      <w:r>
        <w:rPr>
          <w:noProof/>
        </w:rPr>
        <w:tab/>
      </w:r>
      <w:r w:rsidRPr="00784BD2">
        <w:rPr>
          <w:noProof/>
        </w:rPr>
        <w:t>Temei juridic</w:t>
      </w:r>
    </w:p>
    <w:p w14:paraId="657C8C5E" w14:textId="77777777" w:rsidR="00C74230" w:rsidRPr="00784BD2" w:rsidRDefault="00C74230" w:rsidP="00736AA9">
      <w:pPr>
        <w:pStyle w:val="ManualHeading2"/>
        <w:rPr>
          <w:noProof/>
        </w:rPr>
      </w:pPr>
      <w:r>
        <w:rPr>
          <w:noProof/>
        </w:rPr>
        <w:t>4.1.</w:t>
      </w:r>
      <w:r>
        <w:rPr>
          <w:noProof/>
        </w:rPr>
        <w:tab/>
      </w:r>
      <w:r w:rsidRPr="00784BD2">
        <w:rPr>
          <w:noProof/>
        </w:rPr>
        <w:t>Temeiul juridic procedural</w:t>
      </w:r>
    </w:p>
    <w:p w14:paraId="7621DE6B" w14:textId="77777777" w:rsidR="00C74230" w:rsidRPr="00784BD2" w:rsidRDefault="00C74230" w:rsidP="00C74230">
      <w:pPr>
        <w:pStyle w:val="ManualHeading3"/>
        <w:tabs>
          <w:tab w:val="clear" w:pos="850"/>
          <w:tab w:val="num" w:pos="1984"/>
        </w:tabs>
        <w:ind w:left="1984" w:hanging="567"/>
        <w:rPr>
          <w:noProof/>
        </w:rPr>
      </w:pPr>
      <w:r>
        <w:rPr>
          <w:noProof/>
        </w:rPr>
        <w:t>4.1.1.</w:t>
      </w:r>
      <w:r>
        <w:rPr>
          <w:noProof/>
        </w:rPr>
        <w:tab/>
      </w:r>
      <w:r w:rsidRPr="00784BD2">
        <w:rPr>
          <w:noProof/>
        </w:rPr>
        <w:t>Principii</w:t>
      </w:r>
    </w:p>
    <w:p w14:paraId="0C5E9AC5" w14:textId="77777777" w:rsidR="00C74230" w:rsidRPr="00784BD2" w:rsidRDefault="00C74230" w:rsidP="00736AA9">
      <w:pPr>
        <w:rPr>
          <w:noProof/>
        </w:rPr>
      </w:pPr>
      <w:r w:rsidRPr="00784BD2">
        <w:rPr>
          <w:noProof/>
        </w:rPr>
        <w:t>Articolul 218 alineatul (9) din Tratatul privind funcționarea Uniunii Europene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14:paraId="246440A0" w14:textId="77777777" w:rsidR="00C74230" w:rsidRPr="00784BD2" w:rsidRDefault="00C74230" w:rsidP="00736AA9">
      <w:pPr>
        <w:rPr>
          <w:noProof/>
        </w:rPr>
      </w:pPr>
      <w:r w:rsidRPr="00784BD2">
        <w:rPr>
          <w:noProof/>
        </w:rPr>
        <w:t xml:space="preserve">Conceptul de „acte cu efecte juridice” include actele care au efecte juridice în temeiul normelor de drept internațional aplicabile organismului în cauză. Sunt, de asemenea, incluse instrumente care nu au efect obligatoriu în temeiul dreptului internațional, dar care „au </w:t>
      </w:r>
      <w:r w:rsidRPr="00784BD2">
        <w:rPr>
          <w:noProof/>
        </w:rPr>
        <w:lastRenderedPageBreak/>
        <w:t>vocația de a influența în mod decisiv conținutul reglementării adoptate de legiuitorul Uniunii”</w:t>
      </w:r>
      <w:r w:rsidRPr="00784BD2">
        <w:rPr>
          <w:rStyle w:val="FootnoteReference"/>
          <w:noProof/>
        </w:rPr>
        <w:footnoteReference w:id="3"/>
      </w:r>
      <w:r w:rsidRPr="00784BD2">
        <w:rPr>
          <w:noProof/>
        </w:rPr>
        <w:t>.</w:t>
      </w:r>
    </w:p>
    <w:p w14:paraId="350FF16C" w14:textId="77777777" w:rsidR="00C74230" w:rsidRPr="00784BD2" w:rsidRDefault="00C74230" w:rsidP="00C74230">
      <w:pPr>
        <w:pStyle w:val="ManualHeading3"/>
        <w:tabs>
          <w:tab w:val="clear" w:pos="850"/>
          <w:tab w:val="num" w:pos="1984"/>
        </w:tabs>
        <w:ind w:left="1984" w:hanging="567"/>
        <w:rPr>
          <w:noProof/>
        </w:rPr>
      </w:pPr>
      <w:r>
        <w:rPr>
          <w:noProof/>
        </w:rPr>
        <w:t>4.1.2.</w:t>
      </w:r>
      <w:r>
        <w:rPr>
          <w:noProof/>
        </w:rPr>
        <w:tab/>
      </w:r>
      <w:r w:rsidRPr="00784BD2">
        <w:rPr>
          <w:noProof/>
        </w:rPr>
        <w:t>Aplicarea la cazul în speță</w:t>
      </w:r>
    </w:p>
    <w:p w14:paraId="3FAD9806" w14:textId="77777777" w:rsidR="00C74230" w:rsidRPr="00784BD2" w:rsidRDefault="00C74230" w:rsidP="00736AA9">
      <w:pPr>
        <w:rPr>
          <w:noProof/>
        </w:rPr>
      </w:pPr>
      <w:r w:rsidRPr="00784BD2">
        <w:rPr>
          <w:noProof/>
        </w:rPr>
        <w:t>Comitetul ad-hoc este un organism instituit printr-un acord, și anume COTIF, în conformitate cu articolul 13 alineatul (2) din respectivul acord.</w:t>
      </w:r>
    </w:p>
    <w:p w14:paraId="01ADE537" w14:textId="77777777" w:rsidR="00C74230" w:rsidRPr="00784BD2" w:rsidRDefault="00C74230" w:rsidP="00736AA9">
      <w:pPr>
        <w:rPr>
          <w:noProof/>
        </w:rPr>
      </w:pPr>
      <w:r w:rsidRPr="00784BD2">
        <w:rPr>
          <w:noProof/>
        </w:rPr>
        <w:t xml:space="preserve">Actul pe care Comitetul ad-hoc este invitat să îl adopte este un act cu efecte juridice. Întrucât Uniunea este parte contractantă cu drepturi depline la COTIF, actul avut în vedere va fi obligatoriu pentru Uniune în temeiul dreptului internațional, în conformitate cu articolul 16 alineatul (10) din COTIF, conform căruia comitetele OTIF își stabilesc regulamentul de procedură, și cu articolul 30 din regulamentul de procedură al Comitetului ad-hoc, conform căruia acest regulament poate fi modificat, integral sau parțial, printr-o decizie a acestui organism. </w:t>
      </w:r>
    </w:p>
    <w:p w14:paraId="073F29F4" w14:textId="77777777" w:rsidR="00C74230" w:rsidRPr="00784BD2" w:rsidRDefault="00C74230" w:rsidP="00736AA9">
      <w:pPr>
        <w:rPr>
          <w:noProof/>
        </w:rPr>
      </w:pPr>
      <w:r w:rsidRPr="00784BD2">
        <w:rPr>
          <w:noProof/>
        </w:rPr>
        <w:t>Actul avut în vedere nu aduce completări sau modificări cadrului instituțional al acordului.</w:t>
      </w:r>
    </w:p>
    <w:p w14:paraId="1D39273F" w14:textId="77777777" w:rsidR="00C74230" w:rsidRPr="00784BD2" w:rsidRDefault="00C74230" w:rsidP="00736AA9">
      <w:pPr>
        <w:rPr>
          <w:noProof/>
        </w:rPr>
      </w:pPr>
      <w:r w:rsidRPr="00784BD2">
        <w:rPr>
          <w:noProof/>
        </w:rPr>
        <w:t>Prin urmare, temeiul juridic procedural al propunerii de decizie este articolul 218 alineatul (9) din TFUE.</w:t>
      </w:r>
    </w:p>
    <w:p w14:paraId="34A36FCC" w14:textId="77777777" w:rsidR="00C74230" w:rsidRPr="00784BD2" w:rsidRDefault="00C74230" w:rsidP="00736AA9">
      <w:pPr>
        <w:pStyle w:val="ManualHeading2"/>
        <w:rPr>
          <w:noProof/>
        </w:rPr>
      </w:pPr>
      <w:r>
        <w:rPr>
          <w:noProof/>
        </w:rPr>
        <w:t>4.2.</w:t>
      </w:r>
      <w:r>
        <w:rPr>
          <w:noProof/>
        </w:rPr>
        <w:tab/>
      </w:r>
      <w:r w:rsidRPr="00784BD2">
        <w:rPr>
          <w:noProof/>
        </w:rPr>
        <w:t>Temeiul juridic material</w:t>
      </w:r>
    </w:p>
    <w:p w14:paraId="7D04C07B" w14:textId="77777777" w:rsidR="00C74230" w:rsidRPr="00784BD2" w:rsidRDefault="00C74230" w:rsidP="00C74230">
      <w:pPr>
        <w:pStyle w:val="ManualHeading3"/>
        <w:tabs>
          <w:tab w:val="clear" w:pos="850"/>
          <w:tab w:val="num" w:pos="1984"/>
        </w:tabs>
        <w:ind w:left="1984" w:hanging="567"/>
        <w:rPr>
          <w:noProof/>
        </w:rPr>
      </w:pPr>
      <w:r>
        <w:rPr>
          <w:noProof/>
        </w:rPr>
        <w:t>4.2.1.</w:t>
      </w:r>
      <w:r>
        <w:rPr>
          <w:noProof/>
        </w:rPr>
        <w:tab/>
      </w:r>
      <w:r w:rsidRPr="00784BD2">
        <w:rPr>
          <w:noProof/>
        </w:rPr>
        <w:t>Principii</w:t>
      </w:r>
    </w:p>
    <w:p w14:paraId="3A592F4C" w14:textId="77777777" w:rsidR="00C74230" w:rsidRPr="00784BD2" w:rsidRDefault="00C74230" w:rsidP="00736AA9">
      <w:pPr>
        <w:rPr>
          <w:noProof/>
        </w:rPr>
      </w:pPr>
      <w:r w:rsidRPr="00784BD2">
        <w:rPr>
          <w:noProof/>
        </w:rPr>
        <w:t>Temeiul juridic material al unei decizii adoptate în temeiul articolului 218 alineatul (9) din TFUE depinde în primul rând de obiectivul și de conținutul actului avut în vedere cu privire la care se adoptă o poziție în numele Uniunii. 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14:paraId="0A785B8B" w14:textId="77777777" w:rsidR="00C74230" w:rsidRPr="00784BD2" w:rsidRDefault="00C74230" w:rsidP="00C74230">
      <w:pPr>
        <w:pStyle w:val="ManualHeading3"/>
        <w:tabs>
          <w:tab w:val="clear" w:pos="850"/>
          <w:tab w:val="num" w:pos="1984"/>
        </w:tabs>
        <w:ind w:left="1984" w:hanging="567"/>
        <w:rPr>
          <w:noProof/>
        </w:rPr>
      </w:pPr>
      <w:r>
        <w:rPr>
          <w:noProof/>
        </w:rPr>
        <w:t>4.2.2.</w:t>
      </w:r>
      <w:r>
        <w:rPr>
          <w:noProof/>
        </w:rPr>
        <w:tab/>
      </w:r>
      <w:r w:rsidRPr="00784BD2">
        <w:rPr>
          <w:noProof/>
        </w:rPr>
        <w:t>Aplicarea la cazul în speță</w:t>
      </w:r>
    </w:p>
    <w:p w14:paraId="465C8A4F" w14:textId="34DB9969" w:rsidR="00C74230" w:rsidRPr="00784BD2" w:rsidRDefault="00C74230" w:rsidP="00736AA9">
      <w:pPr>
        <w:rPr>
          <w:noProof/>
        </w:rPr>
      </w:pPr>
      <w:r w:rsidRPr="00784BD2">
        <w:rPr>
          <w:noProof/>
        </w:rPr>
        <w:t>Obiectivul principal și conținutul actului avut în vedere se referă la transportul internațional feroviar.</w:t>
      </w:r>
      <w:r w:rsidR="00784BD2" w:rsidRPr="00784BD2">
        <w:rPr>
          <w:noProof/>
        </w:rPr>
        <w:t xml:space="preserve"> </w:t>
      </w:r>
    </w:p>
    <w:p w14:paraId="6732D5FC" w14:textId="77777777" w:rsidR="00C74230" w:rsidRPr="00784BD2" w:rsidRDefault="00C74230" w:rsidP="00736AA9">
      <w:pPr>
        <w:rPr>
          <w:i/>
          <w:noProof/>
        </w:rPr>
      </w:pPr>
      <w:r w:rsidRPr="00784BD2">
        <w:rPr>
          <w:noProof/>
        </w:rPr>
        <w:t>Prin urmare, temeiul juridic material al deciziei propuse este articolul 91 din TFUE.</w:t>
      </w:r>
    </w:p>
    <w:p w14:paraId="244803DC" w14:textId="77777777" w:rsidR="00C74230" w:rsidRPr="00784BD2" w:rsidRDefault="00C74230" w:rsidP="00736AA9">
      <w:pPr>
        <w:pStyle w:val="ManualHeading2"/>
        <w:rPr>
          <w:noProof/>
        </w:rPr>
      </w:pPr>
      <w:r>
        <w:rPr>
          <w:noProof/>
        </w:rPr>
        <w:t>4.3.</w:t>
      </w:r>
      <w:r>
        <w:rPr>
          <w:noProof/>
        </w:rPr>
        <w:tab/>
      </w:r>
      <w:r w:rsidRPr="00784BD2">
        <w:rPr>
          <w:noProof/>
        </w:rPr>
        <w:t>Concluzie</w:t>
      </w:r>
    </w:p>
    <w:p w14:paraId="79C8C431" w14:textId="77777777" w:rsidR="00C74230" w:rsidRPr="00784BD2" w:rsidRDefault="00C74230" w:rsidP="00736AA9">
      <w:pPr>
        <w:rPr>
          <w:noProof/>
        </w:rPr>
      </w:pPr>
      <w:r w:rsidRPr="00784BD2">
        <w:rPr>
          <w:noProof/>
        </w:rPr>
        <w:t>Temeiul juridic al deciziei propuse trebuie să fie articolul 91 din TFUE coroborat cu articolul 218 alineatul (9) din TFUE.</w:t>
      </w:r>
    </w:p>
    <w:p w14:paraId="261B91A0" w14:textId="77777777" w:rsidR="00C74230" w:rsidRPr="00784BD2" w:rsidRDefault="00C74230" w:rsidP="00FD40BA">
      <w:pPr>
        <w:rPr>
          <w:noProof/>
        </w:rPr>
        <w:sectPr w:rsidR="00C74230" w:rsidRPr="00784BD2" w:rsidSect="008C17D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0AAE6A7D" w14:textId="210DFD12" w:rsidR="00C74230" w:rsidRPr="00784BD2" w:rsidRDefault="00784BD2" w:rsidP="00784BD2">
      <w:pPr>
        <w:pStyle w:val="Statut"/>
        <w:rPr>
          <w:noProof/>
        </w:rPr>
      </w:pPr>
      <w:r w:rsidRPr="00784BD2">
        <w:rPr>
          <w:noProof/>
        </w:rPr>
        <w:lastRenderedPageBreak/>
        <w:t>Propunere de</w:t>
      </w:r>
    </w:p>
    <w:p w14:paraId="6037FC33" w14:textId="45CA2464" w:rsidR="00C74230" w:rsidRPr="00784BD2" w:rsidRDefault="00784BD2" w:rsidP="00784BD2">
      <w:pPr>
        <w:pStyle w:val="Typedudocument"/>
        <w:rPr>
          <w:noProof/>
        </w:rPr>
      </w:pPr>
      <w:r w:rsidRPr="00784BD2">
        <w:rPr>
          <w:noProof/>
        </w:rPr>
        <w:t>DECIZIE A CONSILIULUI</w:t>
      </w:r>
    </w:p>
    <w:p w14:paraId="5ED3129B" w14:textId="0938D779" w:rsidR="00C74230" w:rsidRPr="00784BD2" w:rsidRDefault="00784BD2" w:rsidP="00784BD2">
      <w:pPr>
        <w:pStyle w:val="Titreobjet"/>
        <w:rPr>
          <w:noProof/>
        </w:rPr>
      </w:pPr>
      <w:bookmarkStart w:id="2" w:name="_Hlk230167237"/>
      <w:r w:rsidRPr="00784BD2">
        <w:rPr>
          <w:noProof/>
        </w:rPr>
        <w:t>privind poziția care urmează să fie adoptată în numele Uniunii Europene în cadrul celei de a 9-a sesiuni a Comitetului ad-hoc pentru afaceri juridice și cooperare internațională al Organizației Interguvernamentale pentru Transporturile Internaționale Feroviare (OTIF) în ceea ce privește modificarea regulamentului său de procedură</w:t>
      </w:r>
    </w:p>
    <w:bookmarkEnd w:id="2"/>
    <w:p w14:paraId="627DBB98" w14:textId="77777777" w:rsidR="00C74230" w:rsidRPr="00784BD2" w:rsidRDefault="00C74230" w:rsidP="00BE7CB9">
      <w:pPr>
        <w:pStyle w:val="Institutionquiagit"/>
        <w:rPr>
          <w:noProof/>
        </w:rPr>
      </w:pPr>
      <w:r w:rsidRPr="00784BD2">
        <w:rPr>
          <w:noProof/>
        </w:rPr>
        <w:t>CONSILIUL UNIUNII EUROPENE,</w:t>
      </w:r>
    </w:p>
    <w:p w14:paraId="0C9296A8" w14:textId="77777777" w:rsidR="00C74230" w:rsidRPr="00784BD2" w:rsidRDefault="00C74230" w:rsidP="00BE7CB9">
      <w:pPr>
        <w:rPr>
          <w:noProof/>
        </w:rPr>
      </w:pPr>
      <w:r w:rsidRPr="00784BD2">
        <w:rPr>
          <w:noProof/>
        </w:rPr>
        <w:t>având în vedere Tratatul privind funcționarea Uniunii Europene, în special articolul 91 din TFUE, coroborat cu articolul 218 alineatul (9),</w:t>
      </w:r>
    </w:p>
    <w:p w14:paraId="6EAA55BD" w14:textId="77777777" w:rsidR="00C74230" w:rsidRPr="00784BD2" w:rsidRDefault="00C74230" w:rsidP="00BE7CB9">
      <w:pPr>
        <w:rPr>
          <w:noProof/>
        </w:rPr>
      </w:pPr>
      <w:r w:rsidRPr="00784BD2">
        <w:rPr>
          <w:noProof/>
        </w:rPr>
        <w:t>având în vedere propunerea Comisiei Europene,</w:t>
      </w:r>
    </w:p>
    <w:p w14:paraId="17A82208" w14:textId="77777777" w:rsidR="00C74230" w:rsidRPr="00784BD2" w:rsidRDefault="00C74230" w:rsidP="00BE7CB9">
      <w:pPr>
        <w:rPr>
          <w:noProof/>
        </w:rPr>
      </w:pPr>
      <w:r w:rsidRPr="00784BD2">
        <w:rPr>
          <w:noProof/>
        </w:rPr>
        <w:t>întrucât:</w:t>
      </w:r>
    </w:p>
    <w:p w14:paraId="4A431377" w14:textId="6D5A5181" w:rsidR="00F24CB0" w:rsidRPr="00784BD2" w:rsidRDefault="00D64FC4" w:rsidP="00D70D0D">
      <w:pPr>
        <w:pStyle w:val="ManualConsidrant"/>
        <w:widowControl w:val="0"/>
        <w:tabs>
          <w:tab w:val="left" w:pos="824"/>
        </w:tabs>
        <w:autoSpaceDE w:val="0"/>
        <w:autoSpaceDN w:val="0"/>
        <w:spacing w:before="2" w:after="160"/>
        <w:ind w:right="111"/>
        <w:rPr>
          <w:rFonts w:eastAsia="Times New Roman"/>
          <w:noProof/>
          <w:szCs w:val="24"/>
        </w:rPr>
      </w:pPr>
      <w:r>
        <w:rPr>
          <w:noProof/>
        </w:rPr>
        <w:t>(1)</w:t>
      </w:r>
      <w:r>
        <w:rPr>
          <w:noProof/>
        </w:rPr>
        <w:tab/>
      </w:r>
      <w:r w:rsidRPr="00784BD2">
        <w:rPr>
          <w:noProof/>
        </w:rPr>
        <w:t>Acordul dintre Uniunea Europeană și Organizația Interguvernamentală pentru Transporturile Internaționale Feroviare („OTIF”) privind aderarea Uniunii Europene la Convenția privind transporturile internaționale feroviare (COTIF) din 9 mai 1980, astfel cum a fost modificată prin Protocolul de la Vilnius din 3 iunie 1999</w:t>
      </w:r>
      <w:r w:rsidRPr="00784BD2">
        <w:rPr>
          <w:rStyle w:val="FootnoteReference"/>
          <w:noProof/>
        </w:rPr>
        <w:footnoteReference w:id="4"/>
      </w:r>
      <w:r w:rsidRPr="00784BD2">
        <w:rPr>
          <w:noProof/>
        </w:rPr>
        <w:t xml:space="preserve"> („Acordul de aderare UE-COTIF”) a fost încheiat de Uniune la 16 iunie 2011 prin Decizia 2013/103/UE a Consiliului</w:t>
      </w:r>
      <w:r w:rsidRPr="00784BD2">
        <w:rPr>
          <w:rStyle w:val="FootnoteReference"/>
          <w:noProof/>
        </w:rPr>
        <w:footnoteReference w:id="5"/>
      </w:r>
      <w:r w:rsidRPr="00784BD2">
        <w:rPr>
          <w:noProof/>
        </w:rPr>
        <w:t xml:space="preserve">. </w:t>
      </w:r>
    </w:p>
    <w:p w14:paraId="149EDC4A" w14:textId="77777777" w:rsidR="00C74230" w:rsidRPr="00784BD2" w:rsidRDefault="00C74230" w:rsidP="00C74230">
      <w:pPr>
        <w:pStyle w:val="ManualConsidrant"/>
        <w:rPr>
          <w:noProof/>
        </w:rPr>
      </w:pPr>
      <w:r>
        <w:rPr>
          <w:noProof/>
        </w:rPr>
        <w:t>(2)</w:t>
      </w:r>
      <w:r>
        <w:rPr>
          <w:noProof/>
        </w:rPr>
        <w:tab/>
      </w:r>
      <w:r w:rsidRPr="00784BD2">
        <w:rPr>
          <w:noProof/>
        </w:rPr>
        <w:t>În temeiul articolului 13 alineatul 2 din COTIF, a fost instituit Comitetul ad-hoc pentru afaceri juridice și cooperare internațională („Comitetul ad-hoc”) al OTIF.</w:t>
      </w:r>
    </w:p>
    <w:p w14:paraId="2D75C08D" w14:textId="39F50594" w:rsidR="00383AE4" w:rsidRPr="00784BD2" w:rsidRDefault="00383AE4" w:rsidP="00C74230">
      <w:pPr>
        <w:pStyle w:val="ManualConsidrant"/>
        <w:rPr>
          <w:noProof/>
        </w:rPr>
      </w:pPr>
      <w:r>
        <w:rPr>
          <w:noProof/>
        </w:rPr>
        <w:t>(3)</w:t>
      </w:r>
      <w:r>
        <w:rPr>
          <w:noProof/>
        </w:rPr>
        <w:tab/>
      </w:r>
      <w:r w:rsidRPr="00784BD2">
        <w:rPr>
          <w:noProof/>
        </w:rPr>
        <w:t xml:space="preserve">În temeiul articolului 16 alineatul (10) din COTIF și al articolului 30 din regulamentul de procedură al Comitetului ad-hoc, Comitetul ad-hoc are competența de a-și modifica regulamentul de procedură. </w:t>
      </w:r>
    </w:p>
    <w:p w14:paraId="1968A782" w14:textId="07E3CA72" w:rsidR="00C74230" w:rsidRPr="00784BD2" w:rsidRDefault="00C74230" w:rsidP="00C74230">
      <w:pPr>
        <w:pStyle w:val="ManualConsidrant"/>
        <w:rPr>
          <w:noProof/>
        </w:rPr>
      </w:pPr>
      <w:r>
        <w:rPr>
          <w:noProof/>
        </w:rPr>
        <w:t>(4)</w:t>
      </w:r>
      <w:r>
        <w:rPr>
          <w:noProof/>
        </w:rPr>
        <w:tab/>
      </w:r>
      <w:r w:rsidRPr="00784BD2">
        <w:rPr>
          <w:noProof/>
        </w:rPr>
        <w:t xml:space="preserve">În cadrul celei de a 9-a sesiuni din 23-24 iunie 2026, se preconizează adoptarea de către Comitetul ad-hoc a unei decizii de modificare a regulamentului său de procedură. </w:t>
      </w:r>
    </w:p>
    <w:p w14:paraId="390BE841" w14:textId="364F1D91" w:rsidR="00F11080" w:rsidRPr="00784BD2" w:rsidRDefault="00F11080" w:rsidP="00D70D0D">
      <w:pPr>
        <w:pStyle w:val="ManualConsidrant"/>
        <w:rPr>
          <w:rFonts w:eastAsia="Times New Roman"/>
          <w:noProof/>
          <w:szCs w:val="24"/>
        </w:rPr>
      </w:pPr>
      <w:r>
        <w:rPr>
          <w:noProof/>
        </w:rPr>
        <w:t>(5)</w:t>
      </w:r>
      <w:r>
        <w:rPr>
          <w:noProof/>
        </w:rPr>
        <w:tab/>
      </w:r>
      <w:r w:rsidRPr="00784BD2">
        <w:rPr>
          <w:noProof/>
        </w:rPr>
        <w:t xml:space="preserve">Dacă va fi adoptată, decizia Comitetului ad-hoc de modificare a regulamentului său de procedură va produce efecte juridice pentru Uniune. </w:t>
      </w:r>
    </w:p>
    <w:p w14:paraId="0E5046FA" w14:textId="4A8851E7" w:rsidR="005C57F7" w:rsidRPr="00784BD2" w:rsidRDefault="005C57F7" w:rsidP="00C74230">
      <w:pPr>
        <w:pStyle w:val="ManualConsidrant"/>
        <w:rPr>
          <w:noProof/>
        </w:rPr>
      </w:pPr>
      <w:r>
        <w:rPr>
          <w:noProof/>
        </w:rPr>
        <w:t>(6)</w:t>
      </w:r>
      <w:r>
        <w:rPr>
          <w:noProof/>
        </w:rPr>
        <w:tab/>
      </w:r>
      <w:r w:rsidRPr="00784BD2">
        <w:rPr>
          <w:noProof/>
        </w:rPr>
        <w:t xml:space="preserve">Obiectivul acestei decizii este modificarea regulamentului de procedură al Comitetului ad-hoc pentru a-l alinia la regulamentele de procedură ale altor organe ale OTIF. </w:t>
      </w:r>
    </w:p>
    <w:p w14:paraId="376DBCA8" w14:textId="6ABAE1C2" w:rsidR="00AB2A5B" w:rsidRPr="00784BD2" w:rsidRDefault="005C57F7" w:rsidP="00AB2A5B">
      <w:pPr>
        <w:pStyle w:val="ManualConsidrant"/>
        <w:rPr>
          <w:noProof/>
        </w:rPr>
      </w:pPr>
      <w:r>
        <w:rPr>
          <w:noProof/>
        </w:rPr>
        <w:t>(7)</w:t>
      </w:r>
      <w:r>
        <w:rPr>
          <w:noProof/>
        </w:rPr>
        <w:tab/>
      </w:r>
      <w:r w:rsidRPr="00784BD2">
        <w:rPr>
          <w:noProof/>
        </w:rPr>
        <w:t xml:space="preserve">Modificările regulamentului de procedură al Comitetului ad-hoc avute în vedere se bazează pe recomandările celei de a 8-a sesiuni a Comitetului ad-hoc al OTIF și urmăresc să asigure o mai bună aliniere și coerență între practicile acestui organ și cele ale altor organe ale OTIF. Prin urmare, ar trebui sprijinite modificările aduse regulamentului de procedură. </w:t>
      </w:r>
    </w:p>
    <w:p w14:paraId="7DE11228" w14:textId="3BE9DA78" w:rsidR="004859EC" w:rsidRPr="00784BD2" w:rsidRDefault="004859EC" w:rsidP="00AB2A5B">
      <w:pPr>
        <w:pStyle w:val="ManualConsidrant"/>
        <w:rPr>
          <w:noProof/>
        </w:rPr>
      </w:pPr>
      <w:r>
        <w:rPr>
          <w:noProof/>
        </w:rPr>
        <w:lastRenderedPageBreak/>
        <w:t>(8)</w:t>
      </w:r>
      <w:r>
        <w:rPr>
          <w:noProof/>
        </w:rPr>
        <w:tab/>
      </w:r>
      <w:r w:rsidRPr="00784BD2">
        <w:rPr>
          <w:noProof/>
        </w:rPr>
        <w:t>Prin urmare, este oportun să se stabilească poziția care urmează să fie adoptată în numele Uniunii în cadrul Comitetului ad-hoc cu privire la modificarea regulamentului său de procedură.</w:t>
      </w:r>
    </w:p>
    <w:p w14:paraId="2A1CE374" w14:textId="77777777" w:rsidR="00C74230" w:rsidRPr="00784BD2" w:rsidRDefault="00C74230" w:rsidP="00BE7CB9">
      <w:pPr>
        <w:pStyle w:val="Formuledadoption"/>
        <w:rPr>
          <w:noProof/>
        </w:rPr>
      </w:pPr>
      <w:r w:rsidRPr="00784BD2">
        <w:rPr>
          <w:noProof/>
        </w:rPr>
        <w:t>ADOPTĂ PREZENTA DECIZIE:</w:t>
      </w:r>
    </w:p>
    <w:p w14:paraId="314EAC3D" w14:textId="77777777" w:rsidR="00C74230" w:rsidRPr="00784BD2" w:rsidRDefault="00C74230" w:rsidP="005C57F7">
      <w:pPr>
        <w:pStyle w:val="Titrearticle"/>
        <w:rPr>
          <w:noProof/>
        </w:rPr>
      </w:pPr>
      <w:r w:rsidRPr="00784BD2">
        <w:rPr>
          <w:noProof/>
        </w:rPr>
        <w:t>Articolul 1</w:t>
      </w:r>
    </w:p>
    <w:p w14:paraId="3232647F" w14:textId="75866A84" w:rsidR="00C74230" w:rsidRPr="00784BD2" w:rsidRDefault="00C74230" w:rsidP="00AB0EA5">
      <w:pPr>
        <w:rPr>
          <w:noProof/>
        </w:rPr>
      </w:pPr>
      <w:r w:rsidRPr="00784BD2">
        <w:rPr>
          <w:noProof/>
        </w:rPr>
        <w:t>Poziția care urmează să fie adoptată în numele Uniunii în cadrul celei de a 9-a sesiuni a Comitetului ad-hoc pentru afaceri juridice și cooperare internațională al Convenției privind transporturile internaționale feroviare din 9 mai 1980, cu privire la modificările regulamentului său de procedură, este de a vota în favoarea modificărilor propuse ale regulamentului de procedură, astfel cum figurează în documentul INST-24046-JUR9/8.</w:t>
      </w:r>
    </w:p>
    <w:p w14:paraId="6AC7D162" w14:textId="08B09E40" w:rsidR="00262E6C" w:rsidRPr="00784BD2" w:rsidRDefault="00B3391E" w:rsidP="00D70D0D">
      <w:pPr>
        <w:pStyle w:val="Titrearticle"/>
        <w:rPr>
          <w:noProof/>
        </w:rPr>
      </w:pPr>
      <w:r w:rsidRPr="00784BD2">
        <w:rPr>
          <w:noProof/>
        </w:rPr>
        <w:t>Articolul 2</w:t>
      </w:r>
    </w:p>
    <w:p w14:paraId="43C607FB" w14:textId="6B996A8C" w:rsidR="004F621E" w:rsidRPr="00784BD2" w:rsidRDefault="00AB0EA5" w:rsidP="004F621E">
      <w:pPr>
        <w:widowControl w:val="0"/>
        <w:autoSpaceDE w:val="0"/>
        <w:autoSpaceDN w:val="0"/>
        <w:ind w:left="116"/>
        <w:rPr>
          <w:rFonts w:eastAsia="Times New Roman"/>
          <w:noProof/>
          <w:szCs w:val="24"/>
        </w:rPr>
      </w:pPr>
      <w:r w:rsidRPr="00784BD2">
        <w:rPr>
          <w:noProof/>
        </w:rPr>
        <w:t>În cadrul reuniunii Comitetului ad-hoc pentru afaceri juridice și cooperare internațională, reprezentanții Uniunii pot conveni asupra unor modificări tehnice minore ale poziției stabilite la articolul 1, fără o altă decizie a Consiliului.</w:t>
      </w:r>
    </w:p>
    <w:p w14:paraId="524628CA" w14:textId="1F2CF30A" w:rsidR="00AB0EA5" w:rsidRPr="00784BD2" w:rsidRDefault="00AB0EA5" w:rsidP="000D7E07">
      <w:pPr>
        <w:rPr>
          <w:noProof/>
        </w:rPr>
      </w:pPr>
    </w:p>
    <w:p w14:paraId="3C4E75CC" w14:textId="25E69230" w:rsidR="00C74230" w:rsidRPr="00784BD2" w:rsidRDefault="00C74230" w:rsidP="005206E5">
      <w:pPr>
        <w:pStyle w:val="Titrearticle"/>
        <w:rPr>
          <w:noProof/>
        </w:rPr>
      </w:pPr>
      <w:r w:rsidRPr="00784BD2">
        <w:rPr>
          <w:noProof/>
        </w:rPr>
        <w:t>Articolul 3</w:t>
      </w:r>
    </w:p>
    <w:p w14:paraId="2909E4DC" w14:textId="77777777" w:rsidR="00AB0EA5" w:rsidRPr="00784BD2" w:rsidRDefault="005C57F7" w:rsidP="00BF5FCD">
      <w:pPr>
        <w:rPr>
          <w:noProof/>
        </w:rPr>
      </w:pPr>
      <w:r w:rsidRPr="00784BD2">
        <w:rPr>
          <w:noProof/>
        </w:rPr>
        <w:t>Prezenta decizie intră în vigoare la data adoptării.</w:t>
      </w:r>
    </w:p>
    <w:p w14:paraId="7B9D85EA" w14:textId="1CDC875B" w:rsidR="00C74230" w:rsidRPr="00784BD2" w:rsidRDefault="00784BD2" w:rsidP="005206E5">
      <w:pPr>
        <w:pStyle w:val="Fait"/>
        <w:rPr>
          <w:noProof/>
        </w:rPr>
      </w:pPr>
      <w:r>
        <w:rPr>
          <w:noProof/>
        </w:rPr>
        <w:t>Adoptată la Bruxelles,</w:t>
      </w:r>
    </w:p>
    <w:p w14:paraId="65275279" w14:textId="77777777" w:rsidR="00C74230" w:rsidRPr="00784BD2" w:rsidRDefault="00C74230" w:rsidP="005206E5">
      <w:pPr>
        <w:pStyle w:val="Institutionquisigne"/>
        <w:rPr>
          <w:noProof/>
        </w:rPr>
      </w:pPr>
      <w:r w:rsidRPr="00784BD2">
        <w:rPr>
          <w:noProof/>
        </w:rPr>
        <w:tab/>
        <w:t>Pentru Consiliu</w:t>
      </w:r>
    </w:p>
    <w:p w14:paraId="3093DE86" w14:textId="77777777" w:rsidR="00C74230" w:rsidRPr="00784BD2" w:rsidRDefault="00C74230" w:rsidP="00C74230">
      <w:pPr>
        <w:pStyle w:val="Personnequisigne"/>
        <w:rPr>
          <w:noProof/>
        </w:rPr>
      </w:pPr>
      <w:r w:rsidRPr="00784BD2">
        <w:rPr>
          <w:noProof/>
        </w:rPr>
        <w:tab/>
        <w:t>Președintele</w:t>
      </w:r>
    </w:p>
    <w:sectPr w:rsidR="00C74230" w:rsidRPr="00784BD2" w:rsidSect="008C17D1">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A6B2E" w14:textId="77777777" w:rsidR="00D803FF" w:rsidRPr="00784BD2" w:rsidRDefault="00D803FF" w:rsidP="00C74230">
      <w:pPr>
        <w:spacing w:before="0" w:after="0"/>
      </w:pPr>
      <w:r w:rsidRPr="00784BD2">
        <w:separator/>
      </w:r>
    </w:p>
  </w:endnote>
  <w:endnote w:type="continuationSeparator" w:id="0">
    <w:p w14:paraId="238E3F34" w14:textId="77777777" w:rsidR="00D803FF" w:rsidRPr="00784BD2" w:rsidRDefault="00D803FF" w:rsidP="00C74230">
      <w:pPr>
        <w:spacing w:before="0" w:after="0"/>
      </w:pPr>
      <w:r w:rsidRPr="00784B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92FF8" w14:textId="03DF3B54" w:rsidR="008C17D1" w:rsidRPr="008C17D1" w:rsidRDefault="008C17D1" w:rsidP="008C17D1">
    <w:pPr>
      <w:pStyle w:val="Footer"/>
      <w:rPr>
        <w:rFonts w:ascii="Arial" w:hAnsi="Arial" w:cs="Arial"/>
        <w:b/>
        <w:sz w:val="48"/>
      </w:rPr>
    </w:pPr>
    <w:r w:rsidRPr="008C17D1">
      <w:rPr>
        <w:rFonts w:ascii="Arial" w:hAnsi="Arial" w:cs="Arial"/>
        <w:b/>
        <w:sz w:val="48"/>
      </w:rPr>
      <w:t>RO</w:t>
    </w:r>
    <w:r w:rsidRPr="008C17D1">
      <w:rPr>
        <w:rFonts w:ascii="Arial" w:hAnsi="Arial" w:cs="Arial"/>
        <w:b/>
        <w:sz w:val="48"/>
      </w:rPr>
      <w:tab/>
    </w:r>
    <w:r w:rsidRPr="008C17D1">
      <w:rPr>
        <w:rFonts w:ascii="Arial" w:hAnsi="Arial" w:cs="Arial"/>
        <w:b/>
        <w:sz w:val="48"/>
      </w:rPr>
      <w:tab/>
    </w:r>
    <w:r w:rsidRPr="008C17D1">
      <w:tab/>
    </w:r>
    <w:r w:rsidRPr="008C17D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0A4B0" w14:textId="6108F23C" w:rsidR="008C17D1" w:rsidRPr="008C17D1" w:rsidRDefault="008C17D1" w:rsidP="008C17D1">
    <w:pPr>
      <w:pStyle w:val="Footer"/>
      <w:rPr>
        <w:rFonts w:ascii="Arial" w:hAnsi="Arial" w:cs="Arial"/>
        <w:b/>
        <w:sz w:val="48"/>
      </w:rPr>
    </w:pPr>
    <w:r w:rsidRPr="008C17D1">
      <w:rPr>
        <w:rFonts w:ascii="Arial" w:hAnsi="Arial" w:cs="Arial"/>
        <w:b/>
        <w:sz w:val="48"/>
      </w:rPr>
      <w:t>RO</w:t>
    </w:r>
    <w:r w:rsidRPr="008C17D1">
      <w:rPr>
        <w:rFonts w:ascii="Arial" w:hAnsi="Arial" w:cs="Arial"/>
        <w:b/>
        <w:sz w:val="48"/>
      </w:rPr>
      <w:tab/>
    </w:r>
    <w:r w:rsidRPr="008C17D1">
      <w:rPr>
        <w:rFonts w:ascii="Arial" w:hAnsi="Arial" w:cs="Arial"/>
        <w:b/>
        <w:sz w:val="48"/>
      </w:rPr>
      <w:tab/>
    </w:r>
    <w:r w:rsidRPr="008C17D1">
      <w:tab/>
    </w:r>
    <w:r w:rsidRPr="008C17D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551DB" w14:textId="77777777" w:rsidR="008C17D1" w:rsidRDefault="008C17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9E73F" w14:textId="51942557" w:rsidR="008C17D1" w:rsidRPr="008C17D1" w:rsidRDefault="008C17D1" w:rsidP="008C17D1">
    <w:pPr>
      <w:pStyle w:val="Footer"/>
      <w:rPr>
        <w:rFonts w:ascii="Arial" w:hAnsi="Arial" w:cs="Arial"/>
        <w:b/>
        <w:sz w:val="48"/>
      </w:rPr>
    </w:pPr>
    <w:r w:rsidRPr="008C17D1">
      <w:rPr>
        <w:rFonts w:ascii="Arial" w:hAnsi="Arial" w:cs="Arial"/>
        <w:b/>
        <w:sz w:val="48"/>
      </w:rPr>
      <w:t>RO</w:t>
    </w:r>
    <w:r w:rsidRPr="008C17D1">
      <w:rPr>
        <w:rFonts w:ascii="Arial" w:hAnsi="Arial" w:cs="Arial"/>
        <w:b/>
        <w:sz w:val="48"/>
      </w:rPr>
      <w:tab/>
    </w:r>
    <w:r>
      <w:fldChar w:fldCharType="begin"/>
    </w:r>
    <w:r>
      <w:instrText xml:space="preserve"> PAGE  \* MERGEFORMAT </w:instrText>
    </w:r>
    <w:r>
      <w:fldChar w:fldCharType="separate"/>
    </w:r>
    <w:r w:rsidR="005206E5">
      <w:rPr>
        <w:noProof/>
      </w:rPr>
      <w:t>6</w:t>
    </w:r>
    <w:r>
      <w:fldChar w:fldCharType="end"/>
    </w:r>
    <w:r>
      <w:tab/>
    </w:r>
    <w:r w:rsidRPr="008C17D1">
      <w:tab/>
    </w:r>
    <w:r w:rsidRPr="008C17D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AA95B" w14:textId="77777777" w:rsidR="008C17D1" w:rsidRDefault="008C17D1" w:rsidP="008C1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2CC96" w14:textId="77777777" w:rsidR="00D803FF" w:rsidRPr="00784BD2" w:rsidRDefault="00D803FF" w:rsidP="00C74230">
      <w:pPr>
        <w:spacing w:before="0" w:after="0"/>
      </w:pPr>
      <w:r w:rsidRPr="00784BD2">
        <w:separator/>
      </w:r>
    </w:p>
  </w:footnote>
  <w:footnote w:type="continuationSeparator" w:id="0">
    <w:p w14:paraId="6A5EC65D" w14:textId="77777777" w:rsidR="00D803FF" w:rsidRPr="00784BD2" w:rsidRDefault="00D803FF" w:rsidP="00C74230">
      <w:pPr>
        <w:spacing w:before="0" w:after="0"/>
      </w:pPr>
      <w:r w:rsidRPr="00784BD2">
        <w:continuationSeparator/>
      </w:r>
    </w:p>
  </w:footnote>
  <w:footnote w:id="1">
    <w:p w14:paraId="7A77849B" w14:textId="2E159243" w:rsidR="00753F6D" w:rsidRPr="00784BD2" w:rsidRDefault="00753F6D">
      <w:pPr>
        <w:pStyle w:val="FootnoteText"/>
      </w:pPr>
      <w:r w:rsidRPr="00784BD2">
        <w:rPr>
          <w:rStyle w:val="FootnoteReference"/>
        </w:rPr>
        <w:footnoteRef/>
      </w:r>
      <w:r w:rsidRPr="00784BD2">
        <w:tab/>
        <w:t>Doar Ciprul și Malta nu sunt părți contractante.</w:t>
      </w:r>
    </w:p>
  </w:footnote>
  <w:footnote w:id="2">
    <w:p w14:paraId="56272153" w14:textId="38F23DBD" w:rsidR="00753F6D" w:rsidRPr="00784BD2" w:rsidRDefault="00753F6D" w:rsidP="00753F6D">
      <w:pPr>
        <w:pStyle w:val="FootnoteText"/>
      </w:pPr>
      <w:r w:rsidRPr="00784BD2">
        <w:rPr>
          <w:rStyle w:val="FootnoteReference"/>
        </w:rPr>
        <w:footnoteRef/>
      </w:r>
      <w:r w:rsidRPr="00784BD2">
        <w:tab/>
        <w:t>Decizia 2013/103/UE a Consiliului din 16 iunie 2011 privind semnarea și încheierea Acordului între Uniunea Europeană și Organizația Interguvernamentală pentru Transporturile Internaționale Feroviare privind aderarea Uniunii Europene la Convenția privind transporturile internaționale feroviare (COTIF) din 9 mai 1980, astfel cum a fost modificată prin Protocolul de la Vilnius din 3 iunie 1999 (JO</w:t>
      </w:r>
      <w:r w:rsidR="00784BD2">
        <w:t> </w:t>
      </w:r>
      <w:r w:rsidRPr="00784BD2">
        <w:t>L</w:t>
      </w:r>
      <w:r w:rsidR="00784BD2">
        <w:t> </w:t>
      </w:r>
      <w:r w:rsidRPr="00784BD2">
        <w:t xml:space="preserve">51, 23.2.2013, p. 1, ELI: </w:t>
      </w:r>
      <w:hyperlink r:id="rId1" w:history="1">
        <w:r w:rsidRPr="00784BD2">
          <w:rPr>
            <w:rStyle w:val="Hyperlink"/>
          </w:rPr>
          <w:t>http://data.europa.eu/eli/dec/2013/103(1)/oj</w:t>
        </w:r>
      </w:hyperlink>
      <w:r w:rsidRPr="00784BD2">
        <w:t xml:space="preserve">). </w:t>
      </w:r>
    </w:p>
  </w:footnote>
  <w:footnote w:id="3">
    <w:p w14:paraId="36364019" w14:textId="78834931" w:rsidR="00C74230" w:rsidRPr="00784BD2" w:rsidRDefault="00C74230" w:rsidP="00736AA9">
      <w:pPr>
        <w:pStyle w:val="FootnoteText"/>
      </w:pPr>
      <w:r w:rsidRPr="00784BD2">
        <w:rPr>
          <w:rStyle w:val="FootnoteReference"/>
        </w:rPr>
        <w:footnoteRef/>
      </w:r>
      <w:r w:rsidR="00784BD2">
        <w:tab/>
      </w:r>
      <w:r w:rsidRPr="00784BD2">
        <w:t xml:space="preserve">Hotărârea Curții de Justiție din 7 octombrie 2014, Germania/Consiliu, C-399/12, ECLI:EU:C:2014:2258, punctele 61-64. </w:t>
      </w:r>
    </w:p>
  </w:footnote>
  <w:footnote w:id="4">
    <w:p w14:paraId="4D7C038E" w14:textId="577CDB38" w:rsidR="00A83AE7" w:rsidRPr="00784BD2" w:rsidRDefault="00A83AE7" w:rsidP="00A83AE7">
      <w:pPr>
        <w:pStyle w:val="FootnoteText"/>
      </w:pPr>
      <w:r w:rsidRPr="00784BD2">
        <w:rPr>
          <w:rStyle w:val="FootnoteReference"/>
        </w:rPr>
        <w:footnoteRef/>
      </w:r>
      <w:r w:rsidRPr="00784BD2">
        <w:tab/>
        <w:t>JO</w:t>
      </w:r>
      <w:r w:rsidR="00784BD2">
        <w:t> </w:t>
      </w:r>
      <w:r w:rsidRPr="00784BD2">
        <w:t>L 51, 23.2.2013, p. 8.</w:t>
      </w:r>
    </w:p>
  </w:footnote>
  <w:footnote w:id="5">
    <w:p w14:paraId="5A45DBD8" w14:textId="7904667C" w:rsidR="00383AE4" w:rsidRPr="00383AE4" w:rsidRDefault="00383AE4" w:rsidP="00D964CB">
      <w:pPr>
        <w:pStyle w:val="FootnoteText"/>
      </w:pPr>
      <w:r w:rsidRPr="00784BD2">
        <w:rPr>
          <w:rStyle w:val="FootnoteReference"/>
        </w:rPr>
        <w:footnoteRef/>
      </w:r>
      <w:r w:rsidRPr="00784BD2">
        <w:tab/>
        <w:t>Decizia 2013/103/UE a Consiliului din 16 iunie 2011 privind semnarea și încheierea Acordului între Uniunea Europeană și Organizația Interguvernamentală pentru Transporturile Internaționale Feroviare privind aderarea Uniunii Europene la Convenția privind transporturile internaționale feroviare (COTIF) din 9 mai 1980, astfel cum a fost modificată prin Protocolul de la Vilnius din 3 iunie 1999 (JO</w:t>
      </w:r>
      <w:r w:rsidR="00784BD2">
        <w:t> </w:t>
      </w:r>
      <w:r w:rsidRPr="00784BD2">
        <w:t>L</w:t>
      </w:r>
      <w:r w:rsidR="00784BD2">
        <w:t> </w:t>
      </w:r>
      <w:r w:rsidRPr="00784BD2">
        <w:t xml:space="preserve">51, 23.2.2013, p. 1, ELI: </w:t>
      </w:r>
      <w:hyperlink r:id="rId2" w:history="1">
        <w:r w:rsidRPr="00784BD2">
          <w:rPr>
            <w:rStyle w:val="Hyperlink"/>
          </w:rPr>
          <w:t>http://data.europa.eu/eli/dec/2013/103(1)/oj</w:t>
        </w:r>
      </w:hyperlink>
      <w:r w:rsidRPr="00784BD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09303" w14:textId="77777777" w:rsidR="008C17D1" w:rsidRDefault="008C17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F8674" w14:textId="77777777" w:rsidR="008C17D1" w:rsidRDefault="008C17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19E22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946BC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2AACC4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DEC37D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2 16:58: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853788B-7C61-4C6C-A2DB-E321143B2FD8"/>
    <w:docVar w:name="LW_COVERPAGE_TYPE" w:val="1"/>
    <w:docVar w:name="LW_CreatedUtc" w:val="2026-05-19T17:15:49.5665567Z"/>
    <w:docVar w:name="LW_CROSSREFERENCE" w:val="&lt;UNUSED&gt;"/>
    <w:docVar w:name="LW_DocType" w:val="COM"/>
    <w:docVar w:name="LW_EMISSION" w:val="28.5.2026"/>
    <w:docVar w:name="LW_EMISSION_ISODATE" w:val="2026-05-28"/>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unere de"/>
    <w:docVar w:name="LW_STATUT.CP" w:val="Propunere de"/>
    <w:docVar w:name="LW_SUPERTITRE" w:val="&lt;UNUSED&gt;"/>
    <w:docVar w:name="LW_TITRE.OBJ" w:val="privind pozi\u539?ia care urmeaz\u259? s\u259? fie adoptat\u259? în numele Uniunii Europene în cadrul celei de a 9-a sesiuni a Comitetului ad-hoc pentru afaceri juridice \u537?i cooperare interna\u539?ional\u259? al Organiza\u539?iei Interguvernamentale pentru Transporturile Interna\u539?ionale Feroviare (OTIF) în ceea ce prive\u537?te modificarea regulamentului s\u259?u de procedur\u259?"/>
    <w:docVar w:name="LW_TITRE.OBJ.CP" w:val="privind pozi\u539?ia care urmeaz\u259? s\u259? fie adoptat\u259? în numele Uniunii Europene în cadrul celei de a 9-a sesiuni a Comitetului ad-hoc pentru afaceri juridice \u537?i cooperare interna\u539?ional\u259? al Organiza\u539?iei Interguvernamentale pentru Transporturile Interna\u539?ionale Feroviare (OTIF) în ceea ce prive\u537?te modificarea regulamentului s\u259?u de procedur\u259?"/>
    <w:docVar w:name="LW_TYPE.DOC" w:val="DECIZIE A CONSILIULUI"/>
    <w:docVar w:name="LW_TYPE.DOC.CP" w:val="DECIZIE A CONSILIULUI"/>
    <w:docVar w:name="LwApiVersions" w:val="LW4CoDe 1.24.5.0; LW 9.2, Build 20251112"/>
  </w:docVars>
  <w:rsids>
    <w:rsidRoot w:val="00C74230"/>
    <w:rsid w:val="0001625E"/>
    <w:rsid w:val="00017426"/>
    <w:rsid w:val="000366FF"/>
    <w:rsid w:val="000432D5"/>
    <w:rsid w:val="00064F15"/>
    <w:rsid w:val="000844C1"/>
    <w:rsid w:val="00086D70"/>
    <w:rsid w:val="000A46EB"/>
    <w:rsid w:val="000A5B61"/>
    <w:rsid w:val="000D3AD4"/>
    <w:rsid w:val="000D7BCD"/>
    <w:rsid w:val="000D7E07"/>
    <w:rsid w:val="000E5603"/>
    <w:rsid w:val="000E5EB3"/>
    <w:rsid w:val="001065F5"/>
    <w:rsid w:val="00107A1F"/>
    <w:rsid w:val="0011118F"/>
    <w:rsid w:val="001238EF"/>
    <w:rsid w:val="00136EFC"/>
    <w:rsid w:val="001424CF"/>
    <w:rsid w:val="00167DAE"/>
    <w:rsid w:val="001828A1"/>
    <w:rsid w:val="00191B79"/>
    <w:rsid w:val="00197613"/>
    <w:rsid w:val="001A4B09"/>
    <w:rsid w:val="001C7EBF"/>
    <w:rsid w:val="001D00FC"/>
    <w:rsid w:val="001D368B"/>
    <w:rsid w:val="001D56D7"/>
    <w:rsid w:val="001E0BF7"/>
    <w:rsid w:val="001E7FAC"/>
    <w:rsid w:val="001F2CE9"/>
    <w:rsid w:val="001F3924"/>
    <w:rsid w:val="00201660"/>
    <w:rsid w:val="00222A1D"/>
    <w:rsid w:val="00233DC7"/>
    <w:rsid w:val="00247779"/>
    <w:rsid w:val="002535E8"/>
    <w:rsid w:val="00262E6C"/>
    <w:rsid w:val="00280413"/>
    <w:rsid w:val="00285BEE"/>
    <w:rsid w:val="00290F4E"/>
    <w:rsid w:val="002926DC"/>
    <w:rsid w:val="0029533F"/>
    <w:rsid w:val="002957DF"/>
    <w:rsid w:val="002A058D"/>
    <w:rsid w:val="002A5CC7"/>
    <w:rsid w:val="002B1CEA"/>
    <w:rsid w:val="002B30AF"/>
    <w:rsid w:val="002B47C2"/>
    <w:rsid w:val="002D593A"/>
    <w:rsid w:val="00303FA8"/>
    <w:rsid w:val="0030740E"/>
    <w:rsid w:val="0033344A"/>
    <w:rsid w:val="00340812"/>
    <w:rsid w:val="00345FCE"/>
    <w:rsid w:val="00355D65"/>
    <w:rsid w:val="00364878"/>
    <w:rsid w:val="00383AE4"/>
    <w:rsid w:val="003A3A08"/>
    <w:rsid w:val="003A6C6F"/>
    <w:rsid w:val="003C4C2C"/>
    <w:rsid w:val="003D77F6"/>
    <w:rsid w:val="003E7AE0"/>
    <w:rsid w:val="003F16C8"/>
    <w:rsid w:val="00400DF6"/>
    <w:rsid w:val="004128F6"/>
    <w:rsid w:val="00424C3D"/>
    <w:rsid w:val="0042648E"/>
    <w:rsid w:val="00450D4B"/>
    <w:rsid w:val="00456AFE"/>
    <w:rsid w:val="004859EC"/>
    <w:rsid w:val="004936D2"/>
    <w:rsid w:val="004A15C0"/>
    <w:rsid w:val="004A7E39"/>
    <w:rsid w:val="004B0A95"/>
    <w:rsid w:val="004B1199"/>
    <w:rsid w:val="004C2E62"/>
    <w:rsid w:val="004D5929"/>
    <w:rsid w:val="004E182B"/>
    <w:rsid w:val="004E72FE"/>
    <w:rsid w:val="004F5D57"/>
    <w:rsid w:val="004F621E"/>
    <w:rsid w:val="00500244"/>
    <w:rsid w:val="005206E5"/>
    <w:rsid w:val="00532A77"/>
    <w:rsid w:val="00560D32"/>
    <w:rsid w:val="00563DD1"/>
    <w:rsid w:val="00566D2A"/>
    <w:rsid w:val="00570A91"/>
    <w:rsid w:val="00571789"/>
    <w:rsid w:val="00574C4C"/>
    <w:rsid w:val="005751CB"/>
    <w:rsid w:val="005A3836"/>
    <w:rsid w:val="005B1EB6"/>
    <w:rsid w:val="005C32E1"/>
    <w:rsid w:val="005C400A"/>
    <w:rsid w:val="005C57F7"/>
    <w:rsid w:val="005D1F90"/>
    <w:rsid w:val="005D41AA"/>
    <w:rsid w:val="005E7F07"/>
    <w:rsid w:val="005F2BF0"/>
    <w:rsid w:val="005F7F13"/>
    <w:rsid w:val="006011B8"/>
    <w:rsid w:val="0061162B"/>
    <w:rsid w:val="006119EF"/>
    <w:rsid w:val="00611AD1"/>
    <w:rsid w:val="00645E1F"/>
    <w:rsid w:val="006B2061"/>
    <w:rsid w:val="006F2D9B"/>
    <w:rsid w:val="006F48C3"/>
    <w:rsid w:val="007118C9"/>
    <w:rsid w:val="007224D4"/>
    <w:rsid w:val="00724535"/>
    <w:rsid w:val="00736929"/>
    <w:rsid w:val="00746333"/>
    <w:rsid w:val="00751A09"/>
    <w:rsid w:val="00753F6D"/>
    <w:rsid w:val="00773331"/>
    <w:rsid w:val="00784BD2"/>
    <w:rsid w:val="007932EF"/>
    <w:rsid w:val="007965BA"/>
    <w:rsid w:val="007A3E24"/>
    <w:rsid w:val="007A42FE"/>
    <w:rsid w:val="007B091C"/>
    <w:rsid w:val="007B7BF7"/>
    <w:rsid w:val="007D54B3"/>
    <w:rsid w:val="007E031A"/>
    <w:rsid w:val="007E05B0"/>
    <w:rsid w:val="007E5B19"/>
    <w:rsid w:val="00801E1F"/>
    <w:rsid w:val="008070B8"/>
    <w:rsid w:val="00807CEE"/>
    <w:rsid w:val="0082068A"/>
    <w:rsid w:val="008320E7"/>
    <w:rsid w:val="00852214"/>
    <w:rsid w:val="008534FD"/>
    <w:rsid w:val="00874D22"/>
    <w:rsid w:val="00883564"/>
    <w:rsid w:val="00891D2C"/>
    <w:rsid w:val="008A2914"/>
    <w:rsid w:val="008A5732"/>
    <w:rsid w:val="008B46FE"/>
    <w:rsid w:val="008C17D1"/>
    <w:rsid w:val="008C1A8A"/>
    <w:rsid w:val="008D0E84"/>
    <w:rsid w:val="008D422B"/>
    <w:rsid w:val="008E4D8E"/>
    <w:rsid w:val="00913B7A"/>
    <w:rsid w:val="00947CFA"/>
    <w:rsid w:val="00951D7A"/>
    <w:rsid w:val="00966742"/>
    <w:rsid w:val="00967851"/>
    <w:rsid w:val="00991E08"/>
    <w:rsid w:val="009A3142"/>
    <w:rsid w:val="009F2A5C"/>
    <w:rsid w:val="00A274F7"/>
    <w:rsid w:val="00A31CD0"/>
    <w:rsid w:val="00A350EA"/>
    <w:rsid w:val="00A52DCA"/>
    <w:rsid w:val="00A654A0"/>
    <w:rsid w:val="00A66BDF"/>
    <w:rsid w:val="00A7055B"/>
    <w:rsid w:val="00A72AD2"/>
    <w:rsid w:val="00A83AE7"/>
    <w:rsid w:val="00A85F69"/>
    <w:rsid w:val="00A877EB"/>
    <w:rsid w:val="00A92389"/>
    <w:rsid w:val="00AB0EA5"/>
    <w:rsid w:val="00AB2A5B"/>
    <w:rsid w:val="00AC0D55"/>
    <w:rsid w:val="00AD0AE2"/>
    <w:rsid w:val="00AE3083"/>
    <w:rsid w:val="00AF09EE"/>
    <w:rsid w:val="00B20186"/>
    <w:rsid w:val="00B311F1"/>
    <w:rsid w:val="00B3391E"/>
    <w:rsid w:val="00B8699A"/>
    <w:rsid w:val="00B932EF"/>
    <w:rsid w:val="00B9444C"/>
    <w:rsid w:val="00B95931"/>
    <w:rsid w:val="00BA2F34"/>
    <w:rsid w:val="00BA5FB8"/>
    <w:rsid w:val="00BB233C"/>
    <w:rsid w:val="00BD6791"/>
    <w:rsid w:val="00BE4FE4"/>
    <w:rsid w:val="00BF5FCD"/>
    <w:rsid w:val="00BF75F1"/>
    <w:rsid w:val="00C022EE"/>
    <w:rsid w:val="00C04366"/>
    <w:rsid w:val="00C07A99"/>
    <w:rsid w:val="00C12301"/>
    <w:rsid w:val="00C14437"/>
    <w:rsid w:val="00C1714F"/>
    <w:rsid w:val="00C41998"/>
    <w:rsid w:val="00C52672"/>
    <w:rsid w:val="00C53352"/>
    <w:rsid w:val="00C560BA"/>
    <w:rsid w:val="00C70A7C"/>
    <w:rsid w:val="00C73B30"/>
    <w:rsid w:val="00C74230"/>
    <w:rsid w:val="00C77B8B"/>
    <w:rsid w:val="00C837AE"/>
    <w:rsid w:val="00C90611"/>
    <w:rsid w:val="00CA03B3"/>
    <w:rsid w:val="00CA546D"/>
    <w:rsid w:val="00CA69A6"/>
    <w:rsid w:val="00CC28BA"/>
    <w:rsid w:val="00CC5EA1"/>
    <w:rsid w:val="00CD5877"/>
    <w:rsid w:val="00CF6EED"/>
    <w:rsid w:val="00D153BA"/>
    <w:rsid w:val="00D20381"/>
    <w:rsid w:val="00D31464"/>
    <w:rsid w:val="00D32304"/>
    <w:rsid w:val="00D33269"/>
    <w:rsid w:val="00D34B8D"/>
    <w:rsid w:val="00D3660A"/>
    <w:rsid w:val="00D504D9"/>
    <w:rsid w:val="00D55CB6"/>
    <w:rsid w:val="00D64FC4"/>
    <w:rsid w:val="00D70D0D"/>
    <w:rsid w:val="00D74461"/>
    <w:rsid w:val="00D77FD5"/>
    <w:rsid w:val="00D803FF"/>
    <w:rsid w:val="00D964CB"/>
    <w:rsid w:val="00DA14D5"/>
    <w:rsid w:val="00DD548C"/>
    <w:rsid w:val="00DE27FF"/>
    <w:rsid w:val="00DF011F"/>
    <w:rsid w:val="00E1678C"/>
    <w:rsid w:val="00E251FB"/>
    <w:rsid w:val="00E401A8"/>
    <w:rsid w:val="00E55714"/>
    <w:rsid w:val="00E62DEC"/>
    <w:rsid w:val="00E6582E"/>
    <w:rsid w:val="00E664ED"/>
    <w:rsid w:val="00E90D55"/>
    <w:rsid w:val="00E925C4"/>
    <w:rsid w:val="00EB4AFE"/>
    <w:rsid w:val="00EE364E"/>
    <w:rsid w:val="00EE5FCE"/>
    <w:rsid w:val="00EF6BF1"/>
    <w:rsid w:val="00F066F2"/>
    <w:rsid w:val="00F11080"/>
    <w:rsid w:val="00F157A3"/>
    <w:rsid w:val="00F24CB0"/>
    <w:rsid w:val="00F260BB"/>
    <w:rsid w:val="00F30D2C"/>
    <w:rsid w:val="00F72080"/>
    <w:rsid w:val="00F86E57"/>
    <w:rsid w:val="00F970E8"/>
    <w:rsid w:val="00FA4E7A"/>
    <w:rsid w:val="00FB01E5"/>
    <w:rsid w:val="00FC0043"/>
    <w:rsid w:val="00FC34B8"/>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AEE10C"/>
  <w15:docId w15:val="{2AC16193-6DE7-4B73-846C-AA070CFA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41AA"/>
    <w:pPr>
      <w:ind w:left="720"/>
      <w:contextualSpacing/>
    </w:pPr>
  </w:style>
  <w:style w:type="paragraph" w:styleId="BodyText">
    <w:name w:val="Body Text"/>
    <w:basedOn w:val="Normal"/>
    <w:link w:val="BodyTextChar"/>
    <w:uiPriority w:val="1"/>
    <w:qFormat/>
    <w:rsid w:val="00364878"/>
    <w:pPr>
      <w:autoSpaceDE w:val="0"/>
      <w:autoSpaceDN w:val="0"/>
      <w:adjustRightInd w:val="0"/>
      <w:spacing w:before="0" w:after="0"/>
      <w:ind w:left="39"/>
    </w:pPr>
    <w:rPr>
      <w:i/>
      <w:iCs/>
      <w:szCs w:val="24"/>
    </w:rPr>
  </w:style>
  <w:style w:type="character" w:customStyle="1" w:styleId="BodyTextChar">
    <w:name w:val="Body Text Char"/>
    <w:basedOn w:val="DefaultParagraphFont"/>
    <w:link w:val="BodyText"/>
    <w:uiPriority w:val="1"/>
    <w:rsid w:val="00364878"/>
    <w:rPr>
      <w:rFonts w:ascii="Times New Roman" w:hAnsi="Times New Roman" w:cs="Times New Roman"/>
      <w:i/>
      <w:iCs/>
      <w:sz w:val="24"/>
      <w:szCs w:val="24"/>
    </w:rPr>
  </w:style>
  <w:style w:type="paragraph" w:styleId="ListBullet">
    <w:name w:val="List Bullet"/>
    <w:basedOn w:val="Normal"/>
    <w:uiPriority w:val="99"/>
    <w:semiHidden/>
    <w:unhideWhenUsed/>
    <w:rsid w:val="00D74461"/>
    <w:pPr>
      <w:numPr>
        <w:numId w:val="1"/>
      </w:numPr>
      <w:contextualSpacing/>
    </w:pPr>
  </w:style>
  <w:style w:type="paragraph" w:styleId="ListBullet2">
    <w:name w:val="List Bullet 2"/>
    <w:basedOn w:val="Normal"/>
    <w:uiPriority w:val="99"/>
    <w:semiHidden/>
    <w:unhideWhenUsed/>
    <w:rsid w:val="00D74461"/>
    <w:pPr>
      <w:numPr>
        <w:numId w:val="2"/>
      </w:numPr>
      <w:contextualSpacing/>
    </w:pPr>
  </w:style>
  <w:style w:type="paragraph" w:styleId="ListBullet3">
    <w:name w:val="List Bullet 3"/>
    <w:basedOn w:val="Normal"/>
    <w:uiPriority w:val="99"/>
    <w:semiHidden/>
    <w:unhideWhenUsed/>
    <w:rsid w:val="00D74461"/>
    <w:pPr>
      <w:numPr>
        <w:numId w:val="3"/>
      </w:numPr>
      <w:contextualSpacing/>
    </w:pPr>
  </w:style>
  <w:style w:type="paragraph" w:styleId="ListBullet4">
    <w:name w:val="List Bullet 4"/>
    <w:basedOn w:val="Normal"/>
    <w:uiPriority w:val="99"/>
    <w:semiHidden/>
    <w:unhideWhenUsed/>
    <w:rsid w:val="00D74461"/>
    <w:pPr>
      <w:numPr>
        <w:numId w:val="4"/>
      </w:numPr>
      <w:contextualSpacing/>
    </w:pPr>
  </w:style>
  <w:style w:type="character" w:styleId="CommentReference">
    <w:name w:val="annotation reference"/>
    <w:basedOn w:val="DefaultParagraphFont"/>
    <w:uiPriority w:val="99"/>
    <w:semiHidden/>
    <w:unhideWhenUsed/>
    <w:rsid w:val="00D74461"/>
    <w:rPr>
      <w:sz w:val="16"/>
      <w:szCs w:val="16"/>
    </w:rPr>
  </w:style>
  <w:style w:type="paragraph" w:styleId="CommentText">
    <w:name w:val="annotation text"/>
    <w:basedOn w:val="Normal"/>
    <w:link w:val="CommentTextChar"/>
    <w:uiPriority w:val="99"/>
    <w:unhideWhenUsed/>
    <w:rsid w:val="00D74461"/>
    <w:rPr>
      <w:sz w:val="20"/>
      <w:szCs w:val="20"/>
    </w:rPr>
  </w:style>
  <w:style w:type="character" w:customStyle="1" w:styleId="CommentTextChar">
    <w:name w:val="Comment Text Char"/>
    <w:basedOn w:val="DefaultParagraphFont"/>
    <w:link w:val="CommentText"/>
    <w:uiPriority w:val="99"/>
    <w:rsid w:val="00D74461"/>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D74461"/>
    <w:rPr>
      <w:b/>
      <w:bCs/>
    </w:rPr>
  </w:style>
  <w:style w:type="character" w:customStyle="1" w:styleId="CommentSubjectChar">
    <w:name w:val="Comment Subject Char"/>
    <w:basedOn w:val="CommentTextChar"/>
    <w:link w:val="CommentSubject"/>
    <w:uiPriority w:val="99"/>
    <w:semiHidden/>
    <w:rsid w:val="00D74461"/>
    <w:rPr>
      <w:rFonts w:ascii="Times New Roman" w:hAnsi="Times New Roman" w:cs="Times New Roman"/>
      <w:b/>
      <w:bCs/>
      <w:sz w:val="20"/>
      <w:szCs w:val="20"/>
      <w:lang w:val="ro-RO"/>
    </w:rPr>
  </w:style>
  <w:style w:type="paragraph" w:styleId="Revision">
    <w:name w:val="Revision"/>
    <w:hidden/>
    <w:uiPriority w:val="99"/>
    <w:semiHidden/>
    <w:rsid w:val="00D74461"/>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D74461"/>
    <w:rPr>
      <w:color w:val="0000FF" w:themeColor="hyperlink"/>
      <w:u w:val="single"/>
    </w:rPr>
  </w:style>
  <w:style w:type="character" w:customStyle="1" w:styleId="UnresolvedMention">
    <w:name w:val="Unresolved Mention"/>
    <w:basedOn w:val="DefaultParagraphFont"/>
    <w:uiPriority w:val="99"/>
    <w:semiHidden/>
    <w:unhideWhenUsed/>
    <w:rsid w:val="00D74461"/>
    <w:rPr>
      <w:color w:val="605E5C"/>
      <w:shd w:val="clear" w:color="auto" w:fill="E1DFDD"/>
    </w:rPr>
  </w:style>
  <w:style w:type="character" w:styleId="FollowedHyperlink">
    <w:name w:val="FollowedHyperlink"/>
    <w:basedOn w:val="DefaultParagraphFont"/>
    <w:uiPriority w:val="99"/>
    <w:semiHidden/>
    <w:unhideWhenUsed/>
    <w:rsid w:val="00C73B30"/>
    <w:rPr>
      <w:color w:val="800080" w:themeColor="followedHyperlink"/>
      <w:u w:val="single"/>
    </w:rPr>
  </w:style>
  <w:style w:type="character" w:customStyle="1" w:styleId="HeaderChar">
    <w:name w:val="Header Char"/>
    <w:basedOn w:val="DefaultParagraphFont"/>
    <w:link w:val="Header"/>
    <w:uiPriority w:val="99"/>
    <w:rsid w:val="008C17D1"/>
    <w:rPr>
      <w:rFonts w:ascii="Times New Roman" w:hAnsi="Times New Roman" w:cs="Times New Roman"/>
      <w:sz w:val="24"/>
      <w:lang w:val="ro-RO"/>
    </w:rPr>
  </w:style>
  <w:style w:type="character" w:customStyle="1" w:styleId="FooterChar">
    <w:name w:val="Footer Char"/>
    <w:basedOn w:val="DefaultParagraphFont"/>
    <w:link w:val="Footer"/>
    <w:uiPriority w:val="99"/>
    <w:rsid w:val="008C17D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C17D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C17D1"/>
    <w:pPr>
      <w:spacing w:before="0"/>
      <w:jc w:val="right"/>
    </w:pPr>
    <w:rPr>
      <w:sz w:val="28"/>
    </w:rPr>
  </w:style>
  <w:style w:type="paragraph" w:customStyle="1" w:styleId="FooterSensitivity">
    <w:name w:val="Footer Sensitivity"/>
    <w:basedOn w:val="Normal"/>
    <w:rsid w:val="008C17D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C17D1"/>
    <w:pPr>
      <w:tabs>
        <w:tab w:val="center" w:pos="4535"/>
        <w:tab w:val="right" w:pos="9071"/>
      </w:tabs>
      <w:spacing w:before="0"/>
    </w:pPr>
  </w:style>
  <w:style w:type="paragraph" w:customStyle="1" w:styleId="HeaderLandscape">
    <w:name w:val="HeaderLandscape"/>
    <w:basedOn w:val="Normal"/>
    <w:rsid w:val="008C17D1"/>
    <w:pPr>
      <w:tabs>
        <w:tab w:val="center" w:pos="7285"/>
        <w:tab w:val="right" w:pos="14003"/>
      </w:tabs>
      <w:spacing w:before="0"/>
    </w:pPr>
  </w:style>
  <w:style w:type="paragraph" w:styleId="Footer">
    <w:name w:val="footer"/>
    <w:basedOn w:val="Normal"/>
    <w:link w:val="FooterChar"/>
    <w:uiPriority w:val="99"/>
    <w:unhideWhenUsed/>
    <w:rsid w:val="008C17D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C17D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13/103(1)/oj" TargetMode="External"/><Relationship Id="rId1" Type="http://schemas.openxmlformats.org/officeDocument/2006/relationships/hyperlink" Target="http://data.europa.eu/eli/dec/2013/103(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B7D82-2606-4A56-B179-ED382E56B374}">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C271BD4C-721D-4BDA-AF45-84A9888888E6}">
  <ds:schemaRefs>
    <ds:schemaRef ds:uri="http://schemas.microsoft.com/sharepoint/v3/contenttype/forms"/>
  </ds:schemaRefs>
</ds:datastoreItem>
</file>

<file path=customXml/itemProps3.xml><?xml version="1.0" encoding="utf-8"?>
<ds:datastoreItem xmlns:ds="http://schemas.openxmlformats.org/officeDocument/2006/customXml" ds:itemID="{3DF4E2B5-74C4-4CC2-9C7C-4D6ECCEEA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A54100-A8BD-4D36-9143-A2EC2FEA8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7</Pages>
  <Words>2058</Words>
  <Characters>11731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13762</CharactersWithSpaces>
  <SharedDoc>false</SharedDoc>
  <HLinks>
    <vt:vector size="12" baseType="variant">
      <vt:variant>
        <vt:i4>5767244</vt:i4>
      </vt:variant>
      <vt:variant>
        <vt:i4>3</vt:i4>
      </vt:variant>
      <vt:variant>
        <vt:i4>0</vt:i4>
      </vt:variant>
      <vt:variant>
        <vt:i4>5</vt:i4>
      </vt:variant>
      <vt:variant>
        <vt:lpwstr>http://data.europa.eu/eli/dec/2013/103(1)/oj</vt:lpwstr>
      </vt:variant>
      <vt:variant>
        <vt:lpwstr/>
      </vt:variant>
      <vt:variant>
        <vt:i4>5767244</vt:i4>
      </vt:variant>
      <vt:variant>
        <vt:i4>0</vt:i4>
      </vt:variant>
      <vt:variant>
        <vt:i4>0</vt:i4>
      </vt:variant>
      <vt:variant>
        <vt:i4>5</vt:i4>
      </vt:variant>
      <vt:variant>
        <vt:lpwstr>http://data.europa.eu/eli/dec/2013/103(1)/oj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2026-05-26T12:19:00Z</dcterms:created>
  <dcterms:modified xsi:type="dcterms:W3CDTF">2026-06-02T14:58:00Z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2026-05-19T17:16:02Z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6cd5c6a7-4b56-4848-8c41-473d845c447d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