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844112" w14:textId="5D8A5DF7" w:rsidR="00C74230" w:rsidRPr="00D70D0D" w:rsidRDefault="00144703" w:rsidP="00144703">
      <w:pPr>
        <w:pStyle w:val="Pagedecouverture"/>
        <w:rPr>
          <w:noProof/>
        </w:rPr>
      </w:pPr>
      <w:r>
        <w:rPr>
          <w:noProof/>
        </w:rPr>
        <w:pict w14:anchorId="129AC3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A60714-5593-463E-BEB9-375FCB0EFBE0" style="width:455.25pt;height:345.75pt">
            <v:imagedata r:id="rId11" o:title=""/>
          </v:shape>
        </w:pict>
      </w:r>
    </w:p>
    <w:p w14:paraId="5BC12AE0" w14:textId="77777777" w:rsidR="000366FF" w:rsidRPr="000366FF" w:rsidRDefault="000366FF" w:rsidP="000366FF">
      <w:pPr>
        <w:pStyle w:val="Pagedecouverture"/>
        <w:rPr>
          <w:noProof/>
        </w:rPr>
        <w:sectPr w:rsidR="000366FF" w:rsidRPr="000366FF" w:rsidSect="00144703">
          <w:footerReference w:type="even" r:id="rId12"/>
          <w:footerReference w:type="default" r:id="rId13"/>
          <w:pgSz w:w="11907" w:h="16839"/>
          <w:pgMar w:top="1134" w:right="1417" w:bottom="1134" w:left="1417" w:header="709" w:footer="709" w:gutter="0"/>
          <w:pgNumType w:start="0"/>
          <w:cols w:space="720"/>
          <w:docGrid w:linePitch="360"/>
        </w:sectPr>
      </w:pPr>
    </w:p>
    <w:p w14:paraId="1C96BD53" w14:textId="77777777" w:rsidR="00C74230" w:rsidRPr="00C73B30" w:rsidRDefault="00C74230" w:rsidP="00BB6B30">
      <w:pPr>
        <w:pStyle w:val="Exposdesmotifstitre"/>
        <w:rPr>
          <w:noProof/>
        </w:rPr>
      </w:pPr>
      <w:bookmarkStart w:id="0" w:name="_GoBack"/>
      <w:bookmarkEnd w:id="0"/>
      <w:r w:rsidRPr="00C73B30">
        <w:rPr>
          <w:noProof/>
        </w:rPr>
        <w:lastRenderedPageBreak/>
        <w:t>EXPLANATORY MEMORANDUM</w:t>
      </w:r>
    </w:p>
    <w:p w14:paraId="5DE9ECD9" w14:textId="77777777" w:rsidR="00C74230" w:rsidRPr="00C73B30" w:rsidRDefault="00C74230" w:rsidP="004128F6">
      <w:pPr>
        <w:pStyle w:val="ManualHeading1"/>
        <w:rPr>
          <w:rFonts w:eastAsia="Arial Unicode MS"/>
          <w:noProof/>
        </w:rPr>
      </w:pPr>
      <w:r>
        <w:rPr>
          <w:noProof/>
        </w:rPr>
        <w:t>1.</w:t>
      </w:r>
      <w:r>
        <w:rPr>
          <w:noProof/>
        </w:rPr>
        <w:tab/>
      </w:r>
      <w:r w:rsidRPr="00C73B30">
        <w:rPr>
          <w:rFonts w:eastAsia="Arial Unicode MS"/>
          <w:noProof/>
        </w:rPr>
        <w:t>Subject matter of the proposal</w:t>
      </w:r>
    </w:p>
    <w:p w14:paraId="7230168C" w14:textId="77777777" w:rsidR="00753F6D" w:rsidRPr="00C73B30" w:rsidRDefault="00C74230" w:rsidP="00736AA9">
      <w:pPr>
        <w:rPr>
          <w:rFonts w:eastAsia="Arial Unicode MS"/>
          <w:noProof/>
        </w:rPr>
      </w:pPr>
      <w:r w:rsidRPr="00C73B30">
        <w:rPr>
          <w:rFonts w:eastAsia="Arial Unicode MS"/>
          <w:noProof/>
        </w:rPr>
        <w:t xml:space="preserve">This proposal concerns the decision establishing the position to be taken on the Union's behalf </w:t>
      </w:r>
      <w:r w:rsidR="00753F6D" w:rsidRPr="00C73B30">
        <w:rPr>
          <w:rFonts w:eastAsia="Arial Unicode MS"/>
          <w:noProof/>
        </w:rPr>
        <w:t>at the 9</w:t>
      </w:r>
      <w:r w:rsidR="00753F6D" w:rsidRPr="000D7E07">
        <w:rPr>
          <w:rFonts w:eastAsia="Arial Unicode MS"/>
          <w:noProof/>
          <w:vertAlign w:val="superscript"/>
        </w:rPr>
        <w:t>th</w:t>
      </w:r>
      <w:r w:rsidR="00753F6D" w:rsidRPr="00C73B30">
        <w:rPr>
          <w:rFonts w:eastAsia="Arial Unicode MS"/>
          <w:noProof/>
        </w:rPr>
        <w:t xml:space="preserve"> session of the </w:t>
      </w:r>
      <w:r w:rsidR="00753F6D" w:rsidRPr="003D77F6">
        <w:rPr>
          <w:noProof/>
        </w:rPr>
        <w:t xml:space="preserve">Ad Hoc Committee on Legal Affairs and International Cooperation (hereafter, “the ad hoc Committee”) of </w:t>
      </w:r>
      <w:r w:rsidR="00D74461" w:rsidRPr="003D77F6">
        <w:rPr>
          <w:noProof/>
        </w:rPr>
        <w:t xml:space="preserve">the </w:t>
      </w:r>
      <w:r w:rsidR="00753F6D" w:rsidRPr="003D77F6">
        <w:rPr>
          <w:noProof/>
        </w:rPr>
        <w:t>Intergovernmental Organisation for International Carriage by Rail (OTIF)</w:t>
      </w:r>
      <w:r w:rsidRPr="003D77F6">
        <w:rPr>
          <w:noProof/>
        </w:rPr>
        <w:t xml:space="preserve"> </w:t>
      </w:r>
      <w:r w:rsidRPr="00C73B30">
        <w:rPr>
          <w:rFonts w:eastAsia="Arial Unicode MS"/>
          <w:noProof/>
        </w:rPr>
        <w:t xml:space="preserve">in connection with the envisaged adoption of </w:t>
      </w:r>
      <w:r w:rsidR="00753F6D" w:rsidRPr="00C73B30">
        <w:rPr>
          <w:rFonts w:eastAsia="Arial Unicode MS"/>
          <w:noProof/>
        </w:rPr>
        <w:t>a decision to amend the Rules of Procedure of the ad hoc Committee.</w:t>
      </w:r>
    </w:p>
    <w:p w14:paraId="39DDF145" w14:textId="77777777" w:rsidR="00C74230" w:rsidRPr="00C73B30" w:rsidRDefault="00C74230" w:rsidP="00736AA9">
      <w:pPr>
        <w:pStyle w:val="ManualHeading1"/>
        <w:rPr>
          <w:noProof/>
        </w:rPr>
      </w:pPr>
      <w:r>
        <w:rPr>
          <w:noProof/>
        </w:rPr>
        <w:t>2.</w:t>
      </w:r>
      <w:r>
        <w:rPr>
          <w:noProof/>
        </w:rPr>
        <w:tab/>
      </w:r>
      <w:r w:rsidRPr="00C73B30">
        <w:rPr>
          <w:noProof/>
        </w:rPr>
        <w:t>Context of the proposal</w:t>
      </w:r>
    </w:p>
    <w:p w14:paraId="127DBA03" w14:textId="77777777" w:rsidR="00C74230" w:rsidRPr="00C73B30" w:rsidRDefault="00C74230" w:rsidP="00736AA9">
      <w:pPr>
        <w:pStyle w:val="ManualHeading2"/>
        <w:rPr>
          <w:noProof/>
        </w:rPr>
      </w:pPr>
      <w:r>
        <w:rPr>
          <w:noProof/>
        </w:rPr>
        <w:t>2.1.</w:t>
      </w:r>
      <w:r>
        <w:rPr>
          <w:noProof/>
        </w:rPr>
        <w:tab/>
      </w:r>
      <w:r w:rsidRPr="00C73B30">
        <w:rPr>
          <w:noProof/>
        </w:rPr>
        <w:t xml:space="preserve">The </w:t>
      </w:r>
      <w:r w:rsidR="00753F6D" w:rsidRPr="003D77F6">
        <w:rPr>
          <w:noProof/>
        </w:rPr>
        <w:t>Convention concerning International Carriage by Rail (COTIF)</w:t>
      </w:r>
    </w:p>
    <w:p w14:paraId="7C55C5AD" w14:textId="77777777" w:rsidR="00C74230" w:rsidRPr="003D77F6" w:rsidRDefault="00C74230" w:rsidP="00736AA9">
      <w:pPr>
        <w:rPr>
          <w:noProof/>
        </w:rPr>
      </w:pPr>
      <w:r w:rsidRPr="00C73B30">
        <w:rPr>
          <w:rFonts w:eastAsia="Arial Unicode MS"/>
          <w:noProof/>
        </w:rPr>
        <w:t>The</w:t>
      </w:r>
      <w:r w:rsidR="00753F6D" w:rsidRPr="00C73B30">
        <w:rPr>
          <w:rFonts w:eastAsia="Arial Unicode MS"/>
          <w:noProof/>
        </w:rPr>
        <w:t xml:space="preserve"> Convention concerning International Carriage by Rail of 9 May 1980, as amended by the Vilnius Protocol of 3 June 1999 (‘COTIF’), is an international agreement where both the Union and 25 Member States</w:t>
      </w:r>
      <w:r w:rsidR="00753F6D" w:rsidRPr="00C73B30">
        <w:rPr>
          <w:rStyle w:val="FootnoteReference"/>
          <w:rFonts w:eastAsia="Arial Unicode MS"/>
          <w:noProof/>
        </w:rPr>
        <w:footnoteReference w:id="1"/>
      </w:r>
      <w:r w:rsidR="00753F6D" w:rsidRPr="00C73B30">
        <w:rPr>
          <w:rFonts w:eastAsia="Arial Unicode MS"/>
          <w:noProof/>
        </w:rPr>
        <w:t xml:space="preserve"> are Contracting Parties.</w:t>
      </w:r>
      <w:r w:rsidRPr="00C73B30">
        <w:rPr>
          <w:rFonts w:eastAsia="Arial Unicode MS"/>
          <w:noProof/>
        </w:rPr>
        <w:t xml:space="preserve"> </w:t>
      </w:r>
    </w:p>
    <w:p w14:paraId="018D6DB8" w14:textId="77777777" w:rsidR="00753F6D" w:rsidRPr="003D77F6" w:rsidRDefault="00753F6D" w:rsidP="00736AA9">
      <w:pPr>
        <w:rPr>
          <w:noProof/>
        </w:rPr>
      </w:pPr>
      <w:r w:rsidRPr="001C7EBF">
        <w:rPr>
          <w:noProof/>
        </w:rPr>
        <w:t>On 16 June 2011, the Council adopted Council Decision 2013/103/EU on the signing and conclusion of the Agreement between the European Union and the OTIF on the Accession of the European Union to the Convention concerning International Carriage by Rail (COTIF) of 9 May 1980, as amended by the Vilnius protocol of 3 June 1999 (“EU-COTIF Accession Agreement)</w:t>
      </w:r>
      <w:r w:rsidRPr="00C73B30">
        <w:rPr>
          <w:rStyle w:val="FootnoteReference"/>
          <w:rFonts w:eastAsia="Arial Unicode MS"/>
          <w:noProof/>
        </w:rPr>
        <w:footnoteReference w:id="2"/>
      </w:r>
      <w:r w:rsidRPr="003D77F6">
        <w:rPr>
          <w:noProof/>
        </w:rPr>
        <w:t>.</w:t>
      </w:r>
    </w:p>
    <w:p w14:paraId="29B6E6AA" w14:textId="77777777" w:rsidR="005D41AA" w:rsidRPr="003D77F6" w:rsidRDefault="005D41AA" w:rsidP="00736AA9">
      <w:pPr>
        <w:rPr>
          <w:noProof/>
        </w:rPr>
      </w:pPr>
      <w:r w:rsidRPr="003D77F6">
        <w:rPr>
          <w:noProof/>
        </w:rPr>
        <w:t>The EU-COTIF Accession Agreement entered into force on 1 July 2011.</w:t>
      </w:r>
    </w:p>
    <w:p w14:paraId="68BBD1C9" w14:textId="77777777" w:rsidR="005D41AA" w:rsidRPr="003D77F6" w:rsidRDefault="005D41AA" w:rsidP="00736AA9">
      <w:pPr>
        <w:rPr>
          <w:noProof/>
        </w:rPr>
      </w:pPr>
      <w:r w:rsidRPr="003D77F6">
        <w:rPr>
          <w:noProof/>
        </w:rPr>
        <w:t>According to Article 2(1) of the COTIF, OTIF aims at promoting, improving and facilitating, in all respects, international traffic by rail, in particular by establishing systems of uniform law in various fields of law relating to international traffic by rail. The COTIF also governs the running of the Organisation, its objectives, attributions, relations with the Contracting States and its activities in general.</w:t>
      </w:r>
    </w:p>
    <w:p w14:paraId="086C030C" w14:textId="77777777" w:rsidR="005D41AA" w:rsidRPr="00C73B30" w:rsidRDefault="005D41AA" w:rsidP="005D41AA">
      <w:pPr>
        <w:kinsoku w:val="0"/>
        <w:overflowPunct w:val="0"/>
        <w:autoSpaceDE w:val="0"/>
        <w:autoSpaceDN w:val="0"/>
        <w:adjustRightInd w:val="0"/>
        <w:spacing w:before="0" w:after="0"/>
        <w:ind w:right="139"/>
        <w:rPr>
          <w:noProof/>
          <w:szCs w:val="24"/>
        </w:rPr>
      </w:pPr>
      <w:r w:rsidRPr="00C73B30">
        <w:rPr>
          <w:noProof/>
          <w:szCs w:val="24"/>
        </w:rPr>
        <w:t>COTIF deals with rail legislation on a number of different legal and technical rail</w:t>
      </w:r>
      <w:r w:rsidRPr="00C73B30">
        <w:rPr>
          <w:noProof/>
          <w:spacing w:val="16"/>
          <w:szCs w:val="24"/>
        </w:rPr>
        <w:t xml:space="preserve"> </w:t>
      </w:r>
      <w:r w:rsidRPr="00C73B30">
        <w:rPr>
          <w:noProof/>
          <w:szCs w:val="24"/>
        </w:rPr>
        <w:t>matters that are</w:t>
      </w:r>
      <w:r w:rsidRPr="00C73B30">
        <w:rPr>
          <w:noProof/>
          <w:spacing w:val="35"/>
          <w:szCs w:val="24"/>
        </w:rPr>
        <w:t xml:space="preserve"> </w:t>
      </w:r>
      <w:r w:rsidRPr="00C73B30">
        <w:rPr>
          <w:noProof/>
          <w:szCs w:val="24"/>
        </w:rPr>
        <w:t>divided</w:t>
      </w:r>
      <w:r w:rsidRPr="00C73B30">
        <w:rPr>
          <w:noProof/>
          <w:spacing w:val="37"/>
          <w:szCs w:val="24"/>
        </w:rPr>
        <w:t xml:space="preserve"> </w:t>
      </w:r>
      <w:r w:rsidRPr="00C73B30">
        <w:rPr>
          <w:noProof/>
          <w:szCs w:val="24"/>
        </w:rPr>
        <w:t>into</w:t>
      </w:r>
      <w:r w:rsidRPr="00C73B30">
        <w:rPr>
          <w:noProof/>
          <w:spacing w:val="37"/>
          <w:szCs w:val="24"/>
        </w:rPr>
        <w:t xml:space="preserve"> </w:t>
      </w:r>
      <w:r w:rsidRPr="00C73B30">
        <w:rPr>
          <w:noProof/>
          <w:szCs w:val="24"/>
        </w:rPr>
        <w:t>two</w:t>
      </w:r>
      <w:r w:rsidRPr="00C73B30">
        <w:rPr>
          <w:noProof/>
          <w:spacing w:val="37"/>
          <w:szCs w:val="24"/>
        </w:rPr>
        <w:t xml:space="preserve"> </w:t>
      </w:r>
      <w:r w:rsidRPr="00C73B30">
        <w:rPr>
          <w:noProof/>
          <w:szCs w:val="24"/>
        </w:rPr>
        <w:t>parts:</w:t>
      </w:r>
      <w:r w:rsidRPr="00C73B30">
        <w:rPr>
          <w:noProof/>
          <w:spacing w:val="38"/>
          <w:szCs w:val="24"/>
        </w:rPr>
        <w:t xml:space="preserve"> </w:t>
      </w:r>
      <w:r w:rsidRPr="00C73B30">
        <w:rPr>
          <w:noProof/>
          <w:szCs w:val="24"/>
        </w:rPr>
        <w:t>the</w:t>
      </w:r>
      <w:r w:rsidRPr="00C73B30">
        <w:rPr>
          <w:noProof/>
          <w:spacing w:val="36"/>
          <w:szCs w:val="24"/>
        </w:rPr>
        <w:t xml:space="preserve"> </w:t>
      </w:r>
      <w:r w:rsidRPr="00C73B30">
        <w:rPr>
          <w:noProof/>
          <w:szCs w:val="24"/>
        </w:rPr>
        <w:t>Convention</w:t>
      </w:r>
      <w:r w:rsidRPr="00C73B30">
        <w:rPr>
          <w:noProof/>
          <w:spacing w:val="37"/>
          <w:szCs w:val="24"/>
        </w:rPr>
        <w:t xml:space="preserve"> </w:t>
      </w:r>
      <w:r w:rsidRPr="00C73B30">
        <w:rPr>
          <w:noProof/>
          <w:szCs w:val="24"/>
        </w:rPr>
        <w:t>itself,</w:t>
      </w:r>
      <w:r w:rsidRPr="00C73B30">
        <w:rPr>
          <w:noProof/>
          <w:spacing w:val="40"/>
          <w:szCs w:val="24"/>
        </w:rPr>
        <w:t xml:space="preserve"> </w:t>
      </w:r>
      <w:r w:rsidRPr="00C73B30">
        <w:rPr>
          <w:noProof/>
          <w:szCs w:val="24"/>
        </w:rPr>
        <w:t>which</w:t>
      </w:r>
      <w:r w:rsidRPr="00C73B30">
        <w:rPr>
          <w:noProof/>
          <w:spacing w:val="37"/>
          <w:szCs w:val="24"/>
        </w:rPr>
        <w:t xml:space="preserve"> </w:t>
      </w:r>
      <w:r w:rsidRPr="00C73B30">
        <w:rPr>
          <w:noProof/>
          <w:szCs w:val="24"/>
        </w:rPr>
        <w:t>governs</w:t>
      </w:r>
      <w:r w:rsidRPr="00C73B30">
        <w:rPr>
          <w:noProof/>
          <w:spacing w:val="36"/>
          <w:szCs w:val="24"/>
        </w:rPr>
        <w:t xml:space="preserve"> </w:t>
      </w:r>
      <w:r w:rsidRPr="00C73B30">
        <w:rPr>
          <w:noProof/>
          <w:szCs w:val="24"/>
        </w:rPr>
        <w:t>the</w:t>
      </w:r>
      <w:r w:rsidRPr="00C73B30">
        <w:rPr>
          <w:noProof/>
          <w:spacing w:val="36"/>
          <w:szCs w:val="24"/>
        </w:rPr>
        <w:t xml:space="preserve"> </w:t>
      </w:r>
      <w:r w:rsidRPr="00C73B30">
        <w:rPr>
          <w:noProof/>
          <w:szCs w:val="24"/>
        </w:rPr>
        <w:t>running</w:t>
      </w:r>
      <w:r w:rsidRPr="00C73B30">
        <w:rPr>
          <w:noProof/>
          <w:spacing w:val="37"/>
          <w:szCs w:val="24"/>
        </w:rPr>
        <w:t xml:space="preserve"> </w:t>
      </w:r>
      <w:r w:rsidRPr="00C73B30">
        <w:rPr>
          <w:noProof/>
          <w:szCs w:val="24"/>
        </w:rPr>
        <w:t>of</w:t>
      </w:r>
      <w:r w:rsidRPr="00C73B30">
        <w:rPr>
          <w:noProof/>
          <w:spacing w:val="36"/>
          <w:szCs w:val="24"/>
        </w:rPr>
        <w:t xml:space="preserve"> </w:t>
      </w:r>
      <w:r w:rsidRPr="00C73B30">
        <w:rPr>
          <w:noProof/>
          <w:szCs w:val="24"/>
        </w:rPr>
        <w:t>OTIF,</w:t>
      </w:r>
      <w:r w:rsidRPr="00C73B30">
        <w:rPr>
          <w:noProof/>
          <w:spacing w:val="37"/>
          <w:szCs w:val="24"/>
        </w:rPr>
        <w:t xml:space="preserve"> </w:t>
      </w:r>
      <w:r w:rsidRPr="00C73B30">
        <w:rPr>
          <w:noProof/>
          <w:szCs w:val="24"/>
        </w:rPr>
        <w:t>and eight Appendices to the Convention that establish uniform railway law:</w:t>
      </w:r>
    </w:p>
    <w:p w14:paraId="32BD9843" w14:textId="77777777" w:rsidR="005D41AA" w:rsidRPr="00C73B30" w:rsidRDefault="005D41AA" w:rsidP="00F72080">
      <w:pPr>
        <w:pStyle w:val="Tiret0"/>
        <w:numPr>
          <w:ilvl w:val="0"/>
          <w:numId w:val="7"/>
        </w:numPr>
        <w:rPr>
          <w:noProof/>
        </w:rPr>
      </w:pPr>
      <w:r w:rsidRPr="00C73B30">
        <w:rPr>
          <w:noProof/>
        </w:rPr>
        <w:t xml:space="preserve">Appendix A – Contract of International Carriage of Passengers by Rail </w:t>
      </w:r>
      <w:r w:rsidRPr="00C73B30">
        <w:rPr>
          <w:b/>
          <w:bCs/>
          <w:noProof/>
        </w:rPr>
        <w:t>(CIV</w:t>
      </w:r>
      <w:r w:rsidRPr="00C73B30">
        <w:rPr>
          <w:noProof/>
        </w:rPr>
        <w:t>)</w:t>
      </w:r>
    </w:p>
    <w:p w14:paraId="2E86FEF5" w14:textId="77777777" w:rsidR="005D41AA" w:rsidRPr="00C73B30" w:rsidRDefault="005D41AA" w:rsidP="003D77F6">
      <w:pPr>
        <w:pStyle w:val="Tiret0"/>
        <w:rPr>
          <w:b/>
          <w:bCs/>
          <w:noProof/>
        </w:rPr>
      </w:pPr>
      <w:r w:rsidRPr="00C73B30">
        <w:rPr>
          <w:noProof/>
        </w:rPr>
        <w:t>Appendix B – Contract of International Carriage of Goods by Rail (</w:t>
      </w:r>
      <w:r w:rsidRPr="00C73B30">
        <w:rPr>
          <w:b/>
          <w:bCs/>
          <w:noProof/>
        </w:rPr>
        <w:t>CIM)</w:t>
      </w:r>
    </w:p>
    <w:p w14:paraId="0BEFD4D3" w14:textId="77777777" w:rsidR="005D41AA" w:rsidRPr="00C73B30" w:rsidRDefault="005D41AA" w:rsidP="003D77F6">
      <w:pPr>
        <w:pStyle w:val="Tiret0"/>
        <w:rPr>
          <w:noProof/>
        </w:rPr>
      </w:pPr>
      <w:r w:rsidRPr="00C73B30">
        <w:rPr>
          <w:noProof/>
        </w:rPr>
        <w:t xml:space="preserve">Appendix C – International Carriage of Dangerous Goods by Rail </w:t>
      </w:r>
      <w:r w:rsidRPr="00C73B30">
        <w:rPr>
          <w:b/>
          <w:bCs/>
          <w:noProof/>
        </w:rPr>
        <w:t>(RID</w:t>
      </w:r>
      <w:r w:rsidRPr="00C73B30">
        <w:rPr>
          <w:noProof/>
        </w:rPr>
        <w:t>)</w:t>
      </w:r>
    </w:p>
    <w:p w14:paraId="0AC451A3" w14:textId="77777777" w:rsidR="005D41AA" w:rsidRPr="00C73B30" w:rsidRDefault="005D41AA" w:rsidP="003D77F6">
      <w:pPr>
        <w:pStyle w:val="Tiret0"/>
        <w:rPr>
          <w:b/>
          <w:bCs/>
          <w:noProof/>
        </w:rPr>
      </w:pPr>
      <w:r w:rsidRPr="00C73B30">
        <w:rPr>
          <w:noProof/>
        </w:rPr>
        <w:t>Appendix D – Contract of use of vehicles in international rail traffic (</w:t>
      </w:r>
      <w:r w:rsidRPr="00C73B30">
        <w:rPr>
          <w:b/>
          <w:bCs/>
          <w:noProof/>
        </w:rPr>
        <w:t>CUV)</w:t>
      </w:r>
    </w:p>
    <w:p w14:paraId="287C896C" w14:textId="77777777" w:rsidR="005D41AA" w:rsidRPr="00C73B30" w:rsidRDefault="005D41AA" w:rsidP="003D77F6">
      <w:pPr>
        <w:pStyle w:val="Tiret0"/>
        <w:rPr>
          <w:b/>
          <w:bCs/>
          <w:noProof/>
        </w:rPr>
      </w:pPr>
      <w:r w:rsidRPr="00C73B30">
        <w:rPr>
          <w:noProof/>
        </w:rPr>
        <w:t>Appendix E – Contract of use of infrastructure in international rail traffic (</w:t>
      </w:r>
      <w:r w:rsidRPr="00C73B30">
        <w:rPr>
          <w:b/>
          <w:bCs/>
          <w:noProof/>
        </w:rPr>
        <w:t>CUI)</w:t>
      </w:r>
    </w:p>
    <w:p w14:paraId="4CB0B858" w14:textId="77777777" w:rsidR="005D41AA" w:rsidRPr="00C73B30" w:rsidRDefault="005D41AA" w:rsidP="003D77F6">
      <w:pPr>
        <w:pStyle w:val="Tiret0"/>
        <w:rPr>
          <w:b/>
          <w:bCs/>
          <w:noProof/>
        </w:rPr>
      </w:pPr>
      <w:r w:rsidRPr="00C73B30">
        <w:rPr>
          <w:noProof/>
        </w:rPr>
        <w:t>Appendix</w:t>
      </w:r>
      <w:r w:rsidRPr="00C73B30">
        <w:rPr>
          <w:noProof/>
          <w:spacing w:val="20"/>
        </w:rPr>
        <w:t xml:space="preserve"> </w:t>
      </w:r>
      <w:r w:rsidRPr="00C73B30">
        <w:rPr>
          <w:noProof/>
        </w:rPr>
        <w:t>F</w:t>
      </w:r>
      <w:r w:rsidRPr="00C73B30">
        <w:rPr>
          <w:noProof/>
          <w:spacing w:val="21"/>
        </w:rPr>
        <w:t xml:space="preserve"> </w:t>
      </w:r>
      <w:r w:rsidRPr="00C73B30">
        <w:rPr>
          <w:noProof/>
        </w:rPr>
        <w:t>–</w:t>
      </w:r>
      <w:r w:rsidRPr="00C73B30">
        <w:rPr>
          <w:noProof/>
          <w:spacing w:val="22"/>
        </w:rPr>
        <w:t xml:space="preserve"> </w:t>
      </w:r>
      <w:r w:rsidRPr="00C73B30">
        <w:rPr>
          <w:noProof/>
        </w:rPr>
        <w:t>Uniform</w:t>
      </w:r>
      <w:r w:rsidRPr="00C73B30">
        <w:rPr>
          <w:noProof/>
          <w:spacing w:val="21"/>
        </w:rPr>
        <w:t xml:space="preserve"> </w:t>
      </w:r>
      <w:r w:rsidRPr="00C73B30">
        <w:rPr>
          <w:noProof/>
        </w:rPr>
        <w:t>Rules</w:t>
      </w:r>
      <w:r w:rsidRPr="00C73B30">
        <w:rPr>
          <w:noProof/>
          <w:spacing w:val="19"/>
        </w:rPr>
        <w:t xml:space="preserve"> </w:t>
      </w:r>
      <w:r w:rsidRPr="00C73B30">
        <w:rPr>
          <w:noProof/>
        </w:rPr>
        <w:t>concerning</w:t>
      </w:r>
      <w:r w:rsidRPr="00C73B30">
        <w:rPr>
          <w:noProof/>
          <w:spacing w:val="19"/>
        </w:rPr>
        <w:t xml:space="preserve"> </w:t>
      </w:r>
      <w:r w:rsidRPr="00C73B30">
        <w:rPr>
          <w:noProof/>
        </w:rPr>
        <w:t>the Validation</w:t>
      </w:r>
      <w:r w:rsidRPr="00C73B30">
        <w:rPr>
          <w:noProof/>
          <w:spacing w:val="19"/>
        </w:rPr>
        <w:t xml:space="preserve"> </w:t>
      </w:r>
      <w:r w:rsidRPr="00C73B30">
        <w:rPr>
          <w:noProof/>
        </w:rPr>
        <w:t>of</w:t>
      </w:r>
      <w:r w:rsidRPr="00C73B30">
        <w:rPr>
          <w:noProof/>
          <w:spacing w:val="21"/>
        </w:rPr>
        <w:t xml:space="preserve"> </w:t>
      </w:r>
      <w:r w:rsidRPr="00C73B30">
        <w:rPr>
          <w:noProof/>
        </w:rPr>
        <w:t>Technical</w:t>
      </w:r>
      <w:r w:rsidRPr="00C73B30">
        <w:rPr>
          <w:noProof/>
          <w:spacing w:val="20"/>
        </w:rPr>
        <w:t xml:space="preserve"> </w:t>
      </w:r>
      <w:r w:rsidRPr="00C73B30">
        <w:rPr>
          <w:noProof/>
        </w:rPr>
        <w:t>Standards</w:t>
      </w:r>
      <w:r w:rsidRPr="00C73B30">
        <w:rPr>
          <w:noProof/>
          <w:spacing w:val="19"/>
        </w:rPr>
        <w:t xml:space="preserve"> </w:t>
      </w:r>
      <w:r w:rsidRPr="00C73B30">
        <w:rPr>
          <w:noProof/>
        </w:rPr>
        <w:t>and the</w:t>
      </w:r>
      <w:r w:rsidRPr="00C73B30">
        <w:rPr>
          <w:noProof/>
          <w:spacing w:val="57"/>
        </w:rPr>
        <w:t xml:space="preserve"> </w:t>
      </w:r>
      <w:r w:rsidRPr="00C73B30">
        <w:rPr>
          <w:noProof/>
        </w:rPr>
        <w:t>Adoption</w:t>
      </w:r>
      <w:r w:rsidRPr="00C73B30">
        <w:rPr>
          <w:noProof/>
          <w:spacing w:val="57"/>
        </w:rPr>
        <w:t xml:space="preserve"> </w:t>
      </w:r>
      <w:r w:rsidRPr="00C73B30">
        <w:rPr>
          <w:noProof/>
        </w:rPr>
        <w:t>of</w:t>
      </w:r>
      <w:r w:rsidRPr="00C73B30">
        <w:rPr>
          <w:noProof/>
          <w:spacing w:val="58"/>
        </w:rPr>
        <w:t xml:space="preserve"> </w:t>
      </w:r>
      <w:r w:rsidRPr="00C73B30">
        <w:rPr>
          <w:noProof/>
        </w:rPr>
        <w:t>Uniform</w:t>
      </w:r>
      <w:r w:rsidRPr="00C73B30">
        <w:rPr>
          <w:noProof/>
          <w:spacing w:val="58"/>
        </w:rPr>
        <w:t xml:space="preserve"> </w:t>
      </w:r>
      <w:r w:rsidRPr="00C73B30">
        <w:rPr>
          <w:noProof/>
        </w:rPr>
        <w:t>Technical</w:t>
      </w:r>
      <w:r w:rsidRPr="00C73B30">
        <w:rPr>
          <w:noProof/>
          <w:spacing w:val="58"/>
        </w:rPr>
        <w:t xml:space="preserve"> </w:t>
      </w:r>
      <w:r w:rsidRPr="00C73B30">
        <w:rPr>
          <w:noProof/>
        </w:rPr>
        <w:t>Prescriptions</w:t>
      </w:r>
      <w:r w:rsidRPr="00C73B30">
        <w:rPr>
          <w:noProof/>
          <w:spacing w:val="57"/>
        </w:rPr>
        <w:t xml:space="preserve"> </w:t>
      </w:r>
      <w:r w:rsidRPr="00C73B30">
        <w:rPr>
          <w:noProof/>
        </w:rPr>
        <w:t>applicable</w:t>
      </w:r>
      <w:r w:rsidRPr="00C73B30">
        <w:rPr>
          <w:noProof/>
          <w:spacing w:val="57"/>
        </w:rPr>
        <w:t xml:space="preserve"> </w:t>
      </w:r>
      <w:r w:rsidRPr="00C73B30">
        <w:rPr>
          <w:noProof/>
        </w:rPr>
        <w:t>to</w:t>
      </w:r>
      <w:r w:rsidRPr="00C73B30">
        <w:rPr>
          <w:noProof/>
          <w:spacing w:val="60"/>
        </w:rPr>
        <w:t xml:space="preserve"> </w:t>
      </w:r>
      <w:r w:rsidRPr="00C73B30">
        <w:rPr>
          <w:noProof/>
        </w:rPr>
        <w:t>Railway</w:t>
      </w:r>
      <w:r w:rsidRPr="00C73B30">
        <w:rPr>
          <w:noProof/>
          <w:spacing w:val="58"/>
        </w:rPr>
        <w:t xml:space="preserve"> </w:t>
      </w:r>
      <w:r w:rsidRPr="00C73B30">
        <w:rPr>
          <w:noProof/>
        </w:rPr>
        <w:t xml:space="preserve">Material intended to be used in International Traffic </w:t>
      </w:r>
      <w:r w:rsidRPr="00C73B30">
        <w:rPr>
          <w:b/>
          <w:bCs/>
          <w:noProof/>
        </w:rPr>
        <w:t>(APTU UR)</w:t>
      </w:r>
    </w:p>
    <w:p w14:paraId="329CE614" w14:textId="77777777" w:rsidR="005D41AA" w:rsidRPr="00C73B30" w:rsidRDefault="005D41AA" w:rsidP="003D77F6">
      <w:pPr>
        <w:pStyle w:val="Tiret0"/>
        <w:rPr>
          <w:b/>
          <w:bCs/>
          <w:noProof/>
        </w:rPr>
      </w:pPr>
      <w:r w:rsidRPr="00C73B30">
        <w:rPr>
          <w:noProof/>
        </w:rPr>
        <w:lastRenderedPageBreak/>
        <w:t>Appendix</w:t>
      </w:r>
      <w:r w:rsidRPr="00C73B30">
        <w:rPr>
          <w:noProof/>
          <w:spacing w:val="80"/>
        </w:rPr>
        <w:t xml:space="preserve"> </w:t>
      </w:r>
      <w:r w:rsidRPr="00C73B30">
        <w:rPr>
          <w:noProof/>
        </w:rPr>
        <w:t>G</w:t>
      </w:r>
      <w:r w:rsidRPr="00C73B30">
        <w:rPr>
          <w:noProof/>
          <w:spacing w:val="80"/>
        </w:rPr>
        <w:t xml:space="preserve"> </w:t>
      </w:r>
      <w:r w:rsidRPr="00C73B30">
        <w:rPr>
          <w:noProof/>
        </w:rPr>
        <w:t>–</w:t>
      </w:r>
      <w:r w:rsidRPr="00C73B30">
        <w:rPr>
          <w:noProof/>
          <w:spacing w:val="80"/>
        </w:rPr>
        <w:t xml:space="preserve"> </w:t>
      </w:r>
      <w:r w:rsidRPr="00C73B30">
        <w:rPr>
          <w:noProof/>
        </w:rPr>
        <w:t>Uniform</w:t>
      </w:r>
      <w:r w:rsidRPr="00C73B30">
        <w:rPr>
          <w:noProof/>
          <w:spacing w:val="80"/>
        </w:rPr>
        <w:t xml:space="preserve"> </w:t>
      </w:r>
      <w:r w:rsidRPr="00C73B30">
        <w:rPr>
          <w:noProof/>
        </w:rPr>
        <w:t>Rules</w:t>
      </w:r>
      <w:r w:rsidRPr="00C73B30">
        <w:rPr>
          <w:noProof/>
          <w:spacing w:val="80"/>
        </w:rPr>
        <w:t xml:space="preserve"> </w:t>
      </w:r>
      <w:r w:rsidRPr="00C73B30">
        <w:rPr>
          <w:noProof/>
        </w:rPr>
        <w:t>concerning</w:t>
      </w:r>
      <w:r w:rsidRPr="00C73B30">
        <w:rPr>
          <w:noProof/>
          <w:spacing w:val="80"/>
        </w:rPr>
        <w:t xml:space="preserve"> </w:t>
      </w:r>
      <w:r w:rsidRPr="00C73B30">
        <w:rPr>
          <w:noProof/>
        </w:rPr>
        <w:t>the Technical</w:t>
      </w:r>
      <w:r w:rsidRPr="00C73B30">
        <w:rPr>
          <w:noProof/>
          <w:spacing w:val="80"/>
        </w:rPr>
        <w:t xml:space="preserve"> </w:t>
      </w:r>
      <w:r w:rsidRPr="00C73B30">
        <w:rPr>
          <w:noProof/>
        </w:rPr>
        <w:t>Admission</w:t>
      </w:r>
      <w:r w:rsidRPr="00C73B30">
        <w:rPr>
          <w:noProof/>
          <w:spacing w:val="80"/>
        </w:rPr>
        <w:t xml:space="preserve"> </w:t>
      </w:r>
      <w:r w:rsidRPr="00C73B30">
        <w:rPr>
          <w:noProof/>
        </w:rPr>
        <w:t>of</w:t>
      </w:r>
      <w:r w:rsidRPr="00C73B30">
        <w:rPr>
          <w:noProof/>
          <w:spacing w:val="80"/>
        </w:rPr>
        <w:t xml:space="preserve"> </w:t>
      </w:r>
      <w:r w:rsidRPr="00C73B30">
        <w:rPr>
          <w:noProof/>
        </w:rPr>
        <w:t xml:space="preserve">Railway Material used in International Traffic </w:t>
      </w:r>
      <w:r w:rsidRPr="00C73B30">
        <w:rPr>
          <w:b/>
          <w:bCs/>
          <w:noProof/>
        </w:rPr>
        <w:t>(ATMF UR)</w:t>
      </w:r>
    </w:p>
    <w:p w14:paraId="48336C80" w14:textId="77777777" w:rsidR="005D41AA" w:rsidRPr="00C73B30" w:rsidRDefault="005D41AA" w:rsidP="003D77F6">
      <w:pPr>
        <w:pStyle w:val="Tiret0"/>
        <w:rPr>
          <w:b/>
          <w:bCs/>
          <w:noProof/>
        </w:rPr>
      </w:pPr>
      <w:r w:rsidRPr="00C73B30">
        <w:rPr>
          <w:noProof/>
        </w:rPr>
        <w:t xml:space="preserve">Appendix H – Uniform Rules concerning the safe operation of trains in international traffic </w:t>
      </w:r>
      <w:r w:rsidRPr="00C73B30">
        <w:rPr>
          <w:b/>
          <w:bCs/>
          <w:noProof/>
        </w:rPr>
        <w:t>(EST UR)</w:t>
      </w:r>
    </w:p>
    <w:p w14:paraId="77D63F2A" w14:textId="77777777" w:rsidR="005D41AA" w:rsidRPr="00C73B30" w:rsidRDefault="005D41AA" w:rsidP="00736AA9">
      <w:pPr>
        <w:rPr>
          <w:rFonts w:eastAsia="Arial Unicode MS"/>
          <w:noProof/>
        </w:rPr>
      </w:pPr>
    </w:p>
    <w:p w14:paraId="71423833" w14:textId="77777777" w:rsidR="00C74230" w:rsidRPr="00C73B30" w:rsidRDefault="00C74230" w:rsidP="00736AA9">
      <w:pPr>
        <w:pStyle w:val="ManualHeading2"/>
        <w:rPr>
          <w:noProof/>
        </w:rPr>
      </w:pPr>
      <w:r>
        <w:rPr>
          <w:noProof/>
        </w:rPr>
        <w:t>2.2.</w:t>
      </w:r>
      <w:r>
        <w:rPr>
          <w:noProof/>
        </w:rPr>
        <w:tab/>
      </w:r>
      <w:r w:rsidRPr="00C73B30">
        <w:rPr>
          <w:noProof/>
        </w:rPr>
        <w:t xml:space="preserve">The </w:t>
      </w:r>
      <w:r w:rsidR="005D41AA" w:rsidRPr="003D77F6">
        <w:rPr>
          <w:noProof/>
        </w:rPr>
        <w:t xml:space="preserve">OTIF </w:t>
      </w:r>
      <w:r w:rsidR="00D74461" w:rsidRPr="003D77F6">
        <w:rPr>
          <w:noProof/>
        </w:rPr>
        <w:t>A</w:t>
      </w:r>
      <w:r w:rsidR="005D41AA" w:rsidRPr="003D77F6">
        <w:rPr>
          <w:noProof/>
        </w:rPr>
        <w:t xml:space="preserve">d </w:t>
      </w:r>
      <w:r w:rsidR="00D74461" w:rsidRPr="003D77F6">
        <w:rPr>
          <w:noProof/>
        </w:rPr>
        <w:t>H</w:t>
      </w:r>
      <w:r w:rsidR="005D41AA" w:rsidRPr="003D77F6">
        <w:rPr>
          <w:noProof/>
        </w:rPr>
        <w:t>oc Committee on Legal Affairs and International Cooperation</w:t>
      </w:r>
    </w:p>
    <w:p w14:paraId="1472E5CE" w14:textId="77777777" w:rsidR="005D41AA" w:rsidRPr="00C73B30" w:rsidRDefault="005D41AA" w:rsidP="00736AA9">
      <w:pPr>
        <w:rPr>
          <w:rFonts w:eastAsia="Arial Unicode MS"/>
          <w:noProof/>
        </w:rPr>
      </w:pPr>
      <w:r w:rsidRPr="00C73B30">
        <w:rPr>
          <w:rFonts w:eastAsia="Arial Unicode MS"/>
          <w:noProof/>
        </w:rPr>
        <w:t>At its 15</w:t>
      </w:r>
      <w:r w:rsidRPr="000D7E07">
        <w:rPr>
          <w:rFonts w:eastAsia="Arial Unicode MS"/>
          <w:noProof/>
          <w:vertAlign w:val="superscript"/>
        </w:rPr>
        <w:t>th</w:t>
      </w:r>
      <w:r w:rsidRPr="00C73B30">
        <w:rPr>
          <w:rFonts w:eastAsia="Arial Unicode MS"/>
          <w:noProof/>
        </w:rPr>
        <w:t xml:space="preserve"> session in September 2021, the General Assembly decided to set up an Ad Hoc Committee on Legal Affairs and International Coope</w:t>
      </w:r>
      <w:r w:rsidR="00D74461" w:rsidRPr="00C73B30">
        <w:rPr>
          <w:rFonts w:eastAsia="Arial Unicode MS"/>
          <w:noProof/>
        </w:rPr>
        <w:t>r</w:t>
      </w:r>
      <w:r w:rsidRPr="00C73B30">
        <w:rPr>
          <w:rFonts w:eastAsia="Arial Unicode MS"/>
          <w:noProof/>
        </w:rPr>
        <w:t>ation</w:t>
      </w:r>
      <w:r w:rsidR="00D74461" w:rsidRPr="00C73B30">
        <w:rPr>
          <w:rFonts w:eastAsia="Arial Unicode MS"/>
          <w:noProof/>
        </w:rPr>
        <w:t>,</w:t>
      </w:r>
      <w:r w:rsidR="00C74230" w:rsidRPr="00C73B30">
        <w:rPr>
          <w:rFonts w:eastAsia="Arial Unicode MS"/>
          <w:noProof/>
        </w:rPr>
        <w:t xml:space="preserve"> </w:t>
      </w:r>
      <w:r w:rsidRPr="00C73B30">
        <w:rPr>
          <w:rFonts w:eastAsia="Arial Unicode MS"/>
          <w:noProof/>
        </w:rPr>
        <w:t>in accordance with Article 13</w:t>
      </w:r>
      <w:r w:rsidR="00D74461" w:rsidRPr="00C73B30">
        <w:rPr>
          <w:rFonts w:eastAsia="Arial Unicode MS"/>
          <w:noProof/>
        </w:rPr>
        <w:t xml:space="preserve"> </w:t>
      </w:r>
      <w:r w:rsidRPr="000D7E07">
        <w:rPr>
          <w:rFonts w:eastAsia="Arial Unicode MS"/>
          <w:noProof/>
        </w:rPr>
        <w:t>§</w:t>
      </w:r>
      <w:r w:rsidRPr="00C73B30">
        <w:rPr>
          <w:rFonts w:eastAsia="Arial Unicode MS"/>
          <w:noProof/>
        </w:rPr>
        <w:t>2 of COTIF</w:t>
      </w:r>
      <w:r w:rsidR="00D74461" w:rsidRPr="00C73B30">
        <w:rPr>
          <w:rFonts w:eastAsia="Arial Unicode MS"/>
          <w:noProof/>
        </w:rPr>
        <w:t>,</w:t>
      </w:r>
      <w:r w:rsidRPr="00C73B30">
        <w:rPr>
          <w:rFonts w:eastAsia="Arial Unicode MS"/>
          <w:noProof/>
        </w:rPr>
        <w:t xml:space="preserve"> for a period of three years (September 2021 – September 2024). At its 16</w:t>
      </w:r>
      <w:r w:rsidRPr="000D7E07">
        <w:rPr>
          <w:rFonts w:eastAsia="Arial Unicode MS"/>
          <w:noProof/>
          <w:vertAlign w:val="superscript"/>
        </w:rPr>
        <w:t>th</w:t>
      </w:r>
      <w:r w:rsidRPr="00C73B30">
        <w:rPr>
          <w:rFonts w:eastAsia="Arial Unicode MS"/>
          <w:noProof/>
        </w:rPr>
        <w:t xml:space="preserve"> session</w:t>
      </w:r>
      <w:r w:rsidR="00D74461" w:rsidRPr="00C73B30">
        <w:rPr>
          <w:rFonts w:eastAsia="Arial Unicode MS"/>
          <w:noProof/>
        </w:rPr>
        <w:t>,</w:t>
      </w:r>
      <w:r w:rsidRPr="00C73B30">
        <w:rPr>
          <w:rFonts w:eastAsia="Arial Unicode MS"/>
          <w:noProof/>
        </w:rPr>
        <w:t xml:space="preserve"> in September 2024, the General Assembly decided to renew the Ad Hoc Committee’s mandate for a period of six years</w:t>
      </w:r>
      <w:r w:rsidR="00D74461" w:rsidRPr="00C73B30">
        <w:rPr>
          <w:rFonts w:eastAsia="Arial Unicode MS"/>
          <w:noProof/>
        </w:rPr>
        <w:t>,</w:t>
      </w:r>
      <w:r w:rsidRPr="00C73B30">
        <w:rPr>
          <w:rFonts w:eastAsia="Arial Unicode MS"/>
          <w:noProof/>
        </w:rPr>
        <w:t xml:space="preserve"> up to 1 October 2030. </w:t>
      </w:r>
    </w:p>
    <w:p w14:paraId="16E6CB42" w14:textId="77777777" w:rsidR="005D41AA" w:rsidRPr="00C73B30" w:rsidRDefault="005D41AA" w:rsidP="00736AA9">
      <w:pPr>
        <w:rPr>
          <w:rFonts w:eastAsia="Arial Unicode MS"/>
          <w:noProof/>
        </w:rPr>
      </w:pPr>
      <w:r w:rsidRPr="00C73B30">
        <w:rPr>
          <w:rFonts w:eastAsia="Arial Unicode MS"/>
          <w:noProof/>
        </w:rPr>
        <w:t>Without prejudice to the competence of the organs referred to in Article 13</w:t>
      </w:r>
      <w:r w:rsidR="00D74461" w:rsidRPr="00C73B30">
        <w:rPr>
          <w:rFonts w:eastAsia="Arial Unicode MS"/>
          <w:noProof/>
        </w:rPr>
        <w:t xml:space="preserve"> </w:t>
      </w:r>
      <w:r w:rsidRPr="000D7E07">
        <w:rPr>
          <w:rFonts w:eastAsia="Arial Unicode MS"/>
          <w:noProof/>
        </w:rPr>
        <w:t>§</w:t>
      </w:r>
      <w:r w:rsidRPr="00C73B30">
        <w:rPr>
          <w:rFonts w:eastAsia="Arial Unicode MS"/>
          <w:noProof/>
        </w:rPr>
        <w:t>1 of COTIF, the General Assembly gave the Ad Hoc Committee the following mandate</w:t>
      </w:r>
      <w:r w:rsidR="00D74461" w:rsidRPr="00C73B30">
        <w:rPr>
          <w:rFonts w:eastAsia="Arial Unicode MS"/>
          <w:noProof/>
        </w:rPr>
        <w:t>, laid down in Article 2 of its Rules of Procedure</w:t>
      </w:r>
      <w:r w:rsidRPr="00C73B30">
        <w:rPr>
          <w:rFonts w:eastAsia="Arial Unicode MS"/>
          <w:noProof/>
        </w:rPr>
        <w:t xml:space="preserve">: </w:t>
      </w:r>
    </w:p>
    <w:p w14:paraId="2F105807" w14:textId="77777777" w:rsidR="005D41AA" w:rsidRPr="003D77F6" w:rsidRDefault="005D41AA" w:rsidP="003D77F6">
      <w:pPr>
        <w:pStyle w:val="Tiret0"/>
        <w:rPr>
          <w:noProof/>
        </w:rPr>
      </w:pPr>
      <w:r w:rsidRPr="003D77F6">
        <w:rPr>
          <w:noProof/>
        </w:rPr>
        <w:t>To prepare draft amendments or supplements to the Convention;</w:t>
      </w:r>
    </w:p>
    <w:p w14:paraId="210DCF19" w14:textId="77777777" w:rsidR="005D41AA" w:rsidRPr="003D77F6" w:rsidRDefault="005D41AA" w:rsidP="003D77F6">
      <w:pPr>
        <w:pStyle w:val="Tiret0"/>
        <w:rPr>
          <w:noProof/>
        </w:rPr>
      </w:pPr>
      <w:r w:rsidRPr="003D77F6">
        <w:rPr>
          <w:noProof/>
        </w:rPr>
        <w:t>To provide legal advice on its own initiative or at the request of the organs referred to in Article 13§1 and 2 of COTF or at the request of the organs established by them;</w:t>
      </w:r>
    </w:p>
    <w:p w14:paraId="29CEC1A8" w14:textId="77777777" w:rsidR="004E182B" w:rsidRPr="003D77F6" w:rsidRDefault="004E182B" w:rsidP="003D77F6">
      <w:pPr>
        <w:pStyle w:val="Tiret0"/>
        <w:rPr>
          <w:noProof/>
        </w:rPr>
      </w:pPr>
      <w:r w:rsidRPr="003D77F6">
        <w:rPr>
          <w:noProof/>
        </w:rPr>
        <w:t>To promote and facilitate the functioning and implementation of COTIF;</w:t>
      </w:r>
    </w:p>
    <w:p w14:paraId="7BE8201F" w14:textId="77777777" w:rsidR="004E182B" w:rsidRPr="003D77F6" w:rsidRDefault="004E182B" w:rsidP="003D77F6">
      <w:pPr>
        <w:pStyle w:val="Tiret0"/>
        <w:rPr>
          <w:noProof/>
        </w:rPr>
      </w:pPr>
      <w:r w:rsidRPr="003D77F6">
        <w:rPr>
          <w:noProof/>
        </w:rPr>
        <w:t>To monitor and assess legal instruments;</w:t>
      </w:r>
    </w:p>
    <w:p w14:paraId="13253A27" w14:textId="77777777" w:rsidR="004E182B" w:rsidRPr="003D77F6" w:rsidRDefault="004E182B" w:rsidP="003D77F6">
      <w:pPr>
        <w:pStyle w:val="Tiret0"/>
        <w:rPr>
          <w:noProof/>
        </w:rPr>
      </w:pPr>
      <w:r w:rsidRPr="003D77F6">
        <w:rPr>
          <w:noProof/>
        </w:rPr>
        <w:t>To take decisions on cooperation with other international organisations and associations, including establishing and dissolving consultative contact groups with other international organisations and associations and monitoring the functioning of contact groups.</w:t>
      </w:r>
    </w:p>
    <w:p w14:paraId="1634AB6F" w14:textId="77777777" w:rsidR="004E182B" w:rsidRPr="003D77F6" w:rsidRDefault="004E182B" w:rsidP="004E182B">
      <w:pPr>
        <w:rPr>
          <w:noProof/>
        </w:rPr>
      </w:pPr>
      <w:r w:rsidRPr="003D77F6">
        <w:rPr>
          <w:noProof/>
        </w:rPr>
        <w:t>The General Assembly decided that</w:t>
      </w:r>
      <w:r w:rsidR="00D74461" w:rsidRPr="003D77F6">
        <w:rPr>
          <w:noProof/>
        </w:rPr>
        <w:t>,</w:t>
      </w:r>
      <w:r w:rsidRPr="003D77F6">
        <w:rPr>
          <w:noProof/>
        </w:rPr>
        <w:t xml:space="preserve"> whenever applicable, the Ad Hoc Committee shall submit its conclusions and proposals to the competent organs referred to in Article 13</w:t>
      </w:r>
      <w:r w:rsidR="00D74461" w:rsidRPr="003D77F6">
        <w:rPr>
          <w:noProof/>
        </w:rPr>
        <w:t xml:space="preserve"> </w:t>
      </w:r>
      <w:bookmarkStart w:id="1" w:name="_Hlk230161818"/>
      <w:r w:rsidRPr="003D77F6">
        <w:rPr>
          <w:noProof/>
        </w:rPr>
        <w:t>§1</w:t>
      </w:r>
      <w:bookmarkEnd w:id="1"/>
      <w:r w:rsidRPr="003D77F6">
        <w:rPr>
          <w:noProof/>
        </w:rPr>
        <w:t xml:space="preserve"> of COTIF for consideration and decision. </w:t>
      </w:r>
    </w:p>
    <w:p w14:paraId="7DA17CD0" w14:textId="77777777" w:rsidR="001F2CE9" w:rsidRPr="003D77F6" w:rsidRDefault="001F2CE9" w:rsidP="004E182B">
      <w:pPr>
        <w:rPr>
          <w:noProof/>
        </w:rPr>
      </w:pPr>
    </w:p>
    <w:p w14:paraId="373E404F" w14:textId="77777777" w:rsidR="00C74230" w:rsidRPr="00C73B30" w:rsidRDefault="00C74230" w:rsidP="00736AA9">
      <w:pPr>
        <w:pStyle w:val="ManualHeading2"/>
        <w:rPr>
          <w:noProof/>
        </w:rPr>
      </w:pPr>
      <w:r>
        <w:rPr>
          <w:noProof/>
        </w:rPr>
        <w:t>2.3.</w:t>
      </w:r>
      <w:r>
        <w:rPr>
          <w:noProof/>
        </w:rPr>
        <w:tab/>
      </w:r>
      <w:r w:rsidRPr="00C73B30">
        <w:rPr>
          <w:noProof/>
        </w:rPr>
        <w:t>The envisaged act of the</w:t>
      </w:r>
      <w:r w:rsidR="004E182B" w:rsidRPr="003D77F6">
        <w:rPr>
          <w:noProof/>
        </w:rPr>
        <w:t xml:space="preserve"> Ad Hoc Committee</w:t>
      </w:r>
    </w:p>
    <w:p w14:paraId="6A35DD34" w14:textId="77777777" w:rsidR="00C74230" w:rsidRPr="00C73B30" w:rsidRDefault="00C74230" w:rsidP="00736AA9">
      <w:pPr>
        <w:rPr>
          <w:rFonts w:eastAsia="Arial Unicode MS"/>
          <w:noProof/>
        </w:rPr>
      </w:pPr>
      <w:r w:rsidRPr="00C73B30">
        <w:rPr>
          <w:rFonts w:eastAsia="Arial Unicode MS"/>
          <w:noProof/>
        </w:rPr>
        <w:t xml:space="preserve">On </w:t>
      </w:r>
      <w:r w:rsidR="004E182B" w:rsidRPr="003D77F6">
        <w:rPr>
          <w:noProof/>
        </w:rPr>
        <w:t>24 June 2026</w:t>
      </w:r>
      <w:r w:rsidRPr="003D77F6">
        <w:rPr>
          <w:noProof/>
        </w:rPr>
        <w:t xml:space="preserve">, </w:t>
      </w:r>
      <w:r w:rsidRPr="00C73B30">
        <w:rPr>
          <w:rFonts w:eastAsia="Arial Unicode MS"/>
          <w:noProof/>
        </w:rPr>
        <w:t>during its</w:t>
      </w:r>
      <w:r w:rsidRPr="003D77F6">
        <w:rPr>
          <w:noProof/>
        </w:rPr>
        <w:t xml:space="preserve"> </w:t>
      </w:r>
      <w:r w:rsidR="004E182B" w:rsidRPr="003D77F6">
        <w:rPr>
          <w:noProof/>
        </w:rPr>
        <w:t>9th</w:t>
      </w:r>
      <w:r w:rsidRPr="003D77F6">
        <w:rPr>
          <w:noProof/>
        </w:rPr>
        <w:t xml:space="preserve"> </w:t>
      </w:r>
      <w:r w:rsidRPr="00C73B30">
        <w:rPr>
          <w:rFonts w:eastAsia="Arial Unicode MS"/>
          <w:noProof/>
        </w:rPr>
        <w:t>session, the</w:t>
      </w:r>
      <w:r w:rsidRPr="003D77F6">
        <w:rPr>
          <w:noProof/>
        </w:rPr>
        <w:t xml:space="preserve"> </w:t>
      </w:r>
      <w:r w:rsidR="004E182B" w:rsidRPr="003D77F6">
        <w:rPr>
          <w:noProof/>
        </w:rPr>
        <w:t>Ad Hoc Committee</w:t>
      </w:r>
      <w:r w:rsidRPr="003D77F6">
        <w:rPr>
          <w:noProof/>
        </w:rPr>
        <w:t xml:space="preserve"> </w:t>
      </w:r>
      <w:r w:rsidRPr="00C73B30">
        <w:rPr>
          <w:rFonts w:eastAsia="Arial Unicode MS"/>
          <w:noProof/>
        </w:rPr>
        <w:t>is to adopt a</w:t>
      </w:r>
      <w:r w:rsidRPr="003D77F6">
        <w:rPr>
          <w:noProof/>
        </w:rPr>
        <w:t xml:space="preserve"> </w:t>
      </w:r>
      <w:r w:rsidR="004E182B" w:rsidRPr="003D77F6">
        <w:rPr>
          <w:noProof/>
        </w:rPr>
        <w:t>decision amend</w:t>
      </w:r>
      <w:r w:rsidR="001F2CE9" w:rsidRPr="003D77F6">
        <w:rPr>
          <w:noProof/>
        </w:rPr>
        <w:t>ing</w:t>
      </w:r>
      <w:r w:rsidR="004E182B" w:rsidRPr="003D77F6">
        <w:rPr>
          <w:noProof/>
        </w:rPr>
        <w:t xml:space="preserve"> its Rules of Procedure</w:t>
      </w:r>
      <w:r w:rsidRPr="003D77F6">
        <w:rPr>
          <w:noProof/>
        </w:rPr>
        <w:t xml:space="preserve"> </w:t>
      </w:r>
      <w:r w:rsidRPr="00C73B30">
        <w:rPr>
          <w:rFonts w:eastAsia="Arial Unicode MS"/>
          <w:noProof/>
        </w:rPr>
        <w:t>(‘the envisaged act’).</w:t>
      </w:r>
    </w:p>
    <w:p w14:paraId="2F74112C" w14:textId="77777777" w:rsidR="00C74230" w:rsidRPr="003D77F6" w:rsidRDefault="00C74230" w:rsidP="00736AA9">
      <w:pPr>
        <w:rPr>
          <w:noProof/>
        </w:rPr>
      </w:pPr>
      <w:r w:rsidRPr="00C73B30">
        <w:rPr>
          <w:rFonts w:eastAsia="Arial Unicode MS"/>
          <w:noProof/>
        </w:rPr>
        <w:t>The purpose of the envisaged act is</w:t>
      </w:r>
      <w:r w:rsidR="004E182B" w:rsidRPr="00C73B30">
        <w:rPr>
          <w:rFonts w:eastAsia="Arial Unicode MS"/>
          <w:noProof/>
        </w:rPr>
        <w:t xml:space="preserve"> to align the practices of all OTIF organs, based on the recommendations of the Ad Hoc Committee </w:t>
      </w:r>
      <w:r w:rsidR="00364878" w:rsidRPr="00C73B30">
        <w:rPr>
          <w:rFonts w:eastAsia="Arial Unicode MS"/>
          <w:noProof/>
        </w:rPr>
        <w:t>at its 8</w:t>
      </w:r>
      <w:r w:rsidR="00364878" w:rsidRPr="000D7E07">
        <w:rPr>
          <w:rFonts w:eastAsia="Arial Unicode MS"/>
          <w:noProof/>
          <w:vertAlign w:val="superscript"/>
        </w:rPr>
        <w:t>th</w:t>
      </w:r>
      <w:r w:rsidR="00364878" w:rsidRPr="00C73B30">
        <w:rPr>
          <w:rFonts w:eastAsia="Arial Unicode MS"/>
          <w:noProof/>
        </w:rPr>
        <w:t xml:space="preserve"> session, held on 4 December 2025. The Ad Hoc Committee recommended provisions aimed at harmonising the rules of procedures across all OTIF organs</w:t>
      </w:r>
      <w:r w:rsidR="008320E7" w:rsidRPr="00C73B30">
        <w:rPr>
          <w:rFonts w:eastAsia="Arial Unicode MS"/>
          <w:noProof/>
        </w:rPr>
        <w:t>,</w:t>
      </w:r>
      <w:r w:rsidR="00364878" w:rsidRPr="00C73B30">
        <w:rPr>
          <w:rFonts w:eastAsia="Arial Unicode MS"/>
          <w:noProof/>
        </w:rPr>
        <w:t xml:space="preserve"> with regard to the rights of members, associate members and observers</w:t>
      </w:r>
      <w:r w:rsidR="008320E7" w:rsidRPr="00C73B30">
        <w:rPr>
          <w:rFonts w:eastAsia="Arial Unicode MS"/>
          <w:noProof/>
        </w:rPr>
        <w:t>, so as</w:t>
      </w:r>
      <w:r w:rsidR="00364878" w:rsidRPr="00C73B30">
        <w:rPr>
          <w:rFonts w:eastAsia="Arial Unicode MS"/>
          <w:noProof/>
        </w:rPr>
        <w:t xml:space="preserve"> to ensure consistency.</w:t>
      </w:r>
      <w:r w:rsidRPr="003D77F6">
        <w:rPr>
          <w:noProof/>
        </w:rPr>
        <w:t xml:space="preserve"> </w:t>
      </w:r>
      <w:r w:rsidR="00364878" w:rsidRPr="003D77F6">
        <w:rPr>
          <w:noProof/>
        </w:rPr>
        <w:t xml:space="preserve">Furthermore, the proposal includes some additional alignments with practices of other organs and some editorial corrections. </w:t>
      </w:r>
    </w:p>
    <w:p w14:paraId="12C39370" w14:textId="77777777" w:rsidR="002535E8" w:rsidRPr="003D77F6" w:rsidRDefault="002535E8" w:rsidP="00736AA9">
      <w:pPr>
        <w:rPr>
          <w:noProof/>
        </w:rPr>
      </w:pPr>
      <w:r w:rsidRPr="002535E8">
        <w:rPr>
          <w:rFonts w:eastAsia="Arial Unicode MS"/>
          <w:noProof/>
        </w:rPr>
        <w:t xml:space="preserve">The envisaged act will become binding on the parties in accordance with Article </w:t>
      </w:r>
      <w:r>
        <w:rPr>
          <w:rFonts w:eastAsia="Arial Unicode MS"/>
          <w:noProof/>
        </w:rPr>
        <w:t xml:space="preserve">16 </w:t>
      </w:r>
      <w:r w:rsidRPr="002535E8">
        <w:rPr>
          <w:rFonts w:eastAsia="Arial Unicode MS"/>
          <w:noProof/>
        </w:rPr>
        <w:t>§10 of COTIF, according to which the OTIF Committees are to establish their rules of procedure</w:t>
      </w:r>
      <w:r>
        <w:rPr>
          <w:rFonts w:eastAsia="Arial Unicode MS"/>
          <w:noProof/>
        </w:rPr>
        <w:t xml:space="preserve">, and with Article 30 of the Rules of Procedure of the Ad Hoc Committee, according to which </w:t>
      </w:r>
      <w:r w:rsidRPr="002535E8">
        <w:rPr>
          <w:rFonts w:eastAsia="Arial Unicode MS"/>
          <w:noProof/>
        </w:rPr>
        <w:t>th</w:t>
      </w:r>
      <w:r>
        <w:rPr>
          <w:rFonts w:eastAsia="Arial Unicode MS"/>
          <w:noProof/>
        </w:rPr>
        <w:t>e</w:t>
      </w:r>
      <w:r w:rsidRPr="002535E8">
        <w:rPr>
          <w:rFonts w:eastAsia="Arial Unicode MS"/>
          <w:noProof/>
        </w:rPr>
        <w:t>se Rules may be amended</w:t>
      </w:r>
      <w:r>
        <w:rPr>
          <w:rFonts w:eastAsia="Arial Unicode MS"/>
          <w:noProof/>
        </w:rPr>
        <w:t>,</w:t>
      </w:r>
      <w:r w:rsidRPr="002535E8">
        <w:rPr>
          <w:rFonts w:eastAsia="Arial Unicode MS"/>
          <w:noProof/>
        </w:rPr>
        <w:t xml:space="preserve"> in whole or in part</w:t>
      </w:r>
      <w:r>
        <w:rPr>
          <w:rFonts w:eastAsia="Arial Unicode MS"/>
          <w:noProof/>
        </w:rPr>
        <w:t>,</w:t>
      </w:r>
      <w:r w:rsidRPr="002535E8">
        <w:rPr>
          <w:rFonts w:eastAsia="Arial Unicode MS"/>
          <w:noProof/>
        </w:rPr>
        <w:t xml:space="preserve"> by a decision of th</w:t>
      </w:r>
      <w:r>
        <w:rPr>
          <w:rFonts w:eastAsia="Arial Unicode MS"/>
          <w:noProof/>
        </w:rPr>
        <w:t>is body</w:t>
      </w:r>
      <w:r w:rsidRPr="002535E8">
        <w:rPr>
          <w:rFonts w:eastAsia="Arial Unicode MS"/>
          <w:noProof/>
        </w:rPr>
        <w:t>.</w:t>
      </w:r>
    </w:p>
    <w:p w14:paraId="73FBE9FB" w14:textId="77777777" w:rsidR="00C74230" w:rsidRPr="00C73B30" w:rsidRDefault="00C74230" w:rsidP="00736AA9">
      <w:pPr>
        <w:pStyle w:val="ManualHeading1"/>
        <w:rPr>
          <w:rFonts w:eastAsia="Arial Unicode MS"/>
          <w:noProof/>
        </w:rPr>
      </w:pPr>
      <w:r>
        <w:rPr>
          <w:noProof/>
        </w:rPr>
        <w:t>3.</w:t>
      </w:r>
      <w:r>
        <w:rPr>
          <w:noProof/>
        </w:rPr>
        <w:tab/>
      </w:r>
      <w:r w:rsidRPr="00C73B30">
        <w:rPr>
          <w:rFonts w:eastAsia="Arial Unicode MS"/>
          <w:noProof/>
        </w:rPr>
        <w:t>Position to be taken on the Union's behalf</w:t>
      </w:r>
    </w:p>
    <w:p w14:paraId="224C282A" w14:textId="77777777" w:rsidR="00364878" w:rsidRPr="00C73B30" w:rsidRDefault="00364878" w:rsidP="000D7E07">
      <w:pPr>
        <w:kinsoku w:val="0"/>
        <w:overflowPunct w:val="0"/>
        <w:autoSpaceDE w:val="0"/>
        <w:autoSpaceDN w:val="0"/>
        <w:adjustRightInd w:val="0"/>
        <w:spacing w:line="258" w:lineRule="exact"/>
        <w:ind w:left="39"/>
        <w:jc w:val="left"/>
        <w:rPr>
          <w:noProof/>
          <w:szCs w:val="24"/>
        </w:rPr>
      </w:pPr>
      <w:r w:rsidRPr="00C73B30">
        <w:rPr>
          <w:noProof/>
          <w:szCs w:val="24"/>
        </w:rPr>
        <w:t>Pursuant to Article 6 of the EU-COTIF Accession Agreement:</w:t>
      </w:r>
    </w:p>
    <w:p w14:paraId="5EAD8EF9" w14:textId="77777777" w:rsidR="00364878" w:rsidRPr="00C73B30" w:rsidRDefault="00364878" w:rsidP="000D7E07">
      <w:pPr>
        <w:kinsoku w:val="0"/>
        <w:overflowPunct w:val="0"/>
        <w:autoSpaceDE w:val="0"/>
        <w:autoSpaceDN w:val="0"/>
        <w:adjustRightInd w:val="0"/>
        <w:spacing w:line="258" w:lineRule="exact"/>
        <w:ind w:left="39"/>
        <w:rPr>
          <w:i/>
          <w:iCs/>
          <w:noProof/>
          <w:szCs w:val="24"/>
        </w:rPr>
      </w:pPr>
      <w:r w:rsidRPr="00C73B30">
        <w:rPr>
          <w:noProof/>
          <w:szCs w:val="24"/>
        </w:rPr>
        <w:lastRenderedPageBreak/>
        <w:t>“</w:t>
      </w:r>
      <w:r w:rsidRPr="00C73B30">
        <w:rPr>
          <w:i/>
          <w:iCs/>
          <w:noProof/>
          <w:szCs w:val="24"/>
        </w:rPr>
        <w:t>1.</w:t>
      </w:r>
      <w:r w:rsidRPr="00C73B30">
        <w:rPr>
          <w:i/>
          <w:iCs/>
          <w:noProof/>
          <w:spacing w:val="40"/>
          <w:szCs w:val="24"/>
        </w:rPr>
        <w:t xml:space="preserve"> </w:t>
      </w:r>
      <w:r w:rsidRPr="00C73B30">
        <w:rPr>
          <w:i/>
          <w:iCs/>
          <w:noProof/>
          <w:szCs w:val="24"/>
        </w:rPr>
        <w:t>For</w:t>
      </w:r>
      <w:r w:rsidRPr="00C73B30">
        <w:rPr>
          <w:i/>
          <w:iCs/>
          <w:noProof/>
          <w:spacing w:val="40"/>
          <w:szCs w:val="24"/>
        </w:rPr>
        <w:t xml:space="preserve"> </w:t>
      </w:r>
      <w:r w:rsidRPr="00C73B30">
        <w:rPr>
          <w:i/>
          <w:iCs/>
          <w:noProof/>
          <w:szCs w:val="24"/>
        </w:rPr>
        <w:t>decisions</w:t>
      </w:r>
      <w:r w:rsidRPr="00C73B30">
        <w:rPr>
          <w:i/>
          <w:iCs/>
          <w:noProof/>
          <w:spacing w:val="40"/>
          <w:szCs w:val="24"/>
        </w:rPr>
        <w:t xml:space="preserve"> </w:t>
      </w:r>
      <w:r w:rsidRPr="00C73B30">
        <w:rPr>
          <w:i/>
          <w:iCs/>
          <w:noProof/>
          <w:szCs w:val="24"/>
        </w:rPr>
        <w:t>in</w:t>
      </w:r>
      <w:r w:rsidRPr="00C73B30">
        <w:rPr>
          <w:i/>
          <w:iCs/>
          <w:noProof/>
          <w:spacing w:val="40"/>
          <w:szCs w:val="24"/>
        </w:rPr>
        <w:t xml:space="preserve"> </w:t>
      </w:r>
      <w:r w:rsidRPr="00C73B30">
        <w:rPr>
          <w:i/>
          <w:iCs/>
          <w:noProof/>
          <w:szCs w:val="24"/>
        </w:rPr>
        <w:t>matters</w:t>
      </w:r>
      <w:r w:rsidRPr="00C73B30">
        <w:rPr>
          <w:i/>
          <w:iCs/>
          <w:noProof/>
          <w:spacing w:val="40"/>
          <w:szCs w:val="24"/>
        </w:rPr>
        <w:t xml:space="preserve"> </w:t>
      </w:r>
      <w:r w:rsidRPr="00C73B30">
        <w:rPr>
          <w:i/>
          <w:iCs/>
          <w:noProof/>
          <w:szCs w:val="24"/>
        </w:rPr>
        <w:t>where</w:t>
      </w:r>
      <w:r w:rsidRPr="00C73B30">
        <w:rPr>
          <w:i/>
          <w:iCs/>
          <w:noProof/>
          <w:spacing w:val="40"/>
          <w:szCs w:val="24"/>
        </w:rPr>
        <w:t xml:space="preserve"> </w:t>
      </w:r>
      <w:r w:rsidRPr="00C73B30">
        <w:rPr>
          <w:i/>
          <w:iCs/>
          <w:noProof/>
          <w:szCs w:val="24"/>
        </w:rPr>
        <w:t>the</w:t>
      </w:r>
      <w:r w:rsidRPr="00C73B30">
        <w:rPr>
          <w:i/>
          <w:iCs/>
          <w:noProof/>
          <w:spacing w:val="40"/>
          <w:szCs w:val="24"/>
        </w:rPr>
        <w:t xml:space="preserve"> </w:t>
      </w:r>
      <w:r w:rsidRPr="00C73B30">
        <w:rPr>
          <w:i/>
          <w:iCs/>
          <w:noProof/>
          <w:szCs w:val="24"/>
        </w:rPr>
        <w:t>Union</w:t>
      </w:r>
      <w:r w:rsidRPr="00C73B30">
        <w:rPr>
          <w:i/>
          <w:iCs/>
          <w:noProof/>
          <w:spacing w:val="40"/>
          <w:szCs w:val="24"/>
        </w:rPr>
        <w:t xml:space="preserve"> </w:t>
      </w:r>
      <w:r w:rsidRPr="00C73B30">
        <w:rPr>
          <w:i/>
          <w:iCs/>
          <w:noProof/>
          <w:szCs w:val="24"/>
        </w:rPr>
        <w:t>has</w:t>
      </w:r>
      <w:r w:rsidRPr="00C73B30">
        <w:rPr>
          <w:i/>
          <w:iCs/>
          <w:noProof/>
          <w:spacing w:val="40"/>
          <w:szCs w:val="24"/>
        </w:rPr>
        <w:t xml:space="preserve"> </w:t>
      </w:r>
      <w:r w:rsidRPr="00C73B30">
        <w:rPr>
          <w:i/>
          <w:iCs/>
          <w:noProof/>
          <w:szCs w:val="24"/>
        </w:rPr>
        <w:t>exclusive</w:t>
      </w:r>
      <w:r w:rsidRPr="00C73B30">
        <w:rPr>
          <w:i/>
          <w:iCs/>
          <w:noProof/>
          <w:spacing w:val="40"/>
          <w:szCs w:val="24"/>
        </w:rPr>
        <w:t xml:space="preserve"> </w:t>
      </w:r>
      <w:r w:rsidRPr="00C73B30">
        <w:rPr>
          <w:i/>
          <w:iCs/>
          <w:noProof/>
          <w:szCs w:val="24"/>
        </w:rPr>
        <w:t>competence,</w:t>
      </w:r>
      <w:r w:rsidRPr="00C73B30">
        <w:rPr>
          <w:i/>
          <w:iCs/>
          <w:noProof/>
          <w:spacing w:val="40"/>
          <w:szCs w:val="24"/>
        </w:rPr>
        <w:t xml:space="preserve"> </w:t>
      </w:r>
      <w:r w:rsidRPr="00C73B30">
        <w:rPr>
          <w:i/>
          <w:iCs/>
          <w:noProof/>
          <w:szCs w:val="24"/>
        </w:rPr>
        <w:t>the</w:t>
      </w:r>
      <w:r w:rsidRPr="00C73B30">
        <w:rPr>
          <w:i/>
          <w:iCs/>
          <w:noProof/>
          <w:spacing w:val="40"/>
          <w:szCs w:val="24"/>
        </w:rPr>
        <w:t xml:space="preserve"> </w:t>
      </w:r>
      <w:r w:rsidRPr="00C73B30">
        <w:rPr>
          <w:i/>
          <w:iCs/>
          <w:noProof/>
          <w:szCs w:val="24"/>
        </w:rPr>
        <w:t>Union</w:t>
      </w:r>
      <w:r w:rsidRPr="00C73B30">
        <w:rPr>
          <w:i/>
          <w:iCs/>
          <w:noProof/>
          <w:spacing w:val="40"/>
          <w:szCs w:val="24"/>
        </w:rPr>
        <w:t xml:space="preserve"> </w:t>
      </w:r>
      <w:r w:rsidRPr="00C73B30">
        <w:rPr>
          <w:i/>
          <w:iCs/>
          <w:noProof/>
          <w:szCs w:val="24"/>
        </w:rPr>
        <w:t>shall</w:t>
      </w:r>
      <w:r w:rsidR="008320E7" w:rsidRPr="00C73B30">
        <w:rPr>
          <w:i/>
          <w:iCs/>
          <w:noProof/>
          <w:szCs w:val="24"/>
          <w:lang w:val="pt-PT"/>
        </w:rPr>
        <w:t xml:space="preserve"> </w:t>
      </w:r>
      <w:r w:rsidRPr="00C73B30">
        <w:rPr>
          <w:i/>
          <w:iCs/>
          <w:noProof/>
          <w:szCs w:val="24"/>
        </w:rPr>
        <w:t xml:space="preserve">exercise the voting rights of its Member States under the Convention. </w:t>
      </w:r>
    </w:p>
    <w:p w14:paraId="4352DDBE" w14:textId="77777777" w:rsidR="00364878" w:rsidRPr="00C73B30" w:rsidRDefault="00364878" w:rsidP="000D7E07">
      <w:pPr>
        <w:kinsoku w:val="0"/>
        <w:overflowPunct w:val="0"/>
        <w:autoSpaceDE w:val="0"/>
        <w:autoSpaceDN w:val="0"/>
        <w:adjustRightInd w:val="0"/>
        <w:ind w:left="39"/>
        <w:rPr>
          <w:i/>
          <w:iCs/>
          <w:noProof/>
          <w:szCs w:val="24"/>
        </w:rPr>
      </w:pPr>
      <w:r w:rsidRPr="00C73B30">
        <w:rPr>
          <w:i/>
          <w:iCs/>
          <w:noProof/>
          <w:szCs w:val="24"/>
        </w:rPr>
        <w:t>2. For decisions in matters where the Union shares competence with its Member States, either the Union or its Member States shall vote.</w:t>
      </w:r>
    </w:p>
    <w:p w14:paraId="5D11A274" w14:textId="77777777" w:rsidR="00364878" w:rsidRPr="00C73B30" w:rsidRDefault="00364878" w:rsidP="000D7E07">
      <w:pPr>
        <w:kinsoku w:val="0"/>
        <w:overflowPunct w:val="0"/>
        <w:autoSpaceDE w:val="0"/>
        <w:autoSpaceDN w:val="0"/>
        <w:adjustRightInd w:val="0"/>
        <w:ind w:left="39"/>
        <w:rPr>
          <w:i/>
          <w:iCs/>
          <w:noProof/>
          <w:szCs w:val="24"/>
        </w:rPr>
      </w:pPr>
      <w:r w:rsidRPr="00C73B30">
        <w:rPr>
          <w:i/>
          <w:iCs/>
          <w:noProof/>
          <w:szCs w:val="24"/>
        </w:rPr>
        <w:t>3. Subject</w:t>
      </w:r>
      <w:r w:rsidRPr="00C73B30">
        <w:rPr>
          <w:i/>
          <w:iCs/>
          <w:noProof/>
          <w:spacing w:val="27"/>
          <w:szCs w:val="24"/>
        </w:rPr>
        <w:t xml:space="preserve"> </w:t>
      </w:r>
      <w:r w:rsidRPr="00C73B30">
        <w:rPr>
          <w:i/>
          <w:iCs/>
          <w:noProof/>
          <w:szCs w:val="24"/>
        </w:rPr>
        <w:t>to</w:t>
      </w:r>
      <w:r w:rsidRPr="00C73B30">
        <w:rPr>
          <w:i/>
          <w:iCs/>
          <w:noProof/>
          <w:spacing w:val="27"/>
          <w:szCs w:val="24"/>
        </w:rPr>
        <w:t xml:space="preserve"> </w:t>
      </w:r>
      <w:r w:rsidRPr="00C73B30">
        <w:rPr>
          <w:i/>
          <w:iCs/>
          <w:noProof/>
          <w:szCs w:val="24"/>
        </w:rPr>
        <w:t>Article</w:t>
      </w:r>
      <w:r w:rsidRPr="00C73B30">
        <w:rPr>
          <w:i/>
          <w:iCs/>
          <w:noProof/>
          <w:spacing w:val="26"/>
          <w:szCs w:val="24"/>
        </w:rPr>
        <w:t xml:space="preserve"> </w:t>
      </w:r>
      <w:r w:rsidRPr="00C73B30">
        <w:rPr>
          <w:i/>
          <w:iCs/>
          <w:noProof/>
          <w:szCs w:val="24"/>
        </w:rPr>
        <w:t>26,</w:t>
      </w:r>
      <w:r w:rsidRPr="00C73B30">
        <w:rPr>
          <w:i/>
          <w:iCs/>
          <w:noProof/>
          <w:spacing w:val="26"/>
          <w:szCs w:val="24"/>
        </w:rPr>
        <w:t xml:space="preserve"> </w:t>
      </w:r>
      <w:r w:rsidRPr="00C73B30">
        <w:rPr>
          <w:i/>
          <w:iCs/>
          <w:noProof/>
          <w:szCs w:val="24"/>
        </w:rPr>
        <w:t>paragraph</w:t>
      </w:r>
      <w:r w:rsidRPr="00C73B30">
        <w:rPr>
          <w:i/>
          <w:iCs/>
          <w:noProof/>
          <w:spacing w:val="27"/>
          <w:szCs w:val="24"/>
        </w:rPr>
        <w:t xml:space="preserve"> </w:t>
      </w:r>
      <w:r w:rsidRPr="00C73B30">
        <w:rPr>
          <w:i/>
          <w:iCs/>
          <w:noProof/>
          <w:szCs w:val="24"/>
        </w:rPr>
        <w:t>7,</w:t>
      </w:r>
      <w:r w:rsidRPr="00C73B30">
        <w:rPr>
          <w:i/>
          <w:iCs/>
          <w:noProof/>
          <w:spacing w:val="26"/>
          <w:szCs w:val="24"/>
        </w:rPr>
        <w:t xml:space="preserve"> </w:t>
      </w:r>
      <w:r w:rsidRPr="00C73B30">
        <w:rPr>
          <w:i/>
          <w:iCs/>
          <w:noProof/>
          <w:szCs w:val="24"/>
        </w:rPr>
        <w:t>of</w:t>
      </w:r>
      <w:r w:rsidRPr="00C73B30">
        <w:rPr>
          <w:i/>
          <w:iCs/>
          <w:noProof/>
          <w:spacing w:val="27"/>
          <w:szCs w:val="24"/>
        </w:rPr>
        <w:t xml:space="preserve"> </w:t>
      </w:r>
      <w:r w:rsidRPr="00C73B30">
        <w:rPr>
          <w:i/>
          <w:iCs/>
          <w:noProof/>
          <w:szCs w:val="24"/>
        </w:rPr>
        <w:t>the</w:t>
      </w:r>
      <w:r w:rsidRPr="00C73B30">
        <w:rPr>
          <w:i/>
          <w:iCs/>
          <w:noProof/>
          <w:spacing w:val="26"/>
          <w:szCs w:val="24"/>
        </w:rPr>
        <w:t xml:space="preserve"> </w:t>
      </w:r>
      <w:r w:rsidRPr="00C73B30">
        <w:rPr>
          <w:i/>
          <w:iCs/>
          <w:noProof/>
          <w:szCs w:val="24"/>
        </w:rPr>
        <w:t>Convention,</w:t>
      </w:r>
      <w:r w:rsidRPr="00C73B30">
        <w:rPr>
          <w:i/>
          <w:iCs/>
          <w:noProof/>
          <w:spacing w:val="26"/>
          <w:szCs w:val="24"/>
        </w:rPr>
        <w:t xml:space="preserve"> </w:t>
      </w:r>
      <w:r w:rsidRPr="00C73B30">
        <w:rPr>
          <w:i/>
          <w:iCs/>
          <w:noProof/>
          <w:szCs w:val="24"/>
        </w:rPr>
        <w:t>the</w:t>
      </w:r>
      <w:r w:rsidRPr="00C73B30">
        <w:rPr>
          <w:i/>
          <w:iCs/>
          <w:noProof/>
          <w:spacing w:val="26"/>
          <w:szCs w:val="24"/>
        </w:rPr>
        <w:t xml:space="preserve"> </w:t>
      </w:r>
      <w:r w:rsidRPr="00C73B30">
        <w:rPr>
          <w:i/>
          <w:iCs/>
          <w:noProof/>
          <w:szCs w:val="24"/>
        </w:rPr>
        <w:t>Union</w:t>
      </w:r>
      <w:r w:rsidRPr="00C73B30">
        <w:rPr>
          <w:i/>
          <w:iCs/>
          <w:noProof/>
          <w:spacing w:val="26"/>
          <w:szCs w:val="24"/>
        </w:rPr>
        <w:t xml:space="preserve"> </w:t>
      </w:r>
      <w:r w:rsidRPr="00C73B30">
        <w:rPr>
          <w:i/>
          <w:iCs/>
          <w:noProof/>
          <w:szCs w:val="24"/>
        </w:rPr>
        <w:t>shall</w:t>
      </w:r>
      <w:r w:rsidRPr="00C73B30">
        <w:rPr>
          <w:i/>
          <w:iCs/>
          <w:noProof/>
          <w:spacing w:val="27"/>
          <w:szCs w:val="24"/>
        </w:rPr>
        <w:t xml:space="preserve"> </w:t>
      </w:r>
      <w:r w:rsidRPr="00C73B30">
        <w:rPr>
          <w:i/>
          <w:iCs/>
          <w:noProof/>
          <w:szCs w:val="24"/>
        </w:rPr>
        <w:t>have</w:t>
      </w:r>
      <w:r w:rsidRPr="00C73B30">
        <w:rPr>
          <w:i/>
          <w:iCs/>
          <w:noProof/>
          <w:spacing w:val="25"/>
          <w:szCs w:val="24"/>
        </w:rPr>
        <w:t xml:space="preserve"> </w:t>
      </w:r>
      <w:r w:rsidRPr="00C73B30">
        <w:rPr>
          <w:i/>
          <w:iCs/>
          <w:noProof/>
          <w:szCs w:val="24"/>
        </w:rPr>
        <w:t>a</w:t>
      </w:r>
      <w:r w:rsidRPr="00C73B30">
        <w:rPr>
          <w:i/>
          <w:iCs/>
          <w:noProof/>
          <w:spacing w:val="26"/>
          <w:szCs w:val="24"/>
        </w:rPr>
        <w:t xml:space="preserve"> </w:t>
      </w:r>
      <w:r w:rsidRPr="00C73B30">
        <w:rPr>
          <w:i/>
          <w:iCs/>
          <w:noProof/>
          <w:szCs w:val="24"/>
        </w:rPr>
        <w:t>number</w:t>
      </w:r>
      <w:r w:rsidRPr="00C73B30">
        <w:rPr>
          <w:i/>
          <w:iCs/>
          <w:noProof/>
          <w:spacing w:val="27"/>
          <w:szCs w:val="24"/>
        </w:rPr>
        <w:t xml:space="preserve"> </w:t>
      </w:r>
      <w:r w:rsidRPr="00C73B30">
        <w:rPr>
          <w:i/>
          <w:iCs/>
          <w:noProof/>
          <w:szCs w:val="24"/>
        </w:rPr>
        <w:t>of votes</w:t>
      </w:r>
      <w:r w:rsidRPr="00C73B30">
        <w:rPr>
          <w:i/>
          <w:iCs/>
          <w:noProof/>
          <w:spacing w:val="28"/>
          <w:szCs w:val="24"/>
        </w:rPr>
        <w:t xml:space="preserve"> </w:t>
      </w:r>
      <w:r w:rsidRPr="00C73B30">
        <w:rPr>
          <w:i/>
          <w:iCs/>
          <w:noProof/>
          <w:szCs w:val="24"/>
        </w:rPr>
        <w:t>equal</w:t>
      </w:r>
      <w:r w:rsidRPr="00C73B30">
        <w:rPr>
          <w:i/>
          <w:iCs/>
          <w:noProof/>
          <w:spacing w:val="31"/>
          <w:szCs w:val="24"/>
        </w:rPr>
        <w:t xml:space="preserve"> </w:t>
      </w:r>
      <w:r w:rsidRPr="00C73B30">
        <w:rPr>
          <w:i/>
          <w:iCs/>
          <w:noProof/>
          <w:szCs w:val="24"/>
        </w:rPr>
        <w:t>to</w:t>
      </w:r>
      <w:r w:rsidRPr="00C73B30">
        <w:rPr>
          <w:i/>
          <w:iCs/>
          <w:noProof/>
          <w:spacing w:val="29"/>
          <w:szCs w:val="24"/>
        </w:rPr>
        <w:t xml:space="preserve"> </w:t>
      </w:r>
      <w:r w:rsidRPr="00C73B30">
        <w:rPr>
          <w:i/>
          <w:iCs/>
          <w:noProof/>
          <w:szCs w:val="24"/>
        </w:rPr>
        <w:t>that</w:t>
      </w:r>
      <w:r w:rsidRPr="00C73B30">
        <w:rPr>
          <w:i/>
          <w:iCs/>
          <w:noProof/>
          <w:spacing w:val="29"/>
          <w:szCs w:val="24"/>
        </w:rPr>
        <w:t xml:space="preserve"> </w:t>
      </w:r>
      <w:r w:rsidRPr="00C73B30">
        <w:rPr>
          <w:i/>
          <w:iCs/>
          <w:noProof/>
          <w:szCs w:val="24"/>
        </w:rPr>
        <w:t>of</w:t>
      </w:r>
      <w:r w:rsidRPr="00C73B30">
        <w:rPr>
          <w:i/>
          <w:iCs/>
          <w:noProof/>
          <w:spacing w:val="29"/>
          <w:szCs w:val="24"/>
        </w:rPr>
        <w:t xml:space="preserve"> </w:t>
      </w:r>
      <w:r w:rsidRPr="00C73B30">
        <w:rPr>
          <w:i/>
          <w:iCs/>
          <w:noProof/>
          <w:szCs w:val="24"/>
        </w:rPr>
        <w:t>its</w:t>
      </w:r>
      <w:r w:rsidRPr="00C73B30">
        <w:rPr>
          <w:i/>
          <w:iCs/>
          <w:noProof/>
          <w:spacing w:val="31"/>
          <w:szCs w:val="24"/>
        </w:rPr>
        <w:t xml:space="preserve"> </w:t>
      </w:r>
      <w:r w:rsidRPr="00C73B30">
        <w:rPr>
          <w:i/>
          <w:iCs/>
          <w:noProof/>
          <w:szCs w:val="24"/>
        </w:rPr>
        <w:t>Member</w:t>
      </w:r>
      <w:r w:rsidRPr="00C73B30">
        <w:rPr>
          <w:i/>
          <w:iCs/>
          <w:noProof/>
          <w:spacing w:val="29"/>
          <w:szCs w:val="24"/>
        </w:rPr>
        <w:t xml:space="preserve"> </w:t>
      </w:r>
      <w:r w:rsidRPr="00C73B30">
        <w:rPr>
          <w:i/>
          <w:iCs/>
          <w:noProof/>
          <w:szCs w:val="24"/>
        </w:rPr>
        <w:t>States</w:t>
      </w:r>
      <w:r w:rsidRPr="00C73B30">
        <w:rPr>
          <w:i/>
          <w:iCs/>
          <w:noProof/>
          <w:spacing w:val="31"/>
          <w:szCs w:val="24"/>
        </w:rPr>
        <w:t xml:space="preserve"> </w:t>
      </w:r>
      <w:r w:rsidRPr="00C73B30">
        <w:rPr>
          <w:i/>
          <w:iCs/>
          <w:noProof/>
          <w:szCs w:val="24"/>
        </w:rPr>
        <w:t>who</w:t>
      </w:r>
      <w:r w:rsidRPr="00C73B30">
        <w:rPr>
          <w:i/>
          <w:iCs/>
          <w:noProof/>
          <w:spacing w:val="29"/>
          <w:szCs w:val="24"/>
        </w:rPr>
        <w:t xml:space="preserve"> </w:t>
      </w:r>
      <w:r w:rsidRPr="00C73B30">
        <w:rPr>
          <w:i/>
          <w:iCs/>
          <w:noProof/>
          <w:szCs w:val="24"/>
        </w:rPr>
        <w:t>are</w:t>
      </w:r>
      <w:r w:rsidRPr="00C73B30">
        <w:rPr>
          <w:i/>
          <w:iCs/>
          <w:noProof/>
          <w:spacing w:val="30"/>
          <w:szCs w:val="24"/>
        </w:rPr>
        <w:t xml:space="preserve"> </w:t>
      </w:r>
      <w:r w:rsidRPr="00C73B30">
        <w:rPr>
          <w:i/>
          <w:iCs/>
          <w:noProof/>
          <w:szCs w:val="24"/>
        </w:rPr>
        <w:t>also</w:t>
      </w:r>
      <w:r w:rsidRPr="00C73B30">
        <w:rPr>
          <w:i/>
          <w:iCs/>
          <w:noProof/>
          <w:spacing w:val="29"/>
          <w:szCs w:val="24"/>
        </w:rPr>
        <w:t xml:space="preserve"> </w:t>
      </w:r>
      <w:r w:rsidRPr="00C73B30">
        <w:rPr>
          <w:i/>
          <w:iCs/>
          <w:noProof/>
          <w:szCs w:val="24"/>
        </w:rPr>
        <w:t>Parties</w:t>
      </w:r>
      <w:r w:rsidRPr="00C73B30">
        <w:rPr>
          <w:i/>
          <w:iCs/>
          <w:noProof/>
          <w:spacing w:val="29"/>
          <w:szCs w:val="24"/>
        </w:rPr>
        <w:t xml:space="preserve"> </w:t>
      </w:r>
      <w:r w:rsidRPr="00C73B30">
        <w:rPr>
          <w:i/>
          <w:iCs/>
          <w:noProof/>
          <w:szCs w:val="24"/>
        </w:rPr>
        <w:t>to</w:t>
      </w:r>
      <w:r w:rsidRPr="00C73B30">
        <w:rPr>
          <w:i/>
          <w:iCs/>
          <w:noProof/>
          <w:spacing w:val="29"/>
          <w:szCs w:val="24"/>
        </w:rPr>
        <w:t xml:space="preserve"> </w:t>
      </w:r>
      <w:r w:rsidRPr="00C73B30">
        <w:rPr>
          <w:i/>
          <w:iCs/>
          <w:noProof/>
          <w:szCs w:val="24"/>
        </w:rPr>
        <w:t>the</w:t>
      </w:r>
      <w:r w:rsidRPr="00C73B30">
        <w:rPr>
          <w:i/>
          <w:iCs/>
          <w:noProof/>
          <w:spacing w:val="28"/>
          <w:szCs w:val="24"/>
        </w:rPr>
        <w:t xml:space="preserve"> </w:t>
      </w:r>
      <w:r w:rsidRPr="00C73B30">
        <w:rPr>
          <w:i/>
          <w:iCs/>
          <w:noProof/>
          <w:szCs w:val="24"/>
        </w:rPr>
        <w:t>Convention.</w:t>
      </w:r>
      <w:r w:rsidRPr="00C73B30">
        <w:rPr>
          <w:i/>
          <w:iCs/>
          <w:noProof/>
          <w:spacing w:val="29"/>
          <w:szCs w:val="24"/>
        </w:rPr>
        <w:t xml:space="preserve"> </w:t>
      </w:r>
      <w:r w:rsidRPr="00C73B30">
        <w:rPr>
          <w:i/>
          <w:iCs/>
          <w:noProof/>
          <w:szCs w:val="24"/>
        </w:rPr>
        <w:t>When</w:t>
      </w:r>
      <w:r w:rsidRPr="00C73B30">
        <w:rPr>
          <w:i/>
          <w:iCs/>
          <w:noProof/>
          <w:spacing w:val="29"/>
          <w:szCs w:val="24"/>
        </w:rPr>
        <w:t xml:space="preserve"> </w:t>
      </w:r>
      <w:r w:rsidRPr="00C73B30">
        <w:rPr>
          <w:i/>
          <w:iCs/>
          <w:noProof/>
          <w:szCs w:val="24"/>
        </w:rPr>
        <w:t>the Union votes, its Member States shall not vote</w:t>
      </w:r>
      <w:r w:rsidRPr="00C73B30">
        <w:rPr>
          <w:noProof/>
          <w:szCs w:val="24"/>
        </w:rPr>
        <w:t>”.</w:t>
      </w:r>
    </w:p>
    <w:p w14:paraId="08923394" w14:textId="77777777" w:rsidR="00364878" w:rsidRPr="00C73B30" w:rsidRDefault="00364878" w:rsidP="000D7E07">
      <w:pPr>
        <w:kinsoku w:val="0"/>
        <w:overflowPunct w:val="0"/>
        <w:autoSpaceDE w:val="0"/>
        <w:autoSpaceDN w:val="0"/>
        <w:adjustRightInd w:val="0"/>
        <w:ind w:left="39" w:right="137"/>
        <w:rPr>
          <w:noProof/>
          <w:szCs w:val="24"/>
        </w:rPr>
      </w:pPr>
      <w:r w:rsidRPr="00C73B30">
        <w:rPr>
          <w:noProof/>
          <w:szCs w:val="24"/>
        </w:rPr>
        <w:t>Pursuant</w:t>
      </w:r>
      <w:r w:rsidRPr="00C73B30">
        <w:rPr>
          <w:noProof/>
          <w:spacing w:val="77"/>
          <w:w w:val="150"/>
          <w:szCs w:val="24"/>
        </w:rPr>
        <w:t xml:space="preserve"> </w:t>
      </w:r>
      <w:r w:rsidRPr="00C73B30">
        <w:rPr>
          <w:noProof/>
          <w:szCs w:val="24"/>
        </w:rPr>
        <w:t>to</w:t>
      </w:r>
      <w:r w:rsidRPr="00C73B30">
        <w:rPr>
          <w:noProof/>
          <w:spacing w:val="77"/>
          <w:w w:val="150"/>
          <w:szCs w:val="24"/>
        </w:rPr>
        <w:t xml:space="preserve"> </w:t>
      </w:r>
      <w:r w:rsidRPr="00C73B30">
        <w:rPr>
          <w:noProof/>
          <w:szCs w:val="24"/>
        </w:rPr>
        <w:t>Article</w:t>
      </w:r>
      <w:r w:rsidRPr="00C73B30">
        <w:rPr>
          <w:noProof/>
          <w:spacing w:val="76"/>
          <w:w w:val="150"/>
          <w:szCs w:val="24"/>
        </w:rPr>
        <w:t xml:space="preserve"> </w:t>
      </w:r>
      <w:r w:rsidRPr="00C73B30">
        <w:rPr>
          <w:noProof/>
          <w:szCs w:val="24"/>
        </w:rPr>
        <w:t>3(2)</w:t>
      </w:r>
      <w:r w:rsidRPr="00C73B30">
        <w:rPr>
          <w:noProof/>
          <w:spacing w:val="75"/>
          <w:w w:val="150"/>
          <w:szCs w:val="24"/>
        </w:rPr>
        <w:t xml:space="preserve"> </w:t>
      </w:r>
      <w:r w:rsidRPr="00C73B30">
        <w:rPr>
          <w:noProof/>
          <w:szCs w:val="24"/>
        </w:rPr>
        <w:t>TFEU,</w:t>
      </w:r>
      <w:r w:rsidRPr="00C73B30">
        <w:rPr>
          <w:noProof/>
          <w:spacing w:val="79"/>
          <w:w w:val="150"/>
          <w:szCs w:val="24"/>
        </w:rPr>
        <w:t xml:space="preserve"> </w:t>
      </w:r>
      <w:r w:rsidRPr="00C73B30">
        <w:rPr>
          <w:noProof/>
          <w:szCs w:val="24"/>
        </w:rPr>
        <w:t>the</w:t>
      </w:r>
      <w:r w:rsidRPr="00C73B30">
        <w:rPr>
          <w:noProof/>
          <w:spacing w:val="76"/>
          <w:w w:val="150"/>
          <w:szCs w:val="24"/>
        </w:rPr>
        <w:t xml:space="preserve"> </w:t>
      </w:r>
      <w:r w:rsidRPr="00C73B30">
        <w:rPr>
          <w:noProof/>
          <w:szCs w:val="24"/>
        </w:rPr>
        <w:t>Union</w:t>
      </w:r>
      <w:r w:rsidRPr="00C73B30">
        <w:rPr>
          <w:noProof/>
          <w:spacing w:val="76"/>
          <w:w w:val="150"/>
          <w:szCs w:val="24"/>
        </w:rPr>
        <w:t xml:space="preserve"> </w:t>
      </w:r>
      <w:r w:rsidRPr="00C73B30">
        <w:rPr>
          <w:noProof/>
          <w:szCs w:val="24"/>
        </w:rPr>
        <w:t>has</w:t>
      </w:r>
      <w:r w:rsidRPr="00C73B30">
        <w:rPr>
          <w:noProof/>
          <w:spacing w:val="77"/>
          <w:w w:val="150"/>
          <w:szCs w:val="24"/>
        </w:rPr>
        <w:t xml:space="preserve"> </w:t>
      </w:r>
      <w:r w:rsidRPr="00C73B30">
        <w:rPr>
          <w:noProof/>
          <w:szCs w:val="24"/>
        </w:rPr>
        <w:t>exclusive</w:t>
      </w:r>
      <w:r w:rsidRPr="00C73B30">
        <w:rPr>
          <w:noProof/>
          <w:spacing w:val="76"/>
          <w:w w:val="150"/>
          <w:szCs w:val="24"/>
        </w:rPr>
        <w:t xml:space="preserve"> </w:t>
      </w:r>
      <w:r w:rsidRPr="00C73B30">
        <w:rPr>
          <w:noProof/>
          <w:szCs w:val="24"/>
        </w:rPr>
        <w:t>competence</w:t>
      </w:r>
      <w:r w:rsidRPr="00C73B30">
        <w:rPr>
          <w:noProof/>
          <w:spacing w:val="79"/>
          <w:w w:val="150"/>
          <w:szCs w:val="24"/>
        </w:rPr>
        <w:t xml:space="preserve"> </w:t>
      </w:r>
      <w:r w:rsidRPr="00C73B30">
        <w:rPr>
          <w:noProof/>
          <w:szCs w:val="24"/>
        </w:rPr>
        <w:t>in</w:t>
      </w:r>
      <w:r w:rsidRPr="00C73B30">
        <w:rPr>
          <w:noProof/>
          <w:spacing w:val="77"/>
          <w:w w:val="150"/>
          <w:szCs w:val="24"/>
        </w:rPr>
        <w:t xml:space="preserve"> </w:t>
      </w:r>
      <w:r w:rsidRPr="00C73B30">
        <w:rPr>
          <w:noProof/>
          <w:szCs w:val="24"/>
        </w:rPr>
        <w:t>relation</w:t>
      </w:r>
      <w:r w:rsidRPr="00C73B30">
        <w:rPr>
          <w:noProof/>
          <w:spacing w:val="77"/>
          <w:w w:val="150"/>
          <w:szCs w:val="24"/>
        </w:rPr>
        <w:t xml:space="preserve"> </w:t>
      </w:r>
      <w:r w:rsidRPr="00C73B30">
        <w:rPr>
          <w:noProof/>
          <w:szCs w:val="24"/>
        </w:rPr>
        <w:t>to international</w:t>
      </w:r>
      <w:r w:rsidRPr="00C73B30">
        <w:rPr>
          <w:noProof/>
          <w:spacing w:val="80"/>
          <w:szCs w:val="24"/>
        </w:rPr>
        <w:t xml:space="preserve"> </w:t>
      </w:r>
      <w:r w:rsidRPr="00C73B30">
        <w:rPr>
          <w:noProof/>
          <w:szCs w:val="24"/>
        </w:rPr>
        <w:t>commitments</w:t>
      </w:r>
      <w:r w:rsidRPr="00C73B30">
        <w:rPr>
          <w:noProof/>
          <w:spacing w:val="80"/>
          <w:szCs w:val="24"/>
        </w:rPr>
        <w:t xml:space="preserve"> </w:t>
      </w:r>
      <w:r w:rsidRPr="00C73B30">
        <w:rPr>
          <w:noProof/>
          <w:szCs w:val="24"/>
        </w:rPr>
        <w:t>to</w:t>
      </w:r>
      <w:r w:rsidRPr="00C73B30">
        <w:rPr>
          <w:noProof/>
          <w:spacing w:val="80"/>
          <w:szCs w:val="24"/>
        </w:rPr>
        <w:t xml:space="preserve"> </w:t>
      </w:r>
      <w:r w:rsidRPr="00C73B30">
        <w:rPr>
          <w:noProof/>
          <w:szCs w:val="24"/>
        </w:rPr>
        <w:t>be</w:t>
      </w:r>
      <w:r w:rsidRPr="00C73B30">
        <w:rPr>
          <w:noProof/>
          <w:spacing w:val="80"/>
          <w:szCs w:val="24"/>
        </w:rPr>
        <w:t xml:space="preserve"> </w:t>
      </w:r>
      <w:r w:rsidRPr="00C73B30">
        <w:rPr>
          <w:noProof/>
          <w:szCs w:val="24"/>
        </w:rPr>
        <w:t>undertaken</w:t>
      </w:r>
      <w:r w:rsidRPr="00C73B30">
        <w:rPr>
          <w:noProof/>
          <w:spacing w:val="80"/>
          <w:szCs w:val="24"/>
        </w:rPr>
        <w:t xml:space="preserve"> </w:t>
      </w:r>
      <w:r w:rsidRPr="00C73B30">
        <w:rPr>
          <w:noProof/>
          <w:szCs w:val="24"/>
        </w:rPr>
        <w:t>in</w:t>
      </w:r>
      <w:r w:rsidRPr="00C73B30">
        <w:rPr>
          <w:noProof/>
          <w:spacing w:val="80"/>
          <w:szCs w:val="24"/>
        </w:rPr>
        <w:t xml:space="preserve"> </w:t>
      </w:r>
      <w:r w:rsidRPr="00C73B30">
        <w:rPr>
          <w:noProof/>
          <w:szCs w:val="24"/>
        </w:rPr>
        <w:t>the</w:t>
      </w:r>
      <w:r w:rsidRPr="00C73B30">
        <w:rPr>
          <w:noProof/>
          <w:spacing w:val="80"/>
          <w:szCs w:val="24"/>
        </w:rPr>
        <w:t xml:space="preserve"> </w:t>
      </w:r>
      <w:r w:rsidRPr="00C73B30">
        <w:rPr>
          <w:noProof/>
          <w:szCs w:val="24"/>
        </w:rPr>
        <w:t>context</w:t>
      </w:r>
      <w:r w:rsidRPr="00C73B30">
        <w:rPr>
          <w:noProof/>
          <w:spacing w:val="80"/>
          <w:szCs w:val="24"/>
        </w:rPr>
        <w:t xml:space="preserve"> </w:t>
      </w:r>
      <w:r w:rsidRPr="00C73B30">
        <w:rPr>
          <w:noProof/>
          <w:szCs w:val="24"/>
        </w:rPr>
        <w:t>of</w:t>
      </w:r>
      <w:r w:rsidRPr="00C73B30">
        <w:rPr>
          <w:noProof/>
          <w:spacing w:val="80"/>
          <w:szCs w:val="24"/>
        </w:rPr>
        <w:t xml:space="preserve"> </w:t>
      </w:r>
      <w:r w:rsidRPr="00C73B30">
        <w:rPr>
          <w:noProof/>
          <w:szCs w:val="24"/>
        </w:rPr>
        <w:t>COTIF,</w:t>
      </w:r>
      <w:r w:rsidRPr="00C73B30">
        <w:rPr>
          <w:noProof/>
          <w:spacing w:val="80"/>
          <w:szCs w:val="24"/>
        </w:rPr>
        <w:t xml:space="preserve"> </w:t>
      </w:r>
      <w:r w:rsidRPr="00C73B30">
        <w:rPr>
          <w:noProof/>
          <w:szCs w:val="24"/>
        </w:rPr>
        <w:t>including</w:t>
      </w:r>
      <w:r w:rsidRPr="00C73B30">
        <w:rPr>
          <w:noProof/>
          <w:spacing w:val="80"/>
          <w:szCs w:val="24"/>
        </w:rPr>
        <w:t xml:space="preserve"> </w:t>
      </w:r>
      <w:r w:rsidRPr="00C73B30">
        <w:rPr>
          <w:noProof/>
          <w:szCs w:val="24"/>
        </w:rPr>
        <w:t>legal instruments</w:t>
      </w:r>
      <w:r w:rsidRPr="00C73B30">
        <w:rPr>
          <w:noProof/>
          <w:spacing w:val="40"/>
          <w:szCs w:val="24"/>
        </w:rPr>
        <w:t xml:space="preserve"> </w:t>
      </w:r>
      <w:r w:rsidRPr="00C73B30">
        <w:rPr>
          <w:noProof/>
          <w:szCs w:val="24"/>
        </w:rPr>
        <w:t>adopted</w:t>
      </w:r>
      <w:r w:rsidRPr="00C73B30">
        <w:rPr>
          <w:noProof/>
          <w:spacing w:val="40"/>
          <w:szCs w:val="24"/>
        </w:rPr>
        <w:t xml:space="preserve"> </w:t>
      </w:r>
      <w:r w:rsidRPr="00C73B30">
        <w:rPr>
          <w:noProof/>
          <w:szCs w:val="24"/>
        </w:rPr>
        <w:t>pursuant</w:t>
      </w:r>
      <w:r w:rsidRPr="00C73B30">
        <w:rPr>
          <w:noProof/>
          <w:spacing w:val="40"/>
          <w:szCs w:val="24"/>
        </w:rPr>
        <w:t xml:space="preserve"> </w:t>
      </w:r>
      <w:r w:rsidRPr="00C73B30">
        <w:rPr>
          <w:noProof/>
          <w:szCs w:val="24"/>
        </w:rPr>
        <w:t>to</w:t>
      </w:r>
      <w:r w:rsidRPr="00C73B30">
        <w:rPr>
          <w:noProof/>
          <w:spacing w:val="40"/>
          <w:szCs w:val="24"/>
        </w:rPr>
        <w:t xml:space="preserve"> </w:t>
      </w:r>
      <w:r w:rsidRPr="00C73B30">
        <w:rPr>
          <w:noProof/>
          <w:szCs w:val="24"/>
        </w:rPr>
        <w:t>it,</w:t>
      </w:r>
      <w:r w:rsidRPr="00C73B30">
        <w:rPr>
          <w:noProof/>
          <w:spacing w:val="40"/>
          <w:szCs w:val="24"/>
        </w:rPr>
        <w:t xml:space="preserve"> </w:t>
      </w:r>
      <w:r w:rsidRPr="00C73B30">
        <w:rPr>
          <w:noProof/>
          <w:szCs w:val="24"/>
        </w:rPr>
        <w:t>when</w:t>
      </w:r>
      <w:r w:rsidRPr="00C73B30">
        <w:rPr>
          <w:noProof/>
          <w:spacing w:val="40"/>
          <w:szCs w:val="24"/>
        </w:rPr>
        <w:t xml:space="preserve"> </w:t>
      </w:r>
      <w:r w:rsidRPr="00C73B30">
        <w:rPr>
          <w:noProof/>
          <w:szCs w:val="24"/>
        </w:rPr>
        <w:t>such</w:t>
      </w:r>
      <w:r w:rsidRPr="00C73B30">
        <w:rPr>
          <w:noProof/>
          <w:spacing w:val="49"/>
          <w:szCs w:val="24"/>
        </w:rPr>
        <w:t xml:space="preserve"> </w:t>
      </w:r>
      <w:r w:rsidRPr="00C73B30">
        <w:rPr>
          <w:noProof/>
          <w:szCs w:val="24"/>
        </w:rPr>
        <w:t>commitments</w:t>
      </w:r>
      <w:r w:rsidRPr="00C73B30">
        <w:rPr>
          <w:noProof/>
          <w:spacing w:val="40"/>
          <w:szCs w:val="24"/>
        </w:rPr>
        <w:t xml:space="preserve"> </w:t>
      </w:r>
      <w:r w:rsidRPr="00C73B30">
        <w:rPr>
          <w:noProof/>
          <w:szCs w:val="24"/>
        </w:rPr>
        <w:t>risk</w:t>
      </w:r>
      <w:r w:rsidRPr="00C73B30">
        <w:rPr>
          <w:noProof/>
          <w:spacing w:val="48"/>
          <w:szCs w:val="24"/>
        </w:rPr>
        <w:t xml:space="preserve"> </w:t>
      </w:r>
      <w:r w:rsidRPr="00C73B30">
        <w:rPr>
          <w:noProof/>
          <w:szCs w:val="24"/>
        </w:rPr>
        <w:t>affecting</w:t>
      </w:r>
      <w:r w:rsidRPr="00C73B30">
        <w:rPr>
          <w:noProof/>
          <w:spacing w:val="40"/>
          <w:szCs w:val="24"/>
        </w:rPr>
        <w:t xml:space="preserve"> </w:t>
      </w:r>
      <w:r w:rsidRPr="00C73B30">
        <w:rPr>
          <w:noProof/>
          <w:szCs w:val="24"/>
        </w:rPr>
        <w:t>existing</w:t>
      </w:r>
      <w:r w:rsidRPr="00C73B30">
        <w:rPr>
          <w:noProof/>
          <w:spacing w:val="40"/>
          <w:szCs w:val="24"/>
        </w:rPr>
        <w:t xml:space="preserve"> </w:t>
      </w:r>
      <w:r w:rsidRPr="00C73B30">
        <w:rPr>
          <w:noProof/>
          <w:szCs w:val="24"/>
        </w:rPr>
        <w:t>Union rules or altering their scope.</w:t>
      </w:r>
    </w:p>
    <w:p w14:paraId="6BD17CC5" w14:textId="6B445F8B" w:rsidR="00364878" w:rsidRPr="00C73B30" w:rsidRDefault="00364878" w:rsidP="000D7E07">
      <w:pPr>
        <w:kinsoku w:val="0"/>
        <w:overflowPunct w:val="0"/>
        <w:autoSpaceDE w:val="0"/>
        <w:autoSpaceDN w:val="0"/>
        <w:adjustRightInd w:val="0"/>
        <w:spacing w:line="258" w:lineRule="exact"/>
        <w:ind w:left="39"/>
        <w:rPr>
          <w:noProof/>
          <w:szCs w:val="24"/>
        </w:rPr>
      </w:pPr>
      <w:r w:rsidRPr="00C73B30">
        <w:rPr>
          <w:noProof/>
          <w:szCs w:val="24"/>
        </w:rPr>
        <w:t xml:space="preserve">The objective of the proposed decision is to </w:t>
      </w:r>
      <w:r w:rsidR="00E1678C">
        <w:rPr>
          <w:noProof/>
          <w:szCs w:val="24"/>
        </w:rPr>
        <w:t>amend</w:t>
      </w:r>
      <w:r w:rsidRPr="00C73B30">
        <w:rPr>
          <w:noProof/>
          <w:szCs w:val="24"/>
        </w:rPr>
        <w:t xml:space="preserve"> the Rules of Procedure of the Ad Hoc Committee, in order to align it with the rules of procedure of other OTIF organs. </w:t>
      </w:r>
    </w:p>
    <w:p w14:paraId="5EAC80C2" w14:textId="39124604" w:rsidR="00364878" w:rsidRPr="00C73B30" w:rsidRDefault="007A3E24" w:rsidP="000D7E07">
      <w:pPr>
        <w:kinsoku w:val="0"/>
        <w:overflowPunct w:val="0"/>
        <w:autoSpaceDE w:val="0"/>
        <w:autoSpaceDN w:val="0"/>
        <w:adjustRightInd w:val="0"/>
        <w:spacing w:line="258" w:lineRule="exact"/>
        <w:ind w:left="39"/>
        <w:rPr>
          <w:noProof/>
          <w:szCs w:val="24"/>
        </w:rPr>
      </w:pPr>
      <w:r w:rsidRPr="00C73B30">
        <w:rPr>
          <w:noProof/>
          <w:szCs w:val="24"/>
        </w:rPr>
        <w:t xml:space="preserve">The </w:t>
      </w:r>
      <w:r w:rsidR="00E1678C">
        <w:rPr>
          <w:noProof/>
          <w:szCs w:val="24"/>
        </w:rPr>
        <w:t>amendment</w:t>
      </w:r>
      <w:r w:rsidRPr="00C73B30">
        <w:rPr>
          <w:noProof/>
          <w:szCs w:val="24"/>
        </w:rPr>
        <w:t xml:space="preserve"> of the Rules of Procedure of the Ad Hoc Committee is a </w:t>
      </w:r>
      <w:r w:rsidR="006119EF" w:rsidRPr="00C73B30">
        <w:rPr>
          <w:noProof/>
          <w:szCs w:val="24"/>
        </w:rPr>
        <w:t>hori</w:t>
      </w:r>
      <w:r w:rsidRPr="00C73B30">
        <w:rPr>
          <w:noProof/>
          <w:szCs w:val="24"/>
        </w:rPr>
        <w:t>z</w:t>
      </w:r>
      <w:r w:rsidR="006119EF" w:rsidRPr="00C73B30">
        <w:rPr>
          <w:noProof/>
          <w:szCs w:val="24"/>
        </w:rPr>
        <w:t xml:space="preserve">ontal matter, </w:t>
      </w:r>
      <w:r w:rsidRPr="00C73B30">
        <w:rPr>
          <w:noProof/>
          <w:szCs w:val="24"/>
        </w:rPr>
        <w:t>as it is auxiliary to</w:t>
      </w:r>
      <w:r w:rsidR="006119EF" w:rsidRPr="00C73B30">
        <w:rPr>
          <w:noProof/>
          <w:szCs w:val="24"/>
        </w:rPr>
        <w:t xml:space="preserve"> legal instruments and policy areas for which the Union is exclusively competent. </w:t>
      </w:r>
      <w:r w:rsidR="00C73B30">
        <w:rPr>
          <w:noProof/>
          <w:szCs w:val="24"/>
        </w:rPr>
        <w:t>T</w:t>
      </w:r>
      <w:r w:rsidR="00C73B30" w:rsidRPr="00C73B30">
        <w:rPr>
          <w:noProof/>
          <w:szCs w:val="24"/>
        </w:rPr>
        <w:t xml:space="preserve">he Union has </w:t>
      </w:r>
      <w:r w:rsidR="00C73B30">
        <w:rPr>
          <w:noProof/>
          <w:szCs w:val="24"/>
        </w:rPr>
        <w:t xml:space="preserve">therefore </w:t>
      </w:r>
      <w:r w:rsidR="00C73B30" w:rsidRPr="00C73B30">
        <w:rPr>
          <w:noProof/>
          <w:szCs w:val="24"/>
        </w:rPr>
        <w:t>exclusive competence in respect of amendments to the Rules of Procedure of the Ad Hoc Committee, pursuant to Article 3(2) TFEU</w:t>
      </w:r>
      <w:r w:rsidR="00C73B30">
        <w:rPr>
          <w:noProof/>
          <w:szCs w:val="24"/>
        </w:rPr>
        <w:t>. T</w:t>
      </w:r>
      <w:r w:rsidR="006119EF" w:rsidRPr="00C73B30">
        <w:rPr>
          <w:noProof/>
          <w:szCs w:val="24"/>
        </w:rPr>
        <w:t>he Union</w:t>
      </w:r>
      <w:r w:rsidR="00C73B30">
        <w:rPr>
          <w:noProof/>
          <w:szCs w:val="24"/>
        </w:rPr>
        <w:t>, represented by the Commission,</w:t>
      </w:r>
      <w:r w:rsidR="006119EF" w:rsidRPr="00C73B30">
        <w:rPr>
          <w:noProof/>
          <w:szCs w:val="24"/>
        </w:rPr>
        <w:t xml:space="preserve"> should </w:t>
      </w:r>
      <w:r w:rsidR="00C73B30">
        <w:rPr>
          <w:noProof/>
          <w:szCs w:val="24"/>
        </w:rPr>
        <w:t xml:space="preserve">exercise the </w:t>
      </w:r>
      <w:r w:rsidR="006119EF" w:rsidRPr="00C73B30">
        <w:rPr>
          <w:noProof/>
          <w:szCs w:val="24"/>
        </w:rPr>
        <w:t>vot</w:t>
      </w:r>
      <w:r w:rsidR="00C73B30">
        <w:rPr>
          <w:noProof/>
          <w:szCs w:val="24"/>
        </w:rPr>
        <w:t>ing rights</w:t>
      </w:r>
      <w:r w:rsidR="006119EF" w:rsidRPr="00C73B30">
        <w:rPr>
          <w:noProof/>
          <w:szCs w:val="24"/>
        </w:rPr>
        <w:t xml:space="preserve"> </w:t>
      </w:r>
      <w:r w:rsidR="00C73B30">
        <w:rPr>
          <w:noProof/>
          <w:szCs w:val="24"/>
        </w:rPr>
        <w:t>with respect to the adoption of this decision</w:t>
      </w:r>
      <w:r w:rsidR="006119EF" w:rsidRPr="00C73B30">
        <w:rPr>
          <w:noProof/>
          <w:szCs w:val="24"/>
        </w:rPr>
        <w:t>, pursuant to point 3.3 of Annex III of Council Decision 2013/103/EU.</w:t>
      </w:r>
    </w:p>
    <w:p w14:paraId="1AD48199" w14:textId="77777777" w:rsidR="00C74230" w:rsidRPr="00C73B30" w:rsidRDefault="00C74230" w:rsidP="00736AA9">
      <w:pPr>
        <w:pStyle w:val="ManualHeading1"/>
        <w:rPr>
          <w:noProof/>
        </w:rPr>
      </w:pPr>
      <w:r>
        <w:rPr>
          <w:noProof/>
        </w:rPr>
        <w:t>4.</w:t>
      </w:r>
      <w:r>
        <w:rPr>
          <w:noProof/>
        </w:rPr>
        <w:tab/>
      </w:r>
      <w:r w:rsidRPr="00C73B30">
        <w:rPr>
          <w:noProof/>
        </w:rPr>
        <w:t>Legal basis</w:t>
      </w:r>
    </w:p>
    <w:p w14:paraId="657C8C5E" w14:textId="77777777" w:rsidR="00C74230" w:rsidRPr="00C73B30" w:rsidRDefault="00C74230" w:rsidP="00736AA9">
      <w:pPr>
        <w:pStyle w:val="ManualHeading2"/>
        <w:rPr>
          <w:noProof/>
        </w:rPr>
      </w:pPr>
      <w:r>
        <w:rPr>
          <w:noProof/>
        </w:rPr>
        <w:t>4.1.</w:t>
      </w:r>
      <w:r>
        <w:rPr>
          <w:noProof/>
        </w:rPr>
        <w:tab/>
      </w:r>
      <w:r w:rsidRPr="00C73B30">
        <w:rPr>
          <w:noProof/>
        </w:rPr>
        <w:t>Procedural legal basis</w:t>
      </w:r>
    </w:p>
    <w:p w14:paraId="7621DE6B" w14:textId="77777777" w:rsidR="00C74230" w:rsidRPr="00C73B30" w:rsidRDefault="00C74230" w:rsidP="00C74230">
      <w:pPr>
        <w:pStyle w:val="ManualHeading3"/>
        <w:tabs>
          <w:tab w:val="clear" w:pos="850"/>
          <w:tab w:val="num" w:pos="1984"/>
        </w:tabs>
        <w:ind w:left="1984" w:hanging="567"/>
        <w:rPr>
          <w:noProof/>
        </w:rPr>
      </w:pPr>
      <w:r>
        <w:rPr>
          <w:noProof/>
        </w:rPr>
        <w:t>4.1.1.</w:t>
      </w:r>
      <w:r>
        <w:rPr>
          <w:noProof/>
        </w:rPr>
        <w:tab/>
      </w:r>
      <w:r w:rsidRPr="00C73B30">
        <w:rPr>
          <w:noProof/>
        </w:rPr>
        <w:t>Principles</w:t>
      </w:r>
    </w:p>
    <w:p w14:paraId="0C5E9AC5" w14:textId="77777777" w:rsidR="00C74230" w:rsidRPr="00C73B30" w:rsidRDefault="00C74230" w:rsidP="00736AA9">
      <w:pPr>
        <w:rPr>
          <w:noProof/>
        </w:rPr>
      </w:pPr>
      <w:r w:rsidRPr="00C73B30">
        <w:rPr>
          <w:noProof/>
        </w:rPr>
        <w:t>Article 218(9) of the Treaty on the Functioning of the European Union (TFEU) provides for decisions establishing ‘</w:t>
      </w:r>
      <w:r w:rsidRPr="00C73B30">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C73B30">
        <w:rPr>
          <w:noProof/>
        </w:rPr>
        <w:t>.’</w:t>
      </w:r>
    </w:p>
    <w:p w14:paraId="246440A0" w14:textId="77777777" w:rsidR="00C74230" w:rsidRPr="00C73B30" w:rsidRDefault="00C74230" w:rsidP="00736AA9">
      <w:pPr>
        <w:rPr>
          <w:noProof/>
        </w:rPr>
      </w:pPr>
      <w:r w:rsidRPr="00C73B30">
        <w:rPr>
          <w:noProof/>
        </w:rPr>
        <w:t>The concept of ‘</w:t>
      </w:r>
      <w:r w:rsidRPr="00C73B30">
        <w:rPr>
          <w:i/>
          <w:noProof/>
        </w:rPr>
        <w:t>acts having legal effects</w:t>
      </w:r>
      <w:r w:rsidRPr="00C73B30">
        <w:rPr>
          <w:noProof/>
        </w:rPr>
        <w:t>’ includes acts that have legal effects by virtue of the rules of international law governing the body in question. It also includes instruments that do not have a binding effect under international law, but that are ‘</w:t>
      </w:r>
      <w:r w:rsidRPr="00C73B30">
        <w:rPr>
          <w:i/>
          <w:noProof/>
        </w:rPr>
        <w:t>capable of decisively influencing the content of the legislation adopted by the EU legislature</w:t>
      </w:r>
      <w:r w:rsidRPr="00C73B30">
        <w:rPr>
          <w:noProof/>
        </w:rPr>
        <w:t>’</w:t>
      </w:r>
      <w:r w:rsidRPr="00C73B30">
        <w:rPr>
          <w:rStyle w:val="FootnoteReference"/>
          <w:noProof/>
        </w:rPr>
        <w:footnoteReference w:id="3"/>
      </w:r>
      <w:r w:rsidRPr="00C73B30">
        <w:rPr>
          <w:noProof/>
        </w:rPr>
        <w:t>.</w:t>
      </w:r>
    </w:p>
    <w:p w14:paraId="350FF16C" w14:textId="77777777" w:rsidR="00C74230" w:rsidRPr="00C73B30" w:rsidRDefault="00C74230" w:rsidP="00C74230">
      <w:pPr>
        <w:pStyle w:val="ManualHeading3"/>
        <w:tabs>
          <w:tab w:val="clear" w:pos="850"/>
          <w:tab w:val="num" w:pos="1984"/>
        </w:tabs>
        <w:ind w:left="1984" w:hanging="567"/>
        <w:rPr>
          <w:noProof/>
        </w:rPr>
      </w:pPr>
      <w:r>
        <w:rPr>
          <w:noProof/>
        </w:rPr>
        <w:t>4.1.2.</w:t>
      </w:r>
      <w:r>
        <w:rPr>
          <w:noProof/>
        </w:rPr>
        <w:tab/>
      </w:r>
      <w:r w:rsidRPr="00C73B30">
        <w:rPr>
          <w:noProof/>
        </w:rPr>
        <w:t>Application to the present case</w:t>
      </w:r>
    </w:p>
    <w:p w14:paraId="3FAD9806" w14:textId="77777777" w:rsidR="00C74230" w:rsidRPr="00C73B30" w:rsidRDefault="00C74230" w:rsidP="00736AA9">
      <w:pPr>
        <w:rPr>
          <w:noProof/>
        </w:rPr>
      </w:pPr>
      <w:r w:rsidRPr="00C73B30">
        <w:rPr>
          <w:noProof/>
        </w:rPr>
        <w:t xml:space="preserve">The </w:t>
      </w:r>
      <w:r w:rsidR="002A5CC7" w:rsidRPr="003D77F6">
        <w:rPr>
          <w:noProof/>
        </w:rPr>
        <w:t xml:space="preserve">Ad Hoc Committee </w:t>
      </w:r>
      <w:r w:rsidRPr="00C73B30">
        <w:rPr>
          <w:noProof/>
        </w:rPr>
        <w:t xml:space="preserve">is a body set up by an agreement, namely </w:t>
      </w:r>
      <w:r w:rsidR="002A5CC7" w:rsidRPr="00C73B30">
        <w:rPr>
          <w:noProof/>
        </w:rPr>
        <w:t xml:space="preserve">COTIF, in </w:t>
      </w:r>
      <w:r w:rsidR="00C73B30">
        <w:rPr>
          <w:noProof/>
        </w:rPr>
        <w:t>accordance with</w:t>
      </w:r>
      <w:r w:rsidR="002A5CC7" w:rsidRPr="00C73B30">
        <w:rPr>
          <w:noProof/>
        </w:rPr>
        <w:t xml:space="preserve"> its Article 13</w:t>
      </w:r>
      <w:r w:rsidR="002A5CC7" w:rsidRPr="000D7E07">
        <w:rPr>
          <w:noProof/>
        </w:rPr>
        <w:t>§</w:t>
      </w:r>
      <w:r w:rsidR="002A5CC7" w:rsidRPr="00C73B30">
        <w:rPr>
          <w:noProof/>
        </w:rPr>
        <w:t>2</w:t>
      </w:r>
      <w:r w:rsidRPr="003D77F6">
        <w:rPr>
          <w:noProof/>
        </w:rPr>
        <w:t>.</w:t>
      </w:r>
    </w:p>
    <w:p w14:paraId="01ADE537" w14:textId="77777777" w:rsidR="00C74230" w:rsidRPr="003D77F6" w:rsidRDefault="00C74230" w:rsidP="00736AA9">
      <w:pPr>
        <w:rPr>
          <w:noProof/>
        </w:rPr>
      </w:pPr>
      <w:r w:rsidRPr="00C73B30">
        <w:rPr>
          <w:noProof/>
        </w:rPr>
        <w:t xml:space="preserve">The act which the </w:t>
      </w:r>
      <w:r w:rsidR="002A5CC7" w:rsidRPr="003D77F6">
        <w:rPr>
          <w:noProof/>
        </w:rPr>
        <w:t>Ad Hoc Committee</w:t>
      </w:r>
      <w:r w:rsidRPr="00C73B30">
        <w:rPr>
          <w:noProof/>
        </w:rPr>
        <w:t xml:space="preserve"> is called upon to adopt constitutes an act having legal effects. </w:t>
      </w:r>
      <w:r w:rsidR="002A5CC7" w:rsidRPr="00C73B30">
        <w:rPr>
          <w:noProof/>
        </w:rPr>
        <w:t xml:space="preserve">As the Union is a full contracting party to COTIF, the envisaged act will be binding upon the Union under international law, in accordance with Article </w:t>
      </w:r>
      <w:r w:rsidR="002535E8">
        <w:rPr>
          <w:noProof/>
        </w:rPr>
        <w:t>16</w:t>
      </w:r>
      <w:r w:rsidR="00C73B30">
        <w:rPr>
          <w:noProof/>
        </w:rPr>
        <w:t xml:space="preserve"> </w:t>
      </w:r>
      <w:r w:rsidR="005C57F7" w:rsidRPr="000D7E07">
        <w:rPr>
          <w:noProof/>
        </w:rPr>
        <w:t>§</w:t>
      </w:r>
      <w:r w:rsidR="002535E8">
        <w:rPr>
          <w:noProof/>
        </w:rPr>
        <w:t>10</w:t>
      </w:r>
      <w:r w:rsidR="002A5CC7" w:rsidRPr="00C73B30">
        <w:rPr>
          <w:noProof/>
        </w:rPr>
        <w:t xml:space="preserve"> of </w:t>
      </w:r>
      <w:r w:rsidR="005C57F7" w:rsidRPr="00C73B30">
        <w:rPr>
          <w:noProof/>
        </w:rPr>
        <w:t>COTIF</w:t>
      </w:r>
      <w:r w:rsidR="002535E8">
        <w:rPr>
          <w:noProof/>
        </w:rPr>
        <w:t xml:space="preserve">, according to which the OTIF Committees are to establish </w:t>
      </w:r>
      <w:r w:rsidR="002535E8" w:rsidRPr="002535E8">
        <w:rPr>
          <w:noProof/>
        </w:rPr>
        <w:t xml:space="preserve">their rules of procedure, </w:t>
      </w:r>
      <w:r w:rsidR="002535E8">
        <w:rPr>
          <w:noProof/>
        </w:rPr>
        <w:t xml:space="preserve">and with Article 30 of the Rules of Procedure of the Ad Hoc Committee, </w:t>
      </w:r>
      <w:r w:rsidR="002535E8" w:rsidRPr="002535E8">
        <w:rPr>
          <w:noProof/>
        </w:rPr>
        <w:t>according to which these Rules may be amended, in whole or in part, by a decision of this body.</w:t>
      </w:r>
      <w:r w:rsidR="007E5B19" w:rsidRPr="00C73B30">
        <w:rPr>
          <w:noProof/>
        </w:rPr>
        <w:t>.</w:t>
      </w:r>
      <w:r w:rsidRPr="003D77F6">
        <w:rPr>
          <w:noProof/>
        </w:rPr>
        <w:t xml:space="preserve"> </w:t>
      </w:r>
    </w:p>
    <w:p w14:paraId="073F29F4" w14:textId="77777777" w:rsidR="00C74230" w:rsidRPr="00C73B30" w:rsidRDefault="00C74230" w:rsidP="00736AA9">
      <w:pPr>
        <w:rPr>
          <w:noProof/>
        </w:rPr>
      </w:pPr>
      <w:r w:rsidRPr="00C73B30">
        <w:rPr>
          <w:noProof/>
        </w:rPr>
        <w:t>The envisaged act does not supplement or amend the institutional framework of the Agreement.</w:t>
      </w:r>
    </w:p>
    <w:p w14:paraId="1D39273F" w14:textId="77777777" w:rsidR="00C74230" w:rsidRPr="00C73B30" w:rsidRDefault="00C74230" w:rsidP="00736AA9">
      <w:pPr>
        <w:rPr>
          <w:noProof/>
        </w:rPr>
      </w:pPr>
      <w:r w:rsidRPr="00C73B30">
        <w:rPr>
          <w:noProof/>
        </w:rPr>
        <w:lastRenderedPageBreak/>
        <w:t>Therefore, the procedural legal basis for the proposed decision is Article 218(9) TFEU.</w:t>
      </w:r>
    </w:p>
    <w:p w14:paraId="34A36FCC" w14:textId="77777777" w:rsidR="00C74230" w:rsidRPr="00C73B30" w:rsidRDefault="00C74230" w:rsidP="00736AA9">
      <w:pPr>
        <w:pStyle w:val="ManualHeading2"/>
        <w:rPr>
          <w:noProof/>
        </w:rPr>
      </w:pPr>
      <w:r>
        <w:rPr>
          <w:noProof/>
        </w:rPr>
        <w:t>4.2.</w:t>
      </w:r>
      <w:r>
        <w:rPr>
          <w:noProof/>
        </w:rPr>
        <w:tab/>
      </w:r>
      <w:r w:rsidRPr="00C73B30">
        <w:rPr>
          <w:noProof/>
        </w:rPr>
        <w:t>Substantive legal basis</w:t>
      </w:r>
    </w:p>
    <w:p w14:paraId="7D04C07B" w14:textId="77777777" w:rsidR="00C74230" w:rsidRPr="00C73B30" w:rsidRDefault="00C74230" w:rsidP="00C74230">
      <w:pPr>
        <w:pStyle w:val="ManualHeading3"/>
        <w:tabs>
          <w:tab w:val="clear" w:pos="850"/>
          <w:tab w:val="num" w:pos="1984"/>
        </w:tabs>
        <w:ind w:left="1984" w:hanging="567"/>
        <w:rPr>
          <w:noProof/>
        </w:rPr>
      </w:pPr>
      <w:r>
        <w:rPr>
          <w:noProof/>
        </w:rPr>
        <w:t>4.2.1.</w:t>
      </w:r>
      <w:r>
        <w:rPr>
          <w:noProof/>
        </w:rPr>
        <w:tab/>
      </w:r>
      <w:r w:rsidRPr="00C73B30">
        <w:rPr>
          <w:noProof/>
        </w:rPr>
        <w:t>Principles</w:t>
      </w:r>
    </w:p>
    <w:p w14:paraId="3A592F4C" w14:textId="77777777" w:rsidR="00C74230" w:rsidRPr="00C73B30" w:rsidRDefault="00C74230" w:rsidP="00736AA9">
      <w:pPr>
        <w:rPr>
          <w:noProof/>
        </w:rPr>
      </w:pPr>
      <w:r w:rsidRPr="00C73B30">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14:paraId="0A785B8B" w14:textId="77777777" w:rsidR="00C74230" w:rsidRPr="00C73B30" w:rsidRDefault="00C74230" w:rsidP="00C74230">
      <w:pPr>
        <w:pStyle w:val="ManualHeading3"/>
        <w:tabs>
          <w:tab w:val="clear" w:pos="850"/>
          <w:tab w:val="num" w:pos="1984"/>
        </w:tabs>
        <w:ind w:left="1984" w:hanging="567"/>
        <w:rPr>
          <w:noProof/>
        </w:rPr>
      </w:pPr>
      <w:r>
        <w:rPr>
          <w:noProof/>
        </w:rPr>
        <w:t>4.2.2.</w:t>
      </w:r>
      <w:r>
        <w:rPr>
          <w:noProof/>
        </w:rPr>
        <w:tab/>
      </w:r>
      <w:r w:rsidRPr="00C73B30">
        <w:rPr>
          <w:noProof/>
        </w:rPr>
        <w:t>Application to the present case</w:t>
      </w:r>
    </w:p>
    <w:p w14:paraId="465C8A4F" w14:textId="77777777" w:rsidR="00C74230" w:rsidRPr="003D77F6" w:rsidRDefault="00C74230" w:rsidP="00736AA9">
      <w:pPr>
        <w:rPr>
          <w:noProof/>
        </w:rPr>
      </w:pPr>
      <w:r w:rsidRPr="00C73B30">
        <w:rPr>
          <w:noProof/>
        </w:rPr>
        <w:t>The main objective and content of the envisaged act relate to</w:t>
      </w:r>
      <w:r w:rsidR="002A5CC7" w:rsidRPr="00C73B30">
        <w:rPr>
          <w:noProof/>
        </w:rPr>
        <w:t xml:space="preserve"> international rail transport. </w:t>
      </w:r>
      <w:r w:rsidRPr="00C73B30">
        <w:rPr>
          <w:noProof/>
        </w:rPr>
        <w:t xml:space="preserve"> </w:t>
      </w:r>
    </w:p>
    <w:p w14:paraId="6732D5FC" w14:textId="77777777" w:rsidR="00C74230" w:rsidRPr="00C73B30" w:rsidRDefault="00C74230" w:rsidP="00736AA9">
      <w:pPr>
        <w:rPr>
          <w:i/>
          <w:noProof/>
        </w:rPr>
      </w:pPr>
      <w:r w:rsidRPr="00C73B30">
        <w:rPr>
          <w:noProof/>
        </w:rPr>
        <w:t xml:space="preserve">Therefore, the substantive legal basis of the proposed decision is </w:t>
      </w:r>
      <w:r w:rsidR="002A5CC7" w:rsidRPr="003D77F6">
        <w:rPr>
          <w:noProof/>
        </w:rPr>
        <w:t>Article 91 TFEU.</w:t>
      </w:r>
    </w:p>
    <w:p w14:paraId="244803DC" w14:textId="77777777" w:rsidR="00C74230" w:rsidRPr="00C73B30" w:rsidRDefault="00C74230" w:rsidP="00736AA9">
      <w:pPr>
        <w:pStyle w:val="ManualHeading2"/>
        <w:rPr>
          <w:noProof/>
        </w:rPr>
      </w:pPr>
      <w:r>
        <w:rPr>
          <w:noProof/>
        </w:rPr>
        <w:t>4.3.</w:t>
      </w:r>
      <w:r>
        <w:rPr>
          <w:noProof/>
        </w:rPr>
        <w:tab/>
      </w:r>
      <w:r w:rsidRPr="00C73B30">
        <w:rPr>
          <w:noProof/>
        </w:rPr>
        <w:t>Conclusion</w:t>
      </w:r>
    </w:p>
    <w:p w14:paraId="79C8C431" w14:textId="77777777" w:rsidR="00C74230" w:rsidRPr="00C73B30" w:rsidRDefault="00C74230" w:rsidP="00736AA9">
      <w:pPr>
        <w:rPr>
          <w:noProof/>
        </w:rPr>
      </w:pPr>
      <w:r w:rsidRPr="00C73B30">
        <w:rPr>
          <w:noProof/>
        </w:rPr>
        <w:t xml:space="preserve">The legal basis of the proposed decision should be </w:t>
      </w:r>
      <w:r w:rsidR="002A5CC7" w:rsidRPr="00C73B30">
        <w:rPr>
          <w:noProof/>
        </w:rPr>
        <w:t>Article 91 TFEU</w:t>
      </w:r>
      <w:r w:rsidRPr="003D77F6">
        <w:rPr>
          <w:noProof/>
        </w:rPr>
        <w:t>,</w:t>
      </w:r>
      <w:r w:rsidRPr="00C73B30">
        <w:rPr>
          <w:noProof/>
        </w:rPr>
        <w:t xml:space="preserve"> in conjunction with Article 218(9) TFEU.</w:t>
      </w:r>
    </w:p>
    <w:p w14:paraId="261B91A0" w14:textId="77777777" w:rsidR="00C74230" w:rsidRPr="00C73B30" w:rsidRDefault="00C74230" w:rsidP="00FD40BA">
      <w:pPr>
        <w:rPr>
          <w:noProof/>
        </w:rPr>
        <w:sectPr w:rsidR="00C74230" w:rsidRPr="00C73B30" w:rsidSect="0014470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0AAE6A7D" w14:textId="73CB2BE8" w:rsidR="00C74230" w:rsidRPr="00C73B30" w:rsidRDefault="00345FCE" w:rsidP="00345FCE">
      <w:pPr>
        <w:pStyle w:val="Statut"/>
        <w:rPr>
          <w:noProof/>
        </w:rPr>
      </w:pPr>
      <w:r w:rsidRPr="00345FCE">
        <w:rPr>
          <w:noProof/>
        </w:rPr>
        <w:lastRenderedPageBreak/>
        <w:t>Proposal for a</w:t>
      </w:r>
    </w:p>
    <w:p w14:paraId="6037FC33" w14:textId="0C68D0C0" w:rsidR="00C74230" w:rsidRPr="00C73B30" w:rsidRDefault="00345FCE" w:rsidP="00345FCE">
      <w:pPr>
        <w:pStyle w:val="Typedudocument"/>
        <w:rPr>
          <w:noProof/>
        </w:rPr>
      </w:pPr>
      <w:r w:rsidRPr="00345FCE">
        <w:rPr>
          <w:noProof/>
        </w:rPr>
        <w:t>COUNCIL DECISION</w:t>
      </w:r>
    </w:p>
    <w:p w14:paraId="5ED3129B" w14:textId="772CFD2E" w:rsidR="00C74230" w:rsidRPr="00C73B30" w:rsidRDefault="00345FCE" w:rsidP="00345FCE">
      <w:pPr>
        <w:pStyle w:val="Titreobjet"/>
        <w:rPr>
          <w:noProof/>
        </w:rPr>
      </w:pPr>
      <w:bookmarkStart w:id="2" w:name="_Hlk230167237"/>
      <w:r w:rsidRPr="00345FCE">
        <w:rPr>
          <w:noProof/>
        </w:rPr>
        <w:t>on the position to be taken on behalf of the European Union at the 9</w:t>
      </w:r>
      <w:r w:rsidRPr="00345FCE">
        <w:rPr>
          <w:noProof/>
          <w:vertAlign w:val="superscript"/>
        </w:rPr>
        <w:t>th</w:t>
      </w:r>
      <w:r w:rsidRPr="00345FCE">
        <w:rPr>
          <w:noProof/>
        </w:rPr>
        <w:t xml:space="preserve"> session of the Ad Hoc Committee on Legal Affairs and International Cooperation of the Intergovernmental Organisation for International Carriage by Rail (OTIF) with regard to the amendment of its Rules of Procedure</w:t>
      </w:r>
    </w:p>
    <w:bookmarkEnd w:id="2"/>
    <w:p w14:paraId="627DBB98" w14:textId="77777777" w:rsidR="00C74230" w:rsidRPr="00C73B30" w:rsidRDefault="00C74230" w:rsidP="00BE7CB9">
      <w:pPr>
        <w:pStyle w:val="Institutionquiagit"/>
        <w:rPr>
          <w:noProof/>
        </w:rPr>
      </w:pPr>
      <w:r w:rsidRPr="00C73B30">
        <w:rPr>
          <w:noProof/>
        </w:rPr>
        <w:t>THE COUNCIL OF THE EUROPEAN UNION,</w:t>
      </w:r>
    </w:p>
    <w:p w14:paraId="0C9296A8" w14:textId="77777777" w:rsidR="00C74230" w:rsidRPr="00C73B30" w:rsidRDefault="00C74230" w:rsidP="00BE7CB9">
      <w:pPr>
        <w:rPr>
          <w:noProof/>
        </w:rPr>
      </w:pPr>
      <w:r w:rsidRPr="00C73B30">
        <w:rPr>
          <w:noProof/>
        </w:rPr>
        <w:t>Having regard to the Treaty on the Functioning of the European Union, and in particular Article</w:t>
      </w:r>
      <w:r w:rsidR="00383AE4" w:rsidRPr="00C73B30">
        <w:rPr>
          <w:noProof/>
        </w:rPr>
        <w:t xml:space="preserve"> 91 TFEU</w:t>
      </w:r>
      <w:r w:rsidRPr="003D77F6">
        <w:rPr>
          <w:noProof/>
        </w:rPr>
        <w:t xml:space="preserve">, </w:t>
      </w:r>
      <w:r w:rsidRPr="00C73B30">
        <w:rPr>
          <w:noProof/>
        </w:rPr>
        <w:t>in conjunction with Article 218(9) thereof,</w:t>
      </w:r>
    </w:p>
    <w:p w14:paraId="6EAA55BD" w14:textId="77777777" w:rsidR="00C74230" w:rsidRPr="00C73B30" w:rsidRDefault="00C74230" w:rsidP="00BE7CB9">
      <w:pPr>
        <w:rPr>
          <w:noProof/>
        </w:rPr>
      </w:pPr>
      <w:r w:rsidRPr="00C73B30">
        <w:rPr>
          <w:noProof/>
        </w:rPr>
        <w:t>Having regard to the proposal from the European Commission,</w:t>
      </w:r>
    </w:p>
    <w:p w14:paraId="17A82208" w14:textId="77777777" w:rsidR="00C74230" w:rsidRPr="00C73B30" w:rsidRDefault="00C74230" w:rsidP="00BE7CB9">
      <w:pPr>
        <w:rPr>
          <w:noProof/>
        </w:rPr>
      </w:pPr>
      <w:r w:rsidRPr="00C73B30">
        <w:rPr>
          <w:noProof/>
        </w:rPr>
        <w:t>Whereas:</w:t>
      </w:r>
    </w:p>
    <w:p w14:paraId="4A431377" w14:textId="6D5A5181" w:rsidR="00F24CB0" w:rsidRPr="00D70D0D" w:rsidRDefault="00D64FC4" w:rsidP="00D70D0D">
      <w:pPr>
        <w:pStyle w:val="ManualConsidrant"/>
        <w:widowControl w:val="0"/>
        <w:tabs>
          <w:tab w:val="left" w:pos="824"/>
        </w:tabs>
        <w:autoSpaceDE w:val="0"/>
        <w:autoSpaceDN w:val="0"/>
        <w:spacing w:before="2" w:after="160"/>
        <w:ind w:right="111"/>
        <w:rPr>
          <w:rFonts w:eastAsia="Times New Roman"/>
          <w:noProof/>
          <w:szCs w:val="24"/>
        </w:rPr>
      </w:pPr>
      <w:r>
        <w:rPr>
          <w:noProof/>
        </w:rPr>
        <w:t>(1)</w:t>
      </w:r>
      <w:r>
        <w:rPr>
          <w:noProof/>
        </w:rPr>
        <w:tab/>
      </w:r>
      <w:r w:rsidRPr="00FB3961">
        <w:rPr>
          <w:noProof/>
        </w:rPr>
        <w:t>The</w:t>
      </w:r>
      <w:r w:rsidR="001424CF">
        <w:rPr>
          <w:noProof/>
        </w:rPr>
        <w:t xml:space="preserve"> </w:t>
      </w:r>
      <w:r w:rsidR="006F48C3">
        <w:rPr>
          <w:noProof/>
        </w:rPr>
        <w:t>A</w:t>
      </w:r>
      <w:r w:rsidRPr="001C7EBF">
        <w:rPr>
          <w:noProof/>
        </w:rPr>
        <w:t xml:space="preserve">greement between the European Union and the </w:t>
      </w:r>
      <w:r w:rsidR="00355D65" w:rsidRPr="003D77F6">
        <w:rPr>
          <w:noProof/>
        </w:rPr>
        <w:t>Intergovernmental Organisation for International Carriage by Rail (</w:t>
      </w:r>
      <w:r w:rsidR="00355D65">
        <w:rPr>
          <w:noProof/>
        </w:rPr>
        <w:t>‘</w:t>
      </w:r>
      <w:r w:rsidR="00355D65" w:rsidRPr="003D77F6">
        <w:rPr>
          <w:noProof/>
        </w:rPr>
        <w:t>OTI</w:t>
      </w:r>
      <w:r w:rsidR="00355D65">
        <w:rPr>
          <w:noProof/>
        </w:rPr>
        <w:t xml:space="preserve">F’) </w:t>
      </w:r>
      <w:r w:rsidRPr="001C7EBF">
        <w:rPr>
          <w:noProof/>
        </w:rPr>
        <w:t>on the Accession of the European Union to the Convention concerning International Carriage by Rail (COTIF) of 9 May 1980, as amended by the Vilnius protocol of 3 June 1999</w:t>
      </w:r>
      <w:r w:rsidR="00A83AE7">
        <w:rPr>
          <w:rStyle w:val="FootnoteReference"/>
          <w:noProof/>
        </w:rPr>
        <w:footnoteReference w:id="4"/>
      </w:r>
      <w:r w:rsidRPr="001C7EBF">
        <w:rPr>
          <w:noProof/>
        </w:rPr>
        <w:t xml:space="preserve"> (</w:t>
      </w:r>
      <w:r w:rsidR="004F5D57">
        <w:rPr>
          <w:noProof/>
        </w:rPr>
        <w:t>‘</w:t>
      </w:r>
      <w:r w:rsidRPr="001C7EBF">
        <w:rPr>
          <w:noProof/>
        </w:rPr>
        <w:t>EU-COTIF Accession Agreement</w:t>
      </w:r>
      <w:r w:rsidR="00500244" w:rsidRPr="00D70D0D">
        <w:rPr>
          <w:noProof/>
        </w:rPr>
        <w:t xml:space="preserve">’) was concluded </w:t>
      </w:r>
      <w:r w:rsidR="00F86E57">
        <w:rPr>
          <w:noProof/>
        </w:rPr>
        <w:t>o</w:t>
      </w:r>
      <w:r w:rsidR="00F86E57" w:rsidRPr="001C7EBF">
        <w:rPr>
          <w:noProof/>
        </w:rPr>
        <w:t>n 16 June 2011</w:t>
      </w:r>
      <w:r w:rsidR="000E5EB3">
        <w:rPr>
          <w:noProof/>
        </w:rPr>
        <w:t xml:space="preserve"> </w:t>
      </w:r>
      <w:r w:rsidR="00500244" w:rsidRPr="00D70D0D">
        <w:rPr>
          <w:noProof/>
        </w:rPr>
        <w:t xml:space="preserve">by the Union by means of </w:t>
      </w:r>
      <w:r w:rsidR="00383AE4" w:rsidRPr="003D77F6">
        <w:rPr>
          <w:noProof/>
        </w:rPr>
        <w:t>Council Decision 2013/103/EU</w:t>
      </w:r>
      <w:r w:rsidR="00383AE4" w:rsidRPr="00C73B30">
        <w:rPr>
          <w:rStyle w:val="FootnoteReference"/>
          <w:noProof/>
        </w:rPr>
        <w:footnoteReference w:id="5"/>
      </w:r>
      <w:r w:rsidR="00383AE4" w:rsidRPr="003D77F6">
        <w:rPr>
          <w:noProof/>
        </w:rPr>
        <w:t xml:space="preserve">. </w:t>
      </w:r>
    </w:p>
    <w:p w14:paraId="149EDC4A" w14:textId="77777777" w:rsidR="00C74230" w:rsidRPr="00C73B30" w:rsidRDefault="00C74230" w:rsidP="00C74230">
      <w:pPr>
        <w:pStyle w:val="ManualConsidrant"/>
        <w:rPr>
          <w:noProof/>
        </w:rPr>
      </w:pPr>
      <w:r>
        <w:rPr>
          <w:noProof/>
        </w:rPr>
        <w:t>(2)</w:t>
      </w:r>
      <w:r>
        <w:rPr>
          <w:noProof/>
        </w:rPr>
        <w:tab/>
      </w:r>
      <w:r w:rsidRPr="00C73B30">
        <w:rPr>
          <w:noProof/>
        </w:rPr>
        <w:t xml:space="preserve">Pursuant to Article </w:t>
      </w:r>
      <w:r w:rsidR="00383AE4" w:rsidRPr="00C73B30">
        <w:rPr>
          <w:noProof/>
        </w:rPr>
        <w:t>13</w:t>
      </w:r>
      <w:r w:rsidR="00C73B30">
        <w:rPr>
          <w:noProof/>
        </w:rPr>
        <w:t xml:space="preserve"> </w:t>
      </w:r>
      <w:r w:rsidR="00C73B30" w:rsidRPr="00C73B30">
        <w:rPr>
          <w:noProof/>
        </w:rPr>
        <w:t>§</w:t>
      </w:r>
      <w:r w:rsidR="00383AE4" w:rsidRPr="00C73B30">
        <w:rPr>
          <w:noProof/>
        </w:rPr>
        <w:t>2 of COT</w:t>
      </w:r>
      <w:r w:rsidR="00AB0EA5">
        <w:rPr>
          <w:noProof/>
        </w:rPr>
        <w:t>I</w:t>
      </w:r>
      <w:r w:rsidR="00383AE4" w:rsidRPr="00C73B30">
        <w:rPr>
          <w:noProof/>
        </w:rPr>
        <w:t>F, the Ad Hoc Committee on Legal Affairs and International Cooperation (the “ad hoc Committee”)</w:t>
      </w:r>
      <w:r w:rsidR="00AB0EA5">
        <w:rPr>
          <w:noProof/>
        </w:rPr>
        <w:t xml:space="preserve"> of OTIF</w:t>
      </w:r>
      <w:r w:rsidR="00383AE4" w:rsidRPr="00C73B30">
        <w:rPr>
          <w:noProof/>
        </w:rPr>
        <w:t xml:space="preserve"> was set up.</w:t>
      </w:r>
    </w:p>
    <w:p w14:paraId="2D75C08D" w14:textId="39F50594" w:rsidR="00383AE4" w:rsidRPr="00C73B30" w:rsidRDefault="00383AE4" w:rsidP="00C74230">
      <w:pPr>
        <w:pStyle w:val="ManualConsidrant"/>
        <w:rPr>
          <w:noProof/>
        </w:rPr>
      </w:pPr>
      <w:r>
        <w:rPr>
          <w:noProof/>
        </w:rPr>
        <w:t>(3)</w:t>
      </w:r>
      <w:r>
        <w:rPr>
          <w:noProof/>
        </w:rPr>
        <w:tab/>
      </w:r>
      <w:r w:rsidRPr="00C73B30">
        <w:rPr>
          <w:noProof/>
        </w:rPr>
        <w:t xml:space="preserve">Pursuant to </w:t>
      </w:r>
      <w:r w:rsidR="00AB0EA5" w:rsidRPr="00AB0EA5">
        <w:rPr>
          <w:noProof/>
        </w:rPr>
        <w:t>Article 16 §10 of COTIF</w:t>
      </w:r>
      <w:r w:rsidR="00AB0EA5">
        <w:rPr>
          <w:noProof/>
        </w:rPr>
        <w:t xml:space="preserve"> and to</w:t>
      </w:r>
      <w:r w:rsidR="00AB0EA5" w:rsidRPr="00AB0EA5">
        <w:rPr>
          <w:noProof/>
        </w:rPr>
        <w:t xml:space="preserve"> Article 30 of the Rules of Procedure of the </w:t>
      </w:r>
      <w:r w:rsidR="00AB0EA5">
        <w:rPr>
          <w:noProof/>
        </w:rPr>
        <w:t>a</w:t>
      </w:r>
      <w:r w:rsidR="00AB0EA5" w:rsidRPr="00AB0EA5">
        <w:rPr>
          <w:noProof/>
        </w:rPr>
        <w:t xml:space="preserve">d </w:t>
      </w:r>
      <w:r w:rsidR="00AB0EA5">
        <w:rPr>
          <w:noProof/>
        </w:rPr>
        <w:t>h</w:t>
      </w:r>
      <w:r w:rsidR="00AB0EA5" w:rsidRPr="00AB0EA5">
        <w:rPr>
          <w:noProof/>
        </w:rPr>
        <w:t>oc Committee</w:t>
      </w:r>
      <w:r w:rsidRPr="00C73B30">
        <w:rPr>
          <w:noProof/>
        </w:rPr>
        <w:t xml:space="preserve">, the ad hoc Committee is competent to amend its </w:t>
      </w:r>
      <w:r w:rsidR="00570A91">
        <w:rPr>
          <w:noProof/>
        </w:rPr>
        <w:t>R</w:t>
      </w:r>
      <w:r w:rsidRPr="00C73B30">
        <w:rPr>
          <w:noProof/>
        </w:rPr>
        <w:t xml:space="preserve">ules of </w:t>
      </w:r>
      <w:r w:rsidR="00570A91">
        <w:rPr>
          <w:noProof/>
        </w:rPr>
        <w:t>P</w:t>
      </w:r>
      <w:r w:rsidRPr="00C73B30">
        <w:rPr>
          <w:noProof/>
        </w:rPr>
        <w:t xml:space="preserve">rocedure. </w:t>
      </w:r>
    </w:p>
    <w:p w14:paraId="1968A782" w14:textId="07E3CA72" w:rsidR="00C74230" w:rsidRDefault="00C74230" w:rsidP="00C74230">
      <w:pPr>
        <w:pStyle w:val="ManualConsidrant"/>
        <w:rPr>
          <w:noProof/>
        </w:rPr>
      </w:pPr>
      <w:r>
        <w:rPr>
          <w:noProof/>
        </w:rPr>
        <w:t>(4)</w:t>
      </w:r>
      <w:r>
        <w:rPr>
          <w:noProof/>
        </w:rPr>
        <w:tab/>
      </w:r>
      <w:r w:rsidRPr="00C73B30">
        <w:rPr>
          <w:noProof/>
        </w:rPr>
        <w:t>The</w:t>
      </w:r>
      <w:r w:rsidR="00383AE4" w:rsidRPr="00C73B30">
        <w:rPr>
          <w:noProof/>
        </w:rPr>
        <w:t xml:space="preserve"> ad hoc Committee, during its 9</w:t>
      </w:r>
      <w:r w:rsidR="00383AE4" w:rsidRPr="000D7E07">
        <w:rPr>
          <w:noProof/>
          <w:vertAlign w:val="superscript"/>
        </w:rPr>
        <w:t>th</w:t>
      </w:r>
      <w:r w:rsidR="00383AE4" w:rsidRPr="00C73B30">
        <w:rPr>
          <w:noProof/>
        </w:rPr>
        <w:t xml:space="preserve"> session on 23-24 June 2026, is </w:t>
      </w:r>
      <w:r w:rsidR="00B20186">
        <w:rPr>
          <w:noProof/>
        </w:rPr>
        <w:t xml:space="preserve">scheduled </w:t>
      </w:r>
      <w:r w:rsidR="00383AE4" w:rsidRPr="00C73B30">
        <w:rPr>
          <w:noProof/>
        </w:rPr>
        <w:t xml:space="preserve">to adopt a decision to </w:t>
      </w:r>
      <w:r w:rsidR="00570A91">
        <w:rPr>
          <w:noProof/>
        </w:rPr>
        <w:t>amend</w:t>
      </w:r>
      <w:r w:rsidR="00570A91" w:rsidRPr="00C73B30">
        <w:rPr>
          <w:noProof/>
        </w:rPr>
        <w:t xml:space="preserve"> </w:t>
      </w:r>
      <w:r w:rsidR="00383AE4" w:rsidRPr="00C73B30">
        <w:rPr>
          <w:noProof/>
        </w:rPr>
        <w:t>its Rules of Procedure.</w:t>
      </w:r>
      <w:r w:rsidRPr="00C73B30">
        <w:rPr>
          <w:noProof/>
        </w:rPr>
        <w:t xml:space="preserve"> </w:t>
      </w:r>
    </w:p>
    <w:p w14:paraId="390BE841" w14:textId="364F1D91" w:rsidR="00F11080" w:rsidRPr="002957DF" w:rsidRDefault="00F11080" w:rsidP="00D70D0D">
      <w:pPr>
        <w:pStyle w:val="ManualConsidrant"/>
        <w:rPr>
          <w:rFonts w:eastAsia="Times New Roman"/>
          <w:noProof/>
          <w:szCs w:val="24"/>
        </w:rPr>
      </w:pPr>
      <w:r>
        <w:rPr>
          <w:noProof/>
        </w:rPr>
        <w:t>(5)</w:t>
      </w:r>
      <w:r>
        <w:rPr>
          <w:noProof/>
        </w:rPr>
        <w:tab/>
      </w:r>
      <w:r w:rsidRPr="008C0F3E">
        <w:rPr>
          <w:noProof/>
        </w:rPr>
        <w:t xml:space="preserve">The </w:t>
      </w:r>
      <w:r w:rsidR="00BA5FB8" w:rsidRPr="00D70D0D">
        <w:rPr>
          <w:noProof/>
        </w:rPr>
        <w:t>decision</w:t>
      </w:r>
      <w:r w:rsidR="008B46FE" w:rsidRPr="00D70D0D">
        <w:rPr>
          <w:noProof/>
        </w:rPr>
        <w:t xml:space="preserve"> by the </w:t>
      </w:r>
      <w:r w:rsidR="007A42FE" w:rsidRPr="00D70D0D">
        <w:rPr>
          <w:noProof/>
        </w:rPr>
        <w:t>ad hoc Committee</w:t>
      </w:r>
      <w:r w:rsidR="00BA5FB8" w:rsidRPr="00D70D0D">
        <w:rPr>
          <w:noProof/>
        </w:rPr>
        <w:t xml:space="preserve"> to amend</w:t>
      </w:r>
      <w:r w:rsidR="00BA5FB8">
        <w:rPr>
          <w:noProof/>
        </w:rPr>
        <w:t xml:space="preserve"> its Rules of Procedure</w:t>
      </w:r>
      <w:r w:rsidRPr="008C0F3E">
        <w:rPr>
          <w:noProof/>
        </w:rPr>
        <w:t xml:space="preserve"> </w:t>
      </w:r>
      <w:r w:rsidRPr="00D70D0D">
        <w:rPr>
          <w:rFonts w:eastAsia="Times New Roman"/>
          <w:noProof/>
          <w:szCs w:val="24"/>
        </w:rPr>
        <w:t>will, if adopted, produce legal effects for the Union.</w:t>
      </w:r>
      <w:r w:rsidRPr="002957DF">
        <w:rPr>
          <w:rFonts w:eastAsia="Times New Roman"/>
          <w:noProof/>
          <w:szCs w:val="24"/>
        </w:rPr>
        <w:t xml:space="preserve"> </w:t>
      </w:r>
    </w:p>
    <w:p w14:paraId="0E5046FA" w14:textId="4A8851E7" w:rsidR="005C57F7" w:rsidRPr="003D77F6" w:rsidRDefault="005C57F7" w:rsidP="00C74230">
      <w:pPr>
        <w:pStyle w:val="ManualConsidrant"/>
        <w:rPr>
          <w:noProof/>
        </w:rPr>
      </w:pPr>
      <w:r>
        <w:rPr>
          <w:noProof/>
        </w:rPr>
        <w:t>(6)</w:t>
      </w:r>
      <w:r>
        <w:rPr>
          <w:noProof/>
        </w:rPr>
        <w:tab/>
      </w:r>
      <w:r w:rsidRPr="003D77F6">
        <w:rPr>
          <w:noProof/>
        </w:rPr>
        <w:t xml:space="preserve">The objective of this decision is to </w:t>
      </w:r>
      <w:r w:rsidR="00C07A99">
        <w:rPr>
          <w:noProof/>
        </w:rPr>
        <w:t>a</w:t>
      </w:r>
      <w:r w:rsidR="00807CEE">
        <w:rPr>
          <w:noProof/>
        </w:rPr>
        <w:t>mend</w:t>
      </w:r>
      <w:r w:rsidRPr="003D77F6">
        <w:rPr>
          <w:noProof/>
        </w:rPr>
        <w:t xml:space="preserve"> the Rules of Procedure of the ad hoc Committee in order to align them with the rules of procedure of other OTIF organs. </w:t>
      </w:r>
    </w:p>
    <w:p w14:paraId="376DBCA8" w14:textId="6ABAE1C2" w:rsidR="00AB2A5B" w:rsidRDefault="005C57F7" w:rsidP="00AB2A5B">
      <w:pPr>
        <w:pStyle w:val="ManualConsidrant"/>
        <w:rPr>
          <w:noProof/>
        </w:rPr>
      </w:pPr>
      <w:r>
        <w:rPr>
          <w:noProof/>
        </w:rPr>
        <w:t>(7)</w:t>
      </w:r>
      <w:r>
        <w:rPr>
          <w:noProof/>
        </w:rPr>
        <w:tab/>
      </w:r>
      <w:r w:rsidRPr="003D77F6">
        <w:rPr>
          <w:noProof/>
        </w:rPr>
        <w:t xml:space="preserve">The envisaged </w:t>
      </w:r>
      <w:r w:rsidR="00E1678C">
        <w:rPr>
          <w:noProof/>
        </w:rPr>
        <w:t>amendments</w:t>
      </w:r>
      <w:r w:rsidRPr="003D77F6">
        <w:rPr>
          <w:noProof/>
        </w:rPr>
        <w:t xml:space="preserve"> to the Rules of Procedure of the ad hoc </w:t>
      </w:r>
      <w:r w:rsidR="008534FD" w:rsidRPr="003D77F6">
        <w:rPr>
          <w:noProof/>
        </w:rPr>
        <w:t>Committee</w:t>
      </w:r>
      <w:r w:rsidRPr="003D77F6">
        <w:rPr>
          <w:noProof/>
        </w:rPr>
        <w:t xml:space="preserve"> are based on the recommendations of the 8</w:t>
      </w:r>
      <w:r w:rsidRPr="00D70D0D">
        <w:rPr>
          <w:noProof/>
          <w:vertAlign w:val="superscript"/>
        </w:rPr>
        <w:t>th</w:t>
      </w:r>
      <w:r w:rsidRPr="003D77F6">
        <w:rPr>
          <w:noProof/>
        </w:rPr>
        <w:t xml:space="preserve"> session of the OTIF ad hoc Committee to ensure further alignment and consistency between the practices of this and other OTIF organs. The amendments to the Rules of Procedure should </w:t>
      </w:r>
      <w:r w:rsidR="00AB0EA5" w:rsidRPr="003D77F6">
        <w:rPr>
          <w:noProof/>
        </w:rPr>
        <w:t xml:space="preserve">therefore </w:t>
      </w:r>
      <w:r w:rsidRPr="003D77F6">
        <w:rPr>
          <w:noProof/>
        </w:rPr>
        <w:t xml:space="preserve">be supported. </w:t>
      </w:r>
    </w:p>
    <w:p w14:paraId="7DE11228" w14:textId="3BE9DA78" w:rsidR="004859EC" w:rsidRDefault="004859EC" w:rsidP="00AB2A5B">
      <w:pPr>
        <w:pStyle w:val="ManualConsidrant"/>
        <w:rPr>
          <w:noProof/>
        </w:rPr>
      </w:pPr>
      <w:r>
        <w:rPr>
          <w:noProof/>
        </w:rPr>
        <w:t>(8)</w:t>
      </w:r>
      <w:r>
        <w:rPr>
          <w:noProof/>
        </w:rPr>
        <w:tab/>
        <w:t xml:space="preserve">It </w:t>
      </w:r>
      <w:r w:rsidRPr="001C7EBF">
        <w:rPr>
          <w:noProof/>
        </w:rPr>
        <w:t xml:space="preserve">is </w:t>
      </w:r>
      <w:r>
        <w:rPr>
          <w:noProof/>
        </w:rPr>
        <w:t xml:space="preserve">therefore </w:t>
      </w:r>
      <w:r w:rsidRPr="001C7EBF">
        <w:rPr>
          <w:noProof/>
        </w:rPr>
        <w:t xml:space="preserve">appropriate to establish the position to be taken on the Union’s behalf </w:t>
      </w:r>
      <w:r>
        <w:rPr>
          <w:noProof/>
        </w:rPr>
        <w:t>with</w:t>
      </w:r>
      <w:r w:rsidRPr="001C7EBF">
        <w:rPr>
          <w:noProof/>
        </w:rPr>
        <w:t>in the ad hoc Committee</w:t>
      </w:r>
      <w:r>
        <w:rPr>
          <w:noProof/>
        </w:rPr>
        <w:t xml:space="preserve"> with regard to amending</w:t>
      </w:r>
      <w:r w:rsidRPr="00C73B30">
        <w:rPr>
          <w:noProof/>
        </w:rPr>
        <w:t xml:space="preserve"> its Rules of Procedure</w:t>
      </w:r>
      <w:r>
        <w:rPr>
          <w:noProof/>
        </w:rPr>
        <w:t>,</w:t>
      </w:r>
    </w:p>
    <w:p w14:paraId="2A1CE374" w14:textId="77777777" w:rsidR="00C74230" w:rsidRPr="00C73B30" w:rsidRDefault="00C74230" w:rsidP="00BE7CB9">
      <w:pPr>
        <w:pStyle w:val="Formuledadoption"/>
        <w:rPr>
          <w:noProof/>
        </w:rPr>
      </w:pPr>
      <w:r w:rsidRPr="00C73B30">
        <w:rPr>
          <w:noProof/>
        </w:rPr>
        <w:lastRenderedPageBreak/>
        <w:t>HAS ADOPTED THIS DECISION:</w:t>
      </w:r>
    </w:p>
    <w:p w14:paraId="314EAC3D" w14:textId="77777777" w:rsidR="00C74230" w:rsidRPr="003D77F6" w:rsidRDefault="00C74230" w:rsidP="005C57F7">
      <w:pPr>
        <w:pStyle w:val="Titrearticle"/>
        <w:rPr>
          <w:noProof/>
        </w:rPr>
      </w:pPr>
      <w:r w:rsidRPr="00C73B30">
        <w:rPr>
          <w:noProof/>
        </w:rPr>
        <w:t>Article 1</w:t>
      </w:r>
    </w:p>
    <w:p w14:paraId="3232647F" w14:textId="75866A84" w:rsidR="00C74230" w:rsidRDefault="00C74230" w:rsidP="00AB0EA5">
      <w:pPr>
        <w:rPr>
          <w:noProof/>
        </w:rPr>
      </w:pPr>
      <w:r w:rsidRPr="00C73B30">
        <w:rPr>
          <w:noProof/>
        </w:rPr>
        <w:t xml:space="preserve">The position to be taken on the Union's behalf </w:t>
      </w:r>
      <w:r w:rsidR="005C57F7" w:rsidRPr="00C73B30">
        <w:rPr>
          <w:noProof/>
        </w:rPr>
        <w:t>at the 9</w:t>
      </w:r>
      <w:r w:rsidR="005C57F7" w:rsidRPr="000D7E07">
        <w:rPr>
          <w:noProof/>
          <w:vertAlign w:val="superscript"/>
        </w:rPr>
        <w:t>th</w:t>
      </w:r>
      <w:r w:rsidR="005C57F7" w:rsidRPr="00C73B30">
        <w:rPr>
          <w:noProof/>
        </w:rPr>
        <w:t xml:space="preserve"> session of the ad hoc Committee on Legal Affairs and International Cooperation of the Convention concerning International Carriage by Rail of 9 May 1980</w:t>
      </w:r>
      <w:r w:rsidR="00AB0EA5">
        <w:rPr>
          <w:noProof/>
        </w:rPr>
        <w:t>,</w:t>
      </w:r>
      <w:r w:rsidR="005C57F7" w:rsidRPr="00C73B30">
        <w:rPr>
          <w:noProof/>
        </w:rPr>
        <w:t xml:space="preserve"> on the </w:t>
      </w:r>
      <w:r w:rsidR="00566D2A">
        <w:rPr>
          <w:noProof/>
        </w:rPr>
        <w:t>amendments to</w:t>
      </w:r>
      <w:r w:rsidR="005C57F7" w:rsidRPr="00C73B30">
        <w:rPr>
          <w:noProof/>
        </w:rPr>
        <w:t xml:space="preserve"> its Rules of Procedure</w:t>
      </w:r>
      <w:r w:rsidR="00AB0EA5">
        <w:rPr>
          <w:noProof/>
        </w:rPr>
        <w:t>,</w:t>
      </w:r>
      <w:r w:rsidRPr="00C73B30">
        <w:rPr>
          <w:noProof/>
        </w:rPr>
        <w:t xml:space="preserve"> shall be </w:t>
      </w:r>
      <w:r w:rsidR="00AB0EA5">
        <w:rPr>
          <w:noProof/>
        </w:rPr>
        <w:t>t</w:t>
      </w:r>
      <w:r w:rsidR="005C57F7" w:rsidRPr="00C73B30">
        <w:rPr>
          <w:noProof/>
        </w:rPr>
        <w:t xml:space="preserve">o vote in favour of the proposed </w:t>
      </w:r>
      <w:r w:rsidR="00566D2A">
        <w:rPr>
          <w:noProof/>
        </w:rPr>
        <w:t>amendments to</w:t>
      </w:r>
      <w:r w:rsidR="005C57F7" w:rsidRPr="00C73B30">
        <w:rPr>
          <w:noProof/>
        </w:rPr>
        <w:t xml:space="preserve"> the Rules of Procedure, as </w:t>
      </w:r>
      <w:r w:rsidR="00801E1F">
        <w:rPr>
          <w:noProof/>
        </w:rPr>
        <w:t>set out</w:t>
      </w:r>
      <w:r w:rsidR="005C57F7" w:rsidRPr="00C73B30">
        <w:rPr>
          <w:noProof/>
        </w:rPr>
        <w:t xml:space="preserve"> in document INST-24046-JUR9/8.</w:t>
      </w:r>
    </w:p>
    <w:p w14:paraId="6AC7D162" w14:textId="08B09E40" w:rsidR="00262E6C" w:rsidRDefault="00B3391E" w:rsidP="00D70D0D">
      <w:pPr>
        <w:pStyle w:val="Titrearticle"/>
        <w:rPr>
          <w:noProof/>
        </w:rPr>
      </w:pPr>
      <w:r w:rsidRPr="00C73B30">
        <w:rPr>
          <w:noProof/>
        </w:rPr>
        <w:t xml:space="preserve">Article </w:t>
      </w:r>
      <w:r>
        <w:rPr>
          <w:noProof/>
        </w:rPr>
        <w:t>2</w:t>
      </w:r>
    </w:p>
    <w:p w14:paraId="43C607FB" w14:textId="6B996A8C" w:rsidR="004F621E" w:rsidRPr="00B22BFA" w:rsidRDefault="00AB0EA5" w:rsidP="004F621E">
      <w:pPr>
        <w:widowControl w:val="0"/>
        <w:autoSpaceDE w:val="0"/>
        <w:autoSpaceDN w:val="0"/>
        <w:ind w:left="116"/>
        <w:rPr>
          <w:rFonts w:eastAsia="Times New Roman"/>
          <w:noProof/>
          <w:szCs w:val="24"/>
        </w:rPr>
      </w:pPr>
      <w:r w:rsidRPr="00AB0EA5">
        <w:rPr>
          <w:noProof/>
          <w:lang w:val="en-IE"/>
        </w:rPr>
        <w:t xml:space="preserve">Minor </w:t>
      </w:r>
      <w:r w:rsidR="004F621E">
        <w:rPr>
          <w:noProof/>
          <w:lang w:val="en-IE"/>
        </w:rPr>
        <w:t xml:space="preserve">technical </w:t>
      </w:r>
      <w:r w:rsidRPr="00AB0EA5">
        <w:rPr>
          <w:noProof/>
          <w:lang w:val="en-IE"/>
        </w:rPr>
        <w:t xml:space="preserve">changes to the position </w:t>
      </w:r>
      <w:r w:rsidR="004F621E">
        <w:rPr>
          <w:noProof/>
          <w:lang w:val="en-IE"/>
        </w:rPr>
        <w:t>set out in</w:t>
      </w:r>
      <w:r w:rsidRPr="00AB0EA5">
        <w:rPr>
          <w:noProof/>
          <w:lang w:val="en-IE"/>
        </w:rPr>
        <w:t xml:space="preserve"> Article </w:t>
      </w:r>
      <w:r w:rsidR="004A15C0">
        <w:rPr>
          <w:noProof/>
          <w:lang w:val="en-IE"/>
        </w:rPr>
        <w:t>1</w:t>
      </w:r>
      <w:r w:rsidRPr="00AB0EA5">
        <w:rPr>
          <w:noProof/>
          <w:lang w:val="en-IE"/>
        </w:rPr>
        <w:t xml:space="preserve"> may be agreed </w:t>
      </w:r>
      <w:r w:rsidR="00966742">
        <w:rPr>
          <w:noProof/>
          <w:lang w:val="en-IE"/>
        </w:rPr>
        <w:t xml:space="preserve">upon </w:t>
      </w:r>
      <w:r w:rsidRPr="00D70D0D">
        <w:rPr>
          <w:noProof/>
          <w:lang w:val="en-IE"/>
        </w:rPr>
        <w:t xml:space="preserve">by the representatives of the Union at the meeting of the </w:t>
      </w:r>
      <w:r w:rsidRPr="00D70D0D">
        <w:rPr>
          <w:noProof/>
        </w:rPr>
        <w:t>ad hoc Committee on Legal Affairs and International Cooperation</w:t>
      </w:r>
      <w:r w:rsidRPr="00AB0EA5">
        <w:rPr>
          <w:noProof/>
          <w:lang w:val="en-IE"/>
        </w:rPr>
        <w:t xml:space="preserve"> without further decision of the Council.</w:t>
      </w:r>
    </w:p>
    <w:p w14:paraId="524628CA" w14:textId="1F2CF30A" w:rsidR="00AB0EA5" w:rsidRPr="00C73B30" w:rsidRDefault="00AB0EA5" w:rsidP="000D7E07">
      <w:pPr>
        <w:rPr>
          <w:noProof/>
        </w:rPr>
      </w:pPr>
    </w:p>
    <w:p w14:paraId="3C4E75CC" w14:textId="25E69230" w:rsidR="00C74230" w:rsidRPr="00C73B30" w:rsidRDefault="00C74230" w:rsidP="002B6728">
      <w:pPr>
        <w:pStyle w:val="Titrearticle"/>
        <w:rPr>
          <w:noProof/>
        </w:rPr>
      </w:pPr>
      <w:r w:rsidRPr="00C73B30">
        <w:rPr>
          <w:noProof/>
        </w:rPr>
        <w:t xml:space="preserve">Article </w:t>
      </w:r>
      <w:r w:rsidR="005C57F7" w:rsidRPr="003D77F6">
        <w:rPr>
          <w:noProof/>
        </w:rPr>
        <w:t>3</w:t>
      </w:r>
    </w:p>
    <w:p w14:paraId="2909E4DC" w14:textId="77777777" w:rsidR="00AB0EA5" w:rsidRDefault="005C57F7" w:rsidP="00BF5FCD">
      <w:pPr>
        <w:rPr>
          <w:noProof/>
        </w:rPr>
      </w:pPr>
      <w:r w:rsidRPr="00C73B30">
        <w:rPr>
          <w:noProof/>
        </w:rPr>
        <w:t>Thid Decision shall enter into force on the date of its adoption.</w:t>
      </w:r>
    </w:p>
    <w:p w14:paraId="7B9D85EA" w14:textId="211E7397" w:rsidR="00C74230" w:rsidRPr="00C73B30" w:rsidRDefault="00345FCE" w:rsidP="002B6728">
      <w:pPr>
        <w:pStyle w:val="Fait"/>
        <w:rPr>
          <w:noProof/>
        </w:rPr>
      </w:pPr>
      <w:r>
        <w:rPr>
          <w:noProof/>
        </w:rPr>
        <w:t>Done at Brussels,</w:t>
      </w:r>
    </w:p>
    <w:p w14:paraId="65275279" w14:textId="77777777" w:rsidR="00C74230" w:rsidRPr="00C73B30" w:rsidRDefault="00C74230" w:rsidP="002B6728">
      <w:pPr>
        <w:pStyle w:val="Institutionquisigne"/>
        <w:rPr>
          <w:noProof/>
        </w:rPr>
      </w:pPr>
      <w:r w:rsidRPr="00C73B30">
        <w:rPr>
          <w:noProof/>
        </w:rPr>
        <w:tab/>
        <w:t>For the Council</w:t>
      </w:r>
    </w:p>
    <w:p w14:paraId="3093DE86" w14:textId="77777777" w:rsidR="00C74230" w:rsidRPr="00C73B30" w:rsidRDefault="00C74230" w:rsidP="00C74230">
      <w:pPr>
        <w:pStyle w:val="Personnequisigne"/>
        <w:rPr>
          <w:noProof/>
        </w:rPr>
      </w:pPr>
      <w:r w:rsidRPr="00C73B30">
        <w:rPr>
          <w:noProof/>
        </w:rPr>
        <w:tab/>
        <w:t>The President</w:t>
      </w:r>
    </w:p>
    <w:sectPr w:rsidR="00C74230" w:rsidRPr="00C73B30" w:rsidSect="00144703">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A6B2E" w14:textId="77777777" w:rsidR="00D803FF" w:rsidRDefault="00D803FF" w:rsidP="00C74230">
      <w:pPr>
        <w:spacing w:before="0" w:after="0"/>
      </w:pPr>
      <w:r>
        <w:separator/>
      </w:r>
    </w:p>
  </w:endnote>
  <w:endnote w:type="continuationSeparator" w:id="0">
    <w:p w14:paraId="238E3F34" w14:textId="77777777" w:rsidR="00D803FF" w:rsidRDefault="00D803FF" w:rsidP="00C742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0E128" w14:textId="422ADFAD" w:rsidR="00144703" w:rsidRPr="00144703" w:rsidRDefault="00144703" w:rsidP="00144703">
    <w:pPr>
      <w:pStyle w:val="Footer"/>
      <w:rPr>
        <w:rFonts w:ascii="Arial" w:hAnsi="Arial" w:cs="Arial"/>
        <w:b/>
        <w:sz w:val="48"/>
      </w:rPr>
    </w:pPr>
    <w:r w:rsidRPr="00144703">
      <w:rPr>
        <w:rFonts w:ascii="Arial" w:hAnsi="Arial" w:cs="Arial"/>
        <w:b/>
        <w:sz w:val="48"/>
      </w:rPr>
      <w:t>EN</w:t>
    </w:r>
    <w:r w:rsidRPr="00144703">
      <w:rPr>
        <w:rFonts w:ascii="Arial" w:hAnsi="Arial" w:cs="Arial"/>
        <w:b/>
        <w:sz w:val="48"/>
      </w:rPr>
      <w:tab/>
    </w:r>
    <w:r w:rsidRPr="00144703">
      <w:rPr>
        <w:rFonts w:ascii="Arial" w:hAnsi="Arial" w:cs="Arial"/>
        <w:b/>
        <w:sz w:val="48"/>
      </w:rPr>
      <w:tab/>
    </w:r>
    <w:r w:rsidRPr="00144703">
      <w:tab/>
    </w:r>
    <w:r w:rsidRPr="0014470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FB5CB" w14:textId="1AC72ED3" w:rsidR="00144703" w:rsidRPr="00144703" w:rsidRDefault="00144703" w:rsidP="00144703">
    <w:pPr>
      <w:pStyle w:val="Footer"/>
      <w:rPr>
        <w:rFonts w:ascii="Arial" w:hAnsi="Arial" w:cs="Arial"/>
        <w:b/>
        <w:sz w:val="48"/>
      </w:rPr>
    </w:pPr>
    <w:r w:rsidRPr="00144703">
      <w:rPr>
        <w:rFonts w:ascii="Arial" w:hAnsi="Arial" w:cs="Arial"/>
        <w:b/>
        <w:sz w:val="48"/>
      </w:rPr>
      <w:t>EN</w:t>
    </w:r>
    <w:r w:rsidRPr="00144703">
      <w:rPr>
        <w:rFonts w:ascii="Arial" w:hAnsi="Arial" w:cs="Arial"/>
        <w:b/>
        <w:sz w:val="48"/>
      </w:rPr>
      <w:tab/>
    </w:r>
    <w:r w:rsidRPr="00144703">
      <w:rPr>
        <w:rFonts w:ascii="Arial" w:hAnsi="Arial" w:cs="Arial"/>
        <w:b/>
        <w:sz w:val="48"/>
      </w:rPr>
      <w:tab/>
    </w:r>
    <w:r w:rsidRPr="00144703">
      <w:tab/>
    </w:r>
    <w:r w:rsidRPr="0014470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83F4E" w14:textId="77777777" w:rsidR="00144703" w:rsidRDefault="001447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5369" w14:textId="134114FE" w:rsidR="00144703" w:rsidRPr="00144703" w:rsidRDefault="00144703" w:rsidP="00144703">
    <w:pPr>
      <w:pStyle w:val="Footer"/>
      <w:rPr>
        <w:rFonts w:ascii="Arial" w:hAnsi="Arial" w:cs="Arial"/>
        <w:b/>
        <w:sz w:val="48"/>
      </w:rPr>
    </w:pPr>
    <w:r w:rsidRPr="00144703">
      <w:rPr>
        <w:rFonts w:ascii="Arial" w:hAnsi="Arial" w:cs="Arial"/>
        <w:b/>
        <w:sz w:val="48"/>
      </w:rPr>
      <w:t>EN</w:t>
    </w:r>
    <w:r w:rsidRPr="00144703">
      <w:rPr>
        <w:rFonts w:ascii="Arial" w:hAnsi="Arial" w:cs="Arial"/>
        <w:b/>
        <w:sz w:val="48"/>
      </w:rPr>
      <w:tab/>
    </w:r>
    <w:r>
      <w:fldChar w:fldCharType="begin"/>
    </w:r>
    <w:r>
      <w:instrText xml:space="preserve"> PAGE  \* MERGEFORMAT </w:instrText>
    </w:r>
    <w:r>
      <w:fldChar w:fldCharType="separate"/>
    </w:r>
    <w:r w:rsidR="002B6728">
      <w:rPr>
        <w:noProof/>
      </w:rPr>
      <w:t>6</w:t>
    </w:r>
    <w:r>
      <w:fldChar w:fldCharType="end"/>
    </w:r>
    <w:r>
      <w:tab/>
    </w:r>
    <w:r w:rsidRPr="00144703">
      <w:tab/>
    </w:r>
    <w:r w:rsidRPr="0014470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9773D" w14:textId="77777777" w:rsidR="00144703" w:rsidRDefault="00144703" w:rsidP="00144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2CC96" w14:textId="77777777" w:rsidR="00D803FF" w:rsidRDefault="00D803FF" w:rsidP="00C74230">
      <w:pPr>
        <w:spacing w:before="0" w:after="0"/>
      </w:pPr>
      <w:r>
        <w:separator/>
      </w:r>
    </w:p>
  </w:footnote>
  <w:footnote w:type="continuationSeparator" w:id="0">
    <w:p w14:paraId="6A5EC65D" w14:textId="77777777" w:rsidR="00D803FF" w:rsidRDefault="00D803FF" w:rsidP="00C74230">
      <w:pPr>
        <w:spacing w:before="0" w:after="0"/>
      </w:pPr>
      <w:r>
        <w:continuationSeparator/>
      </w:r>
    </w:p>
  </w:footnote>
  <w:footnote w:id="1">
    <w:p w14:paraId="7A77849B" w14:textId="2E159243" w:rsidR="00753F6D" w:rsidRPr="00753F6D" w:rsidRDefault="00753F6D">
      <w:pPr>
        <w:pStyle w:val="FootnoteText"/>
      </w:pPr>
      <w:r w:rsidRPr="003D77F6">
        <w:rPr>
          <w:rStyle w:val="FootnoteReference"/>
        </w:rPr>
        <w:footnoteRef/>
      </w:r>
      <w:r w:rsidR="003D77F6">
        <w:tab/>
      </w:r>
      <w:r>
        <w:t>Only Cyprus and Malta are not Contracting Parties.</w:t>
      </w:r>
    </w:p>
  </w:footnote>
  <w:footnote w:id="2">
    <w:p w14:paraId="56272153" w14:textId="6149B424" w:rsidR="00753F6D" w:rsidRPr="00753F6D" w:rsidRDefault="00753F6D" w:rsidP="00753F6D">
      <w:pPr>
        <w:pStyle w:val="FootnoteText"/>
      </w:pPr>
      <w:r w:rsidRPr="003D77F6">
        <w:rPr>
          <w:rStyle w:val="FootnoteReference"/>
        </w:rPr>
        <w:footnoteRef/>
      </w:r>
      <w:r w:rsidR="003D77F6">
        <w:tab/>
      </w:r>
      <w:r w:rsidRPr="00753F6D">
        <w:t>Council Decision 2013/103/EU of 16 June 2011 on the signing and conclusion of the Agreement between the European Union and the Intergovernmental Organisation for International Carriage by Rail on the Accession of the European Union to the Convention concerning International Carriage by Rail (COTIF) of 9 May 1980, as  amended  by  the  Vilnius  Protocol  of  3  June  1999  (OJ  L  51,  23.2.2013,  p.  1,  ELI:</w:t>
      </w:r>
      <w:r w:rsidR="00D74461">
        <w:t xml:space="preserve"> </w:t>
      </w:r>
      <w:hyperlink r:id="rId1" w:history="1">
        <w:r w:rsidR="00D74461" w:rsidRPr="00BE4879">
          <w:rPr>
            <w:rStyle w:val="Hyperlink"/>
          </w:rPr>
          <w:t>http://data.europa.eu/eli/dec/2013/103(1)/oj</w:t>
        </w:r>
      </w:hyperlink>
      <w:r w:rsidRPr="00753F6D">
        <w:t>).</w:t>
      </w:r>
      <w:r w:rsidR="00D74461">
        <w:t xml:space="preserve"> </w:t>
      </w:r>
    </w:p>
  </w:footnote>
  <w:footnote w:id="3">
    <w:p w14:paraId="36364019" w14:textId="77777777" w:rsidR="00C74230" w:rsidRPr="00B035F8" w:rsidRDefault="00C74230"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4">
    <w:p w14:paraId="4D7C038E" w14:textId="77777777" w:rsidR="00A83AE7" w:rsidRPr="000D7E07" w:rsidRDefault="00A83AE7" w:rsidP="00A83AE7">
      <w:pPr>
        <w:pStyle w:val="FootnoteText"/>
        <w:rPr>
          <w:lang w:val="pt-PT"/>
        </w:rPr>
      </w:pPr>
      <w:r w:rsidRPr="003D77F6">
        <w:rPr>
          <w:rStyle w:val="FootnoteReference"/>
        </w:rPr>
        <w:footnoteRef/>
      </w:r>
      <w:r>
        <w:tab/>
      </w:r>
      <w:r w:rsidRPr="00AB0EA5">
        <w:rPr>
          <w:lang w:val="en-IE"/>
        </w:rPr>
        <w:t>OJ L 51, 23.2.2013, p. 8</w:t>
      </w:r>
      <w:r>
        <w:rPr>
          <w:lang w:val="en-IE"/>
        </w:rPr>
        <w:t>.</w:t>
      </w:r>
    </w:p>
  </w:footnote>
  <w:footnote w:id="5">
    <w:p w14:paraId="5A45DBD8" w14:textId="527591C0" w:rsidR="00383AE4" w:rsidRPr="00383AE4" w:rsidRDefault="00383AE4" w:rsidP="00D964CB">
      <w:pPr>
        <w:pStyle w:val="FootnoteText"/>
      </w:pPr>
      <w:r w:rsidRPr="003D77F6">
        <w:rPr>
          <w:rStyle w:val="FootnoteReference"/>
        </w:rPr>
        <w:footnoteRef/>
      </w:r>
      <w:r w:rsidR="00D964CB">
        <w:tab/>
      </w:r>
      <w:r w:rsidRPr="00383AE4">
        <w:t>Council Decision 2013/103/EU of 16 June 2011 on the signing and conclusion of the Agreement between the European Union and the Intergovernmental Organisation for International Carriage by Rail on the Accession of the European Union to the Convention concerning International Carriage by Rail (COTIF) of 9 May 1980, as amended by the Vilnius Protocol of 3 June 1999 (OJ L 51, 23.2.2013, p. 1,</w:t>
      </w:r>
      <w:r>
        <w:t xml:space="preserve"> </w:t>
      </w:r>
      <w:r w:rsidRPr="00383AE4">
        <w:t xml:space="preserve">ELI: </w:t>
      </w:r>
      <w:hyperlink r:id="rId2" w:history="1">
        <w:r w:rsidR="00AB0EA5" w:rsidRPr="00BE4879">
          <w:rPr>
            <w:rStyle w:val="Hyperlink"/>
          </w:rPr>
          <w:t>http://data.europa.eu/eli/dec/2013/103(1)/oj</w:t>
        </w:r>
      </w:hyperlink>
      <w:r w:rsidRPr="00383AE4">
        <w:t>).</w:t>
      </w:r>
      <w:r w:rsidR="00AB0EA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5F569" w14:textId="77777777" w:rsidR="00144703" w:rsidRDefault="001447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56AEE" w14:textId="77777777" w:rsidR="00144703" w:rsidRDefault="001447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19E22C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46BC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2AACC4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DEC37D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8 08:47: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BA60714-5593-463E-BEB9-375FCB0EFBE0"/>
    <w:docVar w:name="LW_COVERPAGE_TYPE" w:val="1"/>
    <w:docVar w:name="LW_CreatedUtc" w:val="2026-05-19T17:15:49.5665567Z"/>
    <w:docVar w:name="LW_CROSSREFERENCE" w:val="&lt;UNUSED&gt;"/>
    <w:docVar w:name="LW_DocType" w:val="COM"/>
    <w:docVar w:name="LW_EMISSION" w:val="28.5.2026"/>
    <w:docVar w:name="LW_EMISSION_ISODATE" w:val="2026-05-28"/>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at the 9&lt;FMT:Superscript&gt;th&lt;/FMT&gt; session of the Ad Hoc Committee on Legal Affairs and International Cooperation of the Intergovernmental Organisation for International Carriage by Rail (OTIF) with regard to the amendment of its Rules of Procedure"/>
    <w:docVar w:name="LW_TYPE.DOC.CP" w:val="COUNCIL DECISION"/>
    <w:docVar w:name="LwApiVersions" w:val="LW4CoDe 1.24.5.0; LW 9.2, Build 20251112"/>
  </w:docVars>
  <w:rsids>
    <w:rsidRoot w:val="00C74230"/>
    <w:rsid w:val="0001625E"/>
    <w:rsid w:val="00017426"/>
    <w:rsid w:val="000366FF"/>
    <w:rsid w:val="000432D5"/>
    <w:rsid w:val="000844C1"/>
    <w:rsid w:val="00086D70"/>
    <w:rsid w:val="000A46EB"/>
    <w:rsid w:val="000A5B61"/>
    <w:rsid w:val="000D3AD4"/>
    <w:rsid w:val="000D7BCD"/>
    <w:rsid w:val="000D7E07"/>
    <w:rsid w:val="000E5603"/>
    <w:rsid w:val="000E5EB3"/>
    <w:rsid w:val="001065F5"/>
    <w:rsid w:val="00107A1F"/>
    <w:rsid w:val="0011118F"/>
    <w:rsid w:val="001238EF"/>
    <w:rsid w:val="00136EFC"/>
    <w:rsid w:val="001424CF"/>
    <w:rsid w:val="00144703"/>
    <w:rsid w:val="00167DAE"/>
    <w:rsid w:val="001828A1"/>
    <w:rsid w:val="00191B79"/>
    <w:rsid w:val="00197613"/>
    <w:rsid w:val="001A4B09"/>
    <w:rsid w:val="001C7EBF"/>
    <w:rsid w:val="001D00FC"/>
    <w:rsid w:val="001D368B"/>
    <w:rsid w:val="001D56D7"/>
    <w:rsid w:val="001E0BF7"/>
    <w:rsid w:val="001F2CE9"/>
    <w:rsid w:val="001F3924"/>
    <w:rsid w:val="00201660"/>
    <w:rsid w:val="00222A1D"/>
    <w:rsid w:val="00233DC7"/>
    <w:rsid w:val="00247779"/>
    <w:rsid w:val="002535E8"/>
    <w:rsid w:val="00262E6C"/>
    <w:rsid w:val="00280413"/>
    <w:rsid w:val="00285BEE"/>
    <w:rsid w:val="00290F4E"/>
    <w:rsid w:val="002926DC"/>
    <w:rsid w:val="0029533F"/>
    <w:rsid w:val="002957DF"/>
    <w:rsid w:val="002A058D"/>
    <w:rsid w:val="002A5CC7"/>
    <w:rsid w:val="002B1CEA"/>
    <w:rsid w:val="002B30AF"/>
    <w:rsid w:val="002B47C2"/>
    <w:rsid w:val="002B6728"/>
    <w:rsid w:val="003018BE"/>
    <w:rsid w:val="00303FA8"/>
    <w:rsid w:val="0030740E"/>
    <w:rsid w:val="0033344A"/>
    <w:rsid w:val="00340812"/>
    <w:rsid w:val="00345FCE"/>
    <w:rsid w:val="00355D65"/>
    <w:rsid w:val="00364878"/>
    <w:rsid w:val="00383AE4"/>
    <w:rsid w:val="003A3A08"/>
    <w:rsid w:val="003A6C6F"/>
    <w:rsid w:val="003C4C2C"/>
    <w:rsid w:val="003D77F6"/>
    <w:rsid w:val="003E7AE0"/>
    <w:rsid w:val="00400DF6"/>
    <w:rsid w:val="004128F6"/>
    <w:rsid w:val="00424C3D"/>
    <w:rsid w:val="0042648E"/>
    <w:rsid w:val="00450D4B"/>
    <w:rsid w:val="00456AFE"/>
    <w:rsid w:val="004859EC"/>
    <w:rsid w:val="004936D2"/>
    <w:rsid w:val="004A15C0"/>
    <w:rsid w:val="004A7E39"/>
    <w:rsid w:val="004B0A95"/>
    <w:rsid w:val="004B1199"/>
    <w:rsid w:val="004C2E62"/>
    <w:rsid w:val="004D5929"/>
    <w:rsid w:val="004E182B"/>
    <w:rsid w:val="004E72FE"/>
    <w:rsid w:val="004F5D57"/>
    <w:rsid w:val="004F621E"/>
    <w:rsid w:val="00500244"/>
    <w:rsid w:val="00532A77"/>
    <w:rsid w:val="00560D32"/>
    <w:rsid w:val="00563DD1"/>
    <w:rsid w:val="00566D2A"/>
    <w:rsid w:val="00570A91"/>
    <w:rsid w:val="00571789"/>
    <w:rsid w:val="00574C4C"/>
    <w:rsid w:val="005751CB"/>
    <w:rsid w:val="005A3836"/>
    <w:rsid w:val="005B1EB6"/>
    <w:rsid w:val="005C32E1"/>
    <w:rsid w:val="005C400A"/>
    <w:rsid w:val="005C57F7"/>
    <w:rsid w:val="005D1F90"/>
    <w:rsid w:val="005D41AA"/>
    <w:rsid w:val="005E7F07"/>
    <w:rsid w:val="005F2BF0"/>
    <w:rsid w:val="005F7F13"/>
    <w:rsid w:val="006011B8"/>
    <w:rsid w:val="0061162B"/>
    <w:rsid w:val="006119EF"/>
    <w:rsid w:val="00611AD1"/>
    <w:rsid w:val="006600C1"/>
    <w:rsid w:val="006B2061"/>
    <w:rsid w:val="006F2D9B"/>
    <w:rsid w:val="006F48C3"/>
    <w:rsid w:val="007118C9"/>
    <w:rsid w:val="007224D4"/>
    <w:rsid w:val="00724535"/>
    <w:rsid w:val="00736929"/>
    <w:rsid w:val="00746333"/>
    <w:rsid w:val="00751A09"/>
    <w:rsid w:val="00753F6D"/>
    <w:rsid w:val="00773331"/>
    <w:rsid w:val="007932EF"/>
    <w:rsid w:val="007965BA"/>
    <w:rsid w:val="007A3E24"/>
    <w:rsid w:val="007A42FE"/>
    <w:rsid w:val="007B091C"/>
    <w:rsid w:val="007B7BF7"/>
    <w:rsid w:val="007E031A"/>
    <w:rsid w:val="007E05B0"/>
    <w:rsid w:val="007E5B19"/>
    <w:rsid w:val="00801E1F"/>
    <w:rsid w:val="008070B8"/>
    <w:rsid w:val="00807CEE"/>
    <w:rsid w:val="0082068A"/>
    <w:rsid w:val="008320E7"/>
    <w:rsid w:val="00852214"/>
    <w:rsid w:val="008534FD"/>
    <w:rsid w:val="00874D22"/>
    <w:rsid w:val="00883564"/>
    <w:rsid w:val="00891D2C"/>
    <w:rsid w:val="008A2914"/>
    <w:rsid w:val="008A5732"/>
    <w:rsid w:val="008B46FE"/>
    <w:rsid w:val="008C1A8A"/>
    <w:rsid w:val="008D0E84"/>
    <w:rsid w:val="008D422B"/>
    <w:rsid w:val="008E4D8E"/>
    <w:rsid w:val="00913B7A"/>
    <w:rsid w:val="00947CFA"/>
    <w:rsid w:val="00951D7A"/>
    <w:rsid w:val="00966742"/>
    <w:rsid w:val="00967851"/>
    <w:rsid w:val="00991E08"/>
    <w:rsid w:val="009A3142"/>
    <w:rsid w:val="009F2A5C"/>
    <w:rsid w:val="00A274F7"/>
    <w:rsid w:val="00A31CD0"/>
    <w:rsid w:val="00A52DCA"/>
    <w:rsid w:val="00A654A0"/>
    <w:rsid w:val="00A66BDF"/>
    <w:rsid w:val="00A7055B"/>
    <w:rsid w:val="00A83AE7"/>
    <w:rsid w:val="00A85F69"/>
    <w:rsid w:val="00A877EB"/>
    <w:rsid w:val="00A92389"/>
    <w:rsid w:val="00AB0EA5"/>
    <w:rsid w:val="00AB2A5B"/>
    <w:rsid w:val="00AC0D55"/>
    <w:rsid w:val="00AD0AE2"/>
    <w:rsid w:val="00AE3083"/>
    <w:rsid w:val="00AF09EE"/>
    <w:rsid w:val="00B20186"/>
    <w:rsid w:val="00B3391E"/>
    <w:rsid w:val="00B8699A"/>
    <w:rsid w:val="00B932EF"/>
    <w:rsid w:val="00B9444C"/>
    <w:rsid w:val="00B95931"/>
    <w:rsid w:val="00BA2F34"/>
    <w:rsid w:val="00BA5FB8"/>
    <w:rsid w:val="00BB233C"/>
    <w:rsid w:val="00BD6791"/>
    <w:rsid w:val="00BE4FE4"/>
    <w:rsid w:val="00BF5FCD"/>
    <w:rsid w:val="00BF75F1"/>
    <w:rsid w:val="00C022EE"/>
    <w:rsid w:val="00C04366"/>
    <w:rsid w:val="00C07A99"/>
    <w:rsid w:val="00C12301"/>
    <w:rsid w:val="00C14437"/>
    <w:rsid w:val="00C1714F"/>
    <w:rsid w:val="00C41998"/>
    <w:rsid w:val="00C52672"/>
    <w:rsid w:val="00C53352"/>
    <w:rsid w:val="00C560BA"/>
    <w:rsid w:val="00C73B30"/>
    <w:rsid w:val="00C74230"/>
    <w:rsid w:val="00C77B8B"/>
    <w:rsid w:val="00C837AE"/>
    <w:rsid w:val="00C90611"/>
    <w:rsid w:val="00CA03B3"/>
    <w:rsid w:val="00CA546D"/>
    <w:rsid w:val="00CC28BA"/>
    <w:rsid w:val="00CC5EA1"/>
    <w:rsid w:val="00CF6EED"/>
    <w:rsid w:val="00D153BA"/>
    <w:rsid w:val="00D20381"/>
    <w:rsid w:val="00D31464"/>
    <w:rsid w:val="00D32304"/>
    <w:rsid w:val="00D33269"/>
    <w:rsid w:val="00D34B8D"/>
    <w:rsid w:val="00D3660A"/>
    <w:rsid w:val="00D504D9"/>
    <w:rsid w:val="00D55CB6"/>
    <w:rsid w:val="00D64FC4"/>
    <w:rsid w:val="00D70D0D"/>
    <w:rsid w:val="00D74461"/>
    <w:rsid w:val="00D803FF"/>
    <w:rsid w:val="00D964CB"/>
    <w:rsid w:val="00DA14D5"/>
    <w:rsid w:val="00DD548C"/>
    <w:rsid w:val="00DE27FF"/>
    <w:rsid w:val="00DF011F"/>
    <w:rsid w:val="00E1678C"/>
    <w:rsid w:val="00E251FB"/>
    <w:rsid w:val="00E401A8"/>
    <w:rsid w:val="00E55714"/>
    <w:rsid w:val="00E62DEC"/>
    <w:rsid w:val="00E6582E"/>
    <w:rsid w:val="00E664ED"/>
    <w:rsid w:val="00E90D55"/>
    <w:rsid w:val="00E925C4"/>
    <w:rsid w:val="00EB4AFE"/>
    <w:rsid w:val="00EE364E"/>
    <w:rsid w:val="00EE5FCE"/>
    <w:rsid w:val="00EF6BF1"/>
    <w:rsid w:val="00F066F2"/>
    <w:rsid w:val="00F11080"/>
    <w:rsid w:val="00F157A3"/>
    <w:rsid w:val="00F24CB0"/>
    <w:rsid w:val="00F260BB"/>
    <w:rsid w:val="00F30D2C"/>
    <w:rsid w:val="00F72080"/>
    <w:rsid w:val="00F86E57"/>
    <w:rsid w:val="00FB01E5"/>
    <w:rsid w:val="00FC0043"/>
    <w:rsid w:val="00FC34B8"/>
    <w:rsid w:val="00FC38F8"/>
    <w:rsid w:val="00FF3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AEE10C"/>
  <w15:docId w15:val="{2AC16193-6DE7-4B73-846C-AA070CFA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41AA"/>
    <w:pPr>
      <w:ind w:left="720"/>
      <w:contextualSpacing/>
    </w:pPr>
  </w:style>
  <w:style w:type="paragraph" w:styleId="BodyText">
    <w:name w:val="Body Text"/>
    <w:basedOn w:val="Normal"/>
    <w:link w:val="BodyTextChar"/>
    <w:uiPriority w:val="1"/>
    <w:qFormat/>
    <w:rsid w:val="00364878"/>
    <w:pPr>
      <w:autoSpaceDE w:val="0"/>
      <w:autoSpaceDN w:val="0"/>
      <w:adjustRightInd w:val="0"/>
      <w:spacing w:before="0" w:after="0"/>
      <w:ind w:left="39"/>
    </w:pPr>
    <w:rPr>
      <w:i/>
      <w:iCs/>
      <w:szCs w:val="24"/>
    </w:rPr>
  </w:style>
  <w:style w:type="character" w:customStyle="1" w:styleId="BodyTextChar">
    <w:name w:val="Body Text Char"/>
    <w:basedOn w:val="DefaultParagraphFont"/>
    <w:link w:val="BodyText"/>
    <w:uiPriority w:val="1"/>
    <w:rsid w:val="00364878"/>
    <w:rPr>
      <w:rFonts w:ascii="Times New Roman" w:hAnsi="Times New Roman" w:cs="Times New Roman"/>
      <w:i/>
      <w:iCs/>
      <w:sz w:val="24"/>
      <w:szCs w:val="24"/>
    </w:rPr>
  </w:style>
  <w:style w:type="paragraph" w:styleId="ListBullet">
    <w:name w:val="List Bullet"/>
    <w:basedOn w:val="Normal"/>
    <w:uiPriority w:val="99"/>
    <w:semiHidden/>
    <w:unhideWhenUsed/>
    <w:rsid w:val="00D74461"/>
    <w:pPr>
      <w:numPr>
        <w:numId w:val="1"/>
      </w:numPr>
      <w:contextualSpacing/>
    </w:pPr>
  </w:style>
  <w:style w:type="paragraph" w:styleId="ListBullet2">
    <w:name w:val="List Bullet 2"/>
    <w:basedOn w:val="Normal"/>
    <w:uiPriority w:val="99"/>
    <w:semiHidden/>
    <w:unhideWhenUsed/>
    <w:rsid w:val="00D74461"/>
    <w:pPr>
      <w:numPr>
        <w:numId w:val="2"/>
      </w:numPr>
      <w:contextualSpacing/>
    </w:pPr>
  </w:style>
  <w:style w:type="paragraph" w:styleId="ListBullet3">
    <w:name w:val="List Bullet 3"/>
    <w:basedOn w:val="Normal"/>
    <w:uiPriority w:val="99"/>
    <w:semiHidden/>
    <w:unhideWhenUsed/>
    <w:rsid w:val="00D74461"/>
    <w:pPr>
      <w:numPr>
        <w:numId w:val="3"/>
      </w:numPr>
      <w:contextualSpacing/>
    </w:pPr>
  </w:style>
  <w:style w:type="paragraph" w:styleId="ListBullet4">
    <w:name w:val="List Bullet 4"/>
    <w:basedOn w:val="Normal"/>
    <w:uiPriority w:val="99"/>
    <w:semiHidden/>
    <w:unhideWhenUsed/>
    <w:rsid w:val="00D74461"/>
    <w:pPr>
      <w:numPr>
        <w:numId w:val="4"/>
      </w:numPr>
      <w:contextualSpacing/>
    </w:pPr>
  </w:style>
  <w:style w:type="character" w:styleId="CommentReference">
    <w:name w:val="annotation reference"/>
    <w:basedOn w:val="DefaultParagraphFont"/>
    <w:uiPriority w:val="99"/>
    <w:semiHidden/>
    <w:unhideWhenUsed/>
    <w:rsid w:val="00D74461"/>
    <w:rPr>
      <w:sz w:val="16"/>
      <w:szCs w:val="16"/>
    </w:rPr>
  </w:style>
  <w:style w:type="paragraph" w:styleId="CommentText">
    <w:name w:val="annotation text"/>
    <w:basedOn w:val="Normal"/>
    <w:link w:val="CommentTextChar"/>
    <w:uiPriority w:val="99"/>
    <w:unhideWhenUsed/>
    <w:rsid w:val="00D74461"/>
    <w:rPr>
      <w:sz w:val="20"/>
      <w:szCs w:val="20"/>
    </w:rPr>
  </w:style>
  <w:style w:type="character" w:customStyle="1" w:styleId="CommentTextChar">
    <w:name w:val="Comment Text Char"/>
    <w:basedOn w:val="DefaultParagraphFont"/>
    <w:link w:val="CommentText"/>
    <w:uiPriority w:val="99"/>
    <w:rsid w:val="00D74461"/>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74461"/>
    <w:rPr>
      <w:b/>
      <w:bCs/>
    </w:rPr>
  </w:style>
  <w:style w:type="character" w:customStyle="1" w:styleId="CommentSubjectChar">
    <w:name w:val="Comment Subject Char"/>
    <w:basedOn w:val="CommentTextChar"/>
    <w:link w:val="CommentSubject"/>
    <w:uiPriority w:val="99"/>
    <w:semiHidden/>
    <w:rsid w:val="00D74461"/>
    <w:rPr>
      <w:rFonts w:ascii="Times New Roman" w:hAnsi="Times New Roman" w:cs="Times New Roman"/>
      <w:b/>
      <w:bCs/>
      <w:sz w:val="20"/>
      <w:szCs w:val="20"/>
      <w:lang w:val="en-GB"/>
    </w:rPr>
  </w:style>
  <w:style w:type="paragraph" w:styleId="Revision">
    <w:name w:val="Revision"/>
    <w:hidden/>
    <w:uiPriority w:val="99"/>
    <w:semiHidden/>
    <w:rsid w:val="00D74461"/>
    <w:pPr>
      <w:spacing w:after="0" w:line="240" w:lineRule="auto"/>
    </w:pPr>
    <w:rPr>
      <w:rFonts w:ascii="Times New Roman" w:hAnsi="Times New Roman" w:cs="Times New Roman"/>
      <w:sz w:val="24"/>
      <w:lang w:val="en-GB"/>
    </w:rPr>
  </w:style>
  <w:style w:type="character" w:styleId="Hyperlink">
    <w:name w:val="Hyperlink"/>
    <w:basedOn w:val="DefaultParagraphFont"/>
    <w:uiPriority w:val="99"/>
    <w:unhideWhenUsed/>
    <w:rsid w:val="00D74461"/>
    <w:rPr>
      <w:color w:val="0000FF" w:themeColor="hyperlink"/>
      <w:u w:val="single"/>
    </w:rPr>
  </w:style>
  <w:style w:type="character" w:customStyle="1" w:styleId="UnresolvedMention">
    <w:name w:val="Unresolved Mention"/>
    <w:basedOn w:val="DefaultParagraphFont"/>
    <w:uiPriority w:val="99"/>
    <w:semiHidden/>
    <w:unhideWhenUsed/>
    <w:rsid w:val="00D74461"/>
    <w:rPr>
      <w:color w:val="605E5C"/>
      <w:shd w:val="clear" w:color="auto" w:fill="E1DFDD"/>
    </w:rPr>
  </w:style>
  <w:style w:type="character" w:styleId="FollowedHyperlink">
    <w:name w:val="FollowedHyperlink"/>
    <w:basedOn w:val="DefaultParagraphFont"/>
    <w:uiPriority w:val="99"/>
    <w:semiHidden/>
    <w:unhideWhenUsed/>
    <w:rsid w:val="00C73B30"/>
    <w:rPr>
      <w:color w:val="800080" w:themeColor="followedHyperlink"/>
      <w:u w:val="single"/>
    </w:rPr>
  </w:style>
  <w:style w:type="character" w:customStyle="1" w:styleId="HeaderChar">
    <w:name w:val="Header Char"/>
    <w:basedOn w:val="DefaultParagraphFont"/>
    <w:link w:val="Header"/>
    <w:uiPriority w:val="99"/>
    <w:rsid w:val="00144703"/>
    <w:rPr>
      <w:rFonts w:ascii="Times New Roman" w:hAnsi="Times New Roman" w:cs="Times New Roman"/>
      <w:sz w:val="24"/>
      <w:lang w:val="en-GB"/>
    </w:rPr>
  </w:style>
  <w:style w:type="character" w:customStyle="1" w:styleId="FooterChar">
    <w:name w:val="Footer Char"/>
    <w:basedOn w:val="DefaultParagraphFont"/>
    <w:link w:val="Footer"/>
    <w:uiPriority w:val="99"/>
    <w:rsid w:val="0014470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4470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44703"/>
    <w:pPr>
      <w:spacing w:before="0"/>
      <w:jc w:val="right"/>
    </w:pPr>
    <w:rPr>
      <w:sz w:val="28"/>
    </w:rPr>
  </w:style>
  <w:style w:type="paragraph" w:customStyle="1" w:styleId="FooterSensitivity">
    <w:name w:val="Footer Sensitivity"/>
    <w:basedOn w:val="Normal"/>
    <w:rsid w:val="0014470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44703"/>
    <w:pPr>
      <w:tabs>
        <w:tab w:val="center" w:pos="4535"/>
        <w:tab w:val="right" w:pos="9071"/>
      </w:tabs>
      <w:spacing w:before="0"/>
    </w:pPr>
  </w:style>
  <w:style w:type="paragraph" w:customStyle="1" w:styleId="HeaderLandscape">
    <w:name w:val="HeaderLandscape"/>
    <w:basedOn w:val="Normal"/>
    <w:rsid w:val="00144703"/>
    <w:pPr>
      <w:tabs>
        <w:tab w:val="center" w:pos="7285"/>
        <w:tab w:val="right" w:pos="14003"/>
      </w:tabs>
      <w:spacing w:before="0"/>
    </w:pPr>
  </w:style>
  <w:style w:type="paragraph" w:styleId="Footer">
    <w:name w:val="footer"/>
    <w:basedOn w:val="Normal"/>
    <w:link w:val="FooterChar"/>
    <w:uiPriority w:val="99"/>
    <w:unhideWhenUsed/>
    <w:rsid w:val="0014470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4470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3/103(1)/oj" TargetMode="External"/><Relationship Id="rId1" Type="http://schemas.openxmlformats.org/officeDocument/2006/relationships/hyperlink" Target="http://data.europa.eu/eli/dec/2013/103(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1BD4C-721D-4BDA-AF45-84A9888888E6}">
  <ds:schemaRefs>
    <ds:schemaRef ds:uri="http://schemas.microsoft.com/sharepoint/v3/contenttype/forms"/>
  </ds:schemaRefs>
</ds:datastoreItem>
</file>

<file path=customXml/itemProps2.xml><?xml version="1.0" encoding="utf-8"?>
<ds:datastoreItem xmlns:ds="http://schemas.openxmlformats.org/officeDocument/2006/customXml" ds:itemID="{0D0B7D82-2606-4A56-B179-ED382E56B374}">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3DF4E2B5-74C4-4CC2-9C7C-4D6ECCEEA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474F13-9C3C-4C70-A8DD-88688EF16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7</Pages>
  <Words>1866</Words>
  <Characters>10640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12482</CharactersWithSpaces>
  <SharedDoc>false</SharedDoc>
  <HLinks>
    <vt:vector size="12" baseType="variant">
      <vt:variant>
        <vt:i4>5767244</vt:i4>
      </vt:variant>
      <vt:variant>
        <vt:i4>3</vt:i4>
      </vt:variant>
      <vt:variant>
        <vt:i4>0</vt:i4>
      </vt:variant>
      <vt:variant>
        <vt:i4>5</vt:i4>
      </vt:variant>
      <vt:variant>
        <vt:lpwstr>http://data.europa.eu/eli/dec/2013/103(1)/oj</vt:lpwstr>
      </vt:variant>
      <vt:variant>
        <vt:lpwstr/>
      </vt:variant>
      <vt:variant>
        <vt:i4>5767244</vt:i4>
      </vt:variant>
      <vt:variant>
        <vt:i4>0</vt:i4>
      </vt:variant>
      <vt:variant>
        <vt:i4>0</vt:i4>
      </vt:variant>
      <vt:variant>
        <vt:i4>5</vt:i4>
      </vt:variant>
      <vt:variant>
        <vt:lpwstr>http://data.europa.eu/eli/dec/2013/103(1)/oj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2026-05-26T12:19:00Z</dcterms:created>
  <dcterms:modified xsi:type="dcterms:W3CDTF">2026-05-28T06:47:00Z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2026-05-19T17:16:02Z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6cd5c6a7-4b56-4848-8c41-473d845c447d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