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41E" w:rsidRPr="00FB6721" w:rsidRDefault="00A96BEC" w:rsidP="00A96BE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2510711-92C6-44FC-B51A-04217C49176B" style="width:455.25pt;height:342.75pt">
            <v:imagedata r:id="rId8" o:title=""/>
          </v:shape>
        </w:pict>
      </w:r>
    </w:p>
    <w:p w:rsidR="00CA64BD" w:rsidRPr="00FB6721" w:rsidRDefault="00CA64BD">
      <w:pPr>
        <w:rPr>
          <w:noProof/>
        </w:rPr>
        <w:sectPr w:rsidR="00CA64BD" w:rsidRPr="00FB6721" w:rsidSect="00A96BEC">
          <w:footerReference w:type="even" r:id="rId9"/>
          <w:footerReference w:type="default" r:id="rId10"/>
          <w:pgSz w:w="11907" w:h="16839"/>
          <w:pgMar w:top="1134" w:right="1417" w:bottom="1134" w:left="1417" w:header="709" w:footer="709" w:gutter="0"/>
          <w:pgNumType w:start="0"/>
          <w:cols w:space="720"/>
          <w:docGrid w:linePitch="360"/>
        </w:sectPr>
      </w:pPr>
    </w:p>
    <w:p w:rsidR="00CA64BD" w:rsidRPr="00FB6721" w:rsidRDefault="00627CF7">
      <w:pPr>
        <w:pStyle w:val="Exposdesmotifstitre"/>
        <w:rPr>
          <w:noProof/>
        </w:rPr>
      </w:pPr>
      <w:bookmarkStart w:id="0" w:name="_GoBack"/>
      <w:bookmarkEnd w:id="0"/>
      <w:r w:rsidRPr="00FB6721">
        <w:rPr>
          <w:noProof/>
        </w:rPr>
        <w:lastRenderedPageBreak/>
        <w:t>EXPOSÉ DES MOTIFS</w:t>
      </w:r>
    </w:p>
    <w:p w:rsidR="00CA64BD" w:rsidRPr="00FB6721" w:rsidRDefault="00627CF7" w:rsidP="00BD0E25">
      <w:pPr>
        <w:pStyle w:val="ManualHeading1"/>
        <w:rPr>
          <w:noProof/>
        </w:rPr>
      </w:pPr>
      <w:r>
        <w:rPr>
          <w:noProof/>
        </w:rPr>
        <w:t>1.</w:t>
      </w:r>
      <w:r>
        <w:rPr>
          <w:noProof/>
        </w:rPr>
        <w:tab/>
      </w:r>
      <w:r w:rsidRPr="00FB6721">
        <w:rPr>
          <w:noProof/>
        </w:rPr>
        <w:t>CONTEXTE DE LA PROPOSITION</w:t>
      </w:r>
    </w:p>
    <w:p w:rsidR="00CA64BD" w:rsidRPr="00FB6721" w:rsidRDefault="00627CF7">
      <w:pPr>
        <w:pStyle w:val="ManualHeading2"/>
        <w:rPr>
          <w:noProof/>
        </w:rPr>
      </w:pPr>
      <w:r w:rsidRPr="00FB6721">
        <w:rPr>
          <w:noProof/>
        </w:rPr>
        <w:t>•</w:t>
      </w:r>
      <w:r w:rsidRPr="00FB6721">
        <w:rPr>
          <w:noProof/>
        </w:rPr>
        <w:tab/>
        <w:t>Justification et objectifs de la proposition</w:t>
      </w:r>
    </w:p>
    <w:p w:rsidR="00CA64BD" w:rsidRPr="00FB6721" w:rsidRDefault="00627CF7">
      <w:pPr>
        <w:rPr>
          <w:noProof/>
        </w:rPr>
      </w:pPr>
      <w:r w:rsidRPr="00FB6721">
        <w:rPr>
          <w:noProof/>
        </w:rPr>
        <w:t>La présente proposition porte sur une décision du Conseil relative à la deuxième tranche des contributions financières au 11</w:t>
      </w:r>
      <w:r w:rsidRPr="00FB6721">
        <w:rPr>
          <w:noProof/>
          <w:vertAlign w:val="superscript"/>
        </w:rPr>
        <w:t>e</w:t>
      </w:r>
      <w:r w:rsidRPr="00FB6721">
        <w:rPr>
          <w:noProof/>
        </w:rPr>
        <w:t> Fonds européen de développement (FED) à verser par les parties au FED en 2026.</w:t>
      </w:r>
    </w:p>
    <w:p w:rsidR="00CA64BD" w:rsidRPr="00FB6721" w:rsidRDefault="00627CF7">
      <w:pPr>
        <w:rPr>
          <w:noProof/>
        </w:rPr>
      </w:pPr>
      <w:r w:rsidRPr="00FB6721">
        <w:rPr>
          <w:noProof/>
        </w:rPr>
        <w:t>Le 11</w:t>
      </w:r>
      <w:r w:rsidRPr="00FB6721">
        <w:rPr>
          <w:noProof/>
          <w:vertAlign w:val="superscript"/>
        </w:rPr>
        <w:t>e</w:t>
      </w:r>
      <w:r w:rsidRPr="00FB6721">
        <w:rPr>
          <w:noProof/>
        </w:rPr>
        <w:t> FED et les autres fonds du FED encore ouverts (les 9</w:t>
      </w:r>
      <w:r w:rsidRPr="00FB6721">
        <w:rPr>
          <w:noProof/>
          <w:vertAlign w:val="superscript"/>
        </w:rPr>
        <w:t>e</w:t>
      </w:r>
      <w:r w:rsidRPr="00FB6721">
        <w:rPr>
          <w:noProof/>
        </w:rPr>
        <w:t xml:space="preserve"> et 10</w:t>
      </w:r>
      <w:r w:rsidRPr="00FB6721">
        <w:rPr>
          <w:noProof/>
          <w:vertAlign w:val="superscript"/>
        </w:rPr>
        <w:t>e</w:t>
      </w:r>
      <w:r w:rsidRPr="00FB6721">
        <w:rPr>
          <w:noProof/>
        </w:rPr>
        <w:t> FED) sont gérés conformément à l’ensemble de règles suivant:</w:t>
      </w:r>
    </w:p>
    <w:p w:rsidR="00CA64BD" w:rsidRPr="00FB6721" w:rsidRDefault="00627CF7" w:rsidP="00BD0E25">
      <w:pPr>
        <w:pStyle w:val="ManualNumPar1"/>
        <w:rPr>
          <w:noProof/>
        </w:rPr>
      </w:pPr>
      <w:r>
        <w:rPr>
          <w:noProof/>
        </w:rPr>
        <w:t>1.</w:t>
      </w:r>
      <w:r>
        <w:rPr>
          <w:noProof/>
        </w:rPr>
        <w:tab/>
      </w:r>
      <w:r w:rsidRPr="00FB6721">
        <w:rPr>
          <w:noProof/>
        </w:rPr>
        <w:t>l’accord interne entre les représentants des gouvernements des États membres de l’Union européenne, réunis au sein du Conseil, relatif au financement de l’aide de l’Union européenne au titre du cadre financier pluriannuel pour la période 2014-2020, conformément à l’accord de partenariat ACP-UE et à l’affectation des aides financières destinées aux pays et territoires d’outre-mer auxquels s’appliquent les dispositions de la quatrième partie du traité sur le fonctionnement de l’Union européenne</w:t>
      </w:r>
      <w:r w:rsidRPr="00FB6721">
        <w:rPr>
          <w:rStyle w:val="FootnoteReference"/>
          <w:noProof/>
        </w:rPr>
        <w:footnoteReference w:customMarkFollows="1" w:id="1"/>
        <w:t>(1)</w:t>
      </w:r>
      <w:r w:rsidRPr="00FB6721">
        <w:rPr>
          <w:noProof/>
        </w:rPr>
        <w:t xml:space="preserve"> (ci-après l’«accord interne» relatif au 11</w:t>
      </w:r>
      <w:r w:rsidRPr="00FB6721">
        <w:rPr>
          <w:noProof/>
          <w:vertAlign w:val="superscript"/>
        </w:rPr>
        <w:t>e</w:t>
      </w:r>
      <w:r w:rsidRPr="00FB6721">
        <w:rPr>
          <w:noProof/>
        </w:rPr>
        <w:t> FED);</w:t>
      </w:r>
    </w:p>
    <w:p w:rsidR="00CA64BD" w:rsidRPr="00FB6721" w:rsidRDefault="00627CF7">
      <w:pPr>
        <w:pStyle w:val="ManualNumPar1"/>
        <w:rPr>
          <w:noProof/>
        </w:rPr>
      </w:pPr>
      <w:r>
        <w:rPr>
          <w:noProof/>
        </w:rPr>
        <w:t>2.</w:t>
      </w:r>
      <w:r>
        <w:rPr>
          <w:noProof/>
        </w:rPr>
        <w:tab/>
      </w:r>
      <w:r w:rsidRPr="00FB6721">
        <w:rPr>
          <w:noProof/>
        </w:rPr>
        <w:t>le règlement (UE) 2018/1877 du Conseil portant règlement financier applicable au 11</w:t>
      </w:r>
      <w:r w:rsidRPr="00FB6721">
        <w:rPr>
          <w:noProof/>
          <w:vertAlign w:val="superscript"/>
        </w:rPr>
        <w:t>e</w:t>
      </w:r>
      <w:r w:rsidRPr="00FB6721">
        <w:rPr>
          <w:noProof/>
        </w:rPr>
        <w:t> Fonds européen de développement</w:t>
      </w:r>
      <w:r w:rsidRPr="00FB6721">
        <w:rPr>
          <w:rStyle w:val="FootnoteReference"/>
          <w:noProof/>
        </w:rPr>
        <w:footnoteReference w:customMarkFollows="1" w:id="2"/>
        <w:t>(2)</w:t>
      </w:r>
      <w:r w:rsidRPr="00FB6721">
        <w:rPr>
          <w:noProof/>
        </w:rPr>
        <w:t xml:space="preserve"> (ci-après le «règlement financier applicable au 11</w:t>
      </w:r>
      <w:r w:rsidRPr="00FB6721">
        <w:rPr>
          <w:noProof/>
          <w:vertAlign w:val="superscript"/>
        </w:rPr>
        <w:t>e</w:t>
      </w:r>
      <w:r w:rsidRPr="00FB6721">
        <w:rPr>
          <w:noProof/>
        </w:rPr>
        <w:t> FED»);</w:t>
      </w:r>
    </w:p>
    <w:p w:rsidR="00CA64BD" w:rsidRPr="00FB6721" w:rsidRDefault="00627CF7">
      <w:pPr>
        <w:pStyle w:val="ManualNumPar1"/>
        <w:rPr>
          <w:noProof/>
        </w:rPr>
      </w:pPr>
      <w:r>
        <w:rPr>
          <w:noProof/>
        </w:rPr>
        <w:t>3.</w:t>
      </w:r>
      <w:r>
        <w:rPr>
          <w:noProof/>
        </w:rPr>
        <w:tab/>
      </w:r>
      <w:r w:rsidRPr="00FB6721">
        <w:rPr>
          <w:noProof/>
        </w:rPr>
        <w:t>la décision (UE) 2020/2233 du Conseil concernant l’engagement des fonds provenant des remboursements au titre de la facilité d’investissement ACP sur des opérations effectuées dans le cadre des 9</w:t>
      </w:r>
      <w:r w:rsidRPr="00FB6721">
        <w:rPr>
          <w:noProof/>
          <w:vertAlign w:val="superscript"/>
        </w:rPr>
        <w:t>e</w:t>
      </w:r>
      <w:r w:rsidRPr="00FB6721">
        <w:rPr>
          <w:noProof/>
        </w:rPr>
        <w:t>, 10</w:t>
      </w:r>
      <w:r w:rsidRPr="00FB6721">
        <w:rPr>
          <w:noProof/>
          <w:vertAlign w:val="superscript"/>
        </w:rPr>
        <w:t>e</w:t>
      </w:r>
      <w:r w:rsidRPr="00FB6721">
        <w:rPr>
          <w:noProof/>
        </w:rPr>
        <w:t xml:space="preserve"> et 11</w:t>
      </w:r>
      <w:r w:rsidRPr="00FB6721">
        <w:rPr>
          <w:noProof/>
          <w:vertAlign w:val="superscript"/>
        </w:rPr>
        <w:t>e</w:t>
      </w:r>
      <w:r w:rsidRPr="00FB6721">
        <w:rPr>
          <w:noProof/>
        </w:rPr>
        <w:t> Fonds européens de développement</w:t>
      </w:r>
      <w:r w:rsidRPr="00FB6721">
        <w:rPr>
          <w:rStyle w:val="FootnoteReference"/>
          <w:noProof/>
        </w:rPr>
        <w:footnoteReference w:customMarkFollows="1" w:id="3"/>
        <w:t>(3)</w:t>
      </w:r>
      <w:r w:rsidRPr="00FB6721">
        <w:rPr>
          <w:noProof/>
        </w:rPr>
        <w:t>;</w:t>
      </w:r>
    </w:p>
    <w:p w:rsidR="00CA64BD" w:rsidRPr="00FB6721" w:rsidRDefault="00627CF7">
      <w:pPr>
        <w:pStyle w:val="ManualNumPar1"/>
        <w:rPr>
          <w:noProof/>
        </w:rPr>
      </w:pPr>
      <w:r>
        <w:rPr>
          <w:noProof/>
        </w:rPr>
        <w:t>4.</w:t>
      </w:r>
      <w:r>
        <w:rPr>
          <w:noProof/>
        </w:rPr>
        <w:tab/>
      </w:r>
      <w:r w:rsidRPr="00FB6721">
        <w:rPr>
          <w:noProof/>
        </w:rPr>
        <w:t>la décision (UE) 2022/1223 du Conseil</w:t>
      </w:r>
      <w:r w:rsidRPr="00FB6721">
        <w:rPr>
          <w:rStyle w:val="FootnoteReference"/>
          <w:noProof/>
        </w:rPr>
        <w:footnoteReference w:customMarkFollows="1" w:id="4"/>
        <w:t>(4)</w:t>
      </w:r>
      <w:r w:rsidRPr="00FB6721">
        <w:rPr>
          <w:noProof/>
        </w:rPr>
        <w:t xml:space="preserve"> relative à l’affectation de fonds désengagés de projets au titre des 10</w:t>
      </w:r>
      <w:r w:rsidRPr="00FB6721">
        <w:rPr>
          <w:noProof/>
          <w:vertAlign w:val="superscript"/>
        </w:rPr>
        <w:t>e</w:t>
      </w:r>
      <w:r w:rsidRPr="00FB6721">
        <w:rPr>
          <w:noProof/>
        </w:rPr>
        <w:t xml:space="preserve"> et 11</w:t>
      </w:r>
      <w:r w:rsidRPr="00FB6721">
        <w:rPr>
          <w:noProof/>
          <w:vertAlign w:val="superscript"/>
        </w:rPr>
        <w:t>e</w:t>
      </w:r>
      <w:r w:rsidRPr="00FB6721">
        <w:rPr>
          <w:noProof/>
        </w:rPr>
        <w:t> Fonds européens de développement au financement d’actions visant à remédier à la crise de sécurité alimentaire et au choc économique dans les États d’Afrique, des Caraïbes et du Pacifique (ACP) à la suite de la guerre d’agression menée par la Russie contre l’Ukraine.</w:t>
      </w:r>
    </w:p>
    <w:p w:rsidR="00CA64BD" w:rsidRPr="00FB6721" w:rsidRDefault="00627CF7">
      <w:pPr>
        <w:rPr>
          <w:noProof/>
        </w:rPr>
      </w:pPr>
      <w:r w:rsidRPr="00FB6721">
        <w:rPr>
          <w:noProof/>
        </w:rPr>
        <w:t>Les documents mentionnés aux points a) à d) contiennent des engagements pluriannuels des parties en faveur d’un soutien financier à la trésorerie du FED. Le règlement financier applicable au 11</w:t>
      </w:r>
      <w:r w:rsidRPr="00FB6721">
        <w:rPr>
          <w:noProof/>
          <w:vertAlign w:val="superscript"/>
        </w:rPr>
        <w:t>e</w:t>
      </w:r>
      <w:r w:rsidRPr="00FB6721">
        <w:rPr>
          <w:noProof/>
        </w:rPr>
        <w:t> FED prévoit que les parties apportent des contributions régulières à la trésorerie du FED, conformément à des engagements financiers prédéterminés. Ces contributions régulières sont déclenchées par des décisions techniques du Conseil qui reflètent la mise en œuvre des engagements financiers décidés au préalable.</w:t>
      </w:r>
    </w:p>
    <w:p w:rsidR="00CA64BD" w:rsidRPr="00FB6721" w:rsidRDefault="00627CF7">
      <w:pPr>
        <w:pStyle w:val="ManualHeading2"/>
        <w:rPr>
          <w:noProof/>
        </w:rPr>
      </w:pPr>
      <w:r w:rsidRPr="00FB6721">
        <w:rPr>
          <w:noProof/>
        </w:rPr>
        <w:t>•</w:t>
      </w:r>
      <w:r w:rsidRPr="00FB6721">
        <w:rPr>
          <w:noProof/>
        </w:rPr>
        <w:tab/>
        <w:t>Cohérence avec les dispositions existantes dans le domaine d’action</w:t>
      </w:r>
    </w:p>
    <w:p w:rsidR="00CA64BD" w:rsidRPr="00FB6721" w:rsidRDefault="00627CF7">
      <w:pPr>
        <w:rPr>
          <w:noProof/>
        </w:rPr>
      </w:pPr>
      <w:r w:rsidRPr="00FB6721">
        <w:rPr>
          <w:noProof/>
        </w:rPr>
        <w:t>Sans objet</w:t>
      </w:r>
    </w:p>
    <w:p w:rsidR="00CA64BD" w:rsidRPr="00FB6721" w:rsidRDefault="00627CF7">
      <w:pPr>
        <w:pStyle w:val="ManualHeading2"/>
        <w:rPr>
          <w:noProof/>
        </w:rPr>
      </w:pPr>
      <w:r w:rsidRPr="00FB6721">
        <w:rPr>
          <w:noProof/>
        </w:rPr>
        <w:t>•</w:t>
      </w:r>
      <w:r w:rsidRPr="00FB6721">
        <w:rPr>
          <w:noProof/>
        </w:rPr>
        <w:tab/>
        <w:t>Cohérence avec les autres politiques de l’Union</w:t>
      </w:r>
    </w:p>
    <w:p w:rsidR="00CA64BD" w:rsidRPr="00FB6721" w:rsidRDefault="00627CF7">
      <w:pPr>
        <w:rPr>
          <w:noProof/>
        </w:rPr>
      </w:pPr>
      <w:r w:rsidRPr="00FB6721">
        <w:rPr>
          <w:noProof/>
        </w:rPr>
        <w:t>Sans objet</w:t>
      </w:r>
    </w:p>
    <w:p w:rsidR="00CA64BD" w:rsidRPr="00FB6721" w:rsidRDefault="00627CF7">
      <w:pPr>
        <w:pStyle w:val="ManualHeading1"/>
        <w:rPr>
          <w:noProof/>
        </w:rPr>
      </w:pPr>
      <w:r>
        <w:rPr>
          <w:noProof/>
        </w:rPr>
        <w:lastRenderedPageBreak/>
        <w:t>2.</w:t>
      </w:r>
      <w:r>
        <w:rPr>
          <w:noProof/>
        </w:rPr>
        <w:tab/>
      </w:r>
      <w:r w:rsidRPr="00FB6721">
        <w:rPr>
          <w:noProof/>
        </w:rPr>
        <w:t>BASE JURIDIQUE, SUBSIDIARITÉ ET PROPORTIONNALITÉ</w:t>
      </w:r>
    </w:p>
    <w:p w:rsidR="00CA64BD" w:rsidRPr="00FB6721" w:rsidRDefault="00627CF7">
      <w:pPr>
        <w:pStyle w:val="ManualHeading2"/>
        <w:rPr>
          <w:noProof/>
        </w:rPr>
      </w:pPr>
      <w:r w:rsidRPr="00FB6721">
        <w:rPr>
          <w:noProof/>
        </w:rPr>
        <w:t>•</w:t>
      </w:r>
      <w:r w:rsidRPr="00FB6721">
        <w:rPr>
          <w:noProof/>
        </w:rPr>
        <w:tab/>
        <w:t>Base juridique</w:t>
      </w:r>
    </w:p>
    <w:p w:rsidR="00CA64BD" w:rsidRPr="00FB6721" w:rsidRDefault="00627CF7">
      <w:pPr>
        <w:rPr>
          <w:noProof/>
        </w:rPr>
      </w:pPr>
      <w:r w:rsidRPr="00FB6721">
        <w:rPr>
          <w:noProof/>
        </w:rPr>
        <w:t>Conformément à l’article 19, paragraphe 3, du règlement financier applicable au 11</w:t>
      </w:r>
      <w:r w:rsidRPr="00FB6721">
        <w:rPr>
          <w:noProof/>
          <w:vertAlign w:val="superscript"/>
        </w:rPr>
        <w:t>e</w:t>
      </w:r>
      <w:r w:rsidRPr="00FB6721">
        <w:rPr>
          <w:noProof/>
        </w:rPr>
        <w:t> FED, le Conseil doit se prononcer sur la présente proposition au plus tard 21 jours civils après sa présentation par la Commission européenne agissant au nom de l’Union européenne.</w:t>
      </w:r>
    </w:p>
    <w:p w:rsidR="00CA64BD" w:rsidRPr="00FB6721" w:rsidRDefault="00627CF7">
      <w:pPr>
        <w:pStyle w:val="ManualHeading2"/>
        <w:rPr>
          <w:noProof/>
        </w:rPr>
      </w:pPr>
      <w:r w:rsidRPr="00FB6721">
        <w:rPr>
          <w:noProof/>
        </w:rPr>
        <w:t>•</w:t>
      </w:r>
      <w:r w:rsidRPr="00FB6721">
        <w:rPr>
          <w:noProof/>
        </w:rPr>
        <w:tab/>
        <w:t>Subsidiarité (en cas de compétence non exclusive)</w:t>
      </w:r>
    </w:p>
    <w:p w:rsidR="00CA64BD" w:rsidRPr="00FB6721" w:rsidRDefault="00627CF7">
      <w:pPr>
        <w:rPr>
          <w:noProof/>
        </w:rPr>
      </w:pPr>
      <w:r w:rsidRPr="00FB6721">
        <w:rPr>
          <w:noProof/>
        </w:rPr>
        <w:t>Sans objet</w:t>
      </w:r>
    </w:p>
    <w:p w:rsidR="00CA64BD" w:rsidRPr="00FB6721" w:rsidRDefault="00627CF7">
      <w:pPr>
        <w:pStyle w:val="ManualHeading2"/>
        <w:rPr>
          <w:noProof/>
        </w:rPr>
      </w:pPr>
      <w:r w:rsidRPr="00FB6721">
        <w:rPr>
          <w:noProof/>
        </w:rPr>
        <w:t>•</w:t>
      </w:r>
      <w:r w:rsidRPr="00FB6721">
        <w:rPr>
          <w:noProof/>
        </w:rPr>
        <w:tab/>
        <w:t>Proportionnalité</w:t>
      </w:r>
    </w:p>
    <w:p w:rsidR="00CA64BD" w:rsidRPr="00FB6721" w:rsidRDefault="00627CF7">
      <w:pPr>
        <w:rPr>
          <w:noProof/>
        </w:rPr>
      </w:pPr>
      <w:r w:rsidRPr="00FB6721">
        <w:rPr>
          <w:noProof/>
        </w:rPr>
        <w:t>Sans objet</w:t>
      </w:r>
    </w:p>
    <w:p w:rsidR="00CA64BD" w:rsidRPr="00FB6721" w:rsidRDefault="00627CF7">
      <w:pPr>
        <w:pStyle w:val="ManualHeading2"/>
        <w:rPr>
          <w:noProof/>
        </w:rPr>
      </w:pPr>
      <w:r w:rsidRPr="00FB6721">
        <w:rPr>
          <w:noProof/>
        </w:rPr>
        <w:t>•</w:t>
      </w:r>
      <w:r w:rsidRPr="00FB6721">
        <w:rPr>
          <w:noProof/>
        </w:rPr>
        <w:tab/>
        <w:t>Choix de l’instrument</w:t>
      </w:r>
    </w:p>
    <w:p w:rsidR="00CA64BD" w:rsidRPr="00FB6721" w:rsidRDefault="00627CF7">
      <w:pPr>
        <w:rPr>
          <w:noProof/>
        </w:rPr>
      </w:pPr>
      <w:r w:rsidRPr="00FB6721">
        <w:rPr>
          <w:noProof/>
        </w:rPr>
        <w:t>Sans objet</w:t>
      </w:r>
    </w:p>
    <w:p w:rsidR="00CA64BD" w:rsidRPr="00FB6721" w:rsidRDefault="00627CF7">
      <w:pPr>
        <w:pStyle w:val="ManualHeading1"/>
        <w:rPr>
          <w:noProof/>
        </w:rPr>
      </w:pPr>
      <w:r>
        <w:rPr>
          <w:noProof/>
        </w:rPr>
        <w:t>3.</w:t>
      </w:r>
      <w:r>
        <w:rPr>
          <w:noProof/>
        </w:rPr>
        <w:tab/>
      </w:r>
      <w:r w:rsidRPr="00FB6721">
        <w:rPr>
          <w:noProof/>
        </w:rPr>
        <w:t>RÉSULTATS DES ÉVALUATIONS EX POST, DES CONSULTATIONS DES PARTIES INTÉRESSÉES ET DES ANALYSES D’IMPACT</w:t>
      </w:r>
    </w:p>
    <w:p w:rsidR="00CA64BD" w:rsidRPr="00FB6721" w:rsidRDefault="00627CF7">
      <w:pPr>
        <w:pStyle w:val="ManualHeading2"/>
        <w:rPr>
          <w:noProof/>
        </w:rPr>
      </w:pPr>
      <w:r w:rsidRPr="00FB6721">
        <w:rPr>
          <w:noProof/>
        </w:rPr>
        <w:t>•</w:t>
      </w:r>
      <w:r w:rsidRPr="00FB6721">
        <w:rPr>
          <w:noProof/>
        </w:rPr>
        <w:tab/>
        <w:t>Évaluations ex post/bilans de qualité de la législation existante</w:t>
      </w:r>
    </w:p>
    <w:p w:rsidR="00CA64BD" w:rsidRPr="00FB6721" w:rsidRDefault="00627CF7">
      <w:pPr>
        <w:rPr>
          <w:noProof/>
        </w:rPr>
      </w:pPr>
      <w:r w:rsidRPr="00FB6721">
        <w:rPr>
          <w:noProof/>
        </w:rPr>
        <w:t>Sans objet</w:t>
      </w:r>
    </w:p>
    <w:p w:rsidR="00CA64BD" w:rsidRPr="00FB6721" w:rsidRDefault="00627CF7">
      <w:pPr>
        <w:pStyle w:val="ManualHeading2"/>
        <w:rPr>
          <w:noProof/>
        </w:rPr>
      </w:pPr>
      <w:r w:rsidRPr="00FB6721">
        <w:rPr>
          <w:noProof/>
        </w:rPr>
        <w:t>•</w:t>
      </w:r>
      <w:r w:rsidRPr="00FB6721">
        <w:rPr>
          <w:noProof/>
        </w:rPr>
        <w:tab/>
        <w:t>Consultation des parties intéressées</w:t>
      </w:r>
    </w:p>
    <w:p w:rsidR="00CA64BD" w:rsidRPr="00FB6721" w:rsidRDefault="00627CF7">
      <w:pPr>
        <w:rPr>
          <w:noProof/>
        </w:rPr>
      </w:pPr>
      <w:r w:rsidRPr="00FB6721">
        <w:rPr>
          <w:noProof/>
        </w:rPr>
        <w:t>Sans objet</w:t>
      </w:r>
    </w:p>
    <w:p w:rsidR="00CA64BD" w:rsidRPr="00FB6721" w:rsidRDefault="00627CF7">
      <w:pPr>
        <w:pStyle w:val="ManualHeading2"/>
        <w:rPr>
          <w:noProof/>
        </w:rPr>
      </w:pPr>
      <w:r w:rsidRPr="00FB6721">
        <w:rPr>
          <w:noProof/>
        </w:rPr>
        <w:t>•</w:t>
      </w:r>
      <w:r w:rsidRPr="00FB6721">
        <w:rPr>
          <w:noProof/>
        </w:rPr>
        <w:tab/>
        <w:t>Obtention et utilisation d’expertise</w:t>
      </w:r>
    </w:p>
    <w:p w:rsidR="00CA64BD" w:rsidRPr="00FB6721" w:rsidRDefault="00627CF7">
      <w:pPr>
        <w:rPr>
          <w:noProof/>
        </w:rPr>
      </w:pPr>
      <w:r w:rsidRPr="00FB6721">
        <w:rPr>
          <w:noProof/>
        </w:rPr>
        <w:t>Sans objet</w:t>
      </w:r>
    </w:p>
    <w:p w:rsidR="00CA64BD" w:rsidRPr="00FB6721" w:rsidRDefault="00627CF7">
      <w:pPr>
        <w:pStyle w:val="ManualHeading2"/>
        <w:rPr>
          <w:noProof/>
        </w:rPr>
      </w:pPr>
      <w:r w:rsidRPr="00FB6721">
        <w:rPr>
          <w:noProof/>
        </w:rPr>
        <w:t>•</w:t>
      </w:r>
      <w:r w:rsidRPr="00FB6721">
        <w:rPr>
          <w:noProof/>
        </w:rPr>
        <w:tab/>
        <w:t>Analyse d’impact</w:t>
      </w:r>
    </w:p>
    <w:p w:rsidR="00CA64BD" w:rsidRPr="00FB6721" w:rsidRDefault="00627CF7">
      <w:pPr>
        <w:rPr>
          <w:noProof/>
        </w:rPr>
      </w:pPr>
      <w:r w:rsidRPr="00FB6721">
        <w:rPr>
          <w:noProof/>
        </w:rPr>
        <w:t>Sans objet</w:t>
      </w:r>
    </w:p>
    <w:p w:rsidR="00CA64BD" w:rsidRPr="00FB6721" w:rsidRDefault="00627CF7">
      <w:pPr>
        <w:pStyle w:val="ManualHeading2"/>
        <w:rPr>
          <w:noProof/>
        </w:rPr>
      </w:pPr>
      <w:r w:rsidRPr="00FB6721">
        <w:rPr>
          <w:noProof/>
        </w:rPr>
        <w:t>•</w:t>
      </w:r>
      <w:r w:rsidRPr="00FB6721">
        <w:rPr>
          <w:noProof/>
        </w:rPr>
        <w:tab/>
        <w:t>Réglementation affûtée et simplification</w:t>
      </w:r>
    </w:p>
    <w:p w:rsidR="00CA64BD" w:rsidRPr="00FB6721" w:rsidRDefault="00627CF7">
      <w:pPr>
        <w:rPr>
          <w:noProof/>
        </w:rPr>
      </w:pPr>
      <w:r w:rsidRPr="00FB6721">
        <w:rPr>
          <w:noProof/>
        </w:rPr>
        <w:t>Sans objet</w:t>
      </w:r>
    </w:p>
    <w:p w:rsidR="00CA64BD" w:rsidRPr="00FB6721" w:rsidRDefault="00627CF7">
      <w:pPr>
        <w:pStyle w:val="ManualHeading2"/>
        <w:rPr>
          <w:noProof/>
        </w:rPr>
      </w:pPr>
      <w:r w:rsidRPr="00FB6721">
        <w:rPr>
          <w:noProof/>
        </w:rPr>
        <w:t>•</w:t>
      </w:r>
      <w:r w:rsidRPr="00FB6721">
        <w:rPr>
          <w:noProof/>
        </w:rPr>
        <w:tab/>
        <w:t>Droits fondamentaux</w:t>
      </w:r>
    </w:p>
    <w:p w:rsidR="00CA64BD" w:rsidRPr="00FB6721" w:rsidRDefault="00627CF7">
      <w:pPr>
        <w:rPr>
          <w:noProof/>
        </w:rPr>
      </w:pPr>
      <w:r w:rsidRPr="00FB6721">
        <w:rPr>
          <w:noProof/>
        </w:rPr>
        <w:t>Sans objet</w:t>
      </w:r>
    </w:p>
    <w:p w:rsidR="00CA64BD" w:rsidRPr="00FB6721" w:rsidRDefault="00627CF7">
      <w:pPr>
        <w:pStyle w:val="ManualHeading1"/>
        <w:rPr>
          <w:noProof/>
        </w:rPr>
      </w:pPr>
      <w:r>
        <w:rPr>
          <w:noProof/>
        </w:rPr>
        <w:t>4.</w:t>
      </w:r>
      <w:r>
        <w:rPr>
          <w:noProof/>
        </w:rPr>
        <w:tab/>
      </w:r>
      <w:r w:rsidRPr="00FB6721">
        <w:rPr>
          <w:noProof/>
        </w:rPr>
        <w:t>INCIDENCE BUDGÉTAIRE</w:t>
      </w:r>
    </w:p>
    <w:p w:rsidR="00CA64BD" w:rsidRPr="00FB6721" w:rsidRDefault="00627CF7">
      <w:pPr>
        <w:rPr>
          <w:noProof/>
        </w:rPr>
      </w:pPr>
      <w:r w:rsidRPr="00FB6721">
        <w:rPr>
          <w:noProof/>
        </w:rPr>
        <w:t>Sans objet</w:t>
      </w:r>
    </w:p>
    <w:p w:rsidR="00CA64BD" w:rsidRPr="00FB6721" w:rsidRDefault="00627CF7">
      <w:pPr>
        <w:pStyle w:val="ManualHeading1"/>
        <w:rPr>
          <w:noProof/>
        </w:rPr>
      </w:pPr>
      <w:r>
        <w:rPr>
          <w:noProof/>
        </w:rPr>
        <w:t>5.</w:t>
      </w:r>
      <w:r>
        <w:rPr>
          <w:noProof/>
        </w:rPr>
        <w:tab/>
      </w:r>
      <w:r w:rsidRPr="00FB6721">
        <w:rPr>
          <w:noProof/>
        </w:rPr>
        <w:t>AUTRES ÉLÉMENTS</w:t>
      </w:r>
    </w:p>
    <w:p w:rsidR="00CA64BD" w:rsidRPr="00FB6721" w:rsidRDefault="00627CF7">
      <w:pPr>
        <w:pStyle w:val="ManualHeading2"/>
        <w:rPr>
          <w:noProof/>
        </w:rPr>
      </w:pPr>
      <w:r w:rsidRPr="00FB6721">
        <w:rPr>
          <w:noProof/>
        </w:rPr>
        <w:t>•</w:t>
      </w:r>
      <w:r w:rsidRPr="00FB6721">
        <w:rPr>
          <w:noProof/>
        </w:rPr>
        <w:tab/>
        <w:t>Plans de mise en œuvre et modalités de suivi, d’évaluation et d’information</w:t>
      </w:r>
    </w:p>
    <w:p w:rsidR="00CA64BD" w:rsidRPr="00FB6721" w:rsidRDefault="00627CF7">
      <w:pPr>
        <w:rPr>
          <w:noProof/>
        </w:rPr>
      </w:pPr>
      <w:r w:rsidRPr="00FB6721">
        <w:rPr>
          <w:noProof/>
        </w:rPr>
        <w:t>Sans objet</w:t>
      </w:r>
    </w:p>
    <w:p w:rsidR="00CA64BD" w:rsidRPr="00FB6721" w:rsidRDefault="00627CF7">
      <w:pPr>
        <w:pStyle w:val="ManualHeading2"/>
        <w:rPr>
          <w:noProof/>
        </w:rPr>
      </w:pPr>
      <w:r w:rsidRPr="00FB6721">
        <w:rPr>
          <w:noProof/>
        </w:rPr>
        <w:t>•</w:t>
      </w:r>
      <w:r w:rsidRPr="00FB6721">
        <w:rPr>
          <w:noProof/>
        </w:rPr>
        <w:tab/>
        <w:t>Explication détaillée de certaines dispositions de la proposition</w:t>
      </w:r>
    </w:p>
    <w:p w:rsidR="00CA64BD" w:rsidRPr="00FB6721" w:rsidRDefault="00627CF7">
      <w:pPr>
        <w:rPr>
          <w:noProof/>
        </w:rPr>
      </w:pPr>
      <w:r w:rsidRPr="00FB6721">
        <w:rPr>
          <w:noProof/>
        </w:rPr>
        <w:t>Sans objet</w:t>
      </w:r>
    </w:p>
    <w:p w:rsidR="00CA64BD" w:rsidRPr="00FB6721" w:rsidRDefault="00CA64BD">
      <w:pPr>
        <w:rPr>
          <w:noProof/>
        </w:rPr>
        <w:sectPr w:rsidR="00CA64BD" w:rsidRPr="00FB6721" w:rsidSect="00A96BEC">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rsidR="00501065" w:rsidRDefault="00467A17">
      <w:pPr>
        <w:pStyle w:val="Rfrenceinterinstitutionnelle"/>
        <w:rPr>
          <w:noProof/>
        </w:rPr>
      </w:pPr>
      <w:r>
        <w:rPr>
          <w:noProof/>
        </w:rPr>
        <w:lastRenderedPageBreak/>
        <w:t>2026/0140 (NLE)</w:t>
      </w:r>
    </w:p>
    <w:p w:rsidR="00CA64BD" w:rsidRPr="00FB6721" w:rsidRDefault="00091ECF" w:rsidP="00091ECF">
      <w:pPr>
        <w:pStyle w:val="Statut"/>
        <w:rPr>
          <w:noProof/>
        </w:rPr>
      </w:pPr>
      <w:r w:rsidRPr="00091ECF">
        <w:rPr>
          <w:noProof/>
        </w:rPr>
        <w:t>Proposition de</w:t>
      </w:r>
    </w:p>
    <w:p w:rsidR="00CA64BD" w:rsidRPr="00FB6721" w:rsidRDefault="00091ECF" w:rsidP="00091ECF">
      <w:pPr>
        <w:pStyle w:val="Typedudocument"/>
        <w:rPr>
          <w:noProof/>
        </w:rPr>
      </w:pPr>
      <w:r w:rsidRPr="00091ECF">
        <w:rPr>
          <w:noProof/>
        </w:rPr>
        <w:t>DÉCISION DU CONSEIL</w:t>
      </w:r>
    </w:p>
    <w:p w:rsidR="00CA64BD" w:rsidRPr="00FB6721" w:rsidRDefault="00091ECF" w:rsidP="00091ECF">
      <w:pPr>
        <w:pStyle w:val="Titreobjet"/>
        <w:rPr>
          <w:noProof/>
        </w:rPr>
      </w:pPr>
      <w:r w:rsidRPr="00091ECF">
        <w:rPr>
          <w:noProof/>
        </w:rPr>
        <w:t>relative aux contributions financières à verser par les parties au Fonds européen de développement au titre de la deuxième tranche pour l’exercice 2026</w:t>
      </w:r>
    </w:p>
    <w:p w:rsidR="00CA64BD" w:rsidRPr="00FB6721" w:rsidRDefault="00627CF7">
      <w:pPr>
        <w:pStyle w:val="Institutionquiagit"/>
        <w:rPr>
          <w:noProof/>
        </w:rPr>
      </w:pPr>
      <w:r w:rsidRPr="00FB6721">
        <w:rPr>
          <w:noProof/>
        </w:rPr>
        <w:t>LE CONSEIL DE L’UNION EUROPÉENNE,</w:t>
      </w:r>
    </w:p>
    <w:p w:rsidR="00CA64BD" w:rsidRPr="00FB6721" w:rsidRDefault="00627CF7">
      <w:pPr>
        <w:rPr>
          <w:noProof/>
        </w:rPr>
      </w:pPr>
      <w:r w:rsidRPr="00FB6721">
        <w:rPr>
          <w:noProof/>
        </w:rPr>
        <w:t>vu le traité sur le fonctionnement de l’Union européenne,</w:t>
      </w:r>
    </w:p>
    <w:p w:rsidR="00CA64BD" w:rsidRPr="00FB6721" w:rsidRDefault="00627CF7">
      <w:pPr>
        <w:rPr>
          <w:noProof/>
        </w:rPr>
      </w:pPr>
      <w:r w:rsidRPr="00FB6721">
        <w:rPr>
          <w:noProof/>
        </w:rPr>
        <w:t>vu l’accord interne entre les représentants des gouvernements des États membres de l’Union européenne, réunis au sein du Conseil, relatif au financement de l’aide de l’Union européenne au titre du cadre financier pluriannuel pour la période 2014-2020, conformément à l’accord de partenariat ACP-UE et à l’affectation des aides financières destinées aux pays et territoires d’outre-mer auxquels s’appliquent les dispositions de la quatrième partie du traité sur le fonctionnement de l’Union européenne</w:t>
      </w:r>
      <w:r w:rsidRPr="00FB6721">
        <w:rPr>
          <w:rStyle w:val="FootnoteReference"/>
          <w:noProof/>
        </w:rPr>
        <w:footnoteReference w:customMarkFollows="1" w:id="5"/>
        <w:t>(1)</w:t>
      </w:r>
      <w:r w:rsidRPr="00FB6721">
        <w:rPr>
          <w:noProof/>
        </w:rPr>
        <w:t>, et notamment son article 7, paragraphe 2, en liaison avec l’article 14, paragraphe 3,</w:t>
      </w:r>
    </w:p>
    <w:p w:rsidR="00CA64BD" w:rsidRPr="00FB6721" w:rsidRDefault="00627CF7">
      <w:pPr>
        <w:rPr>
          <w:noProof/>
        </w:rPr>
      </w:pPr>
      <w:r w:rsidRPr="00FB6721">
        <w:rPr>
          <w:noProof/>
        </w:rPr>
        <w:t>vu le règlement (UE) 2018/1877 du Conseil du 26 novembre 2018 portant règlement financier applicable au 11</w:t>
      </w:r>
      <w:r w:rsidRPr="00FB6721">
        <w:rPr>
          <w:noProof/>
          <w:vertAlign w:val="superscript"/>
        </w:rPr>
        <w:t>e</w:t>
      </w:r>
      <w:r w:rsidRPr="00FB6721">
        <w:rPr>
          <w:noProof/>
        </w:rPr>
        <w:t xml:space="preserve"> Fonds européen de développement, et abrogeant le règlement (UE) 2015/323</w:t>
      </w:r>
      <w:r w:rsidRPr="00FB6721">
        <w:rPr>
          <w:rStyle w:val="FootnoteReference"/>
          <w:noProof/>
        </w:rPr>
        <w:footnoteReference w:customMarkFollows="1" w:id="6"/>
        <w:t>(2)</w:t>
      </w:r>
      <w:r w:rsidRPr="00FB6721">
        <w:rPr>
          <w:noProof/>
        </w:rPr>
        <w:t>, et notamment son article 19, paragraphe 3,</w:t>
      </w:r>
    </w:p>
    <w:p w:rsidR="00CA64BD" w:rsidRPr="00FB6721" w:rsidRDefault="00627CF7">
      <w:pPr>
        <w:rPr>
          <w:noProof/>
        </w:rPr>
      </w:pPr>
      <w:r w:rsidRPr="00FB6721">
        <w:rPr>
          <w:noProof/>
        </w:rPr>
        <w:t>vu la proposition de la Commission européenne,</w:t>
      </w:r>
    </w:p>
    <w:p w:rsidR="00CA64BD" w:rsidRPr="00FB6721" w:rsidRDefault="00627CF7">
      <w:pPr>
        <w:rPr>
          <w:noProof/>
        </w:rPr>
      </w:pPr>
      <w:r w:rsidRPr="00FB6721">
        <w:rPr>
          <w:noProof/>
        </w:rPr>
        <w:t>considérant ce qui suit:</w:t>
      </w:r>
    </w:p>
    <w:p w:rsidR="00CA64BD" w:rsidRPr="00FB6721" w:rsidRDefault="00627CF7" w:rsidP="00BD0E25">
      <w:pPr>
        <w:pStyle w:val="ManualConsidrant"/>
        <w:rPr>
          <w:noProof/>
        </w:rPr>
      </w:pPr>
      <w:r>
        <w:rPr>
          <w:noProof/>
        </w:rPr>
        <w:t>(1)</w:t>
      </w:r>
      <w:r>
        <w:rPr>
          <w:noProof/>
        </w:rPr>
        <w:tab/>
      </w:r>
      <w:r w:rsidRPr="00FB6721">
        <w:rPr>
          <w:noProof/>
        </w:rPr>
        <w:t>Conformément à l’article 1</w:t>
      </w:r>
      <w:r w:rsidRPr="00FB6721">
        <w:rPr>
          <w:noProof/>
          <w:vertAlign w:val="superscript"/>
        </w:rPr>
        <w:t>er</w:t>
      </w:r>
      <w:r w:rsidRPr="00FB6721">
        <w:rPr>
          <w:noProof/>
        </w:rPr>
        <w:t xml:space="preserve"> de l’accord interne entre les représentants des gouvernements des États membres de l’Union européenne, la clé de contribution pour chaque partie au Fonds européen de développement (FED) est établie</w:t>
      </w:r>
      <w:r w:rsidRPr="00FB6721">
        <w:rPr>
          <w:rStyle w:val="FootnoteReference"/>
          <w:noProof/>
        </w:rPr>
        <w:footnoteReference w:customMarkFollows="1" w:id="7"/>
        <w:t>(3)</w:t>
      </w:r>
      <w:r w:rsidRPr="00FB6721">
        <w:rPr>
          <w:noProof/>
        </w:rPr>
        <w:t>.</w:t>
      </w:r>
    </w:p>
    <w:p w:rsidR="00CA64BD" w:rsidRPr="00FB6721" w:rsidRDefault="00627CF7">
      <w:pPr>
        <w:pStyle w:val="ManualConsidrant"/>
        <w:rPr>
          <w:noProof/>
        </w:rPr>
      </w:pPr>
      <w:r>
        <w:rPr>
          <w:noProof/>
        </w:rPr>
        <w:t>(2)</w:t>
      </w:r>
      <w:r>
        <w:rPr>
          <w:noProof/>
        </w:rPr>
        <w:tab/>
      </w:r>
      <w:r w:rsidRPr="00FB6721">
        <w:rPr>
          <w:noProof/>
        </w:rPr>
        <w:t>Conformément à l’article 46 du règlement (UE) 2018/1877 du Conseil, la Banque européenne d’investissement (BEI) doit communiquer à la Commission ses prévisions actualisées des engagements et des paiements pour les instruments dont elle assure la gestion.</w:t>
      </w:r>
    </w:p>
    <w:p w:rsidR="00CA64BD" w:rsidRPr="00FB6721" w:rsidRDefault="00627CF7">
      <w:pPr>
        <w:pStyle w:val="ManualConsidrant"/>
        <w:rPr>
          <w:noProof/>
        </w:rPr>
      </w:pPr>
      <w:r>
        <w:rPr>
          <w:noProof/>
        </w:rPr>
        <w:t>(3)</w:t>
      </w:r>
      <w:r>
        <w:rPr>
          <w:noProof/>
        </w:rPr>
        <w:tab/>
      </w:r>
      <w:r w:rsidRPr="00FB6721">
        <w:rPr>
          <w:noProof/>
        </w:rPr>
        <w:t>Conformément à l’article 19, paragraphe 3, du règlement (UE) 2018/1877 du Conseil, la Commission doit présenter, au plus tard le 15 juin 2026, une proposition qui indique le montant de la deuxième tranche de la contribution pour l’exercice 2026.</w:t>
      </w:r>
    </w:p>
    <w:p w:rsidR="00CA64BD" w:rsidRPr="00FB6721" w:rsidRDefault="00627CF7">
      <w:pPr>
        <w:pStyle w:val="ManualConsidrant"/>
        <w:rPr>
          <w:noProof/>
        </w:rPr>
      </w:pPr>
      <w:r>
        <w:rPr>
          <w:noProof/>
        </w:rPr>
        <w:t>(4)</w:t>
      </w:r>
      <w:r>
        <w:rPr>
          <w:noProof/>
        </w:rPr>
        <w:tab/>
      </w:r>
      <w:r w:rsidRPr="00FB6721">
        <w:rPr>
          <w:noProof/>
        </w:rPr>
        <w:t>Conformément à l’article 20, paragraphe 1, du règlement (UE) 2018/1877 du Conseil, les appels à contributions doivent d’abord utiliser les montants prévus dans les Fonds européens de développement (FED) antérieurs. Par conséquent, il convient de lancer un appel de fonds, conformément au règlement (UE) 2018/1877, pour la BEI et pour la Commission.</w:t>
      </w:r>
    </w:p>
    <w:p w:rsidR="00CA64BD" w:rsidRPr="00FB6721" w:rsidRDefault="00627CF7">
      <w:pPr>
        <w:pStyle w:val="ManualConsidrant"/>
        <w:rPr>
          <w:noProof/>
        </w:rPr>
      </w:pPr>
      <w:r>
        <w:rPr>
          <w:noProof/>
        </w:rPr>
        <w:t>(5)</w:t>
      </w:r>
      <w:r>
        <w:rPr>
          <w:noProof/>
        </w:rPr>
        <w:tab/>
      </w:r>
      <w:r w:rsidRPr="00FB6721">
        <w:rPr>
          <w:noProof/>
        </w:rPr>
        <w:t>La décision (UE) 2025/2324 du Conseil</w:t>
      </w:r>
      <w:r w:rsidRPr="00FB6721">
        <w:rPr>
          <w:rStyle w:val="FootnoteReference"/>
          <w:noProof/>
        </w:rPr>
        <w:footnoteReference w:customMarkFollows="1" w:id="8"/>
        <w:t>(4)</w:t>
      </w:r>
      <w:r w:rsidRPr="00FB6721">
        <w:rPr>
          <w:noProof/>
        </w:rPr>
        <w:t xml:space="preserve"> fixe le montant annuel de la contribution à verser par les parties au FED pour l’exercice 2026 à 700 000 000 EUR pour la Commission</w:t>
      </w:r>
      <w:r w:rsidRPr="00FB6721">
        <w:rPr>
          <w:rStyle w:val="FootnoteReference"/>
          <w:noProof/>
        </w:rPr>
        <w:footnoteReference w:customMarkFollows="1" w:id="9"/>
        <w:t>(5)</w:t>
      </w:r>
      <w:r w:rsidRPr="00FB6721">
        <w:rPr>
          <w:noProof/>
        </w:rPr>
        <w:t>. </w:t>
      </w:r>
    </w:p>
    <w:p w:rsidR="00CA64BD" w:rsidRPr="00FB6721" w:rsidRDefault="00627CF7">
      <w:pPr>
        <w:pStyle w:val="ManualConsidrant"/>
        <w:rPr>
          <w:noProof/>
        </w:rPr>
      </w:pPr>
      <w:r>
        <w:rPr>
          <w:noProof/>
        </w:rPr>
        <w:lastRenderedPageBreak/>
        <w:t>(6)</w:t>
      </w:r>
      <w:r>
        <w:rPr>
          <w:noProof/>
        </w:rPr>
        <w:tab/>
      </w:r>
      <w:r w:rsidRPr="00FB6721">
        <w:rPr>
          <w:noProof/>
        </w:rPr>
        <w:t>Afin de permettre une application rapide des mesures prévues par la présente décision, il convient que celle-ci entre en vigueur le jour de sa publication au Journal officiel de l’Union européenne,</w:t>
      </w:r>
    </w:p>
    <w:p w:rsidR="00CA64BD" w:rsidRPr="00FB6721" w:rsidRDefault="00627CF7">
      <w:pPr>
        <w:pStyle w:val="Formuledadoption"/>
        <w:rPr>
          <w:noProof/>
        </w:rPr>
      </w:pPr>
      <w:r w:rsidRPr="00FB6721">
        <w:rPr>
          <w:noProof/>
        </w:rPr>
        <w:t>A ADOPTÉ LA PRÉSENTE DÉCISION:</w:t>
      </w:r>
    </w:p>
    <w:p w:rsidR="00CA64BD" w:rsidRPr="00FB6721" w:rsidRDefault="00627CF7">
      <w:pPr>
        <w:pStyle w:val="Titrearticle"/>
        <w:rPr>
          <w:noProof/>
        </w:rPr>
      </w:pPr>
      <w:r w:rsidRPr="00FB6721">
        <w:rPr>
          <w:noProof/>
        </w:rPr>
        <w:t>Article premier</w:t>
      </w:r>
    </w:p>
    <w:p w:rsidR="00CA64BD" w:rsidRPr="00FB6721" w:rsidRDefault="00627CF7">
      <w:pPr>
        <w:rPr>
          <w:noProof/>
        </w:rPr>
      </w:pPr>
      <w:r w:rsidRPr="00FB6721">
        <w:rPr>
          <w:noProof/>
        </w:rPr>
        <w:t>Le montant des contributions à verser par les parties au Fonds européen pour le développement au titre de la deuxième tranche pour l’exercice 2026 est fixé à 250 000 000 EUR pour la Commission.</w:t>
      </w:r>
    </w:p>
    <w:p w:rsidR="00CA64BD" w:rsidRPr="00FB6721" w:rsidRDefault="00627CF7">
      <w:pPr>
        <w:pStyle w:val="Titrearticle"/>
        <w:rPr>
          <w:noProof/>
        </w:rPr>
      </w:pPr>
      <w:r w:rsidRPr="00FB6721">
        <w:rPr>
          <w:noProof/>
        </w:rPr>
        <w:t>Article 2</w:t>
      </w:r>
    </w:p>
    <w:p w:rsidR="00CA64BD" w:rsidRPr="00FB6721" w:rsidRDefault="00627CF7">
      <w:pPr>
        <w:rPr>
          <w:noProof/>
        </w:rPr>
      </w:pPr>
      <w:r w:rsidRPr="00FB6721">
        <w:rPr>
          <w:noProof/>
        </w:rPr>
        <w:t>Les contributions individuelles au Fonds européen de développement sont versées par les parties au Fonds européen de développement à la Commission européenne au titre de la deuxième tranche pour l’exercice 2026, conformément à l’annexe.</w:t>
      </w:r>
    </w:p>
    <w:p w:rsidR="00CA64BD" w:rsidRPr="00FB6721" w:rsidRDefault="00627CF7" w:rsidP="008E7CA9">
      <w:pPr>
        <w:pStyle w:val="Titrearticle"/>
        <w:rPr>
          <w:noProof/>
        </w:rPr>
      </w:pPr>
      <w:r w:rsidRPr="00FB6721">
        <w:rPr>
          <w:noProof/>
        </w:rPr>
        <w:t>Article 3</w:t>
      </w:r>
    </w:p>
    <w:p w:rsidR="00CA64BD" w:rsidRPr="00FB6721" w:rsidRDefault="00627CF7">
      <w:pPr>
        <w:rPr>
          <w:noProof/>
        </w:rPr>
      </w:pPr>
      <w:r w:rsidRPr="00FB6721">
        <w:rPr>
          <w:noProof/>
        </w:rPr>
        <w:t xml:space="preserve">La présente décision entre en vigueur le jour de sa publication au </w:t>
      </w:r>
      <w:r w:rsidRPr="00FB6721">
        <w:rPr>
          <w:i/>
          <w:iCs/>
          <w:noProof/>
        </w:rPr>
        <w:t>Journal officiel de l’Union européenne</w:t>
      </w:r>
      <w:r w:rsidRPr="00FB6721">
        <w:rPr>
          <w:noProof/>
        </w:rPr>
        <w:t>.</w:t>
      </w:r>
    </w:p>
    <w:p w:rsidR="00CA64BD" w:rsidRPr="00FB6721" w:rsidRDefault="00091ECF" w:rsidP="008E7CA9">
      <w:pPr>
        <w:pStyle w:val="Fait"/>
        <w:rPr>
          <w:noProof/>
        </w:rPr>
      </w:pPr>
      <w:r>
        <w:rPr>
          <w:noProof/>
        </w:rPr>
        <w:t>Fait à Bruxelles, le</w:t>
      </w:r>
    </w:p>
    <w:p w:rsidR="00CA64BD" w:rsidRPr="00FB6721" w:rsidRDefault="00627CF7" w:rsidP="008E7CA9">
      <w:pPr>
        <w:pStyle w:val="Institutionquisigne"/>
        <w:rPr>
          <w:noProof/>
        </w:rPr>
      </w:pPr>
      <w:r w:rsidRPr="00FB6721">
        <w:rPr>
          <w:noProof/>
        </w:rPr>
        <w:tab/>
        <w:t>Par le Conseil</w:t>
      </w:r>
    </w:p>
    <w:p w:rsidR="00CA64BD" w:rsidRPr="00FB6721" w:rsidRDefault="00627CF7" w:rsidP="008E7CA9">
      <w:pPr>
        <w:pStyle w:val="Personnequisigne"/>
        <w:keepNext/>
        <w:rPr>
          <w:noProof/>
        </w:rPr>
      </w:pPr>
      <w:r w:rsidRPr="00FB6721">
        <w:rPr>
          <w:noProof/>
        </w:rPr>
        <w:tab/>
        <w:t>Le président/La présidente</w:t>
      </w:r>
    </w:p>
    <w:p w:rsidR="00CA64BD" w:rsidRPr="00FB6721" w:rsidRDefault="00627CF7">
      <w:pPr>
        <w:pStyle w:val="Personnequisigne"/>
        <w:rPr>
          <w:noProof/>
        </w:rPr>
      </w:pPr>
      <w:r w:rsidRPr="00FB6721">
        <w:rPr>
          <w:noProof/>
        </w:rPr>
        <w:tab/>
        <w:t>[...]</w:t>
      </w:r>
    </w:p>
    <w:sectPr w:rsidR="00CA64BD" w:rsidRPr="00FB6721" w:rsidSect="00A96BEC">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45C" w:rsidRDefault="0082445C" w:rsidP="0082445C">
      <w:pPr>
        <w:spacing w:before="0" w:after="0"/>
      </w:pPr>
      <w:r>
        <w:separator/>
      </w:r>
    </w:p>
  </w:endnote>
  <w:endnote w:type="continuationSeparator" w:id="0">
    <w:p w:rsidR="0082445C" w:rsidRDefault="0082445C" w:rsidP="0082445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BEC" w:rsidRPr="00A96BEC" w:rsidRDefault="00A96BEC" w:rsidP="00A96BEC">
    <w:pPr>
      <w:pStyle w:val="Footer"/>
      <w:rPr>
        <w:rFonts w:ascii="Arial" w:hAnsi="Arial" w:cs="Arial"/>
        <w:b/>
        <w:sz w:val="48"/>
      </w:rPr>
    </w:pPr>
    <w:r w:rsidRPr="00A96BEC">
      <w:rPr>
        <w:rFonts w:ascii="Arial" w:hAnsi="Arial" w:cs="Arial"/>
        <w:b/>
        <w:sz w:val="48"/>
      </w:rPr>
      <w:t>FR</w:t>
    </w:r>
    <w:r w:rsidRPr="00A96BEC">
      <w:rPr>
        <w:rFonts w:ascii="Arial" w:hAnsi="Arial" w:cs="Arial"/>
        <w:b/>
        <w:sz w:val="48"/>
      </w:rPr>
      <w:tab/>
    </w:r>
    <w:r w:rsidRPr="00A96BEC">
      <w:rPr>
        <w:rFonts w:ascii="Arial" w:hAnsi="Arial" w:cs="Arial"/>
        <w:b/>
        <w:sz w:val="48"/>
      </w:rPr>
      <w:tab/>
    </w:r>
    <w:r w:rsidRPr="00A96BEC">
      <w:tab/>
    </w:r>
    <w:r w:rsidRPr="00A96BE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BEC" w:rsidRPr="00A96BEC" w:rsidRDefault="00A96BEC" w:rsidP="00A96BEC">
    <w:pPr>
      <w:pStyle w:val="Footer"/>
      <w:rPr>
        <w:rFonts w:ascii="Arial" w:hAnsi="Arial" w:cs="Arial"/>
        <w:b/>
        <w:sz w:val="48"/>
      </w:rPr>
    </w:pPr>
    <w:r w:rsidRPr="00A96BEC">
      <w:rPr>
        <w:rFonts w:ascii="Arial" w:hAnsi="Arial" w:cs="Arial"/>
        <w:b/>
        <w:sz w:val="48"/>
      </w:rPr>
      <w:t>FR</w:t>
    </w:r>
    <w:r w:rsidRPr="00A96BEC">
      <w:rPr>
        <w:rFonts w:ascii="Arial" w:hAnsi="Arial" w:cs="Arial"/>
        <w:b/>
        <w:sz w:val="48"/>
      </w:rPr>
      <w:tab/>
    </w:r>
    <w:r w:rsidRPr="00A96BEC">
      <w:rPr>
        <w:rFonts w:ascii="Arial" w:hAnsi="Arial" w:cs="Arial"/>
        <w:b/>
        <w:sz w:val="48"/>
      </w:rPr>
      <w:tab/>
    </w:r>
    <w:r w:rsidRPr="00A96BEC">
      <w:tab/>
    </w:r>
    <w:r w:rsidRPr="00A96BE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BEC" w:rsidRDefault="00A96B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BEC" w:rsidRPr="00A96BEC" w:rsidRDefault="00A96BEC" w:rsidP="00A96BEC">
    <w:pPr>
      <w:pStyle w:val="Footer"/>
      <w:rPr>
        <w:rFonts w:ascii="Arial" w:hAnsi="Arial" w:cs="Arial"/>
        <w:b/>
        <w:sz w:val="48"/>
      </w:rPr>
    </w:pPr>
    <w:r w:rsidRPr="00A96BEC">
      <w:rPr>
        <w:rFonts w:ascii="Arial" w:hAnsi="Arial" w:cs="Arial"/>
        <w:b/>
        <w:sz w:val="48"/>
      </w:rPr>
      <w:t>FR</w:t>
    </w:r>
    <w:r w:rsidRPr="00A96BEC">
      <w:rPr>
        <w:rFonts w:ascii="Arial" w:hAnsi="Arial" w:cs="Arial"/>
        <w:b/>
        <w:sz w:val="48"/>
      </w:rPr>
      <w:tab/>
    </w:r>
    <w:r>
      <w:fldChar w:fldCharType="begin"/>
    </w:r>
    <w:r>
      <w:instrText xml:space="preserve"> PAGE  \* MERGEFORMAT </w:instrText>
    </w:r>
    <w:r>
      <w:fldChar w:fldCharType="separate"/>
    </w:r>
    <w:r w:rsidR="00467A17">
      <w:rPr>
        <w:noProof/>
      </w:rPr>
      <w:t>1</w:t>
    </w:r>
    <w:r>
      <w:fldChar w:fldCharType="end"/>
    </w:r>
    <w:r>
      <w:tab/>
    </w:r>
    <w:r w:rsidRPr="00A96BEC">
      <w:tab/>
    </w:r>
    <w:r w:rsidRPr="00A96BEC">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BEC" w:rsidRDefault="00A96BEC" w:rsidP="00A96B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45C" w:rsidRDefault="0082445C" w:rsidP="0082445C">
      <w:pPr>
        <w:spacing w:before="0" w:after="0"/>
      </w:pPr>
      <w:r>
        <w:separator/>
      </w:r>
    </w:p>
  </w:footnote>
  <w:footnote w:type="continuationSeparator" w:id="0">
    <w:p w:rsidR="0082445C" w:rsidRDefault="0082445C" w:rsidP="0082445C">
      <w:pPr>
        <w:spacing w:before="0" w:after="0"/>
      </w:pPr>
      <w:r>
        <w:continuationSeparator/>
      </w:r>
    </w:p>
  </w:footnote>
  <w:footnote w:id="1">
    <w:p w:rsidR="00CA64BD" w:rsidRPr="00FB6721" w:rsidRDefault="00627CF7">
      <w:pPr>
        <w:pStyle w:val="FootnoteText"/>
        <w:rPr>
          <w:lang w:val="fr-BE"/>
        </w:rPr>
      </w:pPr>
      <w:r w:rsidRPr="00FB6721">
        <w:rPr>
          <w:rStyle w:val="FootnoteReference"/>
          <w:lang w:val="fr-BE"/>
        </w:rPr>
        <w:t>(1)</w:t>
      </w:r>
      <w:r w:rsidRPr="00FB6721">
        <w:rPr>
          <w:lang w:val="fr-BE"/>
        </w:rPr>
        <w:tab/>
        <w:t>JO L 210 du 6.8.2013, p. 1.</w:t>
      </w:r>
    </w:p>
  </w:footnote>
  <w:footnote w:id="2">
    <w:p w:rsidR="00CA64BD" w:rsidRPr="00FB6721" w:rsidRDefault="00627CF7">
      <w:pPr>
        <w:pStyle w:val="FootnoteText"/>
        <w:rPr>
          <w:lang w:val="fr-BE"/>
        </w:rPr>
      </w:pPr>
      <w:r w:rsidRPr="00FB6721">
        <w:rPr>
          <w:rStyle w:val="FootnoteReference"/>
          <w:lang w:val="fr-BE"/>
        </w:rPr>
        <w:t>(2)</w:t>
      </w:r>
      <w:r w:rsidRPr="00FB6721">
        <w:rPr>
          <w:lang w:val="fr-BE"/>
        </w:rPr>
        <w:tab/>
        <w:t>JO L 307 du 3.12.2018, p. 1.</w:t>
      </w:r>
    </w:p>
  </w:footnote>
  <w:footnote w:id="3">
    <w:p w:rsidR="00CA64BD" w:rsidRPr="00FB6721" w:rsidRDefault="00627CF7">
      <w:pPr>
        <w:pStyle w:val="FootnoteText"/>
        <w:rPr>
          <w:lang w:val="fr-BE"/>
        </w:rPr>
      </w:pPr>
      <w:r w:rsidRPr="00FB6721">
        <w:rPr>
          <w:rStyle w:val="FootnoteReference"/>
          <w:lang w:val="fr-BE"/>
        </w:rPr>
        <w:t>(3)</w:t>
      </w:r>
      <w:r w:rsidRPr="00FB6721">
        <w:rPr>
          <w:lang w:val="fr-BE"/>
        </w:rPr>
        <w:tab/>
        <w:t>JO L 437 du 28.12.2020, p. 188.</w:t>
      </w:r>
    </w:p>
  </w:footnote>
  <w:footnote w:id="4">
    <w:p w:rsidR="00CA64BD" w:rsidRPr="00FB6721" w:rsidRDefault="00627CF7">
      <w:pPr>
        <w:pStyle w:val="FootnoteText"/>
        <w:rPr>
          <w:lang w:val="fr-BE"/>
        </w:rPr>
      </w:pPr>
      <w:r w:rsidRPr="00FB6721">
        <w:rPr>
          <w:rStyle w:val="FootnoteReference"/>
          <w:lang w:val="fr-BE"/>
        </w:rPr>
        <w:t>(4)</w:t>
      </w:r>
      <w:r w:rsidRPr="00FB6721">
        <w:rPr>
          <w:lang w:val="fr-BE"/>
        </w:rPr>
        <w:tab/>
        <w:t>JO L 188 du 15.7.2022, p. 147.</w:t>
      </w:r>
    </w:p>
  </w:footnote>
  <w:footnote w:id="5">
    <w:p w:rsidR="00CA64BD" w:rsidRPr="00FB6721" w:rsidRDefault="00627CF7">
      <w:pPr>
        <w:pStyle w:val="FootnoteText"/>
        <w:rPr>
          <w:lang w:val="fr-BE"/>
        </w:rPr>
      </w:pPr>
      <w:r w:rsidRPr="00FB6721">
        <w:rPr>
          <w:rStyle w:val="FootnoteReference"/>
          <w:lang w:val="fr-BE"/>
        </w:rPr>
        <w:t>(1)</w:t>
      </w:r>
      <w:r w:rsidRPr="00FB6721">
        <w:rPr>
          <w:lang w:val="fr-BE"/>
        </w:rPr>
        <w:tab/>
        <w:t>JO L 210 du 6.8.2013, p. 1, ELI: http://data.europa.eu/eli/treaty/tfeu_2016/oj.</w:t>
      </w:r>
    </w:p>
  </w:footnote>
  <w:footnote w:id="6">
    <w:p w:rsidR="00CA64BD" w:rsidRPr="00FB6721" w:rsidRDefault="00627CF7">
      <w:pPr>
        <w:pStyle w:val="FootnoteText"/>
        <w:rPr>
          <w:lang w:val="fr-BE"/>
        </w:rPr>
      </w:pPr>
      <w:r w:rsidRPr="00FB6721">
        <w:rPr>
          <w:rStyle w:val="FootnoteReference"/>
          <w:lang w:val="fr-BE"/>
        </w:rPr>
        <w:t>(2)</w:t>
      </w:r>
      <w:r w:rsidRPr="00FB6721">
        <w:rPr>
          <w:lang w:val="fr-BE"/>
        </w:rPr>
        <w:tab/>
        <w:t>JO L 307 du 3.12.2018, p. 1, ELI: http://data.europa.eu/eli/reg/2018/1877/oj.</w:t>
      </w:r>
    </w:p>
  </w:footnote>
  <w:footnote w:id="7">
    <w:p w:rsidR="00CA64BD" w:rsidRPr="00FB6721" w:rsidRDefault="00627CF7">
      <w:pPr>
        <w:pStyle w:val="FootnoteText"/>
        <w:rPr>
          <w:lang w:val="fr-BE"/>
        </w:rPr>
      </w:pPr>
      <w:r w:rsidRPr="00FB6721">
        <w:rPr>
          <w:rStyle w:val="FootnoteReference"/>
          <w:lang w:val="fr-BE"/>
        </w:rPr>
        <w:t>(3)</w:t>
      </w:r>
      <w:r w:rsidRPr="00FB6721">
        <w:rPr>
          <w:lang w:val="fr-BE"/>
        </w:rPr>
        <w:tab/>
        <w:t>JO L 210 du 6.8.2013, p. 1, ELI: http://data.europa.eu/eli/treaty/tfeu_2016/oj.</w:t>
      </w:r>
    </w:p>
  </w:footnote>
  <w:footnote w:id="8">
    <w:p w:rsidR="00CA64BD" w:rsidRPr="00091ECF" w:rsidRDefault="00627CF7">
      <w:pPr>
        <w:pStyle w:val="FootnoteText"/>
        <w:rPr>
          <w:lang w:val="es-ES"/>
        </w:rPr>
      </w:pPr>
      <w:r w:rsidRPr="00091ECF">
        <w:rPr>
          <w:rStyle w:val="FootnoteReference"/>
          <w:lang w:val="es-ES"/>
        </w:rPr>
        <w:t>(4)</w:t>
      </w:r>
      <w:r w:rsidRPr="00091ECF">
        <w:rPr>
          <w:lang w:val="es-ES"/>
        </w:rPr>
        <w:tab/>
        <w:t>JO L, 2025/2324, 14.11.2025, p. 1, ELI: http://data.europa.eu/eli/dec/2025/2324/2025-11-14.</w:t>
      </w:r>
    </w:p>
  </w:footnote>
  <w:footnote w:id="9">
    <w:p w:rsidR="00CA64BD" w:rsidRPr="00FB6721" w:rsidRDefault="00627CF7">
      <w:pPr>
        <w:pStyle w:val="FootnoteText"/>
        <w:rPr>
          <w:lang w:val="fr-BE"/>
        </w:rPr>
      </w:pPr>
      <w:r w:rsidRPr="00FB6721">
        <w:rPr>
          <w:rStyle w:val="FootnoteReference"/>
          <w:lang w:val="fr-BE"/>
        </w:rPr>
        <w:t>(5)</w:t>
      </w:r>
      <w:r w:rsidRPr="00FB6721">
        <w:rPr>
          <w:lang w:val="fr-BE"/>
        </w:rPr>
        <w:tab/>
        <w:t>La BEI a appelé la totalité de sa part des crédits du 11</w:t>
      </w:r>
      <w:r w:rsidRPr="00FB6721">
        <w:rPr>
          <w:vertAlign w:val="superscript"/>
          <w:lang w:val="fr-BE"/>
        </w:rPr>
        <w:t>e</w:t>
      </w:r>
      <w:r w:rsidRPr="00FB6721">
        <w:rPr>
          <w:lang w:val="fr-BE"/>
        </w:rPr>
        <w:t> FED avec la première tranche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BEC" w:rsidRDefault="00A96B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BEC" w:rsidRDefault="00A96B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D38535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BDCF88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AA18C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1A23C0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9 16:34: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C2510711-92C6-44FC-B51A-04217C49176B"/>
    <w:docVar w:name="LW_COVERPAGE_TYPE" w:val="1"/>
    <w:docVar w:name="LW_CROSSREFERENCE" w:val="&lt;UNUSED&gt;"/>
    <w:docVar w:name="LW_DocType" w:val="COM"/>
    <w:docVar w:name="LW_EMISSION" w:val="4.6.2026"/>
    <w:docVar w:name="LW_EMISSION_ISODATE" w:val="2026-06-04"/>
    <w:docVar w:name="LW_EMISSION_LOCATION" w:val="BRX"/>
    <w:docVar w:name="LW_EMISSION_PREFIX" w:val="Bruxelles, le "/>
    <w:docVar w:name="LW_EMISSION_SUFFIX" w:val=" "/>
    <w:docVar w:name="LW_ID_DOCSIGNATURE" w:val="SJ-019"/>
    <w:docVar w:name="LW_ID_DOCSTRUCTURE" w:val="COM/PL/ORG"/>
    <w:docVar w:name="LW_ID_DOCTYPE" w:val="SJ-019"/>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40"/>
    <w:docVar w:name="LW_REF.II.NEW.CP_YEAR" w:val="2026"/>
    <w:docVar w:name="LW_REF.INST.NEW" w:val="COM"/>
    <w:docVar w:name="LW_REF.INST.NEW_ADOPTED" w:val="final"/>
    <w:docVar w:name="LW_REF.INST.NEW_TEXT" w:val="(2026) 2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aux contributions financières à verser par les parties au Fonds européen de développement au titre de la deuxième tranche pour l\u8217?exercice 2026"/>
    <w:docVar w:name="LW_TYPE.DOC.CP" w:val="DÉCISION DU CONSEIL"/>
    <w:docVar w:name="LwApiVersions" w:val="LW4CoDe 1.24.5.0; LW 9.2, Build 20251112"/>
  </w:docVars>
  <w:rsids>
    <w:rsidRoot w:val="0029533F"/>
    <w:rsid w:val="00091ECF"/>
    <w:rsid w:val="001065F5"/>
    <w:rsid w:val="001238EF"/>
    <w:rsid w:val="001932BB"/>
    <w:rsid w:val="00197613"/>
    <w:rsid w:val="00233DC7"/>
    <w:rsid w:val="00247779"/>
    <w:rsid w:val="00285BEE"/>
    <w:rsid w:val="0029533F"/>
    <w:rsid w:val="002B30AF"/>
    <w:rsid w:val="003043B0"/>
    <w:rsid w:val="0033344A"/>
    <w:rsid w:val="0035348E"/>
    <w:rsid w:val="0042648E"/>
    <w:rsid w:val="00467A17"/>
    <w:rsid w:val="004744C4"/>
    <w:rsid w:val="004936D2"/>
    <w:rsid w:val="004D4FFA"/>
    <w:rsid w:val="00501065"/>
    <w:rsid w:val="00573D3C"/>
    <w:rsid w:val="005B1EB6"/>
    <w:rsid w:val="005D1F90"/>
    <w:rsid w:val="005E1F15"/>
    <w:rsid w:val="00627CF7"/>
    <w:rsid w:val="006F0D16"/>
    <w:rsid w:val="00773331"/>
    <w:rsid w:val="007932EF"/>
    <w:rsid w:val="007E05B0"/>
    <w:rsid w:val="0082445C"/>
    <w:rsid w:val="00874D22"/>
    <w:rsid w:val="008A2914"/>
    <w:rsid w:val="008E4D8E"/>
    <w:rsid w:val="008E7CA9"/>
    <w:rsid w:val="00930E6A"/>
    <w:rsid w:val="00953A4D"/>
    <w:rsid w:val="009732EF"/>
    <w:rsid w:val="00A96BEC"/>
    <w:rsid w:val="00A97BA3"/>
    <w:rsid w:val="00BD0E25"/>
    <w:rsid w:val="00C12301"/>
    <w:rsid w:val="00C954CD"/>
    <w:rsid w:val="00CA64BD"/>
    <w:rsid w:val="00D20381"/>
    <w:rsid w:val="00DE2893"/>
    <w:rsid w:val="00E1241E"/>
    <w:rsid w:val="00E664ED"/>
    <w:rsid w:val="00FB497E"/>
    <w:rsid w:val="00FB6721"/>
    <w:rsid w:val="00FC38F8"/>
    <w:rsid w:val="00FC7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8BA02BAA-FE2A-42CD-9E3B-64F2873A2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573D3C"/>
    <w:pPr>
      <w:numPr>
        <w:numId w:val="1"/>
      </w:numPr>
      <w:contextualSpacing/>
    </w:pPr>
  </w:style>
  <w:style w:type="paragraph" w:styleId="ListBullet2">
    <w:name w:val="List Bullet 2"/>
    <w:basedOn w:val="Normal"/>
    <w:uiPriority w:val="99"/>
    <w:semiHidden/>
    <w:unhideWhenUsed/>
    <w:rsid w:val="00573D3C"/>
    <w:pPr>
      <w:numPr>
        <w:numId w:val="2"/>
      </w:numPr>
      <w:contextualSpacing/>
    </w:pPr>
  </w:style>
  <w:style w:type="paragraph" w:styleId="ListBullet3">
    <w:name w:val="List Bullet 3"/>
    <w:basedOn w:val="Normal"/>
    <w:uiPriority w:val="99"/>
    <w:semiHidden/>
    <w:unhideWhenUsed/>
    <w:rsid w:val="00573D3C"/>
    <w:pPr>
      <w:numPr>
        <w:numId w:val="3"/>
      </w:numPr>
      <w:contextualSpacing/>
    </w:pPr>
  </w:style>
  <w:style w:type="paragraph" w:styleId="ListBullet4">
    <w:name w:val="List Bullet 4"/>
    <w:basedOn w:val="Normal"/>
    <w:uiPriority w:val="99"/>
    <w:semiHidden/>
    <w:unhideWhenUsed/>
    <w:rsid w:val="00573D3C"/>
    <w:pPr>
      <w:numPr>
        <w:numId w:val="4"/>
      </w:numPr>
      <w:contextualSpacing/>
    </w:pPr>
  </w:style>
  <w:style w:type="character" w:customStyle="1" w:styleId="HeaderChar">
    <w:name w:val="Header Char"/>
    <w:basedOn w:val="DefaultParagraphFont"/>
    <w:link w:val="Header"/>
    <w:uiPriority w:val="99"/>
    <w:rsid w:val="00A96BEC"/>
    <w:rPr>
      <w:rFonts w:ascii="Times New Roman" w:hAnsi="Times New Roman" w:cs="Times New Roman"/>
      <w:sz w:val="24"/>
      <w:lang w:val="fr-FR"/>
    </w:rPr>
  </w:style>
  <w:style w:type="character" w:customStyle="1" w:styleId="FooterChar">
    <w:name w:val="Footer Char"/>
    <w:basedOn w:val="DefaultParagraphFont"/>
    <w:link w:val="Footer"/>
    <w:uiPriority w:val="99"/>
    <w:rsid w:val="00A96BE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96BE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96BEC"/>
    <w:pPr>
      <w:spacing w:before="0"/>
      <w:jc w:val="right"/>
    </w:pPr>
    <w:rPr>
      <w:sz w:val="28"/>
    </w:rPr>
  </w:style>
  <w:style w:type="paragraph" w:customStyle="1" w:styleId="FooterSensitivity">
    <w:name w:val="Footer Sensitivity"/>
    <w:basedOn w:val="Normal"/>
    <w:rsid w:val="00A96BE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96BEC"/>
    <w:pPr>
      <w:tabs>
        <w:tab w:val="center" w:pos="4535"/>
        <w:tab w:val="right" w:pos="9071"/>
      </w:tabs>
      <w:spacing w:before="0"/>
    </w:pPr>
  </w:style>
  <w:style w:type="paragraph" w:customStyle="1" w:styleId="HeaderLandscape">
    <w:name w:val="HeaderLandscape"/>
    <w:basedOn w:val="Normal"/>
    <w:rsid w:val="00A96BEC"/>
    <w:pPr>
      <w:tabs>
        <w:tab w:val="center" w:pos="7285"/>
        <w:tab w:val="right" w:pos="14003"/>
      </w:tabs>
      <w:spacing w:before="0"/>
    </w:pPr>
  </w:style>
  <w:style w:type="paragraph" w:styleId="Footer">
    <w:name w:val="footer"/>
    <w:basedOn w:val="Normal"/>
    <w:link w:val="FooterChar"/>
    <w:uiPriority w:val="99"/>
    <w:unhideWhenUsed/>
    <w:rsid w:val="00A96BE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96BE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E4067-15D4-46BA-8FE5-C8730AB58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19</TotalTime>
  <Pages>5</Pages>
  <Words>1028</Words>
  <Characters>5862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2026-05-05T12:49:00Z</dcterms:created>
  <dcterms:modified xsi:type="dcterms:W3CDTF">2026-05-29T14:34:00Z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SJ-019</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2026-05-05T12:49:24Z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51682623-5f49-43cc-9cc4-3bf06aeb8823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