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41E" w:rsidRPr="00591BA2" w:rsidRDefault="0043613C" w:rsidP="0043613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8468C6-409B-4DC8-B9B1-2AC6466E0C92" style="width:455.25pt;height:342.75pt">
            <v:imagedata r:id="rId7" o:title=""/>
          </v:shape>
        </w:pict>
      </w:r>
    </w:p>
    <w:p w:rsidR="00CA64BD" w:rsidRPr="00591BA2" w:rsidRDefault="00CA64BD">
      <w:pPr>
        <w:rPr>
          <w:noProof/>
        </w:rPr>
        <w:sectPr w:rsidR="00CA64BD" w:rsidRPr="00591BA2" w:rsidSect="0043613C">
          <w:footerReference w:type="even" r:id="rId8"/>
          <w:footerReference w:type="default" r:id="rId9"/>
          <w:pgSz w:w="11907" w:h="16839"/>
          <w:pgMar w:top="1134" w:right="1417" w:bottom="1134" w:left="1417" w:header="709" w:footer="709" w:gutter="0"/>
          <w:pgNumType w:start="0"/>
          <w:cols w:space="720"/>
          <w:docGrid w:linePitch="360"/>
        </w:sectPr>
      </w:pPr>
    </w:p>
    <w:p w:rsidR="00CA64BD" w:rsidRPr="00591BA2" w:rsidRDefault="00627CF7">
      <w:pPr>
        <w:pStyle w:val="Exposdesmotifstitre"/>
        <w:rPr>
          <w:noProof/>
        </w:rPr>
      </w:pPr>
      <w:bookmarkStart w:id="0" w:name="_GoBack"/>
      <w:bookmarkEnd w:id="0"/>
      <w:r w:rsidRPr="00591BA2">
        <w:rPr>
          <w:noProof/>
        </w:rPr>
        <w:lastRenderedPageBreak/>
        <w:t>EXPUNERE DE MOTIVE</w:t>
      </w:r>
    </w:p>
    <w:p w:rsidR="00CA64BD" w:rsidRPr="00591BA2" w:rsidRDefault="00627CF7" w:rsidP="00A317A0">
      <w:pPr>
        <w:pStyle w:val="ManualHeading1"/>
        <w:rPr>
          <w:noProof/>
        </w:rPr>
      </w:pPr>
      <w:r>
        <w:rPr>
          <w:noProof/>
        </w:rPr>
        <w:t>1.</w:t>
      </w:r>
      <w:r>
        <w:rPr>
          <w:noProof/>
        </w:rPr>
        <w:tab/>
      </w:r>
      <w:r w:rsidRPr="00591BA2">
        <w:rPr>
          <w:noProof/>
        </w:rPr>
        <w:t>CONTEXTUL PROPUNERII</w:t>
      </w:r>
    </w:p>
    <w:p w:rsidR="00CA64BD" w:rsidRPr="00591BA2" w:rsidRDefault="00627CF7">
      <w:pPr>
        <w:pStyle w:val="ManualHeading2"/>
        <w:rPr>
          <w:noProof/>
        </w:rPr>
      </w:pPr>
      <w:r w:rsidRPr="00591BA2">
        <w:rPr>
          <w:noProof/>
        </w:rPr>
        <w:t>•</w:t>
      </w:r>
      <w:r w:rsidRPr="00591BA2">
        <w:rPr>
          <w:noProof/>
        </w:rPr>
        <w:tab/>
        <w:t>Motivele și obiectivele propunerii</w:t>
      </w:r>
    </w:p>
    <w:p w:rsidR="00CA64BD" w:rsidRPr="00591BA2" w:rsidRDefault="00627CF7">
      <w:pPr>
        <w:rPr>
          <w:noProof/>
        </w:rPr>
      </w:pPr>
      <w:r w:rsidRPr="00591BA2">
        <w:rPr>
          <w:noProof/>
        </w:rPr>
        <w:t>Propunerea se referă la o decizie a Consiliului privind a doua tranșă a contribuțiilor financiare la cel de al 11-lea Fond european de dezvoltare, care trebuie plătită de către părțile la Fondul european de dezvoltare („FED”) în 2026.</w:t>
      </w:r>
    </w:p>
    <w:p w:rsidR="00CA64BD" w:rsidRPr="00591BA2" w:rsidRDefault="00627CF7">
      <w:pPr>
        <w:rPr>
          <w:noProof/>
        </w:rPr>
      </w:pPr>
      <w:r w:rsidRPr="00591BA2">
        <w:rPr>
          <w:noProof/>
        </w:rPr>
        <w:t>Cel de al 11-lea FED și celelalte FED-uri care sunt încă deschise (cel de al 9-lea și al 10-lea FED) sunt gestionate conform următorului set de norme:</w:t>
      </w:r>
    </w:p>
    <w:p w:rsidR="00CA64BD" w:rsidRPr="00591BA2" w:rsidRDefault="00627CF7" w:rsidP="00A317A0">
      <w:pPr>
        <w:pStyle w:val="ManualNumPar1"/>
        <w:rPr>
          <w:noProof/>
        </w:rPr>
      </w:pPr>
      <w:r>
        <w:rPr>
          <w:noProof/>
        </w:rPr>
        <w:t>1.</w:t>
      </w:r>
      <w:r>
        <w:rPr>
          <w:noProof/>
        </w:rPr>
        <w:tab/>
      </w:r>
      <w:r w:rsidRPr="00591BA2">
        <w:rPr>
          <w:noProof/>
        </w:rPr>
        <w:t>Acordul intern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591BA2">
        <w:rPr>
          <w:rStyle w:val="FootnoteReference"/>
          <w:noProof/>
        </w:rPr>
        <w:footnoteReference w:customMarkFollows="1" w:id="1"/>
        <w:t>(1)</w:t>
      </w:r>
      <w:r w:rsidRPr="00591BA2">
        <w:rPr>
          <w:noProof/>
        </w:rPr>
        <w:t xml:space="preserve"> („Acordul intern privind cel de al 11-lea FED”);</w:t>
      </w:r>
    </w:p>
    <w:p w:rsidR="00CA64BD" w:rsidRPr="00591BA2" w:rsidRDefault="00627CF7">
      <w:pPr>
        <w:pStyle w:val="ManualNumPar1"/>
        <w:rPr>
          <w:noProof/>
        </w:rPr>
      </w:pPr>
      <w:r>
        <w:rPr>
          <w:noProof/>
        </w:rPr>
        <w:t>2.</w:t>
      </w:r>
      <w:r>
        <w:rPr>
          <w:noProof/>
        </w:rPr>
        <w:tab/>
      </w:r>
      <w:r w:rsidRPr="00591BA2">
        <w:rPr>
          <w:noProof/>
        </w:rPr>
        <w:t>Regulamentul (UE) 2018/1877 al Consiliului privind regulamentul financiar aplicabil celui de al 11-lea Fond european de dezvoltare</w:t>
      </w:r>
      <w:r w:rsidRPr="00591BA2">
        <w:rPr>
          <w:rStyle w:val="FootnoteReference"/>
          <w:noProof/>
        </w:rPr>
        <w:footnoteReference w:customMarkFollows="1" w:id="2"/>
        <w:t>(2)</w:t>
      </w:r>
      <w:r w:rsidRPr="00591BA2">
        <w:rPr>
          <w:noProof/>
        </w:rPr>
        <w:t xml:space="preserve"> („Regulamentul financiar aplicabil celui de al 11-lea FED”);</w:t>
      </w:r>
    </w:p>
    <w:p w:rsidR="00CA64BD" w:rsidRPr="00591BA2" w:rsidRDefault="00627CF7">
      <w:pPr>
        <w:pStyle w:val="ManualNumPar1"/>
        <w:rPr>
          <w:noProof/>
        </w:rPr>
      </w:pPr>
      <w:r>
        <w:rPr>
          <w:noProof/>
        </w:rPr>
        <w:t>3.</w:t>
      </w:r>
      <w:r>
        <w:rPr>
          <w:noProof/>
        </w:rPr>
        <w:tab/>
      </w:r>
      <w:r w:rsidRPr="00591BA2">
        <w:rPr>
          <w:noProof/>
        </w:rPr>
        <w:t>Decizia (UE) 2020/2233 a Consiliului privind angajarea fondurilor provenite din restituiri în cadrul Facilității de investiții ACP din operațiunile finanțate în cadrul celui de al 9-lea, al 10-lea și al 11-lea Fond european de dezvoltare</w:t>
      </w:r>
      <w:r w:rsidRPr="00591BA2">
        <w:rPr>
          <w:rStyle w:val="FootnoteReference"/>
          <w:noProof/>
        </w:rPr>
        <w:footnoteReference w:customMarkFollows="1" w:id="3"/>
        <w:t>(3)</w:t>
      </w:r>
      <w:r w:rsidRPr="00591BA2">
        <w:rPr>
          <w:noProof/>
        </w:rPr>
        <w:t>;</w:t>
      </w:r>
    </w:p>
    <w:p w:rsidR="00CA64BD" w:rsidRPr="00591BA2" w:rsidRDefault="00627CF7">
      <w:pPr>
        <w:pStyle w:val="ManualNumPar1"/>
        <w:rPr>
          <w:noProof/>
        </w:rPr>
      </w:pPr>
      <w:r>
        <w:rPr>
          <w:noProof/>
        </w:rPr>
        <w:t>4.</w:t>
      </w:r>
      <w:r>
        <w:rPr>
          <w:noProof/>
        </w:rPr>
        <w:tab/>
      </w:r>
      <w:r w:rsidRPr="00591BA2">
        <w:rPr>
          <w:noProof/>
        </w:rPr>
        <w:t>Decizia (UE) 2022/1223 a Consiliului privind alocarea de fonduri dezangajate din proiectele desfășurate în cadrul celui de al 10-lea și al celui de al 11-lea Fond european de dezvoltare în scopul finanțării acțiunilor care abordează criza securității alimentare și șocul economic cu care se confruntă țările din Africa, Zona Caraibilor și Pacific (ACP) ca urmare a războiului de agresiune al Rusiei împotriva Ucrainei</w:t>
      </w:r>
      <w:r w:rsidRPr="00591BA2">
        <w:rPr>
          <w:rStyle w:val="FootnoteReference"/>
          <w:noProof/>
        </w:rPr>
        <w:footnoteReference w:customMarkFollows="1" w:id="4"/>
        <w:t>(4)</w:t>
      </w:r>
      <w:r w:rsidRPr="00591BA2">
        <w:rPr>
          <w:noProof/>
        </w:rPr>
        <w:t>.</w:t>
      </w:r>
    </w:p>
    <w:p w:rsidR="00CA64BD" w:rsidRPr="00591BA2" w:rsidRDefault="00627CF7">
      <w:pPr>
        <w:rPr>
          <w:noProof/>
        </w:rPr>
      </w:pPr>
      <w:r w:rsidRPr="00591BA2">
        <w:rPr>
          <w:noProof/>
        </w:rPr>
        <w:t>Documentele menționate la literele (a)-(d) conțin angajamentele multianuale ale părților de a sprijini financiar trezoreria FED. Regulamentul financiar aplicabil celui de al 11-lea FED prevede că părțile furnizează cu regularitate contribuții la trezoreria FED, conform unor angajamente financiare prestabilite. Aceste contribuții regulate sunt efectuate în baza unor decizii tehnice ale Consiliului, care reflectă execuția angajamentelor financiare decise anterior.</w:t>
      </w:r>
    </w:p>
    <w:p w:rsidR="00CA64BD" w:rsidRPr="00591BA2" w:rsidRDefault="00627CF7">
      <w:pPr>
        <w:pStyle w:val="ManualHeading2"/>
        <w:rPr>
          <w:noProof/>
        </w:rPr>
      </w:pPr>
      <w:r w:rsidRPr="00591BA2">
        <w:rPr>
          <w:noProof/>
        </w:rPr>
        <w:t>•</w:t>
      </w:r>
      <w:r w:rsidRPr="00591BA2">
        <w:rPr>
          <w:noProof/>
        </w:rPr>
        <w:tab/>
        <w:t>Coerența cu dispozițiile existente în domeniul de politică vizat</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Coerența cu alte politici ale Uniunii</w:t>
      </w:r>
    </w:p>
    <w:p w:rsidR="00CA64BD" w:rsidRPr="00591BA2" w:rsidRDefault="00627CF7">
      <w:pPr>
        <w:rPr>
          <w:noProof/>
        </w:rPr>
      </w:pPr>
      <w:r w:rsidRPr="00591BA2">
        <w:rPr>
          <w:noProof/>
        </w:rPr>
        <w:t>Nu se aplică.</w:t>
      </w:r>
    </w:p>
    <w:p w:rsidR="00CA64BD" w:rsidRPr="00591BA2" w:rsidRDefault="00627CF7">
      <w:pPr>
        <w:pStyle w:val="ManualHeading1"/>
        <w:rPr>
          <w:noProof/>
        </w:rPr>
      </w:pPr>
      <w:r>
        <w:rPr>
          <w:noProof/>
        </w:rPr>
        <w:lastRenderedPageBreak/>
        <w:t>2.</w:t>
      </w:r>
      <w:r>
        <w:rPr>
          <w:noProof/>
        </w:rPr>
        <w:tab/>
      </w:r>
      <w:r w:rsidRPr="00591BA2">
        <w:rPr>
          <w:noProof/>
        </w:rPr>
        <w:t>TEMEI JURIDIC, SUBSIDIARITATE ȘI PROPORȚIONALITATE</w:t>
      </w:r>
    </w:p>
    <w:p w:rsidR="00CA64BD" w:rsidRPr="00591BA2" w:rsidRDefault="00627CF7">
      <w:pPr>
        <w:pStyle w:val="ManualHeading2"/>
        <w:rPr>
          <w:noProof/>
        </w:rPr>
      </w:pPr>
      <w:r w:rsidRPr="00591BA2">
        <w:rPr>
          <w:noProof/>
        </w:rPr>
        <w:t>•</w:t>
      </w:r>
      <w:r w:rsidRPr="00591BA2">
        <w:rPr>
          <w:noProof/>
        </w:rPr>
        <w:tab/>
        <w:t>Temeiul juridic</w:t>
      </w:r>
    </w:p>
    <w:p w:rsidR="00CA64BD" w:rsidRPr="00591BA2" w:rsidRDefault="00627CF7">
      <w:pPr>
        <w:rPr>
          <w:noProof/>
        </w:rPr>
      </w:pPr>
      <w:r w:rsidRPr="00591BA2">
        <w:rPr>
          <w:noProof/>
        </w:rPr>
        <w:t>În conformitate cu articolul 19 alineatul (3) din Regulamentul financiar aplicabil celui de al 11-lea FED, Consiliul trebuie să decidă cu privire la prezenta propunere în termen de cel mult 21 de zile calendaristice de la prezentarea propunerii de către Comisia Europeană, acționând în numele Uniunii Europene.</w:t>
      </w:r>
    </w:p>
    <w:p w:rsidR="00CA64BD" w:rsidRPr="00591BA2" w:rsidRDefault="00627CF7">
      <w:pPr>
        <w:pStyle w:val="ManualHeading2"/>
        <w:rPr>
          <w:noProof/>
        </w:rPr>
      </w:pPr>
      <w:r w:rsidRPr="00591BA2">
        <w:rPr>
          <w:noProof/>
        </w:rPr>
        <w:t>•</w:t>
      </w:r>
      <w:r w:rsidRPr="00591BA2">
        <w:rPr>
          <w:noProof/>
        </w:rPr>
        <w:tab/>
        <w:t>Subsidiaritatea (în cazul competențelor neexclusive)</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Proporționalitatea</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Alegerea instrumentului</w:t>
      </w:r>
    </w:p>
    <w:p w:rsidR="00CA64BD" w:rsidRPr="00591BA2" w:rsidRDefault="00627CF7">
      <w:pPr>
        <w:rPr>
          <w:noProof/>
        </w:rPr>
      </w:pPr>
      <w:r w:rsidRPr="00591BA2">
        <w:rPr>
          <w:noProof/>
        </w:rPr>
        <w:t>Nu se aplică.</w:t>
      </w:r>
    </w:p>
    <w:p w:rsidR="00CA64BD" w:rsidRPr="00591BA2" w:rsidRDefault="00627CF7">
      <w:pPr>
        <w:pStyle w:val="ManualHeading1"/>
        <w:rPr>
          <w:noProof/>
        </w:rPr>
      </w:pPr>
      <w:r>
        <w:rPr>
          <w:noProof/>
        </w:rPr>
        <w:t>3.</w:t>
      </w:r>
      <w:r>
        <w:rPr>
          <w:noProof/>
        </w:rPr>
        <w:tab/>
      </w:r>
      <w:r w:rsidRPr="00591BA2">
        <w:rPr>
          <w:noProof/>
        </w:rPr>
        <w:t xml:space="preserve">REZULTATELE EVALUĂRILOR </w:t>
      </w:r>
      <w:r w:rsidRPr="00591BA2">
        <w:rPr>
          <w:i/>
          <w:iCs/>
          <w:noProof/>
        </w:rPr>
        <w:t>EX POST</w:t>
      </w:r>
      <w:r w:rsidRPr="00591BA2">
        <w:rPr>
          <w:noProof/>
        </w:rPr>
        <w:t>, ALE CONSULTĂRILOR CU PĂRȚILE INTERESATE ȘI ALE EVALUĂRILOR IMPACTULUI</w:t>
      </w:r>
    </w:p>
    <w:p w:rsidR="00CA64BD" w:rsidRPr="00591BA2" w:rsidRDefault="00627CF7">
      <w:pPr>
        <w:pStyle w:val="ManualHeading2"/>
        <w:rPr>
          <w:noProof/>
        </w:rPr>
      </w:pPr>
      <w:r w:rsidRPr="00591BA2">
        <w:rPr>
          <w:noProof/>
        </w:rPr>
        <w:t>•</w:t>
      </w:r>
      <w:r w:rsidRPr="00591BA2">
        <w:rPr>
          <w:noProof/>
        </w:rPr>
        <w:tab/>
        <w:t xml:space="preserve">Evaluările </w:t>
      </w:r>
      <w:r w:rsidRPr="00591BA2">
        <w:rPr>
          <w:i/>
          <w:iCs/>
          <w:noProof/>
        </w:rPr>
        <w:t>ex post</w:t>
      </w:r>
      <w:r w:rsidRPr="00591BA2">
        <w:rPr>
          <w:noProof/>
        </w:rPr>
        <w:t>/verificarea adecvării legislației existente</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Consultările cu părțile interesate</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Obținerea și utilizarea cunoștințelor de specialitate</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Evaluarea impactului</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Adecvarea reglementărilor și simplificarea</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Drepturile fundamentale</w:t>
      </w:r>
    </w:p>
    <w:p w:rsidR="00CA64BD" w:rsidRPr="00591BA2" w:rsidRDefault="00627CF7">
      <w:pPr>
        <w:rPr>
          <w:noProof/>
        </w:rPr>
      </w:pPr>
      <w:r w:rsidRPr="00591BA2">
        <w:rPr>
          <w:noProof/>
        </w:rPr>
        <w:t>Nu se aplică.</w:t>
      </w:r>
    </w:p>
    <w:p w:rsidR="00CA64BD" w:rsidRPr="00591BA2" w:rsidRDefault="00627CF7">
      <w:pPr>
        <w:pStyle w:val="ManualHeading1"/>
        <w:rPr>
          <w:noProof/>
        </w:rPr>
      </w:pPr>
      <w:r>
        <w:rPr>
          <w:noProof/>
        </w:rPr>
        <w:t>4.</w:t>
      </w:r>
      <w:r>
        <w:rPr>
          <w:noProof/>
        </w:rPr>
        <w:tab/>
      </w:r>
      <w:r w:rsidRPr="00591BA2">
        <w:rPr>
          <w:noProof/>
        </w:rPr>
        <w:t>IMPLICAȚII BUGETARE</w:t>
      </w:r>
    </w:p>
    <w:p w:rsidR="00CA64BD" w:rsidRPr="00591BA2" w:rsidRDefault="00627CF7">
      <w:pPr>
        <w:rPr>
          <w:noProof/>
        </w:rPr>
      </w:pPr>
      <w:r w:rsidRPr="00591BA2">
        <w:rPr>
          <w:noProof/>
        </w:rPr>
        <w:t>Nu se aplică.</w:t>
      </w:r>
    </w:p>
    <w:p w:rsidR="00CA64BD" w:rsidRPr="00591BA2" w:rsidRDefault="00627CF7">
      <w:pPr>
        <w:pStyle w:val="ManualHeading1"/>
        <w:rPr>
          <w:noProof/>
        </w:rPr>
      </w:pPr>
      <w:r>
        <w:rPr>
          <w:noProof/>
        </w:rPr>
        <w:t>5.</w:t>
      </w:r>
      <w:r>
        <w:rPr>
          <w:noProof/>
        </w:rPr>
        <w:tab/>
      </w:r>
      <w:r w:rsidRPr="00591BA2">
        <w:rPr>
          <w:noProof/>
        </w:rPr>
        <w:t>ALTE ELEMENTE</w:t>
      </w:r>
    </w:p>
    <w:p w:rsidR="00CA64BD" w:rsidRPr="00591BA2" w:rsidRDefault="00627CF7">
      <w:pPr>
        <w:pStyle w:val="ManualHeading2"/>
        <w:rPr>
          <w:noProof/>
        </w:rPr>
      </w:pPr>
      <w:r w:rsidRPr="00591BA2">
        <w:rPr>
          <w:noProof/>
        </w:rPr>
        <w:t>•</w:t>
      </w:r>
      <w:r w:rsidRPr="00591BA2">
        <w:rPr>
          <w:noProof/>
        </w:rPr>
        <w:tab/>
        <w:t>Planurile de punere în aplicare și măsurile de monitorizare, evaluare și raportare</w:t>
      </w:r>
    </w:p>
    <w:p w:rsidR="00CA64BD" w:rsidRPr="00591BA2" w:rsidRDefault="00627CF7">
      <w:pPr>
        <w:rPr>
          <w:noProof/>
        </w:rPr>
      </w:pPr>
      <w:r w:rsidRPr="00591BA2">
        <w:rPr>
          <w:noProof/>
        </w:rPr>
        <w:t>Nu se aplică.</w:t>
      </w:r>
    </w:p>
    <w:p w:rsidR="00CA64BD" w:rsidRPr="00591BA2" w:rsidRDefault="00627CF7">
      <w:pPr>
        <w:pStyle w:val="ManualHeading2"/>
        <w:rPr>
          <w:noProof/>
        </w:rPr>
      </w:pPr>
      <w:r w:rsidRPr="00591BA2">
        <w:rPr>
          <w:noProof/>
        </w:rPr>
        <w:t>•</w:t>
      </w:r>
      <w:r w:rsidRPr="00591BA2">
        <w:rPr>
          <w:noProof/>
        </w:rPr>
        <w:tab/>
        <w:t>Explicarea detaliată a dispozițiilor specifice ale propunerii</w:t>
      </w:r>
    </w:p>
    <w:p w:rsidR="00CA64BD" w:rsidRPr="00591BA2" w:rsidRDefault="00627CF7">
      <w:pPr>
        <w:rPr>
          <w:noProof/>
        </w:rPr>
      </w:pPr>
      <w:r w:rsidRPr="00591BA2">
        <w:rPr>
          <w:noProof/>
        </w:rPr>
        <w:t>Nu se aplică.</w:t>
      </w:r>
    </w:p>
    <w:p w:rsidR="00CA64BD" w:rsidRPr="00591BA2" w:rsidRDefault="00CA64BD">
      <w:pPr>
        <w:rPr>
          <w:noProof/>
        </w:rPr>
        <w:sectPr w:rsidR="00CA64BD" w:rsidRPr="00591BA2" w:rsidSect="0043613C">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76673F" w:rsidRDefault="00096298">
      <w:pPr>
        <w:pStyle w:val="Rfrenceinterinstitutionnelle"/>
        <w:rPr>
          <w:noProof/>
        </w:rPr>
      </w:pPr>
      <w:r>
        <w:rPr>
          <w:noProof/>
        </w:rPr>
        <w:lastRenderedPageBreak/>
        <w:t>2026/0140 (NLE)</w:t>
      </w:r>
    </w:p>
    <w:p w:rsidR="00CA64BD" w:rsidRPr="00591BA2" w:rsidRDefault="0037448D" w:rsidP="0037448D">
      <w:pPr>
        <w:pStyle w:val="Statut"/>
        <w:rPr>
          <w:noProof/>
        </w:rPr>
      </w:pPr>
      <w:r w:rsidRPr="0037448D">
        <w:rPr>
          <w:noProof/>
        </w:rPr>
        <w:t>Propunere de</w:t>
      </w:r>
    </w:p>
    <w:p w:rsidR="00CA64BD" w:rsidRPr="00591BA2" w:rsidRDefault="0037448D" w:rsidP="0037448D">
      <w:pPr>
        <w:pStyle w:val="Typedudocument"/>
        <w:rPr>
          <w:noProof/>
        </w:rPr>
      </w:pPr>
      <w:r w:rsidRPr="0037448D">
        <w:rPr>
          <w:noProof/>
        </w:rPr>
        <w:t>DECIZIE A CONSILIULUI</w:t>
      </w:r>
    </w:p>
    <w:p w:rsidR="00CA64BD" w:rsidRPr="00591BA2" w:rsidRDefault="0037448D" w:rsidP="0037448D">
      <w:pPr>
        <w:pStyle w:val="Titreobjet"/>
        <w:rPr>
          <w:noProof/>
        </w:rPr>
      </w:pPr>
      <w:r w:rsidRPr="0037448D">
        <w:rPr>
          <w:noProof/>
        </w:rPr>
        <w:t>privind contribuțiile financiare pe care părțile la Fondul european de dezvoltare trebuie să le plătească în cadrul celei de a doua tranșe pentru exercițiul 2026</w:t>
      </w:r>
    </w:p>
    <w:p w:rsidR="00CA64BD" w:rsidRPr="00591BA2" w:rsidRDefault="00627CF7">
      <w:pPr>
        <w:pStyle w:val="Institutionquiagit"/>
        <w:rPr>
          <w:noProof/>
        </w:rPr>
      </w:pPr>
      <w:r w:rsidRPr="00591BA2">
        <w:rPr>
          <w:noProof/>
        </w:rPr>
        <w:t>CONSILIUL UNIUNII EUROPENE,</w:t>
      </w:r>
    </w:p>
    <w:p w:rsidR="00CA64BD" w:rsidRPr="00591BA2" w:rsidRDefault="00627CF7">
      <w:pPr>
        <w:rPr>
          <w:noProof/>
        </w:rPr>
      </w:pPr>
      <w:r w:rsidRPr="00591BA2">
        <w:rPr>
          <w:noProof/>
        </w:rPr>
        <w:t>având în vedere Tratatul privind funcționarea Uniunii Europene,</w:t>
      </w:r>
    </w:p>
    <w:p w:rsidR="00CA64BD" w:rsidRPr="00591BA2" w:rsidRDefault="00627CF7">
      <w:pPr>
        <w:rPr>
          <w:noProof/>
        </w:rPr>
      </w:pPr>
      <w:r w:rsidRPr="00591BA2">
        <w:rPr>
          <w:noProof/>
        </w:rPr>
        <w:t>având în vedere Acordul intern dintre reprezentanții guvernelor statelor membre ale Uniunii Europene, reuniți în cadrul Consiliului, privind finanțarea ajutoarelor Uniunii Europene în baza cadrului financiar multianual pentru perioada 2014-2020, în conformitate cu Acordul de parteneriat ACP-UE, și privind alocarea de asistență financiară pentru țările și teritoriile de peste mări cărora li se aplică partea a patra din Tratatul privind funcționarea Uniunii Europene</w:t>
      </w:r>
      <w:r w:rsidRPr="00591BA2">
        <w:rPr>
          <w:rStyle w:val="FootnoteReference"/>
          <w:noProof/>
        </w:rPr>
        <w:footnoteReference w:customMarkFollows="1" w:id="5"/>
        <w:t>(1)</w:t>
      </w:r>
      <w:r w:rsidRPr="00591BA2">
        <w:rPr>
          <w:noProof/>
        </w:rPr>
        <w:t>, în special articolul 7 alineatul (2) coroborat cu articolul 14 alineatul (3),</w:t>
      </w:r>
    </w:p>
    <w:p w:rsidR="00CA64BD" w:rsidRPr="00591BA2" w:rsidRDefault="00627CF7">
      <w:pPr>
        <w:rPr>
          <w:noProof/>
        </w:rPr>
      </w:pPr>
      <w:r w:rsidRPr="00591BA2">
        <w:rPr>
          <w:noProof/>
        </w:rPr>
        <w:t>având în vedere Regulamentul (UE) 2018/1877 al Consiliului din 26 noiembrie 2018 privind regulamentul financiar aplicabil celui de al 11-lea Fond european de dezvoltare și de abrogare a Regulamentului (UE) 2015/323</w:t>
      </w:r>
      <w:r w:rsidRPr="00591BA2">
        <w:rPr>
          <w:rStyle w:val="FootnoteReference"/>
          <w:noProof/>
        </w:rPr>
        <w:footnoteReference w:customMarkFollows="1" w:id="6"/>
        <w:t>(2)</w:t>
      </w:r>
      <w:r w:rsidRPr="00591BA2">
        <w:rPr>
          <w:noProof/>
        </w:rPr>
        <w:t>, în special articolul 19 alineatul (3),</w:t>
      </w:r>
    </w:p>
    <w:p w:rsidR="00CA64BD" w:rsidRPr="00591BA2" w:rsidRDefault="00627CF7">
      <w:pPr>
        <w:rPr>
          <w:noProof/>
        </w:rPr>
      </w:pPr>
      <w:r w:rsidRPr="00591BA2">
        <w:rPr>
          <w:noProof/>
        </w:rPr>
        <w:t>având în vedere propunerea Comisiei Europene,</w:t>
      </w:r>
    </w:p>
    <w:p w:rsidR="00CA64BD" w:rsidRPr="00591BA2" w:rsidRDefault="00627CF7">
      <w:pPr>
        <w:rPr>
          <w:noProof/>
        </w:rPr>
      </w:pPr>
      <w:r w:rsidRPr="00591BA2">
        <w:rPr>
          <w:noProof/>
        </w:rPr>
        <w:t>întrucât:</w:t>
      </w:r>
    </w:p>
    <w:p w:rsidR="00CA64BD" w:rsidRPr="00591BA2" w:rsidRDefault="00627CF7" w:rsidP="00A317A0">
      <w:pPr>
        <w:pStyle w:val="ManualConsidrant"/>
        <w:rPr>
          <w:noProof/>
        </w:rPr>
      </w:pPr>
      <w:r>
        <w:rPr>
          <w:noProof/>
        </w:rPr>
        <w:t>(1)</w:t>
      </w:r>
      <w:r>
        <w:rPr>
          <w:noProof/>
        </w:rPr>
        <w:tab/>
      </w:r>
      <w:r w:rsidRPr="00591BA2">
        <w:rPr>
          <w:noProof/>
        </w:rPr>
        <w:t>În conformitate cu articolul 1 din Acordul intern dintre reprezentanții guvernelor statelor membre ale Uniunii Europene, se stabilește cheia de contribuție la Fondul european de dezvoltare (FED) pentru fiecare parte la FED</w:t>
      </w:r>
      <w:r w:rsidRPr="00591BA2">
        <w:rPr>
          <w:rStyle w:val="FootnoteReference"/>
          <w:noProof/>
        </w:rPr>
        <w:footnoteReference w:customMarkFollows="1" w:id="7"/>
        <w:t>(3)</w:t>
      </w:r>
      <w:r w:rsidRPr="00591BA2">
        <w:rPr>
          <w:noProof/>
        </w:rPr>
        <w:t>.</w:t>
      </w:r>
    </w:p>
    <w:p w:rsidR="00CA64BD" w:rsidRPr="00591BA2" w:rsidRDefault="00627CF7">
      <w:pPr>
        <w:pStyle w:val="ManualConsidrant"/>
        <w:rPr>
          <w:noProof/>
        </w:rPr>
      </w:pPr>
      <w:r>
        <w:rPr>
          <w:noProof/>
        </w:rPr>
        <w:t>(2)</w:t>
      </w:r>
      <w:r>
        <w:rPr>
          <w:noProof/>
        </w:rPr>
        <w:tab/>
      </w:r>
      <w:r w:rsidRPr="00591BA2">
        <w:rPr>
          <w:noProof/>
        </w:rPr>
        <w:t>În conformitate cu articolul 46 din Regulamentul (UE) 2018/1877 al Consiliului, Banca Europeană de Investiții („BEI”) trebuie să transmită Comisiei estimările sale actualizate ale angajamentelor și plăților din cadrul instrumentelor pe care le gestionează.</w:t>
      </w:r>
    </w:p>
    <w:p w:rsidR="00CA64BD" w:rsidRPr="00591BA2" w:rsidRDefault="00627CF7">
      <w:pPr>
        <w:pStyle w:val="ManualConsidrant"/>
        <w:rPr>
          <w:noProof/>
        </w:rPr>
      </w:pPr>
      <w:r>
        <w:rPr>
          <w:noProof/>
        </w:rPr>
        <w:t>(3)</w:t>
      </w:r>
      <w:r>
        <w:rPr>
          <w:noProof/>
        </w:rPr>
        <w:tab/>
      </w:r>
      <w:r w:rsidRPr="00591BA2">
        <w:rPr>
          <w:noProof/>
        </w:rPr>
        <w:t>În conformitate cu articolul 19 alineatul (3) din Regulamentul (UE) 2018/1877 al Consiliului, Comisia trebuie să prezinte, până la 15 iunie 2026, o propunere care să precizeze valoarea celei de a doua tranșe aferente contribuției pentru exercițiul 2026.</w:t>
      </w:r>
    </w:p>
    <w:p w:rsidR="00CA64BD" w:rsidRPr="00591BA2" w:rsidRDefault="00627CF7">
      <w:pPr>
        <w:pStyle w:val="ManualConsidrant"/>
        <w:rPr>
          <w:noProof/>
        </w:rPr>
      </w:pPr>
      <w:r>
        <w:rPr>
          <w:noProof/>
        </w:rPr>
        <w:t>(4)</w:t>
      </w:r>
      <w:r>
        <w:rPr>
          <w:noProof/>
        </w:rPr>
        <w:tab/>
      </w:r>
      <w:r w:rsidRPr="00591BA2">
        <w:rPr>
          <w:noProof/>
        </w:rPr>
        <w:t>În temeiul articolului 20 alineatul (1) din Regulamentul (UE) 2018/1877 al Consiliului, cererile de contribuții trebuie să utilizeze mai întâi sumele stabilite în Fondurile europene de dezvoltare („FED‐urile”) anterioare. Prin urmare, ar trebui să se lanseze o cerere de fonduri în temeiul Regulamentului (UE) 2018/1877 pentru BEI și Comisie.</w:t>
      </w:r>
    </w:p>
    <w:p w:rsidR="00CA64BD" w:rsidRPr="00591BA2" w:rsidRDefault="00627CF7">
      <w:pPr>
        <w:pStyle w:val="ManualConsidrant"/>
        <w:rPr>
          <w:noProof/>
        </w:rPr>
      </w:pPr>
      <w:r>
        <w:rPr>
          <w:noProof/>
        </w:rPr>
        <w:t>(5)</w:t>
      </w:r>
      <w:r>
        <w:rPr>
          <w:noProof/>
        </w:rPr>
        <w:tab/>
      </w:r>
      <w:r w:rsidRPr="00591BA2">
        <w:rPr>
          <w:noProof/>
        </w:rPr>
        <w:t>Prin Decizia (UE) 2025/2324 a Consiliului</w:t>
      </w:r>
      <w:r w:rsidRPr="00591BA2">
        <w:rPr>
          <w:rStyle w:val="FootnoteReference"/>
          <w:noProof/>
        </w:rPr>
        <w:footnoteReference w:customMarkFollows="1" w:id="8"/>
        <w:t>(4)</w:t>
      </w:r>
      <w:r w:rsidRPr="00591BA2">
        <w:rPr>
          <w:noProof/>
        </w:rPr>
        <w:t>, cuantumul anual al contribuțiilor care trebuie să fie plătite de către părțile la FED pentru exercițiul 2026 se stabilește ca fiind de 700 000 000 EUR pentru Comisie</w:t>
      </w:r>
      <w:r w:rsidRPr="00591BA2">
        <w:rPr>
          <w:rStyle w:val="FootnoteReference"/>
          <w:noProof/>
        </w:rPr>
        <w:footnoteReference w:customMarkFollows="1" w:id="9"/>
        <w:t>(5)</w:t>
      </w:r>
      <w:r w:rsidRPr="00591BA2">
        <w:rPr>
          <w:noProof/>
        </w:rPr>
        <w:t>. </w:t>
      </w:r>
    </w:p>
    <w:p w:rsidR="00CA64BD" w:rsidRPr="00591BA2" w:rsidRDefault="00627CF7">
      <w:pPr>
        <w:pStyle w:val="ManualConsidrant"/>
        <w:rPr>
          <w:noProof/>
        </w:rPr>
      </w:pPr>
      <w:r>
        <w:rPr>
          <w:noProof/>
        </w:rPr>
        <w:lastRenderedPageBreak/>
        <w:t>(6)</w:t>
      </w:r>
      <w:r>
        <w:rPr>
          <w:noProof/>
        </w:rPr>
        <w:tab/>
      </w:r>
      <w:r w:rsidRPr="00591BA2">
        <w:rPr>
          <w:noProof/>
        </w:rPr>
        <w:t xml:space="preserve">Pentru a permite aplicarea promptă a măsurilor prevăzute de prezenta decizie, aceasta ar trebui să intre în vigoare la data publicării în </w:t>
      </w:r>
      <w:r w:rsidRPr="00591BA2">
        <w:rPr>
          <w:i/>
          <w:iCs/>
          <w:noProof/>
        </w:rPr>
        <w:t>Jurnalul Oficial al Uniunii Europene</w:t>
      </w:r>
      <w:r w:rsidRPr="00591BA2">
        <w:rPr>
          <w:noProof/>
        </w:rPr>
        <w:t>,</w:t>
      </w:r>
    </w:p>
    <w:p w:rsidR="00CA64BD" w:rsidRPr="00591BA2" w:rsidRDefault="00627CF7">
      <w:pPr>
        <w:pStyle w:val="Formuledadoption"/>
        <w:rPr>
          <w:noProof/>
        </w:rPr>
      </w:pPr>
      <w:r w:rsidRPr="00591BA2">
        <w:rPr>
          <w:noProof/>
        </w:rPr>
        <w:t>ADOPTĂ PREZENTA DECIZIE:</w:t>
      </w:r>
    </w:p>
    <w:p w:rsidR="00CA64BD" w:rsidRPr="00591BA2" w:rsidRDefault="00627CF7">
      <w:pPr>
        <w:pStyle w:val="Titrearticle"/>
        <w:rPr>
          <w:noProof/>
        </w:rPr>
      </w:pPr>
      <w:r w:rsidRPr="00591BA2">
        <w:rPr>
          <w:noProof/>
        </w:rPr>
        <w:t>Articolul 1</w:t>
      </w:r>
    </w:p>
    <w:p w:rsidR="00CA64BD" w:rsidRPr="00591BA2" w:rsidRDefault="00627CF7">
      <w:pPr>
        <w:rPr>
          <w:noProof/>
        </w:rPr>
      </w:pPr>
      <w:r w:rsidRPr="00591BA2">
        <w:rPr>
          <w:noProof/>
        </w:rPr>
        <w:t>Cuantumul contribuțiilor care trebuie plătite de părțile la Fondul european de dezvoltare, reprezentând a doua tranșă pentru exercițiul 2026, se stabilește, prin prezenta, la 250 000 000 EUR pentru Comisie.</w:t>
      </w:r>
    </w:p>
    <w:p w:rsidR="00CA64BD" w:rsidRPr="00591BA2" w:rsidRDefault="00627CF7">
      <w:pPr>
        <w:pStyle w:val="Titrearticle"/>
        <w:rPr>
          <w:noProof/>
        </w:rPr>
      </w:pPr>
      <w:r w:rsidRPr="00591BA2">
        <w:rPr>
          <w:noProof/>
        </w:rPr>
        <w:t>Articolul 2</w:t>
      </w:r>
    </w:p>
    <w:p w:rsidR="00CA64BD" w:rsidRPr="00591BA2" w:rsidRDefault="00627CF7">
      <w:pPr>
        <w:rPr>
          <w:noProof/>
        </w:rPr>
      </w:pPr>
      <w:r w:rsidRPr="00591BA2">
        <w:rPr>
          <w:noProof/>
        </w:rPr>
        <w:t>Contribuțiile individuale la Fondul european de dezvoltare trebuie plătite Comisiei Europene de părțile la Fondul european de dezvoltare ca a doua tranșă pentru exercițiul 2026 în conformitate cu anexa la prezenta decizie.</w:t>
      </w:r>
    </w:p>
    <w:p w:rsidR="00CA64BD" w:rsidRPr="00591BA2" w:rsidRDefault="00627CF7" w:rsidP="00EC12F9">
      <w:pPr>
        <w:pStyle w:val="Titrearticle"/>
        <w:rPr>
          <w:noProof/>
        </w:rPr>
      </w:pPr>
      <w:r w:rsidRPr="00591BA2">
        <w:rPr>
          <w:noProof/>
        </w:rPr>
        <w:t>Articolul 3</w:t>
      </w:r>
    </w:p>
    <w:p w:rsidR="00CA64BD" w:rsidRPr="00591BA2" w:rsidRDefault="00627CF7">
      <w:pPr>
        <w:rPr>
          <w:noProof/>
        </w:rPr>
      </w:pPr>
      <w:r w:rsidRPr="00591BA2">
        <w:rPr>
          <w:noProof/>
        </w:rPr>
        <w:t xml:space="preserve">Prezenta decizie intră în vigoare la data publicării în </w:t>
      </w:r>
      <w:r w:rsidRPr="00591BA2">
        <w:rPr>
          <w:i/>
          <w:iCs/>
          <w:noProof/>
        </w:rPr>
        <w:t>Jurnalul Oficial al Uniunii Europene</w:t>
      </w:r>
      <w:r w:rsidRPr="00591BA2">
        <w:rPr>
          <w:noProof/>
        </w:rPr>
        <w:t>.</w:t>
      </w:r>
    </w:p>
    <w:p w:rsidR="00CA64BD" w:rsidRPr="00591BA2" w:rsidRDefault="0037448D" w:rsidP="00EC12F9">
      <w:pPr>
        <w:pStyle w:val="Fait"/>
        <w:rPr>
          <w:noProof/>
        </w:rPr>
      </w:pPr>
      <w:r>
        <w:rPr>
          <w:noProof/>
        </w:rPr>
        <w:t>Adoptată la Bruxelles,</w:t>
      </w:r>
    </w:p>
    <w:p w:rsidR="00CA64BD" w:rsidRPr="00591BA2" w:rsidRDefault="00627CF7" w:rsidP="00EC12F9">
      <w:pPr>
        <w:pStyle w:val="Institutionquisigne"/>
        <w:rPr>
          <w:noProof/>
        </w:rPr>
      </w:pPr>
      <w:r w:rsidRPr="00591BA2">
        <w:rPr>
          <w:noProof/>
        </w:rPr>
        <w:tab/>
        <w:t>Pentru Consiliu</w:t>
      </w:r>
    </w:p>
    <w:p w:rsidR="00CA64BD" w:rsidRPr="00591BA2" w:rsidRDefault="00627CF7" w:rsidP="00EC12F9">
      <w:pPr>
        <w:pStyle w:val="Personnequisigne"/>
        <w:keepNext/>
        <w:rPr>
          <w:noProof/>
        </w:rPr>
      </w:pPr>
      <w:r w:rsidRPr="00591BA2">
        <w:rPr>
          <w:noProof/>
        </w:rPr>
        <w:tab/>
        <w:t>Președintele</w:t>
      </w:r>
    </w:p>
    <w:p w:rsidR="00CA64BD" w:rsidRPr="00591BA2" w:rsidRDefault="00627CF7">
      <w:pPr>
        <w:pStyle w:val="Personnequisigne"/>
        <w:rPr>
          <w:noProof/>
        </w:rPr>
      </w:pPr>
      <w:r w:rsidRPr="00591BA2">
        <w:rPr>
          <w:noProof/>
        </w:rPr>
        <w:tab/>
        <w:t>[...]</w:t>
      </w:r>
    </w:p>
    <w:sectPr w:rsidR="00CA64BD" w:rsidRPr="00591BA2" w:rsidSect="0043613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45C" w:rsidRDefault="0082445C" w:rsidP="0082445C">
      <w:pPr>
        <w:spacing w:before="0" w:after="0"/>
      </w:pPr>
      <w:r>
        <w:separator/>
      </w:r>
    </w:p>
  </w:endnote>
  <w:endnote w:type="continuationSeparator" w:id="0">
    <w:p w:rsidR="0082445C" w:rsidRDefault="0082445C" w:rsidP="0082445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Pr="0043613C" w:rsidRDefault="0043613C" w:rsidP="0043613C">
    <w:pPr>
      <w:pStyle w:val="Footer"/>
      <w:rPr>
        <w:rFonts w:ascii="Arial" w:hAnsi="Arial" w:cs="Arial"/>
        <w:b/>
        <w:sz w:val="48"/>
      </w:rPr>
    </w:pPr>
    <w:r w:rsidRPr="0043613C">
      <w:rPr>
        <w:rFonts w:ascii="Arial" w:hAnsi="Arial" w:cs="Arial"/>
        <w:b/>
        <w:sz w:val="48"/>
      </w:rPr>
      <w:t>RO</w:t>
    </w:r>
    <w:r w:rsidRPr="0043613C">
      <w:rPr>
        <w:rFonts w:ascii="Arial" w:hAnsi="Arial" w:cs="Arial"/>
        <w:b/>
        <w:sz w:val="48"/>
      </w:rPr>
      <w:tab/>
    </w:r>
    <w:r w:rsidRPr="0043613C">
      <w:rPr>
        <w:rFonts w:ascii="Arial" w:hAnsi="Arial" w:cs="Arial"/>
        <w:b/>
        <w:sz w:val="48"/>
      </w:rPr>
      <w:tab/>
    </w:r>
    <w:r w:rsidRPr="0043613C">
      <w:tab/>
    </w:r>
    <w:r w:rsidRPr="0043613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Pr="0043613C" w:rsidRDefault="0043613C" w:rsidP="0043613C">
    <w:pPr>
      <w:pStyle w:val="Footer"/>
      <w:rPr>
        <w:rFonts w:ascii="Arial" w:hAnsi="Arial" w:cs="Arial"/>
        <w:b/>
        <w:sz w:val="48"/>
      </w:rPr>
    </w:pPr>
    <w:r w:rsidRPr="0043613C">
      <w:rPr>
        <w:rFonts w:ascii="Arial" w:hAnsi="Arial" w:cs="Arial"/>
        <w:b/>
        <w:sz w:val="48"/>
      </w:rPr>
      <w:t>RO</w:t>
    </w:r>
    <w:r w:rsidRPr="0043613C">
      <w:rPr>
        <w:rFonts w:ascii="Arial" w:hAnsi="Arial" w:cs="Arial"/>
        <w:b/>
        <w:sz w:val="48"/>
      </w:rPr>
      <w:tab/>
    </w:r>
    <w:r w:rsidRPr="0043613C">
      <w:rPr>
        <w:rFonts w:ascii="Arial" w:hAnsi="Arial" w:cs="Arial"/>
        <w:b/>
        <w:sz w:val="48"/>
      </w:rPr>
      <w:tab/>
    </w:r>
    <w:r w:rsidRPr="0043613C">
      <w:tab/>
    </w:r>
    <w:r w:rsidRPr="0043613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Default="004361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Pr="0043613C" w:rsidRDefault="0043613C" w:rsidP="0043613C">
    <w:pPr>
      <w:pStyle w:val="Footer"/>
      <w:rPr>
        <w:rFonts w:ascii="Arial" w:hAnsi="Arial" w:cs="Arial"/>
        <w:b/>
        <w:sz w:val="48"/>
      </w:rPr>
    </w:pPr>
    <w:r w:rsidRPr="0043613C">
      <w:rPr>
        <w:rFonts w:ascii="Arial" w:hAnsi="Arial" w:cs="Arial"/>
        <w:b/>
        <w:sz w:val="48"/>
      </w:rPr>
      <w:t>RO</w:t>
    </w:r>
    <w:r w:rsidRPr="0043613C">
      <w:rPr>
        <w:rFonts w:ascii="Arial" w:hAnsi="Arial" w:cs="Arial"/>
        <w:b/>
        <w:sz w:val="48"/>
      </w:rPr>
      <w:tab/>
    </w:r>
    <w:r>
      <w:fldChar w:fldCharType="begin"/>
    </w:r>
    <w:r>
      <w:instrText xml:space="preserve"> PAGE  \* MERGEFORMAT </w:instrText>
    </w:r>
    <w:r>
      <w:fldChar w:fldCharType="separate"/>
    </w:r>
    <w:r w:rsidR="00096298">
      <w:rPr>
        <w:noProof/>
      </w:rPr>
      <w:t>1</w:t>
    </w:r>
    <w:r>
      <w:fldChar w:fldCharType="end"/>
    </w:r>
    <w:r>
      <w:tab/>
    </w:r>
    <w:r w:rsidRPr="0043613C">
      <w:tab/>
    </w:r>
    <w:r w:rsidRPr="0043613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Default="0043613C" w:rsidP="004361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45C" w:rsidRDefault="0082445C" w:rsidP="0082445C">
      <w:pPr>
        <w:spacing w:before="0" w:after="0"/>
      </w:pPr>
      <w:r>
        <w:separator/>
      </w:r>
    </w:p>
  </w:footnote>
  <w:footnote w:type="continuationSeparator" w:id="0">
    <w:p w:rsidR="0082445C" w:rsidRDefault="0082445C" w:rsidP="0082445C">
      <w:pPr>
        <w:spacing w:before="0" w:after="0"/>
      </w:pPr>
      <w:r>
        <w:continuationSeparator/>
      </w:r>
    </w:p>
  </w:footnote>
  <w:footnote w:id="1">
    <w:p w:rsidR="00CA64BD" w:rsidRDefault="00627CF7">
      <w:pPr>
        <w:pStyle w:val="FootnoteText"/>
      </w:pPr>
      <w:r>
        <w:rPr>
          <w:rStyle w:val="FootnoteReference"/>
        </w:rPr>
        <w:t>(1)</w:t>
      </w:r>
      <w:r>
        <w:tab/>
        <w:t>JO L 210, 6.8.2013, p. 1.</w:t>
      </w:r>
    </w:p>
  </w:footnote>
  <w:footnote w:id="2">
    <w:p w:rsidR="00CA64BD" w:rsidRDefault="00627CF7">
      <w:pPr>
        <w:pStyle w:val="FootnoteText"/>
      </w:pPr>
      <w:r>
        <w:rPr>
          <w:rStyle w:val="FootnoteReference"/>
        </w:rPr>
        <w:t>(2)</w:t>
      </w:r>
      <w:r>
        <w:tab/>
        <w:t>JO L 307, 3.12.2018, p. 1.</w:t>
      </w:r>
    </w:p>
  </w:footnote>
  <w:footnote w:id="3">
    <w:p w:rsidR="00CA64BD" w:rsidRDefault="00627CF7">
      <w:pPr>
        <w:pStyle w:val="FootnoteText"/>
      </w:pPr>
      <w:r>
        <w:rPr>
          <w:rStyle w:val="FootnoteReference"/>
        </w:rPr>
        <w:t>(3)</w:t>
      </w:r>
      <w:r>
        <w:tab/>
        <w:t>JO L 437, 28.12.2020, p. 188.</w:t>
      </w:r>
    </w:p>
  </w:footnote>
  <w:footnote w:id="4">
    <w:p w:rsidR="00CA64BD" w:rsidRPr="00627CF7" w:rsidRDefault="00627CF7">
      <w:pPr>
        <w:pStyle w:val="FootnoteText"/>
      </w:pPr>
      <w:r>
        <w:rPr>
          <w:rStyle w:val="FootnoteReference"/>
        </w:rPr>
        <w:t>(4)</w:t>
      </w:r>
      <w:r>
        <w:tab/>
        <w:t>JO L 188, 15.7.2022, p. 147.</w:t>
      </w:r>
    </w:p>
  </w:footnote>
  <w:footnote w:id="5">
    <w:p w:rsidR="00CA64BD" w:rsidRPr="00627CF7" w:rsidRDefault="00627CF7">
      <w:pPr>
        <w:pStyle w:val="FootnoteText"/>
      </w:pPr>
      <w:r>
        <w:rPr>
          <w:rStyle w:val="FootnoteReference"/>
        </w:rPr>
        <w:t>(1)</w:t>
      </w:r>
      <w:r>
        <w:tab/>
        <w:t>JO L 210, 6.8.2013, p. 1, ELI: http://data.europa.eu/eli/treaty/tfeu_2016/oj.</w:t>
      </w:r>
    </w:p>
  </w:footnote>
  <w:footnote w:id="6">
    <w:p w:rsidR="00CA64BD" w:rsidRDefault="00627CF7">
      <w:pPr>
        <w:pStyle w:val="FootnoteText"/>
      </w:pPr>
      <w:r>
        <w:rPr>
          <w:rStyle w:val="FootnoteReference"/>
        </w:rPr>
        <w:t>(2)</w:t>
      </w:r>
      <w:r>
        <w:tab/>
        <w:t>JO L 307, 3.12.2018, p. 1, ELI: http://data.europa.eu/eli/reg/2018/1877/oj.</w:t>
      </w:r>
    </w:p>
  </w:footnote>
  <w:footnote w:id="7">
    <w:p w:rsidR="00CA64BD" w:rsidRDefault="00627CF7">
      <w:pPr>
        <w:pStyle w:val="FootnoteText"/>
      </w:pPr>
      <w:r>
        <w:rPr>
          <w:rStyle w:val="FootnoteReference"/>
        </w:rPr>
        <w:t>(3)</w:t>
      </w:r>
      <w:r>
        <w:tab/>
        <w:t>JO L 210, 6.8.2013, p. 1, ELI: http://data.europa.eu/eli/treaty/tfeu_2016/oj.</w:t>
      </w:r>
    </w:p>
  </w:footnote>
  <w:footnote w:id="8">
    <w:p w:rsidR="00CA64BD" w:rsidRDefault="00627CF7">
      <w:pPr>
        <w:pStyle w:val="FootnoteText"/>
      </w:pPr>
      <w:r>
        <w:rPr>
          <w:rStyle w:val="FootnoteReference"/>
        </w:rPr>
        <w:t>(4)</w:t>
      </w:r>
      <w:r>
        <w:tab/>
        <w:t>JO L 2324,14.11.2025, p.1, ELI: http://data.europa.eu/eli/dec/2025/2324/2025-11-14</w:t>
      </w:r>
    </w:p>
  </w:footnote>
  <w:footnote w:id="9">
    <w:p w:rsidR="00CA64BD" w:rsidRDefault="00627CF7">
      <w:pPr>
        <w:pStyle w:val="FootnoteText"/>
      </w:pPr>
      <w:r>
        <w:rPr>
          <w:rStyle w:val="FootnoteReference"/>
        </w:rPr>
        <w:t>(5)</w:t>
      </w:r>
      <w:r>
        <w:tab/>
        <w:t>BEI a solicitat întreaga sa cotă din cel de al 11-lea FED în cadrul primei tranșe pentru exercițiul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Default="004361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13C" w:rsidRDefault="004361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D38535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DCF88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AA18C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1A23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9 16:34: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578468C6-409B-4DC8-B9B1-2AC6466E0C92"/>
    <w:docVar w:name="LW_COVERPAGE_TYPE" w:val="1"/>
    <w:docVar w:name="LW_CROSSREFERENCE" w:val="&lt;UNUSED&gt;"/>
    <w:docVar w:name="LW_DocType" w:val="COM"/>
    <w:docVar w:name="LW_EMISSION" w:val="4.6.2026"/>
    <w:docVar w:name="LW_EMISSION_ISODATE" w:val="2026-06-04"/>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40"/>
    <w:docVar w:name="LW_REF.II.NEW.CP_YEAR" w:val="2026"/>
    <w:docVar w:name="LW_REF.INST.NEW" w:val="COM"/>
    <w:docVar w:name="LW_REF.INST.NEW_ADOPTED" w:val="final"/>
    <w:docVar w:name="LW_REF.INST.NEW_TEXT" w:val="(2026) 26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tribu\u539?iile financiare pe care p\u259?r\u539?ile la Fondul european de dezvoltare trebuie s\u259? le pl\u259?teasc\u259? în cadrul celei de a doua tran\u537?e pentru exerci\u539?iul 2026"/>
    <w:docVar w:name="LW_TYPE.DOC.CP" w:val="DECIZIE A CONSILIULUI"/>
    <w:docVar w:name="LwApiVersions" w:val="LW4CoDe 1.24.5.0; LW 9.2, Build 20251112"/>
  </w:docVars>
  <w:rsids>
    <w:rsidRoot w:val="0029533F"/>
    <w:rsid w:val="000058C0"/>
    <w:rsid w:val="00096298"/>
    <w:rsid w:val="001065F5"/>
    <w:rsid w:val="001067D2"/>
    <w:rsid w:val="001238EF"/>
    <w:rsid w:val="001834BA"/>
    <w:rsid w:val="001961B2"/>
    <w:rsid w:val="00197613"/>
    <w:rsid w:val="00233DC7"/>
    <w:rsid w:val="00247779"/>
    <w:rsid w:val="00285BEE"/>
    <w:rsid w:val="0029533F"/>
    <w:rsid w:val="002B30AF"/>
    <w:rsid w:val="0033344A"/>
    <w:rsid w:val="0037448D"/>
    <w:rsid w:val="003A699F"/>
    <w:rsid w:val="0042648E"/>
    <w:rsid w:val="0043613C"/>
    <w:rsid w:val="004936D2"/>
    <w:rsid w:val="00573D3C"/>
    <w:rsid w:val="00591BA2"/>
    <w:rsid w:val="005B1EB6"/>
    <w:rsid w:val="005D1F90"/>
    <w:rsid w:val="005E1F15"/>
    <w:rsid w:val="00627CF7"/>
    <w:rsid w:val="006613DB"/>
    <w:rsid w:val="007317B7"/>
    <w:rsid w:val="0076673F"/>
    <w:rsid w:val="00773331"/>
    <w:rsid w:val="007932EF"/>
    <w:rsid w:val="007E05B0"/>
    <w:rsid w:val="008016C8"/>
    <w:rsid w:val="0082445C"/>
    <w:rsid w:val="00862E7C"/>
    <w:rsid w:val="00874D22"/>
    <w:rsid w:val="008A2914"/>
    <w:rsid w:val="008E4D8E"/>
    <w:rsid w:val="00A317A0"/>
    <w:rsid w:val="00B72562"/>
    <w:rsid w:val="00C04493"/>
    <w:rsid w:val="00C12301"/>
    <w:rsid w:val="00C32E7C"/>
    <w:rsid w:val="00C954CD"/>
    <w:rsid w:val="00CA64BD"/>
    <w:rsid w:val="00CB7AF2"/>
    <w:rsid w:val="00D20381"/>
    <w:rsid w:val="00D46D01"/>
    <w:rsid w:val="00D73D96"/>
    <w:rsid w:val="00D82E9E"/>
    <w:rsid w:val="00DE2893"/>
    <w:rsid w:val="00E0226F"/>
    <w:rsid w:val="00E1241E"/>
    <w:rsid w:val="00E664ED"/>
    <w:rsid w:val="00EC12F9"/>
    <w:rsid w:val="00F27E44"/>
    <w:rsid w:val="00FC38F8"/>
    <w:rsid w:val="00FC78CD"/>
    <w:rsid w:val="00FE3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8BA02BAA-FE2A-42CD-9E3B-64F2873A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573D3C"/>
    <w:pPr>
      <w:numPr>
        <w:numId w:val="1"/>
      </w:numPr>
      <w:contextualSpacing/>
    </w:pPr>
  </w:style>
  <w:style w:type="paragraph" w:styleId="ListBullet2">
    <w:name w:val="List Bullet 2"/>
    <w:basedOn w:val="Normal"/>
    <w:uiPriority w:val="99"/>
    <w:semiHidden/>
    <w:unhideWhenUsed/>
    <w:rsid w:val="00573D3C"/>
    <w:pPr>
      <w:numPr>
        <w:numId w:val="2"/>
      </w:numPr>
      <w:contextualSpacing/>
    </w:pPr>
  </w:style>
  <w:style w:type="paragraph" w:styleId="ListBullet3">
    <w:name w:val="List Bullet 3"/>
    <w:basedOn w:val="Normal"/>
    <w:uiPriority w:val="99"/>
    <w:semiHidden/>
    <w:unhideWhenUsed/>
    <w:rsid w:val="00573D3C"/>
    <w:pPr>
      <w:numPr>
        <w:numId w:val="3"/>
      </w:numPr>
      <w:contextualSpacing/>
    </w:pPr>
  </w:style>
  <w:style w:type="paragraph" w:styleId="ListBullet4">
    <w:name w:val="List Bullet 4"/>
    <w:basedOn w:val="Normal"/>
    <w:uiPriority w:val="99"/>
    <w:semiHidden/>
    <w:unhideWhenUsed/>
    <w:rsid w:val="00573D3C"/>
    <w:pPr>
      <w:numPr>
        <w:numId w:val="4"/>
      </w:numPr>
      <w:contextualSpacing/>
    </w:pPr>
  </w:style>
  <w:style w:type="character" w:customStyle="1" w:styleId="HeaderChar">
    <w:name w:val="Header Char"/>
    <w:basedOn w:val="DefaultParagraphFont"/>
    <w:link w:val="Header"/>
    <w:uiPriority w:val="99"/>
    <w:rsid w:val="0043613C"/>
    <w:rPr>
      <w:rFonts w:ascii="Times New Roman" w:hAnsi="Times New Roman" w:cs="Times New Roman"/>
      <w:sz w:val="24"/>
      <w:lang w:val="ro-RO"/>
    </w:rPr>
  </w:style>
  <w:style w:type="character" w:customStyle="1" w:styleId="FooterChar">
    <w:name w:val="Footer Char"/>
    <w:basedOn w:val="DefaultParagraphFont"/>
    <w:link w:val="Footer"/>
    <w:uiPriority w:val="99"/>
    <w:rsid w:val="0043613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361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3613C"/>
    <w:pPr>
      <w:spacing w:before="0"/>
      <w:jc w:val="right"/>
    </w:pPr>
    <w:rPr>
      <w:sz w:val="28"/>
    </w:rPr>
  </w:style>
  <w:style w:type="paragraph" w:customStyle="1" w:styleId="FooterSensitivity">
    <w:name w:val="Footer Sensitivity"/>
    <w:basedOn w:val="Normal"/>
    <w:rsid w:val="004361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3613C"/>
    <w:pPr>
      <w:tabs>
        <w:tab w:val="center" w:pos="4535"/>
        <w:tab w:val="right" w:pos="9071"/>
      </w:tabs>
      <w:spacing w:before="0"/>
    </w:pPr>
  </w:style>
  <w:style w:type="paragraph" w:customStyle="1" w:styleId="HeaderLandscape">
    <w:name w:val="HeaderLandscape"/>
    <w:basedOn w:val="Normal"/>
    <w:rsid w:val="0043613C"/>
    <w:pPr>
      <w:tabs>
        <w:tab w:val="center" w:pos="7285"/>
        <w:tab w:val="right" w:pos="14003"/>
      </w:tabs>
      <w:spacing w:before="0"/>
    </w:pPr>
  </w:style>
  <w:style w:type="paragraph" w:styleId="Footer">
    <w:name w:val="footer"/>
    <w:basedOn w:val="Normal"/>
    <w:link w:val="FooterChar"/>
    <w:uiPriority w:val="99"/>
    <w:unhideWhenUsed/>
    <w:rsid w:val="0043613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3613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8</TotalTime>
  <Pages>5</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2026-05-28T06:47:00Z</dcterms:created>
  <dcterms:modified xsi:type="dcterms:W3CDTF">2026-05-29T14:34:00Z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2026-05-05T12:49:24Z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51682623-5f49-43cc-9cc4-3bf06aeb8823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