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5E198" w14:textId="1BD29957" w:rsidR="006E6DE3" w:rsidRPr="00C266F1" w:rsidRDefault="00951F48" w:rsidP="00951F48">
      <w:pPr>
        <w:pStyle w:val="Pagedecouverture"/>
        <w:rPr>
          <w:noProof/>
        </w:rPr>
      </w:pPr>
      <w:bookmarkStart w:id="0" w:name="LW_BM_COVERPAGE"/>
      <w:r>
        <w:rPr>
          <w:noProof/>
        </w:rPr>
        <w:pict w14:anchorId="5B59E1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40ADB7-8038-4245-A0A3-5DC4EF27DC72" style="width:455.25pt;height:286.5pt">
            <v:imagedata r:id="rId8" o:title=""/>
          </v:shape>
        </w:pict>
      </w:r>
    </w:p>
    <w:bookmarkEnd w:id="0"/>
    <w:p w14:paraId="13DC3EAA" w14:textId="77777777" w:rsidR="006E6DE3" w:rsidRPr="00C266F1" w:rsidRDefault="006E6DE3">
      <w:pPr>
        <w:rPr>
          <w:noProof/>
        </w:rPr>
        <w:sectPr w:rsidR="006E6DE3" w:rsidRPr="00C266F1" w:rsidSect="00951F48">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035CCD50" w14:textId="77777777" w:rsidR="006E6DE3" w:rsidRPr="00C266F1" w:rsidRDefault="00393243">
      <w:pPr>
        <w:pStyle w:val="Heading1"/>
        <w:rPr>
          <w:rFonts w:ascii="Times New Roman" w:hAnsi="Times New Roman"/>
          <w:noProof/>
        </w:rPr>
      </w:pPr>
      <w:bookmarkStart w:id="1" w:name="_Toc227941349"/>
      <w:bookmarkStart w:id="2" w:name="_GoBack"/>
      <w:bookmarkEnd w:id="2"/>
      <w:r w:rsidRPr="00C266F1">
        <w:rPr>
          <w:rFonts w:ascii="Times New Roman" w:hAnsi="Times New Roman"/>
          <w:noProof/>
        </w:rPr>
        <w:lastRenderedPageBreak/>
        <w:t>Introducere</w:t>
      </w:r>
      <w:bookmarkEnd w:id="1"/>
    </w:p>
    <w:p w14:paraId="1A3D2977"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OceanEye este o inițiativă a UE care are rolul de a stimula </w:t>
      </w:r>
      <w:r w:rsidRPr="00C266F1">
        <w:rPr>
          <w:rFonts w:ascii="Times New Roman" w:hAnsi="Times New Roman"/>
          <w:b/>
          <w:noProof/>
          <w:sz w:val="24"/>
        </w:rPr>
        <w:t>observarea oceanelor</w:t>
      </w:r>
      <w:r w:rsidRPr="00C266F1">
        <w:rPr>
          <w:rStyle w:val="FootnoteReference"/>
          <w:rFonts w:ascii="Times New Roman" w:hAnsi="Times New Roman" w:cs="Times New Roman"/>
          <w:noProof/>
          <w:sz w:val="24"/>
          <w:szCs w:val="24"/>
        </w:rPr>
        <w:footnoteReference w:id="1"/>
      </w:r>
      <w:r w:rsidRPr="00C266F1">
        <w:rPr>
          <w:rFonts w:ascii="Times New Roman" w:hAnsi="Times New Roman"/>
          <w:noProof/>
          <w:sz w:val="24"/>
        </w:rPr>
        <w:t>, de a ne îmbunătăți capacitatea de a înțelege și de a gestiona mediul marin și activitățile maritime, precum și de a consolida baza industrială și de inovare aferentă a Europei.</w:t>
      </w:r>
    </w:p>
    <w:p w14:paraId="376C84EF"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Pe baza activelor și a acțiunilor existente ale UE, OceanEye servește drept </w:t>
      </w:r>
      <w:r w:rsidRPr="00C266F1">
        <w:rPr>
          <w:rFonts w:ascii="Times New Roman" w:hAnsi="Times New Roman"/>
          <w:b/>
          <w:noProof/>
          <w:sz w:val="24"/>
        </w:rPr>
        <w:t>mecanism central de punere în aplicare a Pactului european privind oceanul planetar, precum și a viziunii Strategiei maritime industriale a UE de a ancora poziția de lider a Europei în tehnologiile și segmentele de piață emergente</w:t>
      </w:r>
      <w:r w:rsidRPr="00C266F1">
        <w:rPr>
          <w:rFonts w:ascii="Times New Roman" w:hAnsi="Times New Roman"/>
          <w:noProof/>
          <w:sz w:val="24"/>
        </w:rPr>
        <w:t xml:space="preserve">. Inițiativa poziționează UE ca partener mondial de încredere, acțiunea sa fiind ferm ancorată în știință, și urmărește să aducă oceanul planetar în centrul societăților și al economiei noastre. </w:t>
      </w:r>
    </w:p>
    <w:p w14:paraId="5934A255" w14:textId="77777777" w:rsidR="006E6DE3" w:rsidRPr="00C266F1" w:rsidRDefault="00393243">
      <w:pPr>
        <w:jc w:val="both"/>
        <w:rPr>
          <w:rFonts w:ascii="Times New Roman" w:eastAsia="Aptos" w:hAnsi="Times New Roman" w:cs="Times New Roman"/>
          <w:noProof/>
          <w:sz w:val="24"/>
          <w:szCs w:val="24"/>
        </w:rPr>
      </w:pPr>
      <w:r w:rsidRPr="00C266F1">
        <w:rPr>
          <w:rFonts w:ascii="Times New Roman" w:hAnsi="Times New Roman"/>
          <w:noProof/>
          <w:sz w:val="24"/>
        </w:rPr>
        <w:t>În spiritul inițiativei „</w:t>
      </w:r>
      <w:r w:rsidRPr="00C266F1">
        <w:rPr>
          <w:rFonts w:ascii="Times New Roman" w:hAnsi="Times New Roman"/>
          <w:b/>
          <w:noProof/>
          <w:sz w:val="24"/>
        </w:rPr>
        <w:t>Alegeți Europa</w:t>
      </w:r>
      <w:r w:rsidRPr="00C266F1">
        <w:rPr>
          <w:rFonts w:ascii="Times New Roman" w:hAnsi="Times New Roman"/>
          <w:noProof/>
          <w:sz w:val="24"/>
        </w:rPr>
        <w:t>”</w:t>
      </w:r>
      <w:r w:rsidRPr="00C266F1">
        <w:rPr>
          <w:rStyle w:val="FootnoteReference"/>
          <w:rFonts w:ascii="Times New Roman" w:hAnsi="Times New Roman" w:cs="Times New Roman"/>
          <w:noProof/>
          <w:sz w:val="24"/>
          <w:szCs w:val="24"/>
        </w:rPr>
        <w:footnoteReference w:id="2"/>
      </w:r>
      <w:r w:rsidRPr="00C266F1">
        <w:rPr>
          <w:rFonts w:ascii="Times New Roman" w:hAnsi="Times New Roman"/>
          <w:noProof/>
          <w:sz w:val="24"/>
        </w:rPr>
        <w:t xml:space="preserve">, OceanEye se bazează pe ambiția </w:t>
      </w:r>
      <w:r w:rsidRPr="00C266F1">
        <w:rPr>
          <w:rFonts w:ascii="Times New Roman" w:hAnsi="Times New Roman"/>
          <w:b/>
          <w:noProof/>
          <w:sz w:val="24"/>
        </w:rPr>
        <w:t>vizionară</w:t>
      </w:r>
      <w:r w:rsidRPr="00C266F1">
        <w:rPr>
          <w:rFonts w:ascii="Times New Roman" w:hAnsi="Times New Roman"/>
          <w:noProof/>
          <w:sz w:val="24"/>
        </w:rPr>
        <w:t xml:space="preserve"> în ceea ce privește observarea oceanelor, prezentată în </w:t>
      </w:r>
      <w:r w:rsidRPr="00C266F1">
        <w:rPr>
          <w:rFonts w:ascii="Times New Roman" w:hAnsi="Times New Roman"/>
          <w:b/>
          <w:noProof/>
          <w:sz w:val="24"/>
        </w:rPr>
        <w:t>propunerea Comisiei pentru programul Orizont Europa 2028-2034</w:t>
      </w:r>
      <w:r w:rsidRPr="00C266F1">
        <w:rPr>
          <w:rFonts w:ascii="Times New Roman" w:eastAsia="Aptos" w:hAnsi="Times New Roman" w:cs="Times New Roman"/>
          <w:noProof/>
          <w:sz w:val="24"/>
          <w:szCs w:val="24"/>
          <w:vertAlign w:val="superscript"/>
        </w:rPr>
        <w:footnoteReference w:id="3"/>
      </w:r>
      <w:r w:rsidRPr="00C266F1">
        <w:rPr>
          <w:rFonts w:ascii="Times New Roman" w:hAnsi="Times New Roman"/>
          <w:noProof/>
          <w:sz w:val="24"/>
        </w:rPr>
        <w:t xml:space="preserve">. Inițiativa urmărește ca UE să asigure </w:t>
      </w:r>
      <w:r w:rsidRPr="00C266F1">
        <w:rPr>
          <w:rFonts w:ascii="Times New Roman" w:hAnsi="Times New Roman"/>
          <w:i/>
          <w:noProof/>
          <w:sz w:val="24"/>
        </w:rPr>
        <w:t>până în 2035 35 % din sistemul global de observare a oceanelor, să asigure 35 % din piața tehnologiilor de observare a oceanelor și să devină principalul furnizor de informații privind oceanele din întreaga lume.</w:t>
      </w:r>
    </w:p>
    <w:p w14:paraId="53448B18" w14:textId="77777777" w:rsidR="006E6DE3" w:rsidRPr="00C266F1" w:rsidRDefault="00393243">
      <w:pPr>
        <w:jc w:val="both"/>
        <w:rPr>
          <w:rFonts w:ascii="Times New Roman" w:hAnsi="Times New Roman"/>
          <w:b/>
          <w:noProof/>
          <w:sz w:val="24"/>
        </w:rPr>
      </w:pPr>
      <w:r w:rsidRPr="00C266F1">
        <w:rPr>
          <w:rFonts w:ascii="Times New Roman" w:hAnsi="Times New Roman"/>
          <w:b/>
          <w:i/>
          <w:noProof/>
          <w:sz w:val="24"/>
        </w:rPr>
        <w:t xml:space="preserve">Oceanul acoperă 70 % din suprafața terestră, însă doar 5 % din aceasta a fost explorată și cartografiată. Observarea oceanelor este o infrastructură esențială, nu o capacitate opțională. </w:t>
      </w:r>
    </w:p>
    <w:p w14:paraId="0798E6FF"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Trebuie să susținem oceanul care ne susține. Oceanul are o </w:t>
      </w:r>
      <w:r w:rsidRPr="00C266F1">
        <w:rPr>
          <w:rFonts w:ascii="Times New Roman" w:hAnsi="Times New Roman"/>
          <w:b/>
          <w:noProof/>
          <w:sz w:val="24"/>
        </w:rPr>
        <w:t>importanță strategică</w:t>
      </w:r>
      <w:r w:rsidRPr="00C266F1">
        <w:rPr>
          <w:rFonts w:ascii="Times New Roman" w:hAnsi="Times New Roman"/>
          <w:noProof/>
          <w:sz w:val="24"/>
        </w:rPr>
        <w:t xml:space="preserve">, stând la baza </w:t>
      </w:r>
      <w:r w:rsidRPr="00C266F1">
        <w:rPr>
          <w:rFonts w:ascii="Times New Roman" w:hAnsi="Times New Roman"/>
          <w:b/>
          <w:noProof/>
          <w:sz w:val="24"/>
        </w:rPr>
        <w:t>securității, prosperității și rezilienței</w:t>
      </w:r>
      <w:r w:rsidRPr="00C266F1">
        <w:rPr>
          <w:rFonts w:ascii="Times New Roman" w:hAnsi="Times New Roman"/>
          <w:noProof/>
          <w:sz w:val="24"/>
        </w:rPr>
        <w:t xml:space="preserve"> noastre. Oceanul este cel mai mare absorbant de carbon și, prin urmare, aliatul nostru în lupta împotriva încălzirii globale, și generează 50 % din oxigenul de care avem nevoie</w:t>
      </w:r>
      <w:r w:rsidRPr="00C266F1">
        <w:rPr>
          <w:rFonts w:ascii="Times New Roman" w:hAnsi="Times New Roman" w:cs="Times New Roman"/>
          <w:noProof/>
          <w:sz w:val="24"/>
          <w:szCs w:val="24"/>
          <w:vertAlign w:val="superscript"/>
        </w:rPr>
        <w:footnoteReference w:id="4"/>
      </w:r>
      <w:r w:rsidRPr="00C266F1">
        <w:rPr>
          <w:rFonts w:ascii="Times New Roman" w:hAnsi="Times New Roman"/>
          <w:noProof/>
          <w:sz w:val="24"/>
        </w:rPr>
        <w:t xml:space="preserve">. De asemenea, el este o componentă centrală a </w:t>
      </w:r>
      <w:r w:rsidRPr="00C266F1">
        <w:rPr>
          <w:rFonts w:ascii="Times New Roman" w:hAnsi="Times New Roman"/>
          <w:b/>
          <w:noProof/>
          <w:sz w:val="24"/>
        </w:rPr>
        <w:t>ciclului apei</w:t>
      </w:r>
      <w:r w:rsidRPr="00C266F1">
        <w:rPr>
          <w:rFonts w:ascii="Times New Roman" w:hAnsi="Times New Roman"/>
          <w:noProof/>
          <w:sz w:val="24"/>
        </w:rPr>
        <w:t xml:space="preserve"> și oferă o multitudine de </w:t>
      </w:r>
      <w:r w:rsidRPr="00C266F1">
        <w:rPr>
          <w:rFonts w:ascii="Times New Roman" w:hAnsi="Times New Roman"/>
          <w:b/>
          <w:noProof/>
          <w:sz w:val="24"/>
        </w:rPr>
        <w:t>resurse</w:t>
      </w:r>
      <w:r w:rsidRPr="00C266F1">
        <w:rPr>
          <w:rFonts w:ascii="Times New Roman" w:hAnsi="Times New Roman"/>
          <w:noProof/>
          <w:sz w:val="24"/>
        </w:rPr>
        <w:t xml:space="preserve">, în special ca sursă vitală de alimente prin pescuit și acvacultură, care sunt, de asemenea, esențiale pentru suveranitatea alimentară europeană, coeziunea teritorială și sistemele alimentare durabile. </w:t>
      </w:r>
      <w:bookmarkStart w:id="3" w:name="_Hlk229407374"/>
      <w:r w:rsidRPr="00C266F1">
        <w:rPr>
          <w:rFonts w:ascii="Times New Roman" w:hAnsi="Times New Roman"/>
          <w:noProof/>
          <w:sz w:val="24"/>
        </w:rPr>
        <w:t>Gestionarea durabilă a activităților marine este esențială pentru menținerea funcțiilor societale esențiale într-o varietate de sectoare.</w:t>
      </w:r>
      <w:bookmarkEnd w:id="3"/>
    </w:p>
    <w:p w14:paraId="0FE27EDC"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De asemenea, oceanul este un spațiu geopolitic esențial pentru </w:t>
      </w:r>
      <w:r w:rsidRPr="00C266F1">
        <w:rPr>
          <w:rFonts w:ascii="Times New Roman" w:hAnsi="Times New Roman"/>
          <w:b/>
          <w:noProof/>
          <w:sz w:val="24"/>
        </w:rPr>
        <w:t>transportul maritim, infrastructura energetică și digitală, securitatea maritimă și apărare</w:t>
      </w:r>
      <w:r w:rsidRPr="00C266F1">
        <w:rPr>
          <w:rFonts w:ascii="Times New Roman" w:hAnsi="Times New Roman"/>
          <w:noProof/>
          <w:sz w:val="24"/>
        </w:rPr>
        <w:t xml:space="preserve">. Într-o eră a amenințărilor hibride în continuă evoluție, reziliența acestor infrastructuri maritime critice a devenit o prioritate strategică, ceea ce face ca o cunoaștere constantă a oceanelor să fie indispensabilă pentru protejarea intereselor, a autonomiei strategice și a poziției de lider a Europei într-o lume aflată în schimbare rapidă. De asemenea, </w:t>
      </w:r>
      <w:r w:rsidRPr="00C266F1">
        <w:rPr>
          <w:rFonts w:ascii="Times New Roman" w:hAnsi="Times New Roman"/>
          <w:b/>
          <w:noProof/>
          <w:sz w:val="24"/>
        </w:rPr>
        <w:t>parteneriatele pentru securitate și apărare</w:t>
      </w:r>
      <w:r w:rsidRPr="00C266F1">
        <w:rPr>
          <w:rStyle w:val="FootnoteReference"/>
          <w:rFonts w:ascii="Times New Roman" w:hAnsi="Times New Roman"/>
          <w:b/>
          <w:noProof/>
          <w:sz w:val="24"/>
        </w:rPr>
        <w:footnoteReference w:id="5"/>
      </w:r>
      <w:r w:rsidRPr="00C266F1">
        <w:rPr>
          <w:rFonts w:ascii="Times New Roman" w:hAnsi="Times New Roman"/>
          <w:noProof/>
          <w:sz w:val="24"/>
        </w:rPr>
        <w:t xml:space="preserve"> ale UE cu țări din afara UE, inclusiv cu Regatul Unit, Norvegia, Canada și India, reflectă importanța tot mai mare a observării oceanelor în consolidarea eforturilor comune în materie de securitate maritimă.</w:t>
      </w:r>
    </w:p>
    <w:p w14:paraId="7F297690" w14:textId="77777777" w:rsidR="006E6DE3" w:rsidRPr="00C266F1" w:rsidRDefault="00393243">
      <w:pPr>
        <w:spacing w:after="0"/>
        <w:jc w:val="both"/>
        <w:rPr>
          <w:rFonts w:ascii="Times New Roman" w:hAnsi="Times New Roman" w:cs="Times New Roman"/>
          <w:noProof/>
          <w:sz w:val="24"/>
          <w:szCs w:val="24"/>
        </w:rPr>
      </w:pPr>
      <w:r w:rsidRPr="00C266F1">
        <w:rPr>
          <w:rFonts w:ascii="Times New Roman" w:hAnsi="Times New Roman"/>
          <w:noProof/>
          <w:sz w:val="24"/>
        </w:rPr>
        <w:t xml:space="preserve">Prin urmare, </w:t>
      </w:r>
      <w:r w:rsidRPr="00C266F1">
        <w:rPr>
          <w:rFonts w:ascii="Times New Roman" w:hAnsi="Times New Roman"/>
          <w:b/>
          <w:noProof/>
          <w:sz w:val="24"/>
        </w:rPr>
        <w:t>un sistem funcțional de observare a oceanelor este esențial pentru:</w:t>
      </w:r>
    </w:p>
    <w:p w14:paraId="74B67ECD" w14:textId="77777777" w:rsidR="006E6DE3" w:rsidRPr="00C266F1" w:rsidRDefault="00393243">
      <w:pPr>
        <w:pStyle w:val="ListParagraph"/>
        <w:numPr>
          <w:ilvl w:val="0"/>
          <w:numId w:val="5"/>
        </w:numPr>
        <w:jc w:val="both"/>
        <w:rPr>
          <w:rFonts w:ascii="Times New Roman" w:hAnsi="Times New Roman" w:cs="Times New Roman"/>
          <w:noProof/>
          <w:sz w:val="24"/>
          <w:szCs w:val="24"/>
        </w:rPr>
      </w:pPr>
      <w:r w:rsidRPr="00C266F1">
        <w:rPr>
          <w:rFonts w:ascii="Times New Roman" w:hAnsi="Times New Roman"/>
          <w:noProof/>
          <w:sz w:val="24"/>
        </w:rPr>
        <w:t xml:space="preserve">generarea de date constante și de înaltă calitate privind procesele fizice, chimice și biologice ale oceanelor, care sunt esențiale pentru </w:t>
      </w:r>
      <w:r w:rsidRPr="00C266F1">
        <w:rPr>
          <w:rFonts w:ascii="Times New Roman" w:hAnsi="Times New Roman"/>
          <w:b/>
          <w:noProof/>
          <w:sz w:val="24"/>
        </w:rPr>
        <w:t>protejarea și refacerea sănătății oceanelor</w:t>
      </w:r>
      <w:r w:rsidRPr="00C266F1">
        <w:rPr>
          <w:rFonts w:ascii="Times New Roman" w:hAnsi="Times New Roman"/>
          <w:noProof/>
          <w:sz w:val="24"/>
        </w:rPr>
        <w:t xml:space="preserve">, pentru conservarea biodiversității marine și pentru menținerea serviciilor ecosistemice vitale pe care le oferă oceanul; </w:t>
      </w:r>
    </w:p>
    <w:p w14:paraId="182B6E7E" w14:textId="77777777" w:rsidR="006E6DE3" w:rsidRPr="00C266F1" w:rsidRDefault="00393243">
      <w:pPr>
        <w:pStyle w:val="ListParagraph"/>
        <w:numPr>
          <w:ilvl w:val="0"/>
          <w:numId w:val="5"/>
        </w:numPr>
        <w:jc w:val="both"/>
        <w:rPr>
          <w:rFonts w:ascii="Times New Roman" w:hAnsi="Times New Roman"/>
          <w:b/>
          <w:noProof/>
          <w:sz w:val="24"/>
        </w:rPr>
      </w:pPr>
      <w:r w:rsidRPr="00C266F1">
        <w:rPr>
          <w:rFonts w:ascii="Times New Roman" w:hAnsi="Times New Roman"/>
          <w:noProof/>
          <w:sz w:val="24"/>
        </w:rPr>
        <w:t xml:space="preserve">furnizarea de informații fiabile privind oceanele, necesare pentru operațiuni și cadre de reglementare sigure, eficiente și cu impact redus în sectoare precum pescuitul, acvacultura, biotehnologia, energia offshore, turismul, porturile și transportul maritim, finanțele sau asigurările, stimulând astfel </w:t>
      </w:r>
      <w:r w:rsidRPr="00C266F1">
        <w:rPr>
          <w:rFonts w:ascii="Times New Roman" w:hAnsi="Times New Roman"/>
          <w:b/>
          <w:noProof/>
          <w:sz w:val="24"/>
        </w:rPr>
        <w:t xml:space="preserve">competitivitatea unei </w:t>
      </w:r>
      <w:r w:rsidRPr="00C266F1">
        <w:rPr>
          <w:rFonts w:ascii="Times New Roman" w:hAnsi="Times New Roman"/>
          <w:b/>
          <w:i/>
          <w:noProof/>
          <w:sz w:val="24"/>
        </w:rPr>
        <w:t>economii albastre</w:t>
      </w:r>
      <w:r w:rsidRPr="00C266F1">
        <w:rPr>
          <w:rFonts w:ascii="Times New Roman" w:hAnsi="Times New Roman"/>
          <w:b/>
          <w:noProof/>
          <w:sz w:val="24"/>
        </w:rPr>
        <w:t xml:space="preserve"> sustenabile, regenerative și încă în mare măsură neexploatate;</w:t>
      </w:r>
    </w:p>
    <w:p w14:paraId="553AA087" w14:textId="77777777" w:rsidR="006E6DE3" w:rsidRPr="00C266F1" w:rsidRDefault="00393243">
      <w:pPr>
        <w:pStyle w:val="ListParagraph"/>
        <w:numPr>
          <w:ilvl w:val="0"/>
          <w:numId w:val="5"/>
        </w:numPr>
        <w:jc w:val="both"/>
        <w:rPr>
          <w:rFonts w:ascii="Times New Roman" w:hAnsi="Times New Roman"/>
          <w:noProof/>
          <w:sz w:val="24"/>
          <w:szCs w:val="24"/>
        </w:rPr>
      </w:pPr>
      <w:r w:rsidRPr="00C266F1">
        <w:rPr>
          <w:rFonts w:ascii="Times New Roman" w:hAnsi="Times New Roman"/>
          <w:noProof/>
          <w:sz w:val="24"/>
        </w:rPr>
        <w:t xml:space="preserve">crearea de </w:t>
      </w:r>
      <w:r w:rsidRPr="00C266F1">
        <w:rPr>
          <w:rFonts w:ascii="Times New Roman" w:hAnsi="Times New Roman"/>
          <w:b/>
          <w:noProof/>
          <w:sz w:val="24"/>
        </w:rPr>
        <w:t>noi oportunități de cerere pentru baza de producție maritimă a Europei</w:t>
      </w:r>
      <w:r w:rsidRPr="00C266F1">
        <w:rPr>
          <w:rFonts w:ascii="Times New Roman" w:hAnsi="Times New Roman"/>
          <w:noProof/>
          <w:sz w:val="24"/>
        </w:rPr>
        <w:t>, legate de nave, echipamente și tehnologii specializate (de exemplu, nave de cercetare oceanografică, drone, transportoare de drone, senzori, robotică subacvatică)</w:t>
      </w:r>
      <w:r w:rsidRPr="00C266F1">
        <w:rPr>
          <w:noProof/>
        </w:rPr>
        <w:t xml:space="preserve">, </w:t>
      </w:r>
      <w:r w:rsidRPr="00C266F1">
        <w:rPr>
          <w:rFonts w:ascii="Times New Roman" w:hAnsi="Times New Roman"/>
          <w:noProof/>
          <w:sz w:val="24"/>
        </w:rPr>
        <w:t>promovând poziția de lider tehnologic și suveranitatea industrială a Europei;</w:t>
      </w:r>
    </w:p>
    <w:p w14:paraId="452D4331" w14:textId="77777777" w:rsidR="006E6DE3" w:rsidRPr="00C266F1" w:rsidRDefault="00393243">
      <w:pPr>
        <w:pStyle w:val="ListParagraph"/>
        <w:numPr>
          <w:ilvl w:val="0"/>
          <w:numId w:val="5"/>
        </w:numPr>
        <w:jc w:val="both"/>
        <w:rPr>
          <w:rFonts w:ascii="Times New Roman" w:hAnsi="Times New Roman" w:cs="Times New Roman"/>
          <w:noProof/>
          <w:sz w:val="24"/>
          <w:szCs w:val="24"/>
        </w:rPr>
      </w:pPr>
      <w:bookmarkStart w:id="4" w:name="_Hlk229406545"/>
      <w:r w:rsidRPr="00C266F1">
        <w:rPr>
          <w:rFonts w:ascii="Times New Roman" w:hAnsi="Times New Roman"/>
          <w:noProof/>
          <w:sz w:val="24"/>
        </w:rPr>
        <w:t xml:space="preserve">consolidarea pregătirii și a rezilienței regiunilor costiere, insulare și ultraperiferice prin îmbunătățirea </w:t>
      </w:r>
      <w:r w:rsidRPr="00C266F1">
        <w:rPr>
          <w:rFonts w:ascii="Times New Roman" w:hAnsi="Times New Roman"/>
          <w:b/>
          <w:noProof/>
          <w:sz w:val="24"/>
        </w:rPr>
        <w:t>previziunilor meteorologice și climatice, a evaluărilor riscurilor</w:t>
      </w:r>
      <w:r w:rsidRPr="00C266F1">
        <w:rPr>
          <w:rFonts w:ascii="Times New Roman" w:hAnsi="Times New Roman"/>
          <w:noProof/>
          <w:sz w:val="24"/>
        </w:rPr>
        <w:t xml:space="preserve"> și a sistemelor de alertă timpurie pentru a sprijini comunitățile și actorii din economia albastră să se adapteze la efectele schimbărilor climatice și la alte pericole naturale și provocate de om, inclusiv la riscurile geologice, poluarea marină și deșeurile marine, accidentele de transport și perturbările geopolitice;</w:t>
      </w:r>
    </w:p>
    <w:bookmarkEnd w:id="4"/>
    <w:p w14:paraId="74779B12" w14:textId="77777777" w:rsidR="006E6DE3" w:rsidRPr="00C266F1" w:rsidRDefault="00393243">
      <w:pPr>
        <w:pStyle w:val="ListParagraph"/>
        <w:numPr>
          <w:ilvl w:val="0"/>
          <w:numId w:val="5"/>
        </w:numPr>
        <w:jc w:val="both"/>
        <w:rPr>
          <w:rFonts w:ascii="Times New Roman" w:hAnsi="Times New Roman" w:cs="Times New Roman"/>
          <w:noProof/>
          <w:sz w:val="24"/>
          <w:szCs w:val="24"/>
        </w:rPr>
      </w:pPr>
      <w:r w:rsidRPr="00C266F1">
        <w:rPr>
          <w:rFonts w:ascii="Times New Roman" w:hAnsi="Times New Roman"/>
          <w:noProof/>
          <w:sz w:val="24"/>
        </w:rPr>
        <w:t>îmbunătățirea conștientizării situației maritime, a informațiilor situaționale și a protecției infrastructurilor critice offshore și submarine, contribuind astfel la consolidarea</w:t>
      </w:r>
      <w:r w:rsidRPr="00C266F1">
        <w:rPr>
          <w:rFonts w:ascii="Times New Roman" w:hAnsi="Times New Roman"/>
          <w:b/>
          <w:noProof/>
          <w:sz w:val="24"/>
        </w:rPr>
        <w:t xml:space="preserve"> securității, siguranței și apărării maritime. </w:t>
      </w:r>
    </w:p>
    <w:p w14:paraId="2B84ED70"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Observarea oceanelor este, de asemenea, </w:t>
      </w:r>
      <w:r w:rsidRPr="00C266F1">
        <w:rPr>
          <w:rFonts w:ascii="Times New Roman" w:hAnsi="Times New Roman"/>
          <w:b/>
          <w:noProof/>
          <w:sz w:val="24"/>
        </w:rPr>
        <w:t>un sector economic în sine, cu un puternic potențial de creștere.</w:t>
      </w:r>
      <w:r w:rsidRPr="00C266F1">
        <w:rPr>
          <w:rFonts w:ascii="Times New Roman" w:hAnsi="Times New Roman"/>
          <w:noProof/>
          <w:sz w:val="24"/>
        </w:rPr>
        <w:t xml:space="preserve"> Se estimează că fiecare euro investit în sisteme de observare a oceanelor generează un randament de 5-6 EUR în beneficii economice și societale</w:t>
      </w:r>
      <w:r w:rsidRPr="00C266F1">
        <w:rPr>
          <w:rStyle w:val="FootnoteReference"/>
          <w:rFonts w:ascii="Times New Roman" w:hAnsi="Times New Roman" w:cs="Times New Roman"/>
          <w:noProof/>
          <w:sz w:val="24"/>
          <w:szCs w:val="24"/>
        </w:rPr>
        <w:footnoteReference w:id="6"/>
      </w:r>
      <w:r w:rsidRPr="00C266F1">
        <w:rPr>
          <w:noProof/>
        </w:rPr>
        <w:t>.</w:t>
      </w:r>
      <w:r w:rsidRPr="00C266F1">
        <w:rPr>
          <w:rFonts w:ascii="Times New Roman" w:hAnsi="Times New Roman"/>
          <w:noProof/>
          <w:sz w:val="24"/>
        </w:rPr>
        <w:t xml:space="preserve"> UNESCO a estimat </w:t>
      </w:r>
      <w:r w:rsidRPr="00C266F1">
        <w:rPr>
          <w:rFonts w:ascii="Times New Roman" w:hAnsi="Times New Roman"/>
          <w:b/>
          <w:noProof/>
          <w:sz w:val="24"/>
        </w:rPr>
        <w:t>investițiile publice</w:t>
      </w:r>
      <w:r w:rsidRPr="00C266F1">
        <w:rPr>
          <w:rFonts w:ascii="Times New Roman" w:hAnsi="Times New Roman"/>
          <w:noProof/>
          <w:sz w:val="24"/>
        </w:rPr>
        <w:t xml:space="preserve"> în observarea globală </w:t>
      </w:r>
      <w:r w:rsidRPr="00C266F1">
        <w:rPr>
          <w:rFonts w:ascii="Times New Roman" w:hAnsi="Times New Roman"/>
          <w:i/>
          <w:noProof/>
          <w:sz w:val="24"/>
        </w:rPr>
        <w:t>in situ</w:t>
      </w:r>
      <w:r w:rsidRPr="00C266F1">
        <w:rPr>
          <w:rFonts w:ascii="Times New Roman" w:hAnsi="Times New Roman"/>
          <w:noProof/>
          <w:sz w:val="24"/>
        </w:rPr>
        <w:t xml:space="preserve"> a oceanelor la 0,85-1,3 miliarde EUR pe an, ceea ce acoperă doar 60-70 % din sistemul necesar</w:t>
      </w:r>
      <w:r w:rsidRPr="00C266F1">
        <w:rPr>
          <w:rStyle w:val="FootnoteReference"/>
          <w:rFonts w:ascii="Times New Roman" w:hAnsi="Times New Roman" w:cs="Times New Roman"/>
          <w:noProof/>
          <w:sz w:val="24"/>
          <w:szCs w:val="24"/>
        </w:rPr>
        <w:footnoteReference w:id="7"/>
      </w:r>
      <w:r w:rsidRPr="00C266F1">
        <w:rPr>
          <w:rFonts w:ascii="Times New Roman" w:hAnsi="Times New Roman"/>
          <w:noProof/>
          <w:sz w:val="24"/>
        </w:rPr>
        <w:t>. Alte surse estimează cheltuielile anuale globale la 2 miliarde EUR, din care aproximativ 500 de milioane EUR în UE</w:t>
      </w:r>
      <w:r w:rsidRPr="00C266F1">
        <w:rPr>
          <w:rStyle w:val="FootnoteReference"/>
          <w:rFonts w:ascii="Times New Roman" w:hAnsi="Times New Roman" w:cs="Times New Roman"/>
          <w:noProof/>
          <w:sz w:val="24"/>
          <w:szCs w:val="24"/>
        </w:rPr>
        <w:footnoteReference w:id="8"/>
      </w:r>
      <w:r w:rsidRPr="00C266F1">
        <w:rPr>
          <w:rFonts w:ascii="Times New Roman" w:hAnsi="Times New Roman"/>
          <w:noProof/>
          <w:sz w:val="24"/>
        </w:rPr>
        <w:t>. În același timp, toate activitățile economice ale SUA legate direct de produsele și serviciile de observare a oceanelor au fost estimate la 7 miliarde EUR și deservesc un ecosistem de afaceri mult mai mare, evaluat la 35-80 de miliarde EUR</w:t>
      </w:r>
      <w:r w:rsidRPr="00C266F1">
        <w:rPr>
          <w:rStyle w:val="FootnoteReference"/>
          <w:rFonts w:ascii="Times New Roman" w:hAnsi="Times New Roman" w:cs="Times New Roman"/>
          <w:noProof/>
          <w:sz w:val="24"/>
          <w:szCs w:val="24"/>
        </w:rPr>
        <w:footnoteReference w:id="9"/>
      </w:r>
      <w:r w:rsidRPr="00C266F1">
        <w:rPr>
          <w:rFonts w:ascii="Times New Roman" w:hAnsi="Times New Roman"/>
          <w:noProof/>
          <w:sz w:val="24"/>
        </w:rPr>
        <w:t xml:space="preserve">. </w:t>
      </w:r>
    </w:p>
    <w:p w14:paraId="2595AABF" w14:textId="77777777" w:rsidR="006E6DE3" w:rsidRPr="00C266F1" w:rsidRDefault="00393243">
      <w:pPr>
        <w:jc w:val="both"/>
        <w:rPr>
          <w:rFonts w:ascii="Times New Roman" w:eastAsia="Times New Roman" w:hAnsi="Times New Roman" w:cs="Times New Roman"/>
          <w:noProof/>
          <w:sz w:val="24"/>
          <w:szCs w:val="24"/>
        </w:rPr>
      </w:pPr>
      <w:r w:rsidRPr="00C266F1">
        <w:rPr>
          <w:rFonts w:ascii="Times New Roman" w:hAnsi="Times New Roman"/>
          <w:b/>
          <w:noProof/>
          <w:sz w:val="24"/>
        </w:rPr>
        <w:t>OceanEye își propune</w:t>
      </w:r>
      <w:r w:rsidRPr="00C266F1">
        <w:rPr>
          <w:rFonts w:ascii="Times New Roman" w:hAnsi="Times New Roman"/>
          <w:noProof/>
          <w:sz w:val="24"/>
        </w:rPr>
        <w:t>:</w:t>
      </w:r>
    </w:p>
    <w:p w14:paraId="79C418AE" w14:textId="77777777" w:rsidR="006E6DE3" w:rsidRPr="00C266F1" w:rsidRDefault="00393243">
      <w:pPr>
        <w:pStyle w:val="ListParagraph"/>
        <w:numPr>
          <w:ilvl w:val="0"/>
          <w:numId w:val="13"/>
        </w:numPr>
        <w:ind w:left="709"/>
        <w:jc w:val="both"/>
        <w:rPr>
          <w:rFonts w:ascii="Times New Roman" w:eastAsia="Times New Roman" w:hAnsi="Times New Roman" w:cs="Times New Roman"/>
          <w:noProof/>
          <w:sz w:val="24"/>
          <w:szCs w:val="24"/>
        </w:rPr>
      </w:pPr>
      <w:r w:rsidRPr="00C266F1">
        <w:rPr>
          <w:rFonts w:ascii="Times New Roman" w:hAnsi="Times New Roman"/>
          <w:b/>
          <w:noProof/>
          <w:sz w:val="24"/>
        </w:rPr>
        <w:t>consolidarea eforturilor naționale și europene și a structurilor de coordonare</w:t>
      </w:r>
      <w:r w:rsidRPr="00C266F1">
        <w:rPr>
          <w:rFonts w:ascii="Times New Roman" w:hAnsi="Times New Roman"/>
          <w:noProof/>
          <w:sz w:val="24"/>
        </w:rPr>
        <w:t xml:space="preserve"> axate pe observațiile oceanice </w:t>
      </w:r>
      <w:r w:rsidRPr="00C266F1">
        <w:rPr>
          <w:rFonts w:ascii="Times New Roman" w:hAnsi="Times New Roman"/>
          <w:i/>
          <w:noProof/>
          <w:sz w:val="24"/>
        </w:rPr>
        <w:t>in situ</w:t>
      </w:r>
      <w:r w:rsidRPr="00C266F1">
        <w:rPr>
          <w:rFonts w:ascii="Times New Roman" w:hAnsi="Times New Roman"/>
          <w:noProof/>
          <w:sz w:val="24"/>
        </w:rPr>
        <w:t xml:space="preserve">; </w:t>
      </w:r>
    </w:p>
    <w:p w14:paraId="72F3CD5C" w14:textId="77777777" w:rsidR="006E6DE3" w:rsidRPr="00C266F1" w:rsidRDefault="00393243">
      <w:pPr>
        <w:pStyle w:val="ListParagraph"/>
        <w:numPr>
          <w:ilvl w:val="0"/>
          <w:numId w:val="13"/>
        </w:numPr>
        <w:ind w:left="709"/>
        <w:jc w:val="both"/>
        <w:rPr>
          <w:rFonts w:ascii="Times New Roman" w:eastAsia="Times New Roman" w:hAnsi="Times New Roman" w:cs="Times New Roman"/>
          <w:noProof/>
          <w:sz w:val="24"/>
          <w:szCs w:val="24"/>
        </w:rPr>
      </w:pPr>
      <w:r w:rsidRPr="00C266F1">
        <w:rPr>
          <w:rFonts w:ascii="Times New Roman" w:hAnsi="Times New Roman"/>
          <w:b/>
          <w:noProof/>
          <w:sz w:val="24"/>
        </w:rPr>
        <w:t>crearea unei alianțe internaționale</w:t>
      </w:r>
      <w:r w:rsidRPr="00C266F1">
        <w:rPr>
          <w:rFonts w:ascii="Times New Roman" w:hAnsi="Times New Roman"/>
          <w:noProof/>
          <w:sz w:val="24"/>
        </w:rPr>
        <w:t xml:space="preserve"> pentru consolidarea Sistemului global de observare a oceanelor;</w:t>
      </w:r>
    </w:p>
    <w:p w14:paraId="0E1A2FE5" w14:textId="77777777" w:rsidR="006E6DE3" w:rsidRPr="00C266F1" w:rsidRDefault="00393243">
      <w:pPr>
        <w:pStyle w:val="ListParagraph"/>
        <w:numPr>
          <w:ilvl w:val="0"/>
          <w:numId w:val="13"/>
        </w:numPr>
        <w:ind w:left="709"/>
        <w:jc w:val="both"/>
        <w:rPr>
          <w:rFonts w:ascii="Times New Roman" w:hAnsi="Times New Roman"/>
          <w:noProof/>
          <w:sz w:val="24"/>
        </w:rPr>
      </w:pPr>
      <w:r w:rsidRPr="00C266F1">
        <w:rPr>
          <w:rFonts w:ascii="Times New Roman" w:hAnsi="Times New Roman"/>
          <w:b/>
          <w:noProof/>
          <w:sz w:val="24"/>
        </w:rPr>
        <w:t>instituirea unui sistem european digital al oceanelor</w:t>
      </w:r>
      <w:r w:rsidRPr="00C266F1">
        <w:rPr>
          <w:rFonts w:ascii="Times New Roman" w:hAnsi="Times New Roman"/>
          <w:noProof/>
          <w:sz w:val="24"/>
        </w:rPr>
        <w:t xml:space="preserve">, care să integreze serviciile europene existente de cunoaștere a mediului marin și să fie alimentat atât de observații </w:t>
      </w:r>
      <w:r w:rsidRPr="00C266F1">
        <w:rPr>
          <w:rFonts w:ascii="Times New Roman" w:hAnsi="Times New Roman"/>
          <w:i/>
          <w:noProof/>
          <w:sz w:val="24"/>
        </w:rPr>
        <w:t>in situ</w:t>
      </w:r>
      <w:r w:rsidRPr="00C266F1">
        <w:rPr>
          <w:rFonts w:ascii="Times New Roman" w:hAnsi="Times New Roman"/>
          <w:noProof/>
          <w:sz w:val="24"/>
        </w:rPr>
        <w:t xml:space="preserve">, cât și de observații prin satelit, în vederea asigurării unor servicii operaționale, facilitând în același timp inovarea și serviciile cu valoare adăugată </w:t>
      </w:r>
      <w:r w:rsidRPr="00C266F1">
        <w:rPr>
          <w:rFonts w:ascii="Times New Roman" w:hAnsi="Times New Roman"/>
          <w:b/>
          <w:noProof/>
          <w:sz w:val="24"/>
        </w:rPr>
        <w:t>și</w:t>
      </w:r>
      <w:r w:rsidRPr="00C266F1">
        <w:rPr>
          <w:noProof/>
        </w:rPr>
        <w:t xml:space="preserve"> </w:t>
      </w:r>
      <w:r w:rsidRPr="00C266F1">
        <w:rPr>
          <w:rFonts w:ascii="Times New Roman" w:hAnsi="Times New Roman"/>
          <w:b/>
          <w:noProof/>
          <w:sz w:val="24"/>
        </w:rPr>
        <w:t>creând noi piețe pentru baza de producție maritimă a Europei</w:t>
      </w:r>
      <w:r w:rsidRPr="00C266F1">
        <w:rPr>
          <w:noProof/>
        </w:rPr>
        <w:t>.</w:t>
      </w:r>
      <w:r w:rsidRPr="00C266F1">
        <w:rPr>
          <w:rFonts w:ascii="Times New Roman" w:hAnsi="Times New Roman"/>
          <w:noProof/>
          <w:sz w:val="24"/>
        </w:rPr>
        <w:t xml:space="preserve"> </w:t>
      </w:r>
    </w:p>
    <w:p w14:paraId="1DAC2635" w14:textId="77777777" w:rsidR="006E6DE3" w:rsidRPr="00C266F1" w:rsidRDefault="00393243">
      <w:pPr>
        <w:jc w:val="both"/>
        <w:rPr>
          <w:rFonts w:ascii="Times New Roman" w:eastAsia="Times New Roman" w:hAnsi="Times New Roman" w:cs="Times New Roman"/>
          <w:noProof/>
          <w:sz w:val="24"/>
          <w:szCs w:val="24"/>
        </w:rPr>
      </w:pPr>
      <w:r w:rsidRPr="00C266F1">
        <w:rPr>
          <w:rStyle w:val="normaltextrun"/>
          <w:rFonts w:ascii="Times New Roman" w:hAnsi="Times New Roman"/>
          <w:b/>
          <w:noProof/>
          <w:sz w:val="24"/>
        </w:rPr>
        <w:t>Uniunea Europeană și statele sale membre au investit semnificativ în observarea oceanelor</w:t>
      </w:r>
      <w:r w:rsidRPr="00C266F1">
        <w:rPr>
          <w:rStyle w:val="normaltextrun"/>
          <w:rFonts w:ascii="Times New Roman" w:hAnsi="Times New Roman"/>
          <w:noProof/>
          <w:sz w:val="24"/>
        </w:rPr>
        <w:t xml:space="preserve"> în ultimele decenii. UE </w:t>
      </w:r>
      <w:r w:rsidRPr="00C266F1">
        <w:rPr>
          <w:rFonts w:ascii="Times New Roman" w:hAnsi="Times New Roman"/>
          <w:noProof/>
          <w:sz w:val="24"/>
        </w:rPr>
        <w:t>și-a asumat treptat o poziție de</w:t>
      </w:r>
      <w:r w:rsidRPr="00C266F1">
        <w:rPr>
          <w:rStyle w:val="normaltextrun"/>
          <w:rFonts w:ascii="Times New Roman" w:hAnsi="Times New Roman"/>
          <w:noProof/>
          <w:sz w:val="24"/>
        </w:rPr>
        <w:t xml:space="preserve"> </w:t>
      </w:r>
      <w:r w:rsidRPr="00C266F1">
        <w:rPr>
          <w:rStyle w:val="normaltextrun"/>
          <w:rFonts w:ascii="Times New Roman" w:hAnsi="Times New Roman"/>
          <w:b/>
          <w:noProof/>
          <w:sz w:val="24"/>
        </w:rPr>
        <w:t xml:space="preserve">lider mondial </w:t>
      </w:r>
      <w:r w:rsidRPr="00C266F1">
        <w:rPr>
          <w:rFonts w:ascii="Times New Roman" w:hAnsi="Times New Roman"/>
          <w:noProof/>
          <w:sz w:val="24"/>
        </w:rPr>
        <w:t xml:space="preserve">în ceea ce privește furnizarea de date, cunoștințe și servicii de prognoză integrate privind oceanele </w:t>
      </w:r>
      <w:r w:rsidRPr="00C266F1">
        <w:rPr>
          <w:rStyle w:val="normaltextrun"/>
          <w:rFonts w:ascii="Times New Roman" w:hAnsi="Times New Roman"/>
          <w:noProof/>
          <w:sz w:val="24"/>
        </w:rPr>
        <w:t xml:space="preserve">și </w:t>
      </w:r>
      <w:r w:rsidRPr="00C266F1">
        <w:rPr>
          <w:rFonts w:ascii="Times New Roman" w:hAnsi="Times New Roman"/>
          <w:noProof/>
          <w:sz w:val="24"/>
        </w:rPr>
        <w:t xml:space="preserve">deține un lanț valoric al cunoașterii mediului marin de prim rang la nivel mondial, susținut de trei active strategice: </w:t>
      </w:r>
    </w:p>
    <w:p w14:paraId="704273B3" w14:textId="77777777" w:rsidR="006E6DE3" w:rsidRPr="00C266F1" w:rsidRDefault="00393243">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C266F1">
        <w:rPr>
          <w:rFonts w:ascii="Times New Roman" w:hAnsi="Times New Roman"/>
          <w:b/>
          <w:noProof/>
          <w:sz w:val="24"/>
        </w:rPr>
        <w:t>Copernicus</w:t>
      </w:r>
      <w:r w:rsidRPr="00C266F1">
        <w:rPr>
          <w:rFonts w:ascii="Times New Roman" w:hAnsi="Times New Roman"/>
          <w:noProof/>
          <w:sz w:val="24"/>
        </w:rPr>
        <w:t>, în special serviciul său marin</w:t>
      </w:r>
      <w:r w:rsidRPr="00C266F1">
        <w:rPr>
          <w:rStyle w:val="FootnoteReference"/>
          <w:rFonts w:ascii="Times New Roman" w:hAnsi="Times New Roman" w:cs="Times New Roman"/>
          <w:noProof/>
          <w:sz w:val="24"/>
          <w:szCs w:val="24"/>
        </w:rPr>
        <w:footnoteReference w:id="10"/>
      </w:r>
      <w:r w:rsidRPr="00C266F1">
        <w:rPr>
          <w:rFonts w:ascii="Times New Roman" w:hAnsi="Times New Roman"/>
          <w:noProof/>
          <w:sz w:val="24"/>
        </w:rPr>
        <w:t>;</w:t>
      </w:r>
    </w:p>
    <w:p w14:paraId="405D9FED" w14:textId="77777777" w:rsidR="006E6DE3" w:rsidRPr="00C266F1" w:rsidRDefault="00393243">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C266F1">
        <w:rPr>
          <w:rFonts w:ascii="Times New Roman" w:hAnsi="Times New Roman"/>
          <w:b/>
          <w:noProof/>
          <w:sz w:val="24"/>
        </w:rPr>
        <w:t>Rețeaua europeană de observare și date privind mediul marin (</w:t>
      </w:r>
      <w:r w:rsidRPr="00C266F1">
        <w:rPr>
          <w:rStyle w:val="normaltextrun"/>
          <w:rFonts w:ascii="Times New Roman" w:hAnsi="Times New Roman"/>
          <w:b/>
          <w:noProof/>
          <w:sz w:val="24"/>
        </w:rPr>
        <w:t>EMODnet)</w:t>
      </w:r>
      <w:r w:rsidRPr="00C266F1">
        <w:rPr>
          <w:rStyle w:val="FootnoteReference"/>
          <w:rFonts w:ascii="Times New Roman" w:hAnsi="Times New Roman" w:cs="Times New Roman"/>
          <w:noProof/>
          <w:sz w:val="24"/>
          <w:szCs w:val="24"/>
        </w:rPr>
        <w:footnoteReference w:id="11"/>
      </w:r>
      <w:r w:rsidRPr="00C266F1">
        <w:rPr>
          <w:rFonts w:ascii="Times New Roman" w:hAnsi="Times New Roman"/>
          <w:b/>
          <w:noProof/>
          <w:sz w:val="24"/>
        </w:rPr>
        <w:t>;</w:t>
      </w:r>
      <w:r w:rsidRPr="00C266F1">
        <w:rPr>
          <w:rStyle w:val="normaltextrun"/>
          <w:rFonts w:ascii="Times New Roman" w:hAnsi="Times New Roman"/>
          <w:noProof/>
          <w:sz w:val="24"/>
        </w:rPr>
        <w:t xml:space="preserve"> </w:t>
      </w:r>
    </w:p>
    <w:p w14:paraId="62CD115A" w14:textId="77777777" w:rsidR="006E6DE3" w:rsidRPr="00C266F1" w:rsidRDefault="00393243">
      <w:pPr>
        <w:pStyle w:val="ListParagraph"/>
        <w:numPr>
          <w:ilvl w:val="0"/>
          <w:numId w:val="11"/>
        </w:numPr>
        <w:spacing w:beforeAutospacing="1" w:afterAutospacing="1" w:line="240" w:lineRule="auto"/>
        <w:jc w:val="both"/>
        <w:rPr>
          <w:rFonts w:ascii="Times New Roman" w:eastAsia="Aptos" w:hAnsi="Times New Roman" w:cs="Times New Roman"/>
          <w:noProof/>
          <w:sz w:val="24"/>
          <w:szCs w:val="24"/>
        </w:rPr>
      </w:pPr>
      <w:r w:rsidRPr="00C266F1">
        <w:rPr>
          <w:rFonts w:ascii="Times New Roman" w:hAnsi="Times New Roman"/>
          <w:b/>
          <w:noProof/>
          <w:sz w:val="24"/>
        </w:rPr>
        <w:t>WISE-Marine</w:t>
      </w:r>
      <w:r w:rsidRPr="00C266F1">
        <w:rPr>
          <w:rFonts w:ascii="Times New Roman" w:hAnsi="Times New Roman"/>
          <w:noProof/>
          <w:sz w:val="24"/>
        </w:rPr>
        <w:t xml:space="preserve"> și WISE Freshwater</w:t>
      </w:r>
      <w:r w:rsidRPr="00C266F1">
        <w:rPr>
          <w:rStyle w:val="FootnoteReference"/>
          <w:rFonts w:ascii="Times New Roman" w:hAnsi="Times New Roman" w:cs="Times New Roman"/>
          <w:noProof/>
          <w:sz w:val="24"/>
          <w:szCs w:val="24"/>
          <w:lang w:eastAsia="en-IE"/>
        </w:rPr>
        <w:footnoteReference w:id="12"/>
      </w:r>
      <w:r w:rsidRPr="00C266F1">
        <w:rPr>
          <w:rFonts w:ascii="Times New Roman" w:hAnsi="Times New Roman"/>
          <w:noProof/>
          <w:sz w:val="24"/>
        </w:rPr>
        <w:t>.</w:t>
      </w:r>
    </w:p>
    <w:p w14:paraId="701F83C2"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Aceste active, precum și platforme de date și cunoștințe mai specifice</w:t>
      </w:r>
      <w:r w:rsidRPr="00C266F1">
        <w:rPr>
          <w:rStyle w:val="FootnoteReference"/>
          <w:rFonts w:ascii="Times New Roman" w:hAnsi="Times New Roman" w:cs="Times New Roman"/>
          <w:noProof/>
          <w:sz w:val="24"/>
          <w:szCs w:val="24"/>
          <w:lang w:eastAsia="en-IE"/>
        </w:rPr>
        <w:footnoteReference w:id="13"/>
      </w:r>
      <w:r w:rsidRPr="00C266F1">
        <w:rPr>
          <w:rFonts w:ascii="Times New Roman" w:hAnsi="Times New Roman"/>
          <w:noProof/>
          <w:sz w:val="24"/>
        </w:rPr>
        <w:t xml:space="preserve"> și viitoarea </w:t>
      </w:r>
      <w:r w:rsidRPr="00C266F1">
        <w:rPr>
          <w:rFonts w:ascii="Times New Roman" w:hAnsi="Times New Roman"/>
          <w:b/>
          <w:noProof/>
          <w:sz w:val="24"/>
        </w:rPr>
        <w:t>platformă europeană Digital Twin Ocean</w:t>
      </w:r>
      <w:r w:rsidRPr="00C266F1">
        <w:rPr>
          <w:rStyle w:val="FootnoteReference"/>
          <w:rFonts w:ascii="Times New Roman" w:hAnsi="Times New Roman" w:cs="Times New Roman"/>
          <w:noProof/>
          <w:sz w:val="24"/>
          <w:szCs w:val="24"/>
        </w:rPr>
        <w:footnoteReference w:id="14"/>
      </w:r>
      <w:r w:rsidRPr="00C266F1">
        <w:rPr>
          <w:rFonts w:ascii="Times New Roman" w:hAnsi="Times New Roman"/>
          <w:noProof/>
          <w:sz w:val="24"/>
        </w:rPr>
        <w:t xml:space="preserve"> permit UE să monitorizeze starea oceanelor atât la nivel local, cât și la nivel mondial. Ele </w:t>
      </w:r>
      <w:r w:rsidRPr="00C266F1">
        <w:rPr>
          <w:rFonts w:ascii="Times New Roman" w:hAnsi="Times New Roman"/>
          <w:b/>
          <w:noProof/>
          <w:sz w:val="24"/>
        </w:rPr>
        <w:t xml:space="preserve">depind de fluxuri de date oceanice continue, de înaltă calitate, </w:t>
      </w:r>
      <w:r w:rsidRPr="00C266F1">
        <w:rPr>
          <w:rFonts w:ascii="Times New Roman" w:hAnsi="Times New Roman"/>
          <w:b/>
          <w:i/>
          <w:noProof/>
          <w:sz w:val="24"/>
        </w:rPr>
        <w:t>in situ</w:t>
      </w:r>
      <w:r w:rsidRPr="00C266F1">
        <w:rPr>
          <w:rFonts w:ascii="Times New Roman" w:hAnsi="Times New Roman"/>
          <w:b/>
          <w:noProof/>
          <w:sz w:val="24"/>
        </w:rPr>
        <w:t>, precum și spațiale și globale.</w:t>
      </w:r>
      <w:r w:rsidRPr="00C266F1">
        <w:rPr>
          <w:rFonts w:ascii="Times New Roman" w:hAnsi="Times New Roman"/>
          <w:noProof/>
          <w:sz w:val="24"/>
        </w:rPr>
        <w:t xml:space="preserve"> </w:t>
      </w:r>
    </w:p>
    <w:p w14:paraId="040E900F" w14:textId="77777777" w:rsidR="006E6DE3" w:rsidRPr="00C266F1" w:rsidRDefault="00393243">
      <w:pPr>
        <w:jc w:val="both"/>
        <w:rPr>
          <w:rFonts w:ascii="Times New Roman" w:hAnsi="Times New Roman" w:cs="Times New Roman"/>
          <w:noProof/>
          <w:sz w:val="24"/>
          <w:szCs w:val="24"/>
        </w:rPr>
      </w:pPr>
      <w:r w:rsidRPr="00C266F1">
        <w:rPr>
          <w:rStyle w:val="normaltextrun"/>
          <w:rFonts w:ascii="Times New Roman" w:hAnsi="Times New Roman"/>
          <w:noProof/>
          <w:sz w:val="24"/>
        </w:rPr>
        <w:t>Cu toate acestea</w:t>
      </w:r>
      <w:r w:rsidRPr="00C266F1">
        <w:rPr>
          <w:rFonts w:ascii="Times New Roman" w:hAnsi="Times New Roman"/>
          <w:noProof/>
          <w:sz w:val="24"/>
        </w:rPr>
        <w:t xml:space="preserve">, </w:t>
      </w:r>
      <w:r w:rsidRPr="00C266F1">
        <w:rPr>
          <w:rStyle w:val="normaltextrun"/>
          <w:rFonts w:ascii="Times New Roman" w:hAnsi="Times New Roman"/>
          <w:b/>
          <w:noProof/>
          <w:sz w:val="24"/>
        </w:rPr>
        <w:t xml:space="preserve">observarea oceanelor </w:t>
      </w:r>
      <w:r w:rsidRPr="00C266F1">
        <w:rPr>
          <w:rStyle w:val="normaltextrun"/>
          <w:rFonts w:ascii="Times New Roman" w:hAnsi="Times New Roman"/>
          <w:noProof/>
          <w:sz w:val="24"/>
        </w:rPr>
        <w:t xml:space="preserve">în Europa și la nivel mondial </w:t>
      </w:r>
      <w:r w:rsidRPr="00C266F1">
        <w:rPr>
          <w:rStyle w:val="normaltextrun"/>
          <w:rFonts w:ascii="Times New Roman" w:hAnsi="Times New Roman"/>
          <w:b/>
          <w:noProof/>
          <w:sz w:val="24"/>
        </w:rPr>
        <w:t>este fragmentată și nu dispune de un angajament operațional sistemic și de eficiență, confruntându-se cu constrângeri extreme în materie de finanțare, care sunt exacerbate și mai mult de schimbările geopolitice</w:t>
      </w:r>
      <w:r w:rsidRPr="00C266F1">
        <w:rPr>
          <w:rStyle w:val="normaltextrun"/>
          <w:rFonts w:ascii="Times New Roman" w:hAnsi="Times New Roman"/>
          <w:noProof/>
          <w:sz w:val="24"/>
        </w:rPr>
        <w:t xml:space="preserve">. </w:t>
      </w:r>
      <w:r w:rsidRPr="00C266F1">
        <w:rPr>
          <w:rFonts w:ascii="Times New Roman" w:hAnsi="Times New Roman"/>
          <w:noProof/>
          <w:sz w:val="24"/>
        </w:rPr>
        <w:t xml:space="preserve">Dependența de sisteme de observare subfinanțate și din ce în ce mai fragile expune activele și serviciile de cunoaștere de la nivelul UE și de la nivel mondial la perturbări, lacune în materie de date și influență politică, creând riscuri de dependență strategică. </w:t>
      </w:r>
    </w:p>
    <w:p w14:paraId="3DB93630"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Inițiativa OceanEye este concepută pentru a sprijini dezvoltarea și punerea în aplicare a unui </w:t>
      </w:r>
      <w:r w:rsidRPr="00C266F1">
        <w:rPr>
          <w:rFonts w:ascii="Times New Roman" w:hAnsi="Times New Roman"/>
          <w:b/>
          <w:noProof/>
          <w:sz w:val="24"/>
        </w:rPr>
        <w:t>sistem operațional cuprinzător de observare a oceanelor</w:t>
      </w:r>
      <w:r w:rsidRPr="00C266F1">
        <w:rPr>
          <w:rFonts w:ascii="Times New Roman" w:hAnsi="Times New Roman"/>
          <w:noProof/>
          <w:sz w:val="24"/>
        </w:rPr>
        <w:t xml:space="preserve">, care să conecteze nivelurile național, european și internațional în mod dinamic și structural, pe baza unui sistem operațional care constă în </w:t>
      </w:r>
      <w:r w:rsidRPr="00C266F1">
        <w:rPr>
          <w:rFonts w:ascii="Times New Roman" w:hAnsi="Times New Roman"/>
          <w:b/>
          <w:noProof/>
          <w:sz w:val="24"/>
        </w:rPr>
        <w:t>observații din spațiu</w:t>
      </w:r>
      <w:r w:rsidRPr="00C266F1">
        <w:rPr>
          <w:rFonts w:ascii="Times New Roman" w:hAnsi="Times New Roman"/>
          <w:noProof/>
          <w:sz w:val="24"/>
        </w:rPr>
        <w:t xml:space="preserve"> (Copernicus, Agenția Spațială Europeană și agențiile spațiale naționale) și</w:t>
      </w:r>
      <w:r w:rsidRPr="00C266F1">
        <w:rPr>
          <w:rFonts w:ascii="Times New Roman" w:hAnsi="Times New Roman"/>
          <w:i/>
          <w:noProof/>
          <w:sz w:val="24"/>
        </w:rPr>
        <w:t xml:space="preserve"> </w:t>
      </w:r>
      <w:r w:rsidRPr="00C266F1">
        <w:rPr>
          <w:rFonts w:ascii="Times New Roman" w:hAnsi="Times New Roman"/>
          <w:b/>
          <w:i/>
          <w:noProof/>
          <w:sz w:val="24"/>
        </w:rPr>
        <w:t>in situ</w:t>
      </w:r>
      <w:r w:rsidRPr="00C266F1">
        <w:rPr>
          <w:rFonts w:ascii="Times New Roman" w:hAnsi="Times New Roman"/>
          <w:noProof/>
          <w:sz w:val="24"/>
        </w:rPr>
        <w:t xml:space="preserve"> (în principal de la infrastructurile naționale, dar și de la cele europene);</w:t>
      </w:r>
      <w:r w:rsidRPr="00C266F1">
        <w:rPr>
          <w:rFonts w:ascii="Times New Roman" w:hAnsi="Times New Roman"/>
          <w:b/>
          <w:noProof/>
          <w:sz w:val="24"/>
        </w:rPr>
        <w:t xml:space="preserve"> precum și sistemele digitale: sisteme de date naționale și europene</w:t>
      </w:r>
      <w:r w:rsidRPr="00C266F1">
        <w:rPr>
          <w:rFonts w:ascii="Times New Roman" w:hAnsi="Times New Roman"/>
          <w:noProof/>
          <w:sz w:val="24"/>
        </w:rPr>
        <w:t xml:space="preserve"> (centre naționale de date oceanografice, EMODnet), </w:t>
      </w:r>
      <w:r w:rsidRPr="00C266F1">
        <w:rPr>
          <w:rFonts w:ascii="Times New Roman" w:hAnsi="Times New Roman"/>
          <w:b/>
          <w:noProof/>
          <w:sz w:val="24"/>
        </w:rPr>
        <w:t>infrastructuri</w:t>
      </w:r>
      <w:r w:rsidRPr="00C266F1">
        <w:rPr>
          <w:rFonts w:ascii="Times New Roman" w:hAnsi="Times New Roman"/>
          <w:noProof/>
          <w:sz w:val="24"/>
        </w:rPr>
        <w:t xml:space="preserve"> </w:t>
      </w:r>
      <w:r w:rsidRPr="00C266F1">
        <w:rPr>
          <w:rFonts w:ascii="Times New Roman" w:hAnsi="Times New Roman"/>
          <w:b/>
          <w:noProof/>
          <w:sz w:val="24"/>
        </w:rPr>
        <w:t>de</w:t>
      </w:r>
      <w:r w:rsidRPr="00C266F1">
        <w:rPr>
          <w:rFonts w:ascii="Times New Roman" w:hAnsi="Times New Roman"/>
          <w:noProof/>
          <w:sz w:val="24"/>
        </w:rPr>
        <w:t xml:space="preserve"> prelucrare și </w:t>
      </w:r>
      <w:r w:rsidRPr="00C266F1">
        <w:rPr>
          <w:rFonts w:ascii="Times New Roman" w:hAnsi="Times New Roman"/>
          <w:b/>
          <w:noProof/>
          <w:sz w:val="24"/>
        </w:rPr>
        <w:t>modelare</w:t>
      </w:r>
      <w:r w:rsidRPr="00C266F1">
        <w:rPr>
          <w:rFonts w:ascii="Times New Roman" w:hAnsi="Times New Roman"/>
          <w:noProof/>
          <w:sz w:val="24"/>
        </w:rPr>
        <w:t xml:space="preserve"> (de exemplu, serviciul Copernicus pentru mediul marin, platforma europeană Digital Twin Ocean, cadrul de modelare Blue2 al CE) și furnizarea de </w:t>
      </w:r>
      <w:r w:rsidRPr="00C266F1">
        <w:rPr>
          <w:rFonts w:ascii="Times New Roman" w:hAnsi="Times New Roman"/>
          <w:b/>
          <w:noProof/>
          <w:sz w:val="24"/>
        </w:rPr>
        <w:t>servicii operaționale</w:t>
      </w:r>
      <w:r w:rsidRPr="00C266F1">
        <w:rPr>
          <w:rFonts w:ascii="Times New Roman" w:hAnsi="Times New Roman"/>
          <w:noProof/>
          <w:sz w:val="24"/>
        </w:rPr>
        <w:t>.</w:t>
      </w:r>
      <w:r w:rsidRPr="00C266F1">
        <w:rPr>
          <w:rFonts w:ascii="Times New Roman" w:hAnsi="Times New Roman"/>
          <w:b/>
          <w:noProof/>
          <w:sz w:val="24"/>
        </w:rPr>
        <w:t xml:space="preserve"> </w:t>
      </w:r>
    </w:p>
    <w:p w14:paraId="0560A5C2"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Urmând modelul de monitorizare și prognoză meteorologică operațională, aceste elemente vor crea un sistem în care țările își structurează și își coordonează contribuția observărilor oceanice </w:t>
      </w:r>
      <w:r w:rsidRPr="00C266F1">
        <w:rPr>
          <w:rFonts w:ascii="Times New Roman" w:hAnsi="Times New Roman"/>
          <w:i/>
          <w:noProof/>
          <w:sz w:val="24"/>
        </w:rPr>
        <w:t>in situ</w:t>
      </w:r>
      <w:r w:rsidRPr="00C266F1">
        <w:rPr>
          <w:rFonts w:ascii="Times New Roman" w:hAnsi="Times New Roman"/>
          <w:noProof/>
          <w:sz w:val="24"/>
        </w:rPr>
        <w:t xml:space="preserve"> și, în schimb, își optimizează beneficiile generate de serviciile de monitorizare, prognoză și specifice sectorului oceanic de cea mai înaltă calitate la nivel local, regional și mondial.</w:t>
      </w:r>
    </w:p>
    <w:p w14:paraId="67C3C08B"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Inițiativa OceanEye se bazează pe patru piloni strategici:</w:t>
      </w:r>
    </w:p>
    <w:p w14:paraId="5BBE6FC2" w14:textId="77777777" w:rsidR="006E6DE3" w:rsidRPr="00C266F1" w:rsidRDefault="00393243">
      <w:pPr>
        <w:pStyle w:val="ListParagraph"/>
        <w:numPr>
          <w:ilvl w:val="0"/>
          <w:numId w:val="10"/>
        </w:numPr>
        <w:jc w:val="both"/>
        <w:rPr>
          <w:rFonts w:ascii="Times New Roman" w:hAnsi="Times New Roman" w:cs="Times New Roman"/>
          <w:noProof/>
          <w:sz w:val="24"/>
          <w:szCs w:val="24"/>
        </w:rPr>
      </w:pPr>
      <w:r w:rsidRPr="00C266F1">
        <w:rPr>
          <w:rFonts w:ascii="Times New Roman" w:hAnsi="Times New Roman"/>
          <w:b/>
          <w:noProof/>
          <w:sz w:val="24"/>
        </w:rPr>
        <w:t xml:space="preserve">Pilonul I </w:t>
      </w:r>
      <w:r w:rsidRPr="00C266F1">
        <w:rPr>
          <w:rFonts w:ascii="Times New Roman" w:hAnsi="Times New Roman"/>
          <w:noProof/>
          <w:sz w:val="24"/>
        </w:rPr>
        <w:t xml:space="preserve">se axează pe consolidarea </w:t>
      </w:r>
      <w:r w:rsidRPr="00C266F1">
        <w:rPr>
          <w:rFonts w:ascii="Times New Roman" w:hAnsi="Times New Roman"/>
          <w:b/>
          <w:noProof/>
          <w:sz w:val="24"/>
        </w:rPr>
        <w:t xml:space="preserve">observării </w:t>
      </w:r>
      <w:r w:rsidRPr="00C266F1">
        <w:rPr>
          <w:rFonts w:ascii="Times New Roman" w:hAnsi="Times New Roman"/>
          <w:b/>
          <w:i/>
          <w:noProof/>
          <w:sz w:val="24"/>
        </w:rPr>
        <w:t>in situ</w:t>
      </w:r>
      <w:r w:rsidRPr="00C266F1">
        <w:rPr>
          <w:rFonts w:ascii="Times New Roman" w:hAnsi="Times New Roman"/>
          <w:b/>
          <w:noProof/>
          <w:sz w:val="24"/>
        </w:rPr>
        <w:t xml:space="preserve"> a oceanelor</w:t>
      </w:r>
      <w:r w:rsidRPr="00C266F1">
        <w:rPr>
          <w:rFonts w:ascii="Times New Roman" w:hAnsi="Times New Roman"/>
          <w:noProof/>
          <w:sz w:val="24"/>
        </w:rPr>
        <w:t xml:space="preserve">, pe îmbunătățirea schimbului de date și a utilizării lor prin instituirea unui </w:t>
      </w:r>
      <w:r w:rsidRPr="00C266F1">
        <w:rPr>
          <w:rFonts w:ascii="Times New Roman" w:hAnsi="Times New Roman"/>
          <w:b/>
          <w:noProof/>
          <w:sz w:val="24"/>
        </w:rPr>
        <w:t>cadru de guvernanță al UE, care să fie corelat în mod corespunzător cu celelalte componente ale Sistemului european de observare a oceanelor</w:t>
      </w:r>
      <w:r w:rsidRPr="00C266F1">
        <w:rPr>
          <w:rFonts w:ascii="Times New Roman" w:hAnsi="Times New Roman"/>
          <w:noProof/>
          <w:sz w:val="24"/>
        </w:rPr>
        <w:t>;</w:t>
      </w:r>
    </w:p>
    <w:p w14:paraId="33D24875" w14:textId="77777777" w:rsidR="006E6DE3" w:rsidRPr="00C266F1" w:rsidRDefault="00393243">
      <w:pPr>
        <w:pStyle w:val="ListParagraph"/>
        <w:numPr>
          <w:ilvl w:val="0"/>
          <w:numId w:val="10"/>
        </w:numPr>
        <w:jc w:val="both"/>
        <w:rPr>
          <w:rFonts w:ascii="Times New Roman" w:hAnsi="Times New Roman" w:cs="Times New Roman"/>
          <w:noProof/>
          <w:sz w:val="24"/>
          <w:szCs w:val="24"/>
        </w:rPr>
      </w:pPr>
      <w:r w:rsidRPr="00C266F1">
        <w:rPr>
          <w:rFonts w:ascii="Times New Roman" w:hAnsi="Times New Roman"/>
          <w:b/>
          <w:noProof/>
          <w:sz w:val="24"/>
        </w:rPr>
        <w:t>Pilonul II</w:t>
      </w:r>
      <w:r w:rsidRPr="00C266F1">
        <w:rPr>
          <w:rFonts w:ascii="Times New Roman" w:hAnsi="Times New Roman"/>
          <w:noProof/>
          <w:sz w:val="24"/>
        </w:rPr>
        <w:t xml:space="preserve"> se axează pe dimensiunea internațională, în special prin lansarea unei </w:t>
      </w:r>
      <w:r w:rsidRPr="00C266F1">
        <w:rPr>
          <w:rFonts w:ascii="Times New Roman" w:hAnsi="Times New Roman"/>
          <w:b/>
          <w:noProof/>
          <w:sz w:val="24"/>
        </w:rPr>
        <w:t>alianțe internaționale</w:t>
      </w:r>
      <w:r w:rsidRPr="00C266F1">
        <w:rPr>
          <w:rFonts w:ascii="Times New Roman" w:hAnsi="Times New Roman"/>
          <w:noProof/>
          <w:sz w:val="24"/>
        </w:rPr>
        <w:t xml:space="preserve"> pentru a sprijini Sistemul global de observare a oceanelor</w:t>
      </w:r>
      <w:r w:rsidRPr="00C266F1">
        <w:rPr>
          <w:rStyle w:val="FootnoteReference"/>
          <w:rFonts w:ascii="Times New Roman" w:hAnsi="Times New Roman" w:cs="Times New Roman"/>
          <w:noProof/>
          <w:sz w:val="24"/>
          <w:szCs w:val="24"/>
        </w:rPr>
        <w:footnoteReference w:id="15"/>
      </w:r>
      <w:r w:rsidRPr="00C266F1">
        <w:rPr>
          <w:rFonts w:ascii="Times New Roman" w:hAnsi="Times New Roman"/>
          <w:noProof/>
          <w:sz w:val="24"/>
        </w:rPr>
        <w:t>;</w:t>
      </w:r>
    </w:p>
    <w:p w14:paraId="25328852" w14:textId="77777777" w:rsidR="006E6DE3" w:rsidRPr="00C266F1" w:rsidRDefault="00393243">
      <w:pPr>
        <w:pStyle w:val="ListParagraph"/>
        <w:numPr>
          <w:ilvl w:val="0"/>
          <w:numId w:val="10"/>
        </w:numPr>
        <w:jc w:val="both"/>
        <w:rPr>
          <w:rFonts w:ascii="Times New Roman" w:hAnsi="Times New Roman" w:cs="Times New Roman"/>
          <w:noProof/>
          <w:sz w:val="24"/>
          <w:szCs w:val="24"/>
        </w:rPr>
      </w:pPr>
      <w:r w:rsidRPr="00C266F1">
        <w:rPr>
          <w:rFonts w:ascii="Times New Roman" w:hAnsi="Times New Roman"/>
          <w:b/>
          <w:noProof/>
          <w:sz w:val="24"/>
        </w:rPr>
        <w:t>Pilonul III</w:t>
      </w:r>
      <w:r w:rsidRPr="00C266F1">
        <w:rPr>
          <w:rFonts w:ascii="Times New Roman" w:hAnsi="Times New Roman"/>
          <w:noProof/>
          <w:sz w:val="24"/>
        </w:rPr>
        <w:t xml:space="preserve"> se axează pe dezvoltarea unor piețe și sectoare inovatoare legate de observarea oceanelor, inclusiv prin intermediul platformei europene Digital Twin Ocean;</w:t>
      </w:r>
    </w:p>
    <w:p w14:paraId="1EA48722" w14:textId="77777777" w:rsidR="006E6DE3" w:rsidRPr="00C266F1" w:rsidRDefault="00393243">
      <w:pPr>
        <w:pStyle w:val="ListParagraph"/>
        <w:numPr>
          <w:ilvl w:val="0"/>
          <w:numId w:val="10"/>
        </w:numPr>
        <w:jc w:val="both"/>
        <w:rPr>
          <w:rFonts w:ascii="Times New Roman" w:hAnsi="Times New Roman" w:cs="Times New Roman"/>
          <w:noProof/>
          <w:sz w:val="24"/>
          <w:szCs w:val="24"/>
        </w:rPr>
      </w:pPr>
      <w:r w:rsidRPr="00C266F1">
        <w:rPr>
          <w:rFonts w:ascii="Times New Roman" w:hAnsi="Times New Roman"/>
          <w:b/>
          <w:noProof/>
          <w:sz w:val="24"/>
        </w:rPr>
        <w:t>Pilonul IV</w:t>
      </w:r>
      <w:r w:rsidRPr="00C266F1">
        <w:rPr>
          <w:rFonts w:ascii="Times New Roman" w:hAnsi="Times New Roman"/>
          <w:noProof/>
          <w:sz w:val="24"/>
        </w:rPr>
        <w:t xml:space="preserve"> se axează pe promovarea implicării, a înțelegerii, a încrederii și a unei legături emoționale cu oceanele prin </w:t>
      </w:r>
      <w:r w:rsidRPr="00C266F1">
        <w:rPr>
          <w:rFonts w:ascii="Times New Roman" w:hAnsi="Times New Roman"/>
          <w:b/>
          <w:noProof/>
          <w:sz w:val="24"/>
        </w:rPr>
        <w:t>parteneriate strategice, activități de informare, educație și competențe, cultură</w:t>
      </w:r>
      <w:r w:rsidRPr="00C266F1">
        <w:rPr>
          <w:rFonts w:ascii="Times New Roman" w:hAnsi="Times New Roman"/>
          <w:noProof/>
          <w:sz w:val="24"/>
        </w:rPr>
        <w:t xml:space="preserve"> și asumarea responsabilității de către societate.</w:t>
      </w:r>
    </w:p>
    <w:p w14:paraId="28E0F8EC" w14:textId="77777777" w:rsidR="006E6DE3" w:rsidRPr="00C266F1" w:rsidRDefault="006E6DE3">
      <w:pPr>
        <w:pStyle w:val="ListParagraph"/>
        <w:jc w:val="both"/>
        <w:rPr>
          <w:rFonts w:ascii="Times New Roman" w:hAnsi="Times New Roman" w:cs="Times New Roman"/>
          <w:noProof/>
          <w:sz w:val="24"/>
          <w:szCs w:val="24"/>
        </w:rPr>
      </w:pPr>
    </w:p>
    <w:p w14:paraId="59BA39D8" w14:textId="77777777" w:rsidR="006E6DE3" w:rsidRPr="00C266F1" w:rsidRDefault="00393243">
      <w:pPr>
        <w:pStyle w:val="Heading1"/>
        <w:rPr>
          <w:rFonts w:ascii="Times New Roman" w:hAnsi="Times New Roman"/>
          <w:noProof/>
        </w:rPr>
      </w:pPr>
      <w:bookmarkStart w:id="5" w:name="_Toc227941350"/>
      <w:r w:rsidRPr="00C266F1">
        <w:rPr>
          <w:rFonts w:ascii="Times New Roman" w:hAnsi="Times New Roman"/>
          <w:noProof/>
        </w:rPr>
        <w:t>Pilonul I: Guvernanța UE</w:t>
      </w:r>
      <w:bookmarkEnd w:id="5"/>
      <w:r w:rsidRPr="00C266F1">
        <w:rPr>
          <w:rFonts w:ascii="Times New Roman" w:hAnsi="Times New Roman"/>
          <w:noProof/>
        </w:rPr>
        <w:t xml:space="preserve"> – sprijinirea Sistemului european de observare a oceanelor</w:t>
      </w:r>
    </w:p>
    <w:p w14:paraId="5849F194" w14:textId="77777777" w:rsidR="006E6DE3" w:rsidRPr="00C266F1" w:rsidRDefault="00393243">
      <w:pPr>
        <w:jc w:val="both"/>
        <w:rPr>
          <w:rFonts w:ascii="Times New Roman" w:eastAsia="Times New Roman" w:hAnsi="Times New Roman" w:cs="Times New Roman"/>
          <w:noProof/>
          <w:sz w:val="24"/>
          <w:szCs w:val="24"/>
        </w:rPr>
      </w:pPr>
      <w:r w:rsidRPr="00C266F1">
        <w:rPr>
          <w:rFonts w:ascii="Times New Roman" w:hAnsi="Times New Roman"/>
          <w:noProof/>
          <w:sz w:val="24"/>
        </w:rPr>
        <w:t xml:space="preserve">Deși infrastructurile de </w:t>
      </w:r>
      <w:r w:rsidRPr="00C266F1">
        <w:rPr>
          <w:rFonts w:ascii="Times New Roman" w:hAnsi="Times New Roman"/>
          <w:b/>
          <w:noProof/>
          <w:sz w:val="24"/>
        </w:rPr>
        <w:t>observare spațială</w:t>
      </w:r>
      <w:r w:rsidRPr="00C266F1">
        <w:rPr>
          <w:rFonts w:ascii="Times New Roman" w:hAnsi="Times New Roman"/>
          <w:noProof/>
          <w:sz w:val="24"/>
        </w:rPr>
        <w:t xml:space="preserve"> actuale și planificate sunt bine organizate (prin cooperarea dintre UE, Agenția Spațială Europeană, Organizația Europeană pentru Exploatarea Sateliților Meteorologici, agențiile spațiale naționale și internaționale), sunt necesare eforturi suplimentare pentru o mai bună organizare a diferitelor infrastructuri și programe de </w:t>
      </w:r>
      <w:r w:rsidRPr="00C266F1">
        <w:rPr>
          <w:rFonts w:ascii="Times New Roman" w:hAnsi="Times New Roman"/>
          <w:b/>
          <w:noProof/>
          <w:sz w:val="24"/>
        </w:rPr>
        <w:t xml:space="preserve">observare </w:t>
      </w:r>
      <w:r w:rsidRPr="00C266F1">
        <w:rPr>
          <w:rFonts w:ascii="Times New Roman" w:hAnsi="Times New Roman"/>
          <w:b/>
          <w:i/>
          <w:noProof/>
          <w:sz w:val="24"/>
        </w:rPr>
        <w:t>in situ</w:t>
      </w:r>
      <w:r w:rsidRPr="00C266F1">
        <w:rPr>
          <w:rFonts w:ascii="Times New Roman" w:hAnsi="Times New Roman"/>
          <w:noProof/>
          <w:sz w:val="24"/>
        </w:rPr>
        <w:t xml:space="preserve"> într-un mod mai eficient. Aceasta include îmbunătățirea integrării activelor UE de cunoaștere a mediului marin cu activele naționale, ceea ce ar consolida, de asemenea, sistemele digitale corespunzătoare. </w:t>
      </w:r>
    </w:p>
    <w:p w14:paraId="27C59A00" w14:textId="77777777" w:rsidR="006E6DE3" w:rsidRPr="00C266F1" w:rsidRDefault="00393243">
      <w:pPr>
        <w:jc w:val="both"/>
        <w:rPr>
          <w:rFonts w:ascii="Times New Roman" w:hAnsi="Times New Roman"/>
          <w:noProof/>
          <w:sz w:val="24"/>
        </w:rPr>
      </w:pPr>
      <w:r w:rsidRPr="00C266F1">
        <w:rPr>
          <w:rFonts w:ascii="Times New Roman" w:hAnsi="Times New Roman"/>
          <w:noProof/>
          <w:sz w:val="24"/>
        </w:rPr>
        <w:t xml:space="preserve">În mod similar, infrastructurile digitale, în special IA, calculul de înaltă performanță și sistemele de tip cloud, sunt factori fundamentali pentru observarea oceanelor și le-au transformat potențialul. Cu toate acestea, în prezent, entitățile europene și naționale utilizează infrastructuri bazate pe cercetare care nu sunt concepute pentru a oferi servicii operaționale, sigure și continue. </w:t>
      </w:r>
    </w:p>
    <w:p w14:paraId="62B1C6AB" w14:textId="77777777" w:rsidR="006E6DE3" w:rsidRPr="00C266F1" w:rsidRDefault="00393243">
      <w:pPr>
        <w:jc w:val="both"/>
        <w:rPr>
          <w:rFonts w:ascii="Times New Roman" w:eastAsia="Times New Roman" w:hAnsi="Times New Roman" w:cs="Times New Roman"/>
          <w:noProof/>
          <w:sz w:val="24"/>
          <w:szCs w:val="24"/>
        </w:rPr>
      </w:pPr>
      <w:r w:rsidRPr="00C266F1">
        <w:rPr>
          <w:rFonts w:ascii="Times New Roman" w:hAnsi="Times New Roman"/>
          <w:noProof/>
          <w:sz w:val="24"/>
        </w:rPr>
        <w:t>Lipsa coordonării și a guvernanței, atât la nivel național, cât și la nivel european, duce la ineficiențe, costuri financiare și lacune critice în ceea ce privește monitorizarea, limitând beneficiile pe care statele membre le primesc din investițiile lor.</w:t>
      </w:r>
    </w:p>
    <w:p w14:paraId="591F71B3" w14:textId="1E0D3A61" w:rsidR="006E6DE3" w:rsidRPr="00C266F1" w:rsidRDefault="00393243">
      <w:pPr>
        <w:pStyle w:val="Heading2"/>
        <w:rPr>
          <w:rFonts w:ascii="Times New Roman" w:hAnsi="Times New Roman"/>
          <w:noProof/>
        </w:rPr>
      </w:pPr>
      <w:bookmarkStart w:id="6" w:name="_Toc227941351"/>
      <w:r w:rsidRPr="00C266F1">
        <w:rPr>
          <w:rFonts w:ascii="Times New Roman" w:hAnsi="Times New Roman"/>
          <w:noProof/>
        </w:rPr>
        <w:t>1.1</w:t>
      </w:r>
      <w:r w:rsidR="000B450F" w:rsidRPr="00C266F1">
        <w:rPr>
          <w:rFonts w:ascii="Times New Roman" w:hAnsi="Times New Roman"/>
          <w:noProof/>
        </w:rPr>
        <w:t>.</w:t>
      </w:r>
      <w:r w:rsidRPr="00C266F1">
        <w:rPr>
          <w:rFonts w:ascii="Times New Roman" w:hAnsi="Times New Roman"/>
          <w:noProof/>
        </w:rPr>
        <w:t xml:space="preserve"> Instituirea unui cadru european de guvernanță pentru observarea oceanelor</w:t>
      </w:r>
      <w:bookmarkEnd w:id="6"/>
      <w:r w:rsidRPr="00C266F1">
        <w:rPr>
          <w:rFonts w:ascii="Times New Roman" w:hAnsi="Times New Roman"/>
          <w:noProof/>
        </w:rPr>
        <w:t xml:space="preserve"> </w:t>
      </w:r>
    </w:p>
    <w:p w14:paraId="2659C93B" w14:textId="77777777" w:rsidR="006E6DE3" w:rsidRPr="00C266F1" w:rsidRDefault="00393243">
      <w:pPr>
        <w:jc w:val="both"/>
        <w:rPr>
          <w:rFonts w:ascii="Times New Roman" w:eastAsia="Times New Roman" w:hAnsi="Times New Roman" w:cs="Times New Roman"/>
          <w:noProof/>
          <w:sz w:val="24"/>
          <w:szCs w:val="24"/>
        </w:rPr>
      </w:pPr>
      <w:r w:rsidRPr="00C266F1">
        <w:rPr>
          <w:rFonts w:ascii="Times New Roman" w:hAnsi="Times New Roman"/>
          <w:b/>
          <w:noProof/>
          <w:sz w:val="24"/>
        </w:rPr>
        <w:t>Comisia propune instituirea unei structuri de guvernanță pentru observarea europeană a oceanelor.</w:t>
      </w:r>
      <w:r w:rsidRPr="00C266F1">
        <w:rPr>
          <w:rFonts w:ascii="Times New Roman" w:hAnsi="Times New Roman"/>
          <w:noProof/>
          <w:sz w:val="24"/>
        </w:rPr>
        <w:t xml:space="preserve"> Aceasta va fi instituită prin actul legislativ privind oceanele (programat pentru sfârșitul anului 2026) </w:t>
      </w:r>
      <w:r w:rsidRPr="00C266F1">
        <w:rPr>
          <w:rFonts w:ascii="Times New Roman" w:hAnsi="Times New Roman"/>
          <w:b/>
          <w:noProof/>
          <w:sz w:val="24"/>
        </w:rPr>
        <w:t>și se va baza pe structurile existente, cum ar fi Consiliul european pentru oceane</w:t>
      </w:r>
      <w:r w:rsidRPr="00C266F1">
        <w:rPr>
          <w:rStyle w:val="FootnoteReference"/>
          <w:rFonts w:ascii="Times New Roman" w:hAnsi="Times New Roman"/>
          <w:b/>
          <w:bCs/>
          <w:noProof/>
          <w:sz w:val="24"/>
          <w:szCs w:val="24"/>
        </w:rPr>
        <w:footnoteReference w:id="16"/>
      </w:r>
      <w:r w:rsidRPr="00C266F1">
        <w:rPr>
          <w:rFonts w:ascii="Times New Roman" w:hAnsi="Times New Roman"/>
          <w:b/>
          <w:noProof/>
          <w:sz w:val="24"/>
        </w:rPr>
        <w:t xml:space="preserve">. </w:t>
      </w:r>
      <w:r w:rsidRPr="00C266F1">
        <w:rPr>
          <w:rFonts w:ascii="Times New Roman" w:hAnsi="Times New Roman"/>
          <w:noProof/>
          <w:sz w:val="24"/>
        </w:rPr>
        <w:t>Tabloul de bord al Pactului privind oceanul planetar, care urmează să fie lansat la sfârșitul anului 2026, va contribui, de asemenea, la monitorizarea progreselor înregistrate.</w:t>
      </w:r>
    </w:p>
    <w:p w14:paraId="5D8990CF"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Obiectivul acestui cadru de guvernanță pentru observarea oceanelor este de a consolida întregul lanț valoric al cunoașterii mediului marin prin furnizarea unei interfețe structurate între nevoile de observare și furnizorii de cunoștințe din toate sectoarele și politicile. Cadrul de guvernanță va sprijini definirea și aprobarea cerințelor operaționale ale sistemului, îmbunătățind în același timp organizarea și coordonarea sa generală. Pentru a realiza acest lucru, el va reuni toți actorii relevanți, într-un mod structurat.</w:t>
      </w:r>
    </w:p>
    <w:p w14:paraId="01852DC5"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În primul rând, UE și statele membre, sprijinite de organisme tehnice la nivel național și european, se vor concentra pe adoptarea unor standarde comune și a unor măsurători operaționale </w:t>
      </w:r>
      <w:r w:rsidRPr="00C266F1">
        <w:rPr>
          <w:rFonts w:ascii="Times New Roman" w:hAnsi="Times New Roman"/>
          <w:i/>
          <w:noProof/>
          <w:sz w:val="24"/>
        </w:rPr>
        <w:t>in situ</w:t>
      </w:r>
      <w:r w:rsidRPr="00C266F1">
        <w:rPr>
          <w:rFonts w:ascii="Times New Roman" w:hAnsi="Times New Roman"/>
          <w:noProof/>
          <w:sz w:val="24"/>
        </w:rPr>
        <w:t>. În al doilea rând, va asigura interfața cu alți actori de la nivel european și național responsabili pentru alte componente. În al treilea rând, se va adresa utilizatorilor, cum ar fi comunitatea de cercetare, precum și altor părți interesate și utilizatori (cum ar fi sectoarele energiei maritime și offshore, actorii culturali, profesioniștii din domeniul educației etc.). În final, va stabili o interfață relevantă și poziții europene și naționale comune față de comunitățile internaționale, exprimate printr-un dialog cu EuroGOOS</w:t>
      </w:r>
      <w:r w:rsidRPr="00C266F1">
        <w:rPr>
          <w:rStyle w:val="FootnoteReference"/>
          <w:rFonts w:ascii="Times New Roman" w:eastAsia="Times New Roman" w:hAnsi="Times New Roman" w:cs="Times New Roman"/>
          <w:noProof/>
          <w:sz w:val="24"/>
          <w:szCs w:val="24"/>
          <w:lang w:eastAsia="en-IE"/>
        </w:rPr>
        <w:footnoteReference w:id="17"/>
      </w:r>
      <w:r w:rsidRPr="00C266F1">
        <w:rPr>
          <w:rFonts w:ascii="Times New Roman" w:hAnsi="Times New Roman"/>
          <w:noProof/>
          <w:sz w:val="24"/>
        </w:rPr>
        <w:t xml:space="preserve">. </w:t>
      </w:r>
    </w:p>
    <w:p w14:paraId="6D398680"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Direcțiile de lucru ar putea include:</w:t>
      </w:r>
    </w:p>
    <w:p w14:paraId="52E9D596" w14:textId="77777777" w:rsidR="006E6DE3" w:rsidRPr="00C266F1" w:rsidRDefault="00393243">
      <w:pPr>
        <w:pStyle w:val="ListParagraph"/>
        <w:numPr>
          <w:ilvl w:val="0"/>
          <w:numId w:val="15"/>
        </w:numPr>
        <w:spacing w:before="100" w:beforeAutospacing="1" w:after="100" w:afterAutospacing="1" w:line="240" w:lineRule="auto"/>
        <w:jc w:val="both"/>
        <w:rPr>
          <w:rFonts w:ascii="Times New Roman" w:hAnsi="Times New Roman" w:cs="Times New Roman"/>
          <w:noProof/>
          <w:sz w:val="24"/>
          <w:szCs w:val="24"/>
        </w:rPr>
      </w:pPr>
      <w:r w:rsidRPr="00C266F1">
        <w:rPr>
          <w:rFonts w:ascii="Times New Roman" w:hAnsi="Times New Roman"/>
          <w:noProof/>
          <w:sz w:val="24"/>
        </w:rPr>
        <w:t xml:space="preserve">stabilirea în comun a priorităților, identificarea domeniilor de interes strategic pentru dezvoltarea tehnologică, acorduri privind foile de parcurs și specificațiile tehnice pe baza nevoilor comune; </w:t>
      </w:r>
    </w:p>
    <w:p w14:paraId="6FB3AEE3" w14:textId="77777777" w:rsidR="006E6DE3" w:rsidRPr="00C266F1" w:rsidRDefault="00393243">
      <w:pPr>
        <w:pStyle w:val="ListParagraph"/>
        <w:numPr>
          <w:ilvl w:val="0"/>
          <w:numId w:val="15"/>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coordonarea infrastructurilor europene de cercetare. De exemplu, aceasta ar putea include nave de cercetare (pe baza experienței EuroFleets</w:t>
      </w:r>
      <w:r w:rsidRPr="00C266F1">
        <w:rPr>
          <w:rStyle w:val="FootnoteReference"/>
          <w:rFonts w:ascii="Times New Roman" w:hAnsi="Times New Roman" w:cs="Times New Roman"/>
          <w:noProof/>
          <w:sz w:val="24"/>
          <w:szCs w:val="24"/>
          <w:lang w:eastAsia="en-IE"/>
        </w:rPr>
        <w:footnoteReference w:id="18"/>
      </w:r>
      <w:r w:rsidRPr="00C266F1">
        <w:rPr>
          <w:rFonts w:ascii="Times New Roman" w:hAnsi="Times New Roman"/>
          <w:noProof/>
          <w:sz w:val="24"/>
        </w:rPr>
        <w:t>), precum și o potențială colaborare cu industria (de exemplu, prin intermediul navelor de pescuit cu senzori multipli) pentru a aborda lacunele actuale în colectarea datelor privind mediul marin;</w:t>
      </w:r>
    </w:p>
    <w:p w14:paraId="5B491AAC" w14:textId="77777777" w:rsidR="006E6DE3" w:rsidRPr="00C266F1" w:rsidRDefault="00393243">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proiectarea sistemului, metrologia, elaborarea de standarde comune (de exemplu, standarde privind metodele de observare și măsurare, date și metadate, prelucrarea datelor, infrastructuri digitale și cerințe de raportare etc.), strategii și instrumente de planificare;</w:t>
      </w:r>
    </w:p>
    <w:p w14:paraId="1E911B04" w14:textId="77777777" w:rsidR="006E6DE3" w:rsidRPr="00C266F1" w:rsidRDefault="00393243">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facilitarea mecanismelor multianuale de cofinanțare, a sinergiilor dintre programe și fonduri; </w:t>
      </w:r>
    </w:p>
    <w:p w14:paraId="3FC63CD3" w14:textId="77777777" w:rsidR="006E6DE3" w:rsidRPr="00C266F1" w:rsidRDefault="00393243">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acțiuni coordonate în peisajul mondial (în cadrul organismelor mondiale, cum ar fi IOC, Organizația Meteorologică Mondială sau convențiile maritime regionale); </w:t>
      </w:r>
    </w:p>
    <w:p w14:paraId="3318325C" w14:textId="77777777" w:rsidR="006E6DE3" w:rsidRPr="00C266F1" w:rsidRDefault="00393243">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politicile în materie de date, care urmează să fie detaliate în cadrul viitoarei propuneri referitoare la un act legislativ privind oceanele, ținând seama de mai multe elemente critice, cum ar fi angajamentele naționale, ale UE și internaționale, competențele statelor membre, autonomia europeană și națională, acordurile internaționale existente, constrângerile legate de securitate, protecția informațiilor sensibile și de securitate legate de activitățile economice și de activitățile de gestionare a resurselor, precum și de alte considerații juridice și operaționale relevante. Având în vedere caracterul sensibil al observării oceanelor în contextul securității maritime, este esențial să se stabilească o abordare echilibrată și convenită de comun acord în ceea ce privește schimbul de date între părțile relevante, atunci când este necesar;</w:t>
      </w:r>
    </w:p>
    <w:p w14:paraId="4250C6BE" w14:textId="77777777" w:rsidR="006E6DE3" w:rsidRPr="00C266F1" w:rsidRDefault="00393243">
      <w:pPr>
        <w:pStyle w:val="ListParagraph"/>
        <w:numPr>
          <w:ilvl w:val="0"/>
          <w:numId w:val="14"/>
        </w:num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oportunitățile de îmbunătățire a schimbului de date, întrucât accesul la date </w:t>
      </w:r>
      <w:r w:rsidRPr="00C266F1">
        <w:rPr>
          <w:rFonts w:ascii="Times New Roman" w:hAnsi="Times New Roman"/>
          <w:i/>
          <w:noProof/>
          <w:sz w:val="24"/>
        </w:rPr>
        <w:t>in situ</w:t>
      </w:r>
      <w:r w:rsidRPr="00C266F1">
        <w:rPr>
          <w:rFonts w:ascii="Times New Roman" w:hAnsi="Times New Roman"/>
          <w:noProof/>
          <w:sz w:val="24"/>
        </w:rPr>
        <w:t xml:space="preserve"> de înaltă calitate este esențial pentru sistemul digital european privind oceanele și pentru dezvoltarea aplicațiilor platformei europene Digital Twin Ocean, în special a celor cu caracter local și sectorial.</w:t>
      </w:r>
    </w:p>
    <w:p w14:paraId="2FE54044" w14:textId="77777777" w:rsidR="006E6DE3" w:rsidRPr="00C266F1" w:rsidRDefault="00393243">
      <w:pPr>
        <w:spacing w:before="100" w:beforeAutospacing="1" w:after="100" w:afterAutospacing="1" w:line="240" w:lineRule="auto"/>
        <w:jc w:val="both"/>
        <w:rPr>
          <w:rFonts w:ascii="Times New Roman" w:eastAsia="Times New Roman" w:hAnsi="Times New Roman" w:cs="Times New Roman"/>
          <w:noProof/>
          <w:sz w:val="24"/>
          <w:szCs w:val="24"/>
        </w:rPr>
      </w:pPr>
      <w:r w:rsidRPr="00C266F1">
        <w:rPr>
          <w:rFonts w:ascii="Times New Roman" w:hAnsi="Times New Roman"/>
          <w:b/>
          <w:noProof/>
          <w:sz w:val="24"/>
        </w:rPr>
        <w:t>Statele membre sunt încurajate să instituie o structură națională de coordonare</w:t>
      </w:r>
      <w:r w:rsidRPr="00C266F1">
        <w:rPr>
          <w:rFonts w:ascii="Times New Roman" w:hAnsi="Times New Roman"/>
          <w:noProof/>
          <w:sz w:val="24"/>
        </w:rPr>
        <w:t xml:space="preserve">, menită să sporească eficiența și eficacitatea activităților naționale și europene de observare a oceanelor. </w:t>
      </w:r>
    </w:p>
    <w:p w14:paraId="08DF30FF" w14:textId="77777777" w:rsidR="006E6DE3" w:rsidRPr="00C266F1" w:rsidRDefault="00393243">
      <w:pPr>
        <w:pStyle w:val="Heading2"/>
        <w:rPr>
          <w:rFonts w:ascii="Times New Roman" w:hAnsi="Times New Roman" w:cs="Times New Roman"/>
          <w:noProof/>
        </w:rPr>
      </w:pPr>
      <w:bookmarkStart w:id="7" w:name="_Toc227941352"/>
      <w:r w:rsidRPr="00C266F1">
        <w:rPr>
          <w:rFonts w:ascii="Times New Roman" w:hAnsi="Times New Roman"/>
          <w:noProof/>
        </w:rPr>
        <w:t>1.2. Instituirea unui sistem digital european al oceanelor</w:t>
      </w:r>
      <w:bookmarkEnd w:id="7"/>
    </w:p>
    <w:p w14:paraId="75675444"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Integrarea serviciului Copernicus de monitorizare a mediului marin și a EMODnet într-</w:t>
      </w:r>
      <w:r w:rsidRPr="00C266F1">
        <w:rPr>
          <w:rFonts w:ascii="Times New Roman" w:hAnsi="Times New Roman"/>
          <w:b/>
          <w:noProof/>
          <w:sz w:val="24"/>
        </w:rPr>
        <w:t>un sistem digital european privind oceanele, precum</w:t>
      </w:r>
      <w:r w:rsidRPr="00C266F1">
        <w:rPr>
          <w:rFonts w:ascii="Times New Roman" w:hAnsi="Times New Roman"/>
          <w:noProof/>
          <w:sz w:val="24"/>
        </w:rPr>
        <w:t xml:space="preserve"> și cu interfețele adecvate cu Sistemul european de informații privind apa (WISE) în domeniul marin, cu Sistemul european de informații privind apa pentru apa dulce și alte active va continua să deblocheze potențialul lor, va reduce fragmentarea și va asigura un flux operațional neîntrerupt de informații de la serviciile de observare la serviciile de cunoaștere. Această simplificare, sprijinită de o operațiune la scară industrială, va genera câștiguri în materie de resurse și productivitate, creând un punct de intrare unic și fiabil pentru părțile interesate, maximizând în același timp valoarea și impactul activelor UE de cunoaștere a mediului marin. </w:t>
      </w:r>
    </w:p>
    <w:p w14:paraId="1818A64C"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Prin îmbunătățirea colectării, a accesului, a partajării și a interoperabilității datelor privind oceanele, sistemul va stimula inovarea în întreaga economie albastră și va consolida competitivitatea industriilor și a furnizorilor de servicii europeni. Va accelera dezvoltarea de noi aplicații digitale, capacități de prognoză și soluții bazate pe date atât pentru utilizatorii publici, cât și pentru cei privați, sprijinind dezvoltarea unei piețe bazate pe date. </w:t>
      </w:r>
    </w:p>
    <w:p w14:paraId="04B0732D"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Această infrastructură digitală va permite monitorizarea implementării infrastructurii de observare a oceanelor, ceea ce va contribui la îmbunătățirea coerenței și a coordonării între diferiții contribuitori la nivel european și mondial.</w:t>
      </w:r>
    </w:p>
    <w:p w14:paraId="003F365B"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Acest sistem digital operațional emergent ar putea beneficia de o guvernanță integrată cu Copernicus, care include în prezent Comitetul de configurare Copernicus și Forumul utilizatorilor Copernicus. În perspectiva amplă a unui sprijin eficace pentru utilizările din domeniul mediului, al economiei albastre și al securității, guvernanța integrată va permite crearea unor interacțiuni dinamice cu toate serviciile Copernicus, inclusiv cu serviciile climatice, de urgență, de securitate și de supraveghere maritimă, precum și în plus față de serviciul guvernamental de observare a Pământului (EOGS) propus</w:t>
      </w:r>
      <w:r w:rsidRPr="00C266F1">
        <w:rPr>
          <w:rStyle w:val="FootnoteReference"/>
          <w:rFonts w:ascii="Times New Roman" w:eastAsia="Times New Roman" w:hAnsi="Times New Roman" w:cs="Times New Roman"/>
          <w:noProof/>
          <w:sz w:val="24"/>
          <w:szCs w:val="24"/>
          <w:lang w:eastAsia="en-IE"/>
        </w:rPr>
        <w:footnoteReference w:id="19"/>
      </w:r>
      <w:r w:rsidRPr="00C266F1">
        <w:rPr>
          <w:rFonts w:ascii="Times New Roman" w:hAnsi="Times New Roman"/>
          <w:noProof/>
          <w:sz w:val="24"/>
        </w:rPr>
        <w:t xml:space="preserve">. </w:t>
      </w:r>
    </w:p>
    <w:p w14:paraId="1414EC98" w14:textId="77777777" w:rsidR="006E6DE3" w:rsidRPr="00C266F1" w:rsidRDefault="00393243">
      <w:pPr>
        <w:spacing w:beforeAutospacing="1" w:afterAutospacing="1"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Utilizatorii din domeniul apărării și securității au nevoi operaționale și de securitate specifice. În consecință, ar putea fi necesară </w:t>
      </w:r>
      <w:r w:rsidRPr="00C266F1">
        <w:rPr>
          <w:rFonts w:ascii="Times New Roman" w:hAnsi="Times New Roman"/>
          <w:b/>
          <w:noProof/>
          <w:sz w:val="24"/>
        </w:rPr>
        <w:t xml:space="preserve">instituirea unor centre de colectare/scuturi tematice specifice </w:t>
      </w:r>
      <w:r w:rsidRPr="00C266F1">
        <w:rPr>
          <w:rFonts w:ascii="Times New Roman" w:hAnsi="Times New Roman"/>
          <w:noProof/>
          <w:sz w:val="24"/>
        </w:rPr>
        <w:t>pentru producerea și distribuirea de date și informații specifice și sigure, care să contribuie, după caz, la inițiativele emblematice naționale și europene în domeniul apărării și la alte structuri (de exemplu, proiecte europene de interes comun în domeniul apărării sau evaluări strategice de mediu).</w:t>
      </w:r>
    </w:p>
    <w:p w14:paraId="01C54B28" w14:textId="77777777" w:rsidR="006E6DE3" w:rsidRPr="00C266F1" w:rsidRDefault="00393243">
      <w:pPr>
        <w:spacing w:before="100" w:beforeAutospacing="1" w:after="100" w:afterAutospacing="1" w:line="240" w:lineRule="auto"/>
        <w:jc w:val="both"/>
        <w:rPr>
          <w:rFonts w:ascii="Times New Roman" w:eastAsia="Times New Roman" w:hAnsi="Times New Roman" w:cs="Times New Roman"/>
          <w:i/>
          <w:iCs/>
          <w:noProof/>
          <w:sz w:val="24"/>
          <w:szCs w:val="24"/>
        </w:rPr>
      </w:pPr>
      <w:r w:rsidRPr="00C266F1">
        <w:rPr>
          <w:rFonts w:ascii="Times New Roman" w:hAnsi="Times New Roman"/>
          <w:noProof/>
          <w:sz w:val="24"/>
        </w:rPr>
        <w:t xml:space="preserve">Urmând modelul de monitorizare și prognoză meteorologică operațională, acest sistem digital european privind oceanele va oferi servicii fiabile și operaționale utilizatorilor dintr-o gamă largă de sectoare și aplicații. Această integrare este o condiție prealabilă pentru ca </w:t>
      </w:r>
      <w:r w:rsidRPr="00C266F1">
        <w:rPr>
          <w:rFonts w:ascii="Times New Roman" w:hAnsi="Times New Roman"/>
          <w:b/>
          <w:noProof/>
          <w:sz w:val="24"/>
        </w:rPr>
        <w:t>platforma europeană Digital Twin Ocean să poată deveni operațională până în 2030</w:t>
      </w:r>
      <w:r w:rsidRPr="00C266F1">
        <w:rPr>
          <w:rFonts w:ascii="Times New Roman" w:hAnsi="Times New Roman"/>
          <w:noProof/>
          <w:sz w:val="24"/>
        </w:rPr>
        <w:t xml:space="preserve"> și să funcționeze ca un serviciu public cuprinzător și de încredere pentru cunoștințele, prognoza și procesul decizional privind oceanele, inclusiv o abordare de la izvor la mare care să reflecte prioritățile Strategiei europene pentru reziliența în domeniul apei.</w:t>
      </w:r>
    </w:p>
    <w:p w14:paraId="08E0E767" w14:textId="77777777" w:rsidR="006E6DE3" w:rsidRPr="00C266F1" w:rsidRDefault="00393243">
      <w:pPr>
        <w:spacing w:before="100" w:beforeAutospacing="1" w:after="120" w:line="240" w:lineRule="auto"/>
        <w:jc w:val="both"/>
        <w:rPr>
          <w:rFonts w:ascii="Times New Roman" w:eastAsia="Times New Roman" w:hAnsi="Times New Roman" w:cs="Times New Roman"/>
          <w:noProof/>
          <w:sz w:val="24"/>
          <w:szCs w:val="24"/>
        </w:rPr>
      </w:pPr>
      <w:r w:rsidRPr="00C266F1">
        <w:rPr>
          <w:rFonts w:ascii="Times New Roman" w:hAnsi="Times New Roman"/>
          <w:noProof/>
          <w:sz w:val="24"/>
        </w:rPr>
        <w:t xml:space="preserve">Mercator Ocean International este în prezent însărcinată de Comisia Europeană cu implementarea serviciului Copernicus pentru mediul marin și este unul dintre principalii dezvoltatori ai platformei europene Digital Twin Ocean. Transformarea sa în curs într-o organizație interguvernamentală va oferi stabilitatea pe termen lung și asumarea în comun a responsabilității impuse de rolul său strategic și va contribui la asigurarea unei conectări eficace a sistemului digital european privind oceanele cu infrastructurile și sistemele digitale naționale și a dependenței de acestea. Prin implicarea sa în Copernicus, Mercator Ocean International va contribui, de asemenea, la OceanEye. </w:t>
      </w:r>
    </w:p>
    <w:p w14:paraId="371A03FD" w14:textId="77777777" w:rsidR="006E6DE3" w:rsidRPr="00C266F1" w:rsidRDefault="00393243">
      <w:pPr>
        <w:spacing w:before="100" w:beforeAutospacing="1" w:after="120" w:line="240" w:lineRule="auto"/>
        <w:jc w:val="both"/>
        <w:rPr>
          <w:rFonts w:ascii="Times New Roman" w:eastAsia="Times New Roman" w:hAnsi="Times New Roman" w:cs="Times New Roman"/>
          <w:noProof/>
          <w:sz w:val="24"/>
          <w:szCs w:val="24"/>
        </w:rPr>
      </w:pPr>
      <w:r w:rsidRPr="00C266F1">
        <w:rPr>
          <w:rFonts w:ascii="Times New Roman" w:hAnsi="Times New Roman"/>
          <w:b/>
          <w:noProof/>
          <w:sz w:val="24"/>
        </w:rPr>
        <w:t>Prin urmare, Comisia propune reunirea activelor europene existente de gestionare a cunoștințelor în domeniul marin într-un sistem digital european privind oceanele</w:t>
      </w:r>
      <w:r w:rsidRPr="00C266F1">
        <w:rPr>
          <w:rFonts w:ascii="Times New Roman" w:hAnsi="Times New Roman"/>
          <w:noProof/>
          <w:sz w:val="24"/>
        </w:rPr>
        <w:t xml:space="preserve">, prin extinderea domeniului de aplicare al serviciului Copernicus privind mediul marin. </w:t>
      </w:r>
    </w:p>
    <w:p w14:paraId="7C17CBF5" w14:textId="77777777" w:rsidR="006E6DE3" w:rsidRPr="00C266F1" w:rsidRDefault="00393243">
      <w:pPr>
        <w:pStyle w:val="Heading1"/>
        <w:rPr>
          <w:rFonts w:ascii="Times New Roman" w:hAnsi="Times New Roman"/>
          <w:noProof/>
        </w:rPr>
      </w:pPr>
      <w:bookmarkStart w:id="8" w:name="_Toc227941356"/>
      <w:r w:rsidRPr="00C266F1">
        <w:rPr>
          <w:rFonts w:ascii="Times New Roman" w:hAnsi="Times New Roman"/>
          <w:noProof/>
        </w:rPr>
        <w:t>Pilonul II: Dimensiunea internațională</w:t>
      </w:r>
      <w:bookmarkEnd w:id="8"/>
    </w:p>
    <w:p w14:paraId="37F86EF0" w14:textId="7C856304" w:rsidR="006E6DE3" w:rsidRPr="00C266F1" w:rsidRDefault="00393243">
      <w:pPr>
        <w:pStyle w:val="Heading2"/>
        <w:rPr>
          <w:rFonts w:ascii="Times New Roman" w:hAnsi="Times New Roman"/>
          <w:noProof/>
        </w:rPr>
      </w:pPr>
      <w:bookmarkStart w:id="9" w:name="_Toc227941357"/>
      <w:r w:rsidRPr="00C266F1">
        <w:rPr>
          <w:rFonts w:ascii="Times New Roman" w:hAnsi="Times New Roman"/>
          <w:noProof/>
        </w:rPr>
        <w:t>2.1</w:t>
      </w:r>
      <w:r w:rsidR="000B450F" w:rsidRPr="00C266F1">
        <w:rPr>
          <w:rFonts w:ascii="Times New Roman" w:hAnsi="Times New Roman"/>
          <w:noProof/>
        </w:rPr>
        <w:t>.</w:t>
      </w:r>
      <w:r w:rsidRPr="00C266F1">
        <w:rPr>
          <w:rFonts w:ascii="Times New Roman" w:hAnsi="Times New Roman"/>
          <w:noProof/>
        </w:rPr>
        <w:t xml:space="preserve"> O alianță internațională pentru sistemul global de observare a oceanelor</w:t>
      </w:r>
      <w:bookmarkEnd w:id="9"/>
      <w:r w:rsidRPr="00C266F1">
        <w:rPr>
          <w:rFonts w:ascii="Times New Roman" w:hAnsi="Times New Roman"/>
          <w:noProof/>
        </w:rPr>
        <w:t xml:space="preserve"> </w:t>
      </w:r>
    </w:p>
    <w:p w14:paraId="50C4CD9F"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GOOS (</w:t>
      </w:r>
      <w:r w:rsidRPr="00C266F1">
        <w:rPr>
          <w:rFonts w:ascii="Times New Roman" w:hAnsi="Times New Roman"/>
          <w:i/>
          <w:noProof/>
          <w:sz w:val="24"/>
        </w:rPr>
        <w:t>Global Ocean Observation System</w:t>
      </w:r>
      <w:r w:rsidRPr="00C266F1">
        <w:rPr>
          <w:rFonts w:ascii="Times New Roman" w:hAnsi="Times New Roman"/>
          <w:noProof/>
          <w:sz w:val="24"/>
        </w:rPr>
        <w:t xml:space="preserve"> – Sistemul global de observare a oceanelor) coordonează un sistem global de observare constantă </w:t>
      </w:r>
      <w:r w:rsidRPr="00C266F1">
        <w:rPr>
          <w:rFonts w:ascii="Times New Roman" w:hAnsi="Times New Roman"/>
          <w:b/>
          <w:i/>
          <w:noProof/>
          <w:sz w:val="24"/>
        </w:rPr>
        <w:t>in situ</w:t>
      </w:r>
      <w:r w:rsidRPr="00C266F1">
        <w:rPr>
          <w:rFonts w:ascii="Times New Roman" w:hAnsi="Times New Roman"/>
          <w:noProof/>
          <w:sz w:val="24"/>
        </w:rPr>
        <w:t xml:space="preserve"> a oceanelor, bazat pe variabilele oceanice esențiale (EOV) din domeniul fizicii, al biogeochimiei, al biologiei și al ecosistemelor. Prin intermediul unei infrastructuri integrate la nivel mondial de rețele de observare a oceanelor și al inițiativelor naționale și regionale de observare, sistemul oferă baza pentru furnizarea de informații esențiale privind oceanele, care sprijină gestionarea ecosistemică, economiile și comunitățile din întreaga lume.</w:t>
      </w:r>
    </w:p>
    <w:p w14:paraId="29111DD6"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În pofida rolului esențial al observării </w:t>
      </w:r>
      <w:r w:rsidRPr="00C266F1">
        <w:rPr>
          <w:rFonts w:ascii="Times New Roman" w:hAnsi="Times New Roman"/>
          <w:i/>
          <w:noProof/>
          <w:sz w:val="24"/>
        </w:rPr>
        <w:t>in situ</w:t>
      </w:r>
      <w:r w:rsidRPr="00C266F1">
        <w:rPr>
          <w:rFonts w:ascii="Times New Roman" w:hAnsi="Times New Roman"/>
          <w:noProof/>
          <w:sz w:val="24"/>
        </w:rPr>
        <w:t xml:space="preserve"> a oceanelor, sistemul rămâne vulnerabil la perturbări financiare și geopolitice. El depinde încă în mare măsură de un număr mic de contribuitori importanți și nu dispune de o capacitate de rezervă suficientă pentru a asigura stabilitatea pe termen lung</w:t>
      </w:r>
      <w:r w:rsidRPr="00C266F1">
        <w:rPr>
          <w:rStyle w:val="FootnoteReference"/>
          <w:rFonts w:ascii="Times New Roman" w:hAnsi="Times New Roman" w:cs="Times New Roman"/>
          <w:noProof/>
          <w:sz w:val="24"/>
          <w:szCs w:val="24"/>
        </w:rPr>
        <w:footnoteReference w:id="20"/>
      </w:r>
      <w:r w:rsidRPr="00C266F1">
        <w:rPr>
          <w:noProof/>
        </w:rPr>
        <w:t>.</w:t>
      </w:r>
      <w:r w:rsidRPr="00C266F1">
        <w:rPr>
          <w:rFonts w:ascii="Times New Roman" w:hAnsi="Times New Roman"/>
          <w:noProof/>
          <w:sz w:val="24"/>
        </w:rPr>
        <w:t xml:space="preserve"> </w:t>
      </w:r>
    </w:p>
    <w:p w14:paraId="10B262C0"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Componentele-cheie, cum ar fi Argo și sistemele legate la cheu</w:t>
      </w:r>
      <w:r w:rsidRPr="00C266F1">
        <w:rPr>
          <w:rStyle w:val="FootnoteReference"/>
          <w:rFonts w:ascii="Times New Roman" w:hAnsi="Times New Roman" w:cs="Times New Roman"/>
          <w:noProof/>
          <w:sz w:val="24"/>
          <w:szCs w:val="24"/>
        </w:rPr>
        <w:footnoteReference w:id="21"/>
      </w:r>
      <w:r w:rsidRPr="00C266F1">
        <w:rPr>
          <w:rFonts w:ascii="Times New Roman" w:hAnsi="Times New Roman"/>
          <w:noProof/>
          <w:sz w:val="24"/>
        </w:rPr>
        <w:t xml:space="preserve"> din zonele tropicale, sunt expuse riscului de degradare, previziunile indicând o pierdere de 35 % a capacității Argo până în 2030 dacă nu se iau măsuri corective. Persistă lacune semnificative în emisfera sudică, în regiunea arctică, în zonele de adâncime și de coastă.</w:t>
      </w:r>
    </w:p>
    <w:p w14:paraId="26832895"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UE depinde în mare măsură de sistemul global de observare a oceanelor. Serviciile emblematice, cum ar fi cele oferite de Copernicus (în principal serviciile de supraveghere marină, maritimă și climatică) și de platforma europeană Digital Twin Ocean, necesită date globale continue și de înaltă calitate privind oceanele, care au un impact critic asupra serviciilor de monitorizare și prognoză a performanței. O mare parte din aceste date privind oceanele de la nivel mondial nu se află sub controlul direct al UE. </w:t>
      </w:r>
    </w:p>
    <w:p w14:paraId="10B8A4E3" w14:textId="77777777" w:rsidR="006E6DE3" w:rsidRPr="00C266F1" w:rsidRDefault="00393243">
      <w:pPr>
        <w:spacing w:after="120"/>
        <w:jc w:val="both"/>
        <w:rPr>
          <w:rFonts w:ascii="Times New Roman" w:hAnsi="Times New Roman" w:cs="Times New Roman"/>
          <w:noProof/>
          <w:sz w:val="24"/>
          <w:szCs w:val="24"/>
        </w:rPr>
      </w:pPr>
      <w:r w:rsidRPr="00C266F1">
        <w:rPr>
          <w:rFonts w:ascii="Times New Roman" w:hAnsi="Times New Roman"/>
          <w:noProof/>
          <w:sz w:val="24"/>
        </w:rPr>
        <w:t xml:space="preserve">Pentru a aborda aceste provocări, UE și statele sale membre ar trebui să își consolideze diplomația privind oceanele, acțiunile de informare și parteneriatele strategice cu țările terțe care împărtășesc aceeași viziune în ceea ce privește datele de observare a oceanelor, precum și să își intensifice și să își coordoneze mai bine sprijinul pentru sistemul global de observare a oceanelor. Ele ar trebui să își asume un rol de lider mai puternic la nivel mondial și să solicite partenerilor internaționali să se alăture UE în ceea ce privește intensificarea contribuțiilor lor și partajarea responsabilității pentru susținerea sistemului global de observare a oceanelor. În schimb, țările ar obține beneficii dacă ar avea mai multe observații colectate de omologii lor, generând cunoștințe de înaltă calitate privind domeniul maritim. </w:t>
      </w:r>
    </w:p>
    <w:p w14:paraId="169A5A41"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 xml:space="preserve">Prin urmare, Comisia propune: </w:t>
      </w:r>
    </w:p>
    <w:p w14:paraId="3A853586" w14:textId="741E68C7" w:rsidR="006E6DE3" w:rsidRPr="00C266F1" w:rsidRDefault="00BD6CEF">
      <w:pPr>
        <w:pStyle w:val="ListParagraph"/>
        <w:numPr>
          <w:ilvl w:val="0"/>
          <w:numId w:val="12"/>
        </w:numPr>
        <w:jc w:val="both"/>
        <w:rPr>
          <w:rFonts w:ascii="Times New Roman" w:eastAsia="Times New Roman" w:hAnsi="Times New Roman" w:cs="Times New Roman"/>
          <w:b/>
          <w:bCs/>
          <w:noProof/>
          <w:sz w:val="24"/>
          <w:szCs w:val="24"/>
        </w:rPr>
      </w:pPr>
      <w:r w:rsidRPr="00C266F1">
        <w:rPr>
          <w:rFonts w:ascii="Times New Roman" w:hAnsi="Times New Roman"/>
          <w:b/>
          <w:noProof/>
          <w:sz w:val="24"/>
        </w:rPr>
        <w:t>L</w:t>
      </w:r>
      <w:r w:rsidR="00393243" w:rsidRPr="00C266F1">
        <w:rPr>
          <w:rFonts w:ascii="Times New Roman" w:hAnsi="Times New Roman"/>
          <w:b/>
          <w:noProof/>
          <w:sz w:val="24"/>
        </w:rPr>
        <w:t>ansarea unei alianțe internaționale care să sprijine sistemul global de observare a oceanelor</w:t>
      </w:r>
    </w:p>
    <w:p w14:paraId="23631B37" w14:textId="77777777" w:rsidR="006E6DE3" w:rsidRPr="00C266F1" w:rsidRDefault="00393243">
      <w:pPr>
        <w:spacing w:after="0"/>
        <w:ind w:left="360"/>
        <w:jc w:val="both"/>
        <w:rPr>
          <w:rFonts w:ascii="Times New Roman" w:hAnsi="Times New Roman" w:cs="Times New Roman"/>
          <w:noProof/>
          <w:sz w:val="24"/>
          <w:szCs w:val="24"/>
        </w:rPr>
      </w:pPr>
      <w:r w:rsidRPr="00C266F1">
        <w:rPr>
          <w:rFonts w:ascii="Times New Roman" w:hAnsi="Times New Roman"/>
          <w:noProof/>
          <w:sz w:val="24"/>
        </w:rPr>
        <w:t>Obiectivele alianței internaționale vor fi:</w:t>
      </w:r>
    </w:p>
    <w:p w14:paraId="2C17D609" w14:textId="77777777" w:rsidR="006E6DE3" w:rsidRPr="00C266F1" w:rsidRDefault="00393243">
      <w:pPr>
        <w:pStyle w:val="ListParagraph"/>
        <w:numPr>
          <w:ilvl w:val="0"/>
          <w:numId w:val="6"/>
        </w:numPr>
        <w:spacing w:after="100" w:afterAutospacing="1" w:line="240" w:lineRule="auto"/>
        <w:ind w:left="786"/>
        <w:jc w:val="both"/>
        <w:rPr>
          <w:rFonts w:ascii="Times New Roman" w:eastAsia="Times New Roman" w:hAnsi="Times New Roman" w:cs="Times New Roman"/>
          <w:noProof/>
          <w:sz w:val="24"/>
          <w:szCs w:val="24"/>
        </w:rPr>
      </w:pPr>
      <w:r w:rsidRPr="00C266F1">
        <w:rPr>
          <w:rFonts w:ascii="Times New Roman" w:hAnsi="Times New Roman"/>
          <w:noProof/>
          <w:sz w:val="24"/>
        </w:rPr>
        <w:t>extinderea sprijinului pentru sistemul global de observare a oceanelor, inclusiv prin contribuții financiare sau în natură;</w:t>
      </w:r>
    </w:p>
    <w:p w14:paraId="297AF4EE" w14:textId="77777777" w:rsidR="006E6DE3" w:rsidRPr="00C266F1" w:rsidRDefault="00393243">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sidRPr="00C266F1">
        <w:rPr>
          <w:rFonts w:ascii="Times New Roman" w:hAnsi="Times New Roman"/>
          <w:noProof/>
          <w:sz w:val="24"/>
        </w:rPr>
        <w:t>îmbunătățirea abordării în materie de guvernanță a sistemului global de observare a oceanelor pentru a-l face mai structurat, mai eficace și finanțat într-un mod mai echitabil, asigurând în același timp colectarea continuă a datelor și accesul continuu la ele;</w:t>
      </w:r>
    </w:p>
    <w:p w14:paraId="6D132A3F" w14:textId="77777777" w:rsidR="006E6DE3" w:rsidRPr="00C266F1" w:rsidRDefault="00393243">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sidRPr="00C266F1">
        <w:rPr>
          <w:rFonts w:ascii="Times New Roman" w:hAnsi="Times New Roman"/>
          <w:noProof/>
          <w:sz w:val="24"/>
        </w:rPr>
        <w:t>susținerea infrastructurii existente de observare a oceanelor (planoare, balize, observatoare, flotoare Argo etc.);</w:t>
      </w:r>
    </w:p>
    <w:p w14:paraId="1348A049" w14:textId="77777777" w:rsidR="006E6DE3" w:rsidRPr="00C266F1" w:rsidRDefault="00393243">
      <w:pPr>
        <w:pStyle w:val="ListParagraph"/>
        <w:numPr>
          <w:ilvl w:val="0"/>
          <w:numId w:val="6"/>
        </w:numPr>
        <w:spacing w:before="100" w:beforeAutospacing="1" w:after="100" w:afterAutospacing="1" w:line="240" w:lineRule="auto"/>
        <w:ind w:left="786"/>
        <w:jc w:val="both"/>
        <w:rPr>
          <w:rFonts w:ascii="Times New Roman" w:eastAsia="Times New Roman" w:hAnsi="Times New Roman" w:cs="Times New Roman"/>
          <w:noProof/>
          <w:sz w:val="24"/>
          <w:szCs w:val="24"/>
        </w:rPr>
      </w:pPr>
      <w:r w:rsidRPr="00C266F1">
        <w:rPr>
          <w:rFonts w:ascii="Times New Roman" w:hAnsi="Times New Roman"/>
          <w:noProof/>
          <w:sz w:val="24"/>
        </w:rPr>
        <w:t xml:space="preserve">eliminarea lacunelor critice în materie de observare </w:t>
      </w:r>
      <w:r w:rsidRPr="00C266F1">
        <w:rPr>
          <w:rFonts w:ascii="Times New Roman" w:hAnsi="Times New Roman"/>
          <w:i/>
          <w:noProof/>
          <w:sz w:val="24"/>
        </w:rPr>
        <w:t>in situ</w:t>
      </w:r>
      <w:r w:rsidRPr="00C266F1">
        <w:rPr>
          <w:rFonts w:ascii="Times New Roman" w:hAnsi="Times New Roman"/>
          <w:noProof/>
          <w:sz w:val="24"/>
        </w:rPr>
        <w:t>, finalizarea rețelelor globale, extinderea lor în domenii costiere și abordarea aspectelor omise;</w:t>
      </w:r>
    </w:p>
    <w:p w14:paraId="6439CB7C" w14:textId="77777777" w:rsidR="006E6DE3" w:rsidRPr="00C266F1" w:rsidRDefault="00393243">
      <w:pPr>
        <w:pStyle w:val="ListParagraph"/>
        <w:numPr>
          <w:ilvl w:val="0"/>
          <w:numId w:val="6"/>
        </w:numPr>
        <w:spacing w:before="100" w:beforeAutospacing="1" w:after="100" w:afterAutospacing="1" w:line="240" w:lineRule="auto"/>
        <w:ind w:left="786"/>
        <w:jc w:val="both"/>
        <w:rPr>
          <w:rFonts w:ascii="Times New Roman" w:hAnsi="Times New Roman" w:cs="Times New Roman"/>
          <w:noProof/>
          <w:sz w:val="24"/>
          <w:szCs w:val="24"/>
        </w:rPr>
      </w:pPr>
      <w:r w:rsidRPr="00C266F1">
        <w:rPr>
          <w:rFonts w:ascii="Times New Roman" w:hAnsi="Times New Roman"/>
          <w:noProof/>
          <w:sz w:val="24"/>
        </w:rPr>
        <w:t>sprijinirea angajamentelor internaționale și multilaterale, inclusiv punerea în aplicare a obiectivului de dezvoltare durabilă nr. 14 și a Acordului BBNJ (privind biodiversitatea marină în zonele care nu intră sub jurisdicție națională)</w:t>
      </w:r>
      <w:r w:rsidRPr="00C266F1">
        <w:rPr>
          <w:rStyle w:val="FootnoteReference"/>
          <w:rFonts w:ascii="Times New Roman" w:hAnsi="Times New Roman" w:cs="Times New Roman"/>
          <w:noProof/>
          <w:sz w:val="24"/>
          <w:szCs w:val="24"/>
        </w:rPr>
        <w:footnoteReference w:id="22"/>
      </w:r>
      <w:r w:rsidRPr="00C266F1">
        <w:rPr>
          <w:rFonts w:ascii="Times New Roman" w:hAnsi="Times New Roman"/>
          <w:noProof/>
          <w:sz w:val="24"/>
        </w:rPr>
        <w:t>, permițând luarea de decizii bazate pe dovezi.</w:t>
      </w:r>
    </w:p>
    <w:p w14:paraId="18405261" w14:textId="77777777" w:rsidR="006E6DE3" w:rsidRPr="00C266F1" w:rsidRDefault="00393243">
      <w:pPr>
        <w:spacing w:before="100" w:beforeAutospacing="1" w:after="100" w:afterAutospacing="1" w:line="240" w:lineRule="auto"/>
        <w:ind w:left="426"/>
        <w:jc w:val="both"/>
        <w:rPr>
          <w:rFonts w:ascii="Times New Roman" w:hAnsi="Times New Roman" w:cs="Times New Roman"/>
          <w:noProof/>
          <w:sz w:val="24"/>
          <w:szCs w:val="24"/>
        </w:rPr>
      </w:pPr>
      <w:r w:rsidRPr="00C266F1">
        <w:rPr>
          <w:rFonts w:ascii="Times New Roman" w:hAnsi="Times New Roman"/>
          <w:noProof/>
          <w:sz w:val="24"/>
        </w:rPr>
        <w:t xml:space="preserve">Membrii alianței internaționale pentru sistemul global de observare a oceanelor pot fi țări, organizații filantropice și parteneri privați. Ele ar trebui să își asume angajamente în conformitate cu capacitățile lor. Aceste angajamente pot include mobilizarea resurselor financiare, asigurarea accesului la capacități de observare (cum ar fi nave de observare, senzori, drone și cabluri submarine), investiții în infrastructuri de observare și digitale și/sau asigurarea accesului la acestea, alocarea de capacități umane și tehnice către IOC sau GOOS și punerea la dispoziție a datelor corespunzătoare. Participarea la alianța internațională va asigura o mai bună coordonare a eforturilor globale de observare a oceanelor, sporind astfel eficacitatea utilizării infrastructurii și a activelor. </w:t>
      </w:r>
    </w:p>
    <w:p w14:paraId="76A51027" w14:textId="0C2E4421" w:rsidR="006E6DE3" w:rsidRPr="00C266F1" w:rsidRDefault="00BD6CEF">
      <w:pPr>
        <w:pStyle w:val="ListParagraph"/>
        <w:numPr>
          <w:ilvl w:val="0"/>
          <w:numId w:val="12"/>
        </w:numPr>
        <w:jc w:val="both"/>
        <w:rPr>
          <w:rFonts w:ascii="Times New Roman" w:hAnsi="Times New Roman" w:cs="Times New Roman"/>
          <w:b/>
          <w:bCs/>
          <w:noProof/>
          <w:sz w:val="24"/>
          <w:szCs w:val="24"/>
        </w:rPr>
      </w:pPr>
      <w:r w:rsidRPr="00C266F1">
        <w:rPr>
          <w:rFonts w:ascii="Times New Roman" w:hAnsi="Times New Roman"/>
          <w:b/>
          <w:noProof/>
          <w:sz w:val="24"/>
        </w:rPr>
        <w:t>I</w:t>
      </w:r>
      <w:r w:rsidR="00393243" w:rsidRPr="00C266F1">
        <w:rPr>
          <w:rFonts w:ascii="Times New Roman" w:hAnsi="Times New Roman"/>
          <w:b/>
          <w:noProof/>
          <w:sz w:val="24"/>
        </w:rPr>
        <w:t>nstituirea unui parteneriat strategic cu IOC</w:t>
      </w:r>
    </w:p>
    <w:p w14:paraId="35699BDC" w14:textId="77777777" w:rsidR="006E6DE3" w:rsidRPr="00C266F1" w:rsidRDefault="00393243">
      <w:pPr>
        <w:spacing w:before="100" w:beforeAutospacing="1" w:after="100" w:afterAutospacing="1" w:line="240" w:lineRule="auto"/>
        <w:ind w:left="426"/>
        <w:jc w:val="both"/>
        <w:rPr>
          <w:rFonts w:ascii="Times New Roman" w:eastAsia="Times New Roman" w:hAnsi="Times New Roman" w:cs="Times New Roman"/>
          <w:noProof/>
          <w:sz w:val="24"/>
          <w:szCs w:val="24"/>
        </w:rPr>
      </w:pPr>
      <w:r w:rsidRPr="00C266F1">
        <w:rPr>
          <w:rFonts w:ascii="Times New Roman" w:hAnsi="Times New Roman"/>
          <w:noProof/>
          <w:sz w:val="24"/>
        </w:rPr>
        <w:t>În calitate de organism interguvernamental care coordonează GOOS și schimbul internațional de date și informații oceanografice, IOC oferă cadrul instituțional în care sunt definite prioritățile strategice, standardele și modalitățile de punere în aplicare.</w:t>
      </w:r>
    </w:p>
    <w:p w14:paraId="2F8D0BC8" w14:textId="77777777" w:rsidR="006E6DE3" w:rsidRPr="00C266F1" w:rsidRDefault="00393243">
      <w:pPr>
        <w:spacing w:before="100" w:beforeAutospacing="1" w:after="100" w:afterAutospacing="1" w:line="240" w:lineRule="auto"/>
        <w:ind w:left="426"/>
        <w:jc w:val="both"/>
        <w:rPr>
          <w:rFonts w:ascii="Times New Roman" w:eastAsia="Times New Roman" w:hAnsi="Times New Roman" w:cs="Times New Roman"/>
          <w:noProof/>
          <w:sz w:val="24"/>
          <w:szCs w:val="24"/>
        </w:rPr>
      </w:pPr>
      <w:r w:rsidRPr="00C266F1">
        <w:rPr>
          <w:rFonts w:ascii="Times New Roman" w:hAnsi="Times New Roman"/>
          <w:noProof/>
          <w:sz w:val="24"/>
        </w:rPr>
        <w:t>Prin intermediul guvernanței structurate OceanEye de la nivel european, UE va fi în măsură să stabilească poziții europene comune cu privire la aspecte importante, cum ar fi stabilirea priorităților, identificarea lacunelor, standardele și dezvoltarea în continuare a sistemului.</w:t>
      </w:r>
    </w:p>
    <w:p w14:paraId="5109CEB9" w14:textId="77777777" w:rsidR="006E6DE3" w:rsidRPr="00C266F1" w:rsidRDefault="00393243">
      <w:pPr>
        <w:spacing w:before="100" w:beforeAutospacing="1" w:after="100" w:afterAutospacing="1" w:line="240" w:lineRule="auto"/>
        <w:ind w:left="426"/>
        <w:jc w:val="both"/>
        <w:rPr>
          <w:rFonts w:ascii="Times New Roman" w:eastAsia="Times New Roman" w:hAnsi="Times New Roman" w:cs="Times New Roman"/>
          <w:noProof/>
          <w:sz w:val="24"/>
          <w:szCs w:val="24"/>
        </w:rPr>
      </w:pPr>
      <w:r w:rsidRPr="00C266F1">
        <w:rPr>
          <w:rFonts w:ascii="Times New Roman" w:hAnsi="Times New Roman"/>
          <w:noProof/>
          <w:sz w:val="24"/>
        </w:rPr>
        <w:t xml:space="preserve">Prin urmare, Comisia va propune un memorandum de înțelegere între UE și IOC, care va asigura o aliniere mai strânsă între GOOS, guvernanța europeană propusă și alianța internațională. </w:t>
      </w:r>
    </w:p>
    <w:p w14:paraId="004C6B99" w14:textId="01F7AE24" w:rsidR="006E6DE3" w:rsidRPr="00C266F1" w:rsidRDefault="00BD6CEF">
      <w:pPr>
        <w:pStyle w:val="ListParagraph"/>
        <w:numPr>
          <w:ilvl w:val="0"/>
          <w:numId w:val="12"/>
        </w:numPr>
        <w:jc w:val="both"/>
        <w:rPr>
          <w:rFonts w:ascii="Times New Roman" w:eastAsia="Times New Roman" w:hAnsi="Times New Roman" w:cs="Times New Roman"/>
          <w:noProof/>
          <w:sz w:val="24"/>
          <w:szCs w:val="24"/>
        </w:rPr>
      </w:pPr>
      <w:r w:rsidRPr="00C266F1">
        <w:rPr>
          <w:rFonts w:ascii="Times New Roman" w:hAnsi="Times New Roman"/>
          <w:b/>
          <w:noProof/>
          <w:sz w:val="24"/>
        </w:rPr>
        <w:t>P</w:t>
      </w:r>
      <w:r w:rsidR="00393243" w:rsidRPr="00C266F1">
        <w:rPr>
          <w:rFonts w:ascii="Times New Roman" w:hAnsi="Times New Roman"/>
          <w:b/>
          <w:noProof/>
          <w:sz w:val="24"/>
        </w:rPr>
        <w:t>entru început, să contribuie la alianță în două moduri:</w:t>
      </w:r>
    </w:p>
    <w:p w14:paraId="0EC87EA3" w14:textId="77777777" w:rsidR="006E6DE3" w:rsidRPr="00C266F1" w:rsidRDefault="00393243">
      <w:pPr>
        <w:spacing w:after="240"/>
        <w:ind w:left="357"/>
        <w:rPr>
          <w:rFonts w:ascii="Times New Roman" w:hAnsi="Times New Roman" w:cs="Times New Roman"/>
          <w:noProof/>
          <w:sz w:val="24"/>
          <w:szCs w:val="24"/>
        </w:rPr>
      </w:pPr>
      <w:r w:rsidRPr="00C266F1">
        <w:rPr>
          <w:rFonts w:ascii="Times New Roman" w:hAnsi="Times New Roman"/>
          <w:noProof/>
          <w:sz w:val="24"/>
        </w:rPr>
        <w:t>Prin intermediul serviciului global de date EMODnet</w:t>
      </w:r>
      <w:r w:rsidRPr="00C266F1">
        <w:rPr>
          <w:rStyle w:val="FootnoteReference"/>
          <w:rFonts w:ascii="Times New Roman" w:hAnsi="Times New Roman" w:cs="Times New Roman"/>
          <w:noProof/>
          <w:sz w:val="24"/>
          <w:szCs w:val="24"/>
        </w:rPr>
        <w:footnoteReference w:id="23"/>
      </w:r>
      <w:r w:rsidRPr="00C266F1">
        <w:rPr>
          <w:rFonts w:ascii="Times New Roman" w:hAnsi="Times New Roman"/>
          <w:noProof/>
          <w:sz w:val="24"/>
        </w:rPr>
        <w:t xml:space="preserve">, prin extinderea mandatului EMODnet de a contribui în mod activ la fluxuri internaționale de date </w:t>
      </w:r>
      <w:r w:rsidRPr="00C266F1">
        <w:rPr>
          <w:rFonts w:ascii="Times New Roman" w:hAnsi="Times New Roman"/>
          <w:i/>
          <w:noProof/>
          <w:sz w:val="24"/>
        </w:rPr>
        <w:t>in situ</w:t>
      </w:r>
      <w:r w:rsidRPr="00C266F1">
        <w:rPr>
          <w:rFonts w:ascii="Times New Roman" w:hAnsi="Times New Roman"/>
          <w:noProof/>
          <w:sz w:val="24"/>
        </w:rPr>
        <w:t xml:space="preserve"> privind mediul marin mai reziliente; </w:t>
      </w:r>
    </w:p>
    <w:p w14:paraId="3CAEF395" w14:textId="77777777" w:rsidR="006E6DE3" w:rsidRPr="00C266F1" w:rsidRDefault="00393243">
      <w:pPr>
        <w:spacing w:after="240"/>
        <w:ind w:left="357"/>
        <w:rPr>
          <w:rFonts w:ascii="Times New Roman" w:hAnsi="Times New Roman" w:cs="Times New Roman"/>
          <w:noProof/>
          <w:sz w:val="24"/>
          <w:szCs w:val="24"/>
        </w:rPr>
      </w:pPr>
      <w:r w:rsidRPr="00C266F1">
        <w:rPr>
          <w:rFonts w:ascii="Times New Roman" w:hAnsi="Times New Roman"/>
          <w:noProof/>
          <w:sz w:val="24"/>
        </w:rPr>
        <w:t xml:space="preserve">Prin intermediul unei acțiuni specifice în valoare de 50 de milioane EUR în cadrul actualului program Orizont Europa pentru a consolida sistemul global de observare </w:t>
      </w:r>
      <w:r w:rsidRPr="00C266F1">
        <w:rPr>
          <w:rFonts w:ascii="Times New Roman" w:hAnsi="Times New Roman"/>
          <w:i/>
          <w:noProof/>
          <w:sz w:val="24"/>
        </w:rPr>
        <w:t>in situ</w:t>
      </w:r>
      <w:r w:rsidRPr="00C266F1">
        <w:rPr>
          <w:rFonts w:ascii="Times New Roman" w:hAnsi="Times New Roman"/>
          <w:noProof/>
          <w:sz w:val="24"/>
        </w:rPr>
        <w:t xml:space="preserve"> a oceanelor.</w:t>
      </w:r>
    </w:p>
    <w:p w14:paraId="1EC35E19" w14:textId="77777777" w:rsidR="006E6DE3" w:rsidRPr="00C266F1" w:rsidRDefault="00393243">
      <w:pPr>
        <w:jc w:val="both"/>
        <w:rPr>
          <w:noProof/>
        </w:rPr>
      </w:pPr>
      <w:r w:rsidRPr="00C266F1">
        <w:rPr>
          <w:rFonts w:ascii="Times New Roman" w:hAnsi="Times New Roman"/>
          <w:noProof/>
          <w:sz w:val="24"/>
        </w:rPr>
        <w:t>Comisia va analiza, împreună cu statele membre, modul în care UE poate sprijini în continuare observarea globală a oceanelor printr-o mai bună coordonare și o mai mare previzibilitate financiară pe termen lung.</w:t>
      </w:r>
      <w:bookmarkStart w:id="10" w:name="_Toc227941358"/>
    </w:p>
    <w:p w14:paraId="47FDAF43" w14:textId="15E053BA" w:rsidR="006E6DE3" w:rsidRPr="00C266F1" w:rsidRDefault="00393243">
      <w:pPr>
        <w:pStyle w:val="Heading2"/>
        <w:rPr>
          <w:rFonts w:ascii="Times New Roman" w:hAnsi="Times New Roman"/>
          <w:noProof/>
        </w:rPr>
      </w:pPr>
      <w:r w:rsidRPr="00C266F1">
        <w:rPr>
          <w:rFonts w:ascii="Times New Roman" w:hAnsi="Times New Roman"/>
          <w:noProof/>
        </w:rPr>
        <w:t>2.2</w:t>
      </w:r>
      <w:r w:rsidR="00BD6CEF" w:rsidRPr="00C266F1">
        <w:rPr>
          <w:rFonts w:ascii="Times New Roman" w:hAnsi="Times New Roman"/>
          <w:noProof/>
        </w:rPr>
        <w:t>.</w:t>
      </w:r>
      <w:r w:rsidRPr="00C266F1">
        <w:rPr>
          <w:rFonts w:ascii="Times New Roman" w:hAnsi="Times New Roman"/>
          <w:noProof/>
        </w:rPr>
        <w:t xml:space="preserve"> Sprijinirea dezvoltării capacităților la nivel mondial</w:t>
      </w:r>
      <w:bookmarkEnd w:id="10"/>
    </w:p>
    <w:p w14:paraId="6A39706F"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Un sistem global solid de observare a oceanelor este esențial pentru țările și regiunile cele mai vulnerabile la schimbările climatice și oceanice, în special pentru statele insulare mici în curs de dezvoltare (SIDS) și pentru țările cel mai puțin dezvoltate (LDC), care se află în prima linie a riscurilor legate de schimbările climatice și de pierderea biodiversității și care au cea mai mare nevoie de economii oceanice durabile. </w:t>
      </w:r>
    </w:p>
    <w:p w14:paraId="389B3D06"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Participarea statelor insulare mici în curs de dezvoltare și a țărilor cel mai puțin dezvoltate la alianța internațională va asigura faptul că ele pot influența în mod semnificativ proiectarea și prioritățile sistemului global de observare a oceanelor, fără a condiționa implicarea lor de capacitatea lor internă de a finanța și de a exploata infrastructuri de observare.</w:t>
      </w:r>
    </w:p>
    <w:p w14:paraId="3680DBD5"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În plus, UE va lua în considerare o serie de instrumente (inclusiv instrumente financiare) care ar putea fi mobilizate de UE și de alți actori pentru a sprijini în continuare observarea oceanelor la nivel mondial, în conformitate cu strategia „Global Gateway”</w:t>
      </w:r>
      <w:r w:rsidRPr="00C266F1">
        <w:rPr>
          <w:noProof/>
        </w:rPr>
        <w:t xml:space="preserve"> </w:t>
      </w:r>
      <w:r w:rsidRPr="00C266F1">
        <w:rPr>
          <w:rFonts w:ascii="Times New Roman" w:hAnsi="Times New Roman"/>
          <w:noProof/>
          <w:sz w:val="24"/>
        </w:rPr>
        <w:t xml:space="preserve">și cu Pactul pentru Mediterana, după caz, pentru: </w:t>
      </w:r>
    </w:p>
    <w:p w14:paraId="087E4D41" w14:textId="77777777" w:rsidR="006E6DE3" w:rsidRPr="00C266F1" w:rsidRDefault="00393243">
      <w:pPr>
        <w:pStyle w:val="ListParagraph"/>
        <w:numPr>
          <w:ilvl w:val="0"/>
          <w:numId w:val="4"/>
        </w:numPr>
        <w:spacing w:after="240"/>
        <w:ind w:left="714" w:hanging="357"/>
        <w:contextualSpacing w:val="0"/>
        <w:rPr>
          <w:rFonts w:ascii="Times New Roman" w:hAnsi="Times New Roman" w:cs="Times New Roman"/>
          <w:noProof/>
          <w:sz w:val="24"/>
          <w:szCs w:val="24"/>
        </w:rPr>
      </w:pPr>
      <w:r w:rsidRPr="00C266F1">
        <w:rPr>
          <w:rFonts w:ascii="Times New Roman" w:hAnsi="Times New Roman"/>
          <w:b/>
          <w:noProof/>
          <w:sz w:val="24"/>
        </w:rPr>
        <w:t>sprijinirea eforturilor statelor insulare mici în curs de dezvoltare și ale țărilor cel mai puțin dezvoltate de a-și dezvolta propriile capacități de observare</w:t>
      </w:r>
      <w:r w:rsidRPr="00C266F1">
        <w:rPr>
          <w:rFonts w:ascii="Times New Roman" w:hAnsi="Times New Roman"/>
          <w:noProof/>
          <w:sz w:val="24"/>
        </w:rPr>
        <w:t>, de exemplu prin valorificarea tehnologiilor UE și prin contribuția la sistemul global de observare a oceanelor;</w:t>
      </w:r>
    </w:p>
    <w:p w14:paraId="7066660A" w14:textId="77777777" w:rsidR="006E6DE3" w:rsidRPr="00C266F1" w:rsidRDefault="00393243">
      <w:pPr>
        <w:pStyle w:val="ListParagraph"/>
        <w:numPr>
          <w:ilvl w:val="0"/>
          <w:numId w:val="4"/>
        </w:numPr>
        <w:rPr>
          <w:rFonts w:ascii="Times New Roman" w:hAnsi="Times New Roman" w:cs="Times New Roman"/>
          <w:noProof/>
          <w:sz w:val="24"/>
          <w:szCs w:val="24"/>
        </w:rPr>
      </w:pPr>
      <w:r w:rsidRPr="00C266F1">
        <w:rPr>
          <w:rFonts w:ascii="Times New Roman" w:hAnsi="Times New Roman"/>
          <w:b/>
          <w:noProof/>
          <w:sz w:val="24"/>
        </w:rPr>
        <w:t>dezvoltarea în comun a instrumentelor digitale cu și pentru statele și regiunile cu capacități limitate</w:t>
      </w:r>
      <w:r w:rsidRPr="00C266F1">
        <w:rPr>
          <w:rFonts w:ascii="Times New Roman" w:hAnsi="Times New Roman"/>
          <w:noProof/>
          <w:sz w:val="24"/>
        </w:rPr>
        <w:t xml:space="preserve">, asigurându-se că au acces la sprijin adaptat și la inițiative de consolidare a capacităților. </w:t>
      </w:r>
    </w:p>
    <w:p w14:paraId="23658D03" w14:textId="77777777" w:rsidR="006E6DE3" w:rsidRPr="00C266F1" w:rsidRDefault="00393243">
      <w:pPr>
        <w:pStyle w:val="Heading1"/>
        <w:rPr>
          <w:rFonts w:ascii="Times New Roman" w:hAnsi="Times New Roman"/>
          <w:noProof/>
        </w:rPr>
      </w:pPr>
      <w:bookmarkStart w:id="11" w:name="_Toc227941359"/>
      <w:r w:rsidRPr="00C266F1">
        <w:rPr>
          <w:rFonts w:ascii="Times New Roman" w:hAnsi="Times New Roman"/>
          <w:noProof/>
        </w:rPr>
        <w:t>Pilonul III: Dimensiunea operațională și industrială</w:t>
      </w:r>
    </w:p>
    <w:p w14:paraId="09DF7DD7" w14:textId="59F8C656" w:rsidR="006E6DE3" w:rsidRPr="00C266F1" w:rsidRDefault="00393243">
      <w:pPr>
        <w:pStyle w:val="Heading2"/>
        <w:rPr>
          <w:rFonts w:ascii="Times New Roman" w:hAnsi="Times New Roman"/>
          <w:noProof/>
        </w:rPr>
      </w:pPr>
      <w:r w:rsidRPr="00C266F1">
        <w:rPr>
          <w:rFonts w:ascii="Times New Roman" w:hAnsi="Times New Roman"/>
          <w:noProof/>
        </w:rPr>
        <w:t>3.1</w:t>
      </w:r>
      <w:r w:rsidR="00BD6CEF" w:rsidRPr="00C266F1">
        <w:rPr>
          <w:rFonts w:ascii="Times New Roman" w:hAnsi="Times New Roman"/>
          <w:noProof/>
        </w:rPr>
        <w:t>.</w:t>
      </w:r>
      <w:r w:rsidRPr="00C266F1">
        <w:rPr>
          <w:rFonts w:ascii="Times New Roman" w:hAnsi="Times New Roman"/>
          <w:noProof/>
        </w:rPr>
        <w:t xml:space="preserve"> Operaționalizarea infrastructurii digitale </w:t>
      </w:r>
    </w:p>
    <w:p w14:paraId="5DEB5B19" w14:textId="77777777" w:rsidR="006E6DE3" w:rsidRPr="00C266F1" w:rsidRDefault="00393243">
      <w:pPr>
        <w:spacing w:before="240"/>
        <w:jc w:val="both"/>
        <w:rPr>
          <w:rFonts w:ascii="Times New Roman" w:hAnsi="Times New Roman" w:cs="Times New Roman"/>
          <w:noProof/>
          <w:sz w:val="24"/>
          <w:szCs w:val="24"/>
        </w:rPr>
      </w:pPr>
      <w:r w:rsidRPr="00C266F1">
        <w:rPr>
          <w:rFonts w:ascii="Times New Roman" w:hAnsi="Times New Roman"/>
          <w:noProof/>
          <w:sz w:val="24"/>
        </w:rPr>
        <w:t>Platforma europeană Digital Twin Ocean urmărește să faciliteze accesul publicului, al antreprenorilor, al oamenilor de știință și al factorilor de decizie la cunoștințele privind oceanele. Sub rezerva politicii în materie de date care urmează să fie definită mai detaliat în Actul legislativ privind oceanele, platforma este concepută ca un bun public și, prin urmare, se propune ca ea să fie deținută de Uniunea Europeană. Prin intermediul infrastructurii sale de bază, EDITO</w:t>
      </w:r>
      <w:r w:rsidRPr="00C266F1">
        <w:rPr>
          <w:rStyle w:val="FootnoteReference"/>
          <w:rFonts w:ascii="Times New Roman" w:hAnsi="Times New Roman" w:cs="Times New Roman"/>
          <w:noProof/>
          <w:sz w:val="24"/>
          <w:szCs w:val="24"/>
        </w:rPr>
        <w:footnoteReference w:id="24"/>
      </w:r>
      <w:r w:rsidRPr="00C266F1">
        <w:rPr>
          <w:rFonts w:ascii="Times New Roman" w:hAnsi="Times New Roman"/>
          <w:noProof/>
          <w:sz w:val="24"/>
        </w:rPr>
        <w:t xml:space="preserve">, ea oferă o reprezentare virtuală a oceanelor, permițând accesul neîntrerupt la informații integrate și concrete privind mediul marin. </w:t>
      </w:r>
    </w:p>
    <w:p w14:paraId="2912BE8D" w14:textId="77777777" w:rsidR="006E6DE3" w:rsidRPr="00C266F1" w:rsidRDefault="00393243">
      <w:pPr>
        <w:spacing w:before="240"/>
        <w:jc w:val="both"/>
        <w:rPr>
          <w:rFonts w:ascii="Times New Roman" w:hAnsi="Times New Roman" w:cs="Times New Roman"/>
          <w:noProof/>
          <w:sz w:val="24"/>
          <w:szCs w:val="24"/>
        </w:rPr>
      </w:pPr>
      <w:r w:rsidRPr="00C266F1">
        <w:rPr>
          <w:rFonts w:ascii="Times New Roman" w:hAnsi="Times New Roman"/>
          <w:noProof/>
          <w:sz w:val="24"/>
        </w:rPr>
        <w:t xml:space="preserve">Platforma europeană Digital Twin Ocean trebuie să valorifice </w:t>
      </w:r>
      <w:r w:rsidRPr="00C266F1">
        <w:rPr>
          <w:rFonts w:ascii="Times New Roman" w:hAnsi="Times New Roman"/>
          <w:b/>
          <w:noProof/>
          <w:sz w:val="24"/>
        </w:rPr>
        <w:t>capacități digitale operaționale fără precedent, inclusiv calculul de înaltă performanță, inteligența artificială și infrastructurile avansate de cloud</w:t>
      </w:r>
      <w:r w:rsidRPr="00C266F1">
        <w:rPr>
          <w:rFonts w:ascii="Times New Roman" w:hAnsi="Times New Roman"/>
          <w:noProof/>
          <w:sz w:val="24"/>
        </w:rPr>
        <w:t xml:space="preserve">, pentru a prelucra și a analiza volume mari de date oceanice și pentru a efectua simulări complexe și scalabile în toate domeniile, de la procese fizice la sisteme socioecologice. Ea integrează date istorice și în timp real din surse multiple, inclusiv sateliți, senzori, modele numerice și chiar dispozitive personale, de exemplu prin aplicațiile pentru telefoane inteligente. Depășind cu mult limitele monitorizării, platforma le permite utilizatorilor să exploreze scenarii de tipul „ce ar fi dacă” („what if”), simulând impactul potențial al diferitelor opțiuni de politică, scenarii/traiectorii de încălzire climatică sau activități economice înainte de luarea deciziilor. Cu toate acestea, în prezent lipsesc infrastructurile digitale dedicate care să furnizeze capacitățile de calcul ce îndeplinesc cerințele operaționale ale serviciilor digitale oceanice. </w:t>
      </w:r>
    </w:p>
    <w:p w14:paraId="4F24F359" w14:textId="77777777" w:rsidR="006E6DE3" w:rsidRPr="00C266F1" w:rsidRDefault="00393243">
      <w:pPr>
        <w:rPr>
          <w:rFonts w:ascii="Times New Roman" w:hAnsi="Times New Roman" w:cs="Times New Roman"/>
          <w:noProof/>
          <w:sz w:val="24"/>
          <w:szCs w:val="24"/>
        </w:rPr>
      </w:pPr>
      <w:r w:rsidRPr="00C266F1">
        <w:rPr>
          <w:rFonts w:ascii="Times New Roman" w:hAnsi="Times New Roman"/>
          <w:b/>
          <w:noProof/>
          <w:sz w:val="24"/>
        </w:rPr>
        <w:t>Prin urmare, Comisia propune:</w:t>
      </w:r>
      <w:r w:rsidRPr="00C266F1">
        <w:rPr>
          <w:rFonts w:ascii="Times New Roman" w:hAnsi="Times New Roman"/>
          <w:noProof/>
          <w:sz w:val="24"/>
        </w:rPr>
        <w:t xml:space="preserve"> </w:t>
      </w:r>
    </w:p>
    <w:p w14:paraId="57988C26" w14:textId="77777777" w:rsidR="006E6DE3" w:rsidRPr="00C266F1" w:rsidRDefault="00393243">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sidRPr="00C266F1">
        <w:rPr>
          <w:rFonts w:ascii="Times New Roman" w:hAnsi="Times New Roman"/>
          <w:b/>
          <w:noProof/>
          <w:sz w:val="24"/>
        </w:rPr>
        <w:t>să sprijine dezvoltarea în continuare a platformei europene Digital Twin Ocean (DTO)</w:t>
      </w:r>
      <w:r w:rsidRPr="00C266F1">
        <w:rPr>
          <w:rFonts w:ascii="Times New Roman" w:hAnsi="Times New Roman"/>
          <w:noProof/>
          <w:sz w:val="24"/>
        </w:rPr>
        <w:t xml:space="preserve">, astfel încât aceasta să fie </w:t>
      </w:r>
      <w:r w:rsidRPr="00C266F1">
        <w:rPr>
          <w:rFonts w:ascii="Times New Roman" w:hAnsi="Times New Roman"/>
          <w:b/>
          <w:noProof/>
          <w:sz w:val="24"/>
        </w:rPr>
        <w:t>pe deplin operațională cel târziu până în 2030</w:t>
      </w:r>
      <w:r w:rsidRPr="00C266F1">
        <w:rPr>
          <w:rFonts w:ascii="Times New Roman" w:hAnsi="Times New Roman"/>
          <w:noProof/>
          <w:sz w:val="24"/>
        </w:rPr>
        <w:t>, ca serviciu public pentru europeni și ca ofertă pentru restul lumii, eventual prin integrarea sa în serviciul marin Copernicus și prin asigurarea interoperabilității și a sinergiei cu Destination Earth, HPC, infrastructurile în cloud și de IA;</w:t>
      </w:r>
    </w:p>
    <w:p w14:paraId="12458073" w14:textId="77777777" w:rsidR="006E6DE3" w:rsidRPr="00C266F1" w:rsidRDefault="00393243">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sidRPr="00C266F1">
        <w:rPr>
          <w:rFonts w:ascii="Times New Roman" w:hAnsi="Times New Roman"/>
          <w:b/>
          <w:noProof/>
          <w:sz w:val="24"/>
        </w:rPr>
        <w:t>să elaboreze un plan comun cu inițiativele relevante</w:t>
      </w:r>
      <w:r w:rsidRPr="00C266F1">
        <w:rPr>
          <w:rFonts w:ascii="Times New Roman" w:hAnsi="Times New Roman"/>
          <w:noProof/>
          <w:sz w:val="24"/>
        </w:rPr>
        <w:t xml:space="preserve"> (în special Copernicus și Destination Earth) pentru dobândirea unor capacități adecvate de calcul de înaltă performanță, adaptate pentru a răspunde cerințelor lor operaționale și pentru a contribui la sistemul oceanic digital și la ecosistemul mai larg de modelare a sistemului terestru;</w:t>
      </w:r>
    </w:p>
    <w:p w14:paraId="0F5D6BCF" w14:textId="77777777" w:rsidR="006E6DE3" w:rsidRPr="00C266F1" w:rsidRDefault="00393243">
      <w:pPr>
        <w:numPr>
          <w:ilvl w:val="0"/>
          <w:numId w:val="3"/>
        </w:numPr>
        <w:spacing w:after="120" w:line="240" w:lineRule="auto"/>
        <w:ind w:hanging="357"/>
        <w:jc w:val="both"/>
        <w:rPr>
          <w:rFonts w:ascii="Times New Roman" w:eastAsia="Times New Roman" w:hAnsi="Times New Roman" w:cs="Times New Roman"/>
          <w:noProof/>
          <w:sz w:val="24"/>
          <w:szCs w:val="24"/>
        </w:rPr>
      </w:pPr>
      <w:r w:rsidRPr="00C266F1">
        <w:rPr>
          <w:rFonts w:ascii="Times New Roman" w:hAnsi="Times New Roman"/>
          <w:b/>
          <w:noProof/>
          <w:sz w:val="24"/>
        </w:rPr>
        <w:t>să ofere sprijin pentru cercetare și inovare în vederea dezvoltării unor aplicații europene specifice ale DTO pentru politici</w:t>
      </w:r>
      <w:r w:rsidRPr="00C266F1">
        <w:rPr>
          <w:rFonts w:ascii="Times New Roman" w:hAnsi="Times New Roman"/>
          <w:noProof/>
          <w:sz w:val="24"/>
        </w:rPr>
        <w:t xml:space="preserve"> atât pentru sectorul public, cât și pentru cel privat, bazându-se, de asemenea, pe componentele DTO existente, cum ar fi aplicațiile-cadru de modelare Blue2 ale CE;</w:t>
      </w:r>
    </w:p>
    <w:p w14:paraId="0DFDA83D" w14:textId="77777777" w:rsidR="006E6DE3" w:rsidRPr="00C266F1" w:rsidRDefault="00393243">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rPr>
      </w:pPr>
      <w:r w:rsidRPr="00C266F1">
        <w:rPr>
          <w:rFonts w:ascii="Times New Roman" w:hAnsi="Times New Roman"/>
          <w:b/>
          <w:noProof/>
          <w:sz w:val="24"/>
        </w:rPr>
        <w:t>să dezvolte nodul tematic marin al Cloudului european pentru știința deschisă (EOSC)</w:t>
      </w:r>
      <w:r w:rsidRPr="00C266F1">
        <w:rPr>
          <w:rStyle w:val="FootnoteReference"/>
          <w:rFonts w:ascii="Times New Roman" w:eastAsia="Times New Roman" w:hAnsi="Times New Roman" w:cs="Times New Roman"/>
          <w:b/>
          <w:bCs/>
          <w:noProof/>
          <w:sz w:val="24"/>
          <w:szCs w:val="24"/>
          <w:lang w:eastAsia="en-IE"/>
        </w:rPr>
        <w:footnoteReference w:id="25"/>
      </w:r>
      <w:r w:rsidRPr="00C266F1">
        <w:rPr>
          <w:rFonts w:ascii="Times New Roman" w:hAnsi="Times New Roman"/>
          <w:b/>
          <w:noProof/>
          <w:sz w:val="24"/>
        </w:rPr>
        <w:t>, ca o componentă a EDITO</w:t>
      </w:r>
      <w:r w:rsidRPr="00C266F1">
        <w:rPr>
          <w:rFonts w:ascii="Times New Roman" w:hAnsi="Times New Roman"/>
          <w:noProof/>
          <w:sz w:val="24"/>
        </w:rPr>
        <w:t xml:space="preserve">, asigurând interoperabilitatea datelor privind oceanele cu alte noduri EOSC tematice; </w:t>
      </w:r>
    </w:p>
    <w:p w14:paraId="572BDCF0" w14:textId="77777777" w:rsidR="006E6DE3" w:rsidRPr="00C266F1" w:rsidRDefault="00393243">
      <w:pPr>
        <w:pStyle w:val="ListParagraph"/>
        <w:numPr>
          <w:ilvl w:val="0"/>
          <w:numId w:val="3"/>
        </w:numPr>
        <w:spacing w:before="100" w:beforeAutospacing="1" w:after="120" w:line="240" w:lineRule="auto"/>
        <w:contextualSpacing w:val="0"/>
        <w:jc w:val="both"/>
        <w:rPr>
          <w:rFonts w:ascii="Times New Roman" w:eastAsia="Times New Roman" w:hAnsi="Times New Roman" w:cs="Times New Roman"/>
          <w:noProof/>
          <w:sz w:val="24"/>
          <w:szCs w:val="24"/>
        </w:rPr>
      </w:pPr>
      <w:r w:rsidRPr="00C266F1">
        <w:rPr>
          <w:rFonts w:ascii="Times New Roman" w:hAnsi="Times New Roman"/>
          <w:b/>
          <w:noProof/>
          <w:sz w:val="24"/>
        </w:rPr>
        <w:t>până în 2030, să operaționalizeze pe deplin continuumul digital de la izvor la mare</w:t>
      </w:r>
      <w:r w:rsidRPr="00C266F1">
        <w:rPr>
          <w:rFonts w:ascii="Times New Roman" w:hAnsi="Times New Roman"/>
          <w:noProof/>
          <w:sz w:val="24"/>
        </w:rPr>
        <w:t xml:space="preserve"> care stă atât la baza Pactului privind oceanul planetar, cât și a Strategiei europene pentru reziliența în domeniul apei, prin dezvoltarea unor modele cuplate între Copernicus, platforma europeană Digital Twin Ocean și Destination Earth și prin crearea unor conectori standardizați cu sursă deschisă pentru a reduce decalajul față de sistemele digitale locale pentru apele interioare; </w:t>
      </w:r>
    </w:p>
    <w:p w14:paraId="48C7C68B" w14:textId="77777777" w:rsidR="006E6DE3" w:rsidRPr="00C266F1" w:rsidRDefault="00393243">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sidRPr="00C266F1">
        <w:rPr>
          <w:rFonts w:ascii="Times New Roman" w:hAnsi="Times New Roman"/>
          <w:b/>
          <w:noProof/>
          <w:sz w:val="24"/>
        </w:rPr>
        <w:t>să faciliteze dezvoltarea de servicii în aval</w:t>
      </w:r>
      <w:r w:rsidRPr="00C266F1">
        <w:rPr>
          <w:rFonts w:ascii="Times New Roman" w:hAnsi="Times New Roman"/>
          <w:noProof/>
          <w:sz w:val="24"/>
        </w:rPr>
        <w:t xml:space="preserve"> pentru public și părțile interesate de la nivel local, în special prin sprijinirea demonstratorilor, a prototipurilor, a specificațiilor tehnice comune și a formării pentru a sprijini strategiile de reziliență, a fundamenta planurile de conservare a biodiversității și a facilita contribuțiile datelor generate la nivel local, inclusiv prin intermediul științei cetățenești;</w:t>
      </w:r>
    </w:p>
    <w:p w14:paraId="331896CB" w14:textId="77777777" w:rsidR="006E6DE3" w:rsidRPr="00C266F1" w:rsidRDefault="00393243">
      <w:pPr>
        <w:numPr>
          <w:ilvl w:val="0"/>
          <w:numId w:val="3"/>
        </w:numPr>
        <w:spacing w:before="100" w:beforeAutospacing="1" w:after="120" w:line="240" w:lineRule="auto"/>
        <w:ind w:hanging="357"/>
        <w:jc w:val="both"/>
        <w:rPr>
          <w:rFonts w:ascii="Times New Roman" w:eastAsia="Times New Roman" w:hAnsi="Times New Roman" w:cs="Times New Roman"/>
          <w:noProof/>
          <w:sz w:val="24"/>
          <w:szCs w:val="24"/>
        </w:rPr>
      </w:pPr>
      <w:r w:rsidRPr="00C266F1">
        <w:rPr>
          <w:rFonts w:ascii="Times New Roman" w:hAnsi="Times New Roman"/>
          <w:b/>
          <w:noProof/>
          <w:sz w:val="24"/>
        </w:rPr>
        <w:t>să fie în continuare conștientă de nevoile regiunilor ultraperiferice și ale insulelor UE, ale țărilor cu venituri mici și ale statelor insulare mici în curs de dezvoltare</w:t>
      </w:r>
      <w:r w:rsidRPr="00C266F1">
        <w:rPr>
          <w:rFonts w:ascii="Times New Roman" w:hAnsi="Times New Roman"/>
          <w:noProof/>
          <w:sz w:val="24"/>
        </w:rPr>
        <w:t xml:space="preserve"> și să exploreze dezvoltarea unor servicii adaptate, a formării specifice și a sprijinului pentru accesul la infrastructurile UE și utilizarea lor pentru dezvoltarea propriilor capacități.</w:t>
      </w:r>
    </w:p>
    <w:p w14:paraId="515DAA7C" w14:textId="2C9A9B86" w:rsidR="006E6DE3" w:rsidRPr="00C266F1" w:rsidRDefault="00393243">
      <w:pPr>
        <w:pStyle w:val="Heading2"/>
        <w:rPr>
          <w:rFonts w:ascii="Times New Roman" w:hAnsi="Times New Roman"/>
          <w:noProof/>
        </w:rPr>
      </w:pPr>
      <w:r w:rsidRPr="00C266F1">
        <w:rPr>
          <w:rFonts w:ascii="Times New Roman" w:hAnsi="Times New Roman"/>
          <w:noProof/>
        </w:rPr>
        <w:t>3.2</w:t>
      </w:r>
      <w:r w:rsidR="00BD6CEF" w:rsidRPr="00C266F1">
        <w:rPr>
          <w:rFonts w:ascii="Times New Roman" w:hAnsi="Times New Roman"/>
          <w:noProof/>
        </w:rPr>
        <w:t>.</w:t>
      </w:r>
      <w:r w:rsidRPr="00C266F1">
        <w:rPr>
          <w:rFonts w:ascii="Times New Roman" w:hAnsi="Times New Roman"/>
          <w:noProof/>
        </w:rPr>
        <w:t xml:space="preserve"> Consolidarea inovării și a bazei industriale a Europei în domeniul observării oceanelor </w:t>
      </w:r>
    </w:p>
    <w:p w14:paraId="11622E7E" w14:textId="77777777" w:rsidR="006E6DE3" w:rsidRPr="00C266F1" w:rsidRDefault="00393243">
      <w:pPr>
        <w:jc w:val="both"/>
        <w:rPr>
          <w:rFonts w:ascii="Times New Roman" w:hAnsi="Times New Roman" w:cs="Times New Roman"/>
          <w:b/>
          <w:bCs/>
          <w:noProof/>
          <w:sz w:val="24"/>
          <w:szCs w:val="24"/>
        </w:rPr>
      </w:pPr>
      <w:r w:rsidRPr="00C266F1">
        <w:rPr>
          <w:rFonts w:ascii="Times New Roman" w:hAnsi="Times New Roman"/>
          <w:b/>
          <w:noProof/>
          <w:sz w:val="24"/>
        </w:rPr>
        <w:t>Cunoștințele sunt un activ esențial.</w:t>
      </w:r>
      <w:r w:rsidRPr="00C266F1">
        <w:rPr>
          <w:rFonts w:ascii="Times New Roman" w:hAnsi="Times New Roman"/>
          <w:noProof/>
          <w:sz w:val="24"/>
        </w:rPr>
        <w:t xml:space="preserve"> În contextul creșterii riscurilor climatice, al interdependenței maritime și al concurenței geopolitice, capacitatea de a explora oceanele a devenit un activ strategic. </w:t>
      </w:r>
    </w:p>
    <w:p w14:paraId="7E9E4A46"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Deși niciun studiu cu autoritate nu consolidează toate activitățile relevante în cadrul unei singure categorii de observare a oceanelor, diferite studii indică faptul că </w:t>
      </w:r>
      <w:r w:rsidRPr="00C266F1">
        <w:rPr>
          <w:rFonts w:ascii="Times New Roman" w:hAnsi="Times New Roman"/>
          <w:b/>
          <w:noProof/>
          <w:sz w:val="24"/>
        </w:rPr>
        <w:t>piața mondială anuală de observare a oceanelor valorează între 10 și 20 de miliarde EUR</w:t>
      </w:r>
      <w:r w:rsidRPr="00C266F1">
        <w:rPr>
          <w:rFonts w:ascii="Times New Roman" w:hAnsi="Times New Roman"/>
          <w:noProof/>
          <w:sz w:val="24"/>
        </w:rPr>
        <w:t>, cu o rată de creștere anuală compusă de aproximativ 5-10 %. Acest lucru servește unui ecosistem de afaceri mult mai mare, în valoare de 40-90 de miliarde EUR, în care Statele Unite dețin cea mai mare parte</w:t>
      </w:r>
      <w:r w:rsidRPr="00C266F1">
        <w:rPr>
          <w:rStyle w:val="FootnoteReference"/>
          <w:rFonts w:ascii="Times New Roman" w:hAnsi="Times New Roman" w:cs="Times New Roman"/>
          <w:noProof/>
          <w:sz w:val="24"/>
          <w:szCs w:val="24"/>
        </w:rPr>
        <w:footnoteReference w:id="26"/>
      </w:r>
      <w:r w:rsidRPr="00C266F1">
        <w:rPr>
          <w:rFonts w:ascii="Times New Roman" w:hAnsi="Times New Roman"/>
          <w:noProof/>
          <w:sz w:val="24"/>
          <w:vertAlign w:val="superscript"/>
        </w:rPr>
        <w:t>,</w:t>
      </w:r>
      <w:r w:rsidRPr="00C266F1">
        <w:rPr>
          <w:rStyle w:val="FootnoteReference"/>
          <w:rFonts w:ascii="Times New Roman" w:hAnsi="Times New Roman" w:cs="Times New Roman"/>
          <w:noProof/>
          <w:sz w:val="24"/>
          <w:szCs w:val="24"/>
        </w:rPr>
        <w:footnoteReference w:id="27"/>
      </w:r>
      <w:r w:rsidRPr="00C266F1">
        <w:rPr>
          <w:noProof/>
        </w:rPr>
        <w:t>.</w:t>
      </w:r>
    </w:p>
    <w:p w14:paraId="1994499B"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Pentru </w:t>
      </w:r>
      <w:r w:rsidRPr="00C266F1">
        <w:rPr>
          <w:rFonts w:ascii="Times New Roman" w:hAnsi="Times New Roman"/>
          <w:b/>
          <w:noProof/>
          <w:sz w:val="24"/>
        </w:rPr>
        <w:t>UE</w:t>
      </w:r>
      <w:r w:rsidRPr="00C266F1">
        <w:rPr>
          <w:rFonts w:ascii="Times New Roman" w:hAnsi="Times New Roman"/>
          <w:noProof/>
          <w:sz w:val="24"/>
        </w:rPr>
        <w:t xml:space="preserve">, a deveni lider mondial în domeniul tehnologiilor de observare a oceanelor este, prin urmare, </w:t>
      </w:r>
      <w:r w:rsidRPr="00C266F1">
        <w:rPr>
          <w:rFonts w:ascii="Times New Roman" w:hAnsi="Times New Roman"/>
          <w:b/>
          <w:noProof/>
          <w:sz w:val="24"/>
        </w:rPr>
        <w:t>o alegere economică și geopolitică</w:t>
      </w:r>
      <w:r w:rsidRPr="00C266F1">
        <w:rPr>
          <w:rFonts w:ascii="Times New Roman" w:hAnsi="Times New Roman"/>
          <w:noProof/>
          <w:sz w:val="24"/>
        </w:rPr>
        <w:t xml:space="preserve"> fundamentală și un imperativ strategic pentru reziliență și competitivitate într-un context geopolitic în schimbare rapidă.</w:t>
      </w:r>
    </w:p>
    <w:p w14:paraId="68D8819E" w14:textId="77777777" w:rsidR="006E6DE3" w:rsidRPr="00C266F1" w:rsidRDefault="00393243">
      <w:pPr>
        <w:spacing w:before="240"/>
        <w:jc w:val="both"/>
        <w:rPr>
          <w:rFonts w:ascii="Times New Roman" w:hAnsi="Times New Roman" w:cs="Times New Roman"/>
          <w:noProof/>
          <w:sz w:val="24"/>
          <w:szCs w:val="24"/>
        </w:rPr>
      </w:pPr>
      <w:r w:rsidRPr="00C266F1">
        <w:rPr>
          <w:rFonts w:ascii="Times New Roman" w:hAnsi="Times New Roman"/>
          <w:noProof/>
          <w:sz w:val="24"/>
        </w:rPr>
        <w:t>Se va acorda o atenție deosebită start-upurilor și întreprinderilor în fază de extindere din domeniul „deep tech” care dezvoltă soluții revoluționare în senzori, sisteme autonome, servicii cu valoare adăugată bazate pe date și produse de date, inteligență artificială și gemeni digitali. În conformitate cu strategia sa privind start-upurile și întreprinderile în fază de extindere, Comisia va depune eforturi pentru a sprijini tranziția de la cercetare la piață, îmbunătățind accesul la finanțare și utilizând achizițiile publice pentru a stimula cererea și a accelera implementarea, eventual prin medii de testare în materie de reglementare</w:t>
      </w:r>
      <w:r w:rsidRPr="00C266F1">
        <w:rPr>
          <w:rStyle w:val="FootnoteReference"/>
          <w:rFonts w:ascii="Times New Roman" w:hAnsi="Times New Roman" w:cs="Times New Roman"/>
          <w:noProof/>
          <w:sz w:val="24"/>
          <w:szCs w:val="24"/>
        </w:rPr>
        <w:footnoteReference w:id="28"/>
      </w:r>
      <w:r w:rsidRPr="00C266F1">
        <w:rPr>
          <w:rFonts w:ascii="Times New Roman" w:hAnsi="Times New Roman"/>
          <w:noProof/>
          <w:sz w:val="24"/>
        </w:rPr>
        <w:t>.</w:t>
      </w:r>
    </w:p>
    <w:p w14:paraId="54F18115"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Prin urmare, politica de inovare va combina impulsul tehnologic cu dezvoltarea bazată pe cerere.</w:t>
      </w:r>
      <w:r w:rsidRPr="00C266F1">
        <w:rPr>
          <w:rFonts w:ascii="Times New Roman" w:hAnsi="Times New Roman"/>
          <w:noProof/>
          <w:sz w:val="24"/>
        </w:rPr>
        <w:t xml:space="preserve"> Tehnologiile de observare a oceanelor trebuie să răspundă unor nevoi industriale, de politică și de reglementare clar stabilite, inclusiv prin adaptarea la schimbările climatice și atenuarea acestora, conformarea cu legislația de mediu, securitatea și apărarea, pescuitul și acvacultura, monitorizarea biodiversității, zonele marine protejate, protecția infrastructurii offshore, siguranța maritimă, transporturile, turismul și energia offshore. Alinierea cercetării, a reglementărilor și a cererii de pe piață ar accelera implementarea și ar ajuta întreprinderile europene să surprindă piețele emergente în ceea ce privește monitorizarea eficientă din punctul de vedere al costurilor și autonomă, informațiile privind oceanele bazate pe IA și sistemele spațiale oceanice integrate.</w:t>
      </w:r>
    </w:p>
    <w:p w14:paraId="4FF1F80A"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Considerațiile privind dubla utilizare și securitatea de la stadiul conceperii vor face parte integrantă din această abordare.</w:t>
      </w:r>
      <w:r w:rsidRPr="00C266F1">
        <w:rPr>
          <w:rFonts w:ascii="Times New Roman" w:hAnsi="Times New Roman"/>
          <w:noProof/>
          <w:sz w:val="24"/>
        </w:rPr>
        <w:t xml:space="preserve"> Pentru a consolida conștientizarea situației din domeniul maritim, în special în ceea ce privește securitatea maritimă, mobilitatea militară și legătura dintre climă și apărare – protejând în același timp infrastructura subacvatică critică și dezvoltând arhitecturi de date securizate, este necesar să existe tehnologii reziliente și fiabile. Prin integrarea securității cibernetice, a conformității și a interoperabilității în proiectarea sistemelor, UE se poate poziționa ca furnizor mondial de soluții sigure și responsabile de informații privind oceanele, abordând, printre altele, nevoile parteneriatelor în materie de securitate și apărare.</w:t>
      </w:r>
    </w:p>
    <w:p w14:paraId="10C589AD"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Întrucât actorii răuvoitori exploatează din ce în ce mai mult tacticile din zona gri, de la atacuri cibernetice și sabotaj la acțiuni străine de manipulare a informațiilor și ingerințe străine, inclusiv dezinformare, capacitățile solide de observare maritimă – de la spațiu la fundul mării – sunt esențiale pentru detectarea, descurajarea și atenuarea riscurilor înainte să se transforme în perturbări sistemice. Prin îmbunătățirea mecanismelor de monitorizare și de schimb de informații în timp real, UE își poate consolida autonomia strategică, contracarând în același timp ingerințele hibride care urmăresc să exploateze vulnerabilitățile din domeniul maritim și sporind reziliența împotriva amenințărilor cinetice și necinetice.</w:t>
      </w:r>
    </w:p>
    <w:p w14:paraId="053F76DC" w14:textId="77777777" w:rsidR="006E6DE3" w:rsidRPr="00C266F1" w:rsidRDefault="00393243">
      <w:pPr>
        <w:jc w:val="both"/>
        <w:rPr>
          <w:rFonts w:ascii="Times New Roman" w:eastAsia="Aptos" w:hAnsi="Times New Roman" w:cs="Times New Roman"/>
          <w:noProof/>
          <w:sz w:val="24"/>
          <w:szCs w:val="24"/>
        </w:rPr>
      </w:pPr>
      <w:r w:rsidRPr="00C266F1">
        <w:rPr>
          <w:rFonts w:ascii="Times New Roman" w:hAnsi="Times New Roman"/>
          <w:noProof/>
          <w:sz w:val="24"/>
        </w:rPr>
        <w:t>Noul Fond european pentru competitivitate, în sinergie cu următorul program Orizont Europa, va oferi un sprijin neîntrerupt inovatorilor europeni, de la cercetare și inovare la implementare și pentru tehnologiile relevante pentru observarea oceanelor, în conformitate cu ambiția vizionară propusă. Sinergiile și complementaritățile măsurilor din cadrul programelor de cheltuieli relevante ale UE pentru politica de observare a oceanelor vor fi urmărite în conformitate cu obiectivele lor de politică și cu guvernanța lor.</w:t>
      </w:r>
    </w:p>
    <w:p w14:paraId="6EBF948F" w14:textId="77777777" w:rsidR="006E6DE3" w:rsidRPr="00C266F1" w:rsidRDefault="00393243">
      <w:pPr>
        <w:rPr>
          <w:rFonts w:ascii="Times New Roman" w:hAnsi="Times New Roman" w:cs="Times New Roman"/>
          <w:b/>
          <w:bCs/>
          <w:noProof/>
          <w:sz w:val="24"/>
          <w:szCs w:val="24"/>
        </w:rPr>
      </w:pPr>
      <w:r w:rsidRPr="00C266F1">
        <w:rPr>
          <w:rFonts w:ascii="Times New Roman" w:hAnsi="Times New Roman"/>
          <w:b/>
          <w:noProof/>
          <w:sz w:val="24"/>
        </w:rPr>
        <w:t xml:space="preserve">În consecință, Comisia propune: </w:t>
      </w:r>
    </w:p>
    <w:p w14:paraId="46B32C75" w14:textId="77777777" w:rsidR="006E6DE3" w:rsidRPr="00C266F1" w:rsidRDefault="00393243">
      <w:pPr>
        <w:numPr>
          <w:ilvl w:val="0"/>
          <w:numId w:val="1"/>
        </w:numPr>
        <w:rPr>
          <w:rFonts w:ascii="Times New Roman" w:eastAsia="Aptos" w:hAnsi="Times New Roman" w:cs="Times New Roman"/>
          <w:noProof/>
          <w:sz w:val="24"/>
          <w:szCs w:val="24"/>
        </w:rPr>
      </w:pPr>
      <w:r w:rsidRPr="00C266F1">
        <w:rPr>
          <w:rFonts w:ascii="Times New Roman" w:hAnsi="Times New Roman"/>
          <w:b/>
          <w:noProof/>
          <w:sz w:val="24"/>
        </w:rPr>
        <w:t>promovarea unui parcurs coerent de la inovare la investiții</w:t>
      </w:r>
      <w:r w:rsidRPr="00C266F1">
        <w:rPr>
          <w:rFonts w:ascii="Times New Roman" w:hAnsi="Times New Roman"/>
          <w:noProof/>
          <w:sz w:val="24"/>
        </w:rPr>
        <w:t>, în conformitate cu ambiția vizionară propusă;</w:t>
      </w:r>
    </w:p>
    <w:p w14:paraId="62BD5DBE" w14:textId="77777777" w:rsidR="006E6DE3" w:rsidRPr="00C266F1" w:rsidRDefault="00393243">
      <w:pPr>
        <w:numPr>
          <w:ilvl w:val="0"/>
          <w:numId w:val="1"/>
        </w:numPr>
        <w:jc w:val="both"/>
        <w:rPr>
          <w:rFonts w:ascii="Times New Roman" w:hAnsi="Times New Roman" w:cs="Times New Roman"/>
          <w:i/>
          <w:iCs/>
          <w:noProof/>
          <w:sz w:val="24"/>
          <w:szCs w:val="24"/>
        </w:rPr>
      </w:pPr>
      <w:r w:rsidRPr="00C266F1">
        <w:rPr>
          <w:rFonts w:ascii="Times New Roman" w:hAnsi="Times New Roman"/>
          <w:b/>
          <w:noProof/>
          <w:sz w:val="24"/>
        </w:rPr>
        <w:t>stabilirea priorităților pentru observarea oceanelor în strategia sa de cercetare și inovare pentru oceane și apă</w:t>
      </w:r>
      <w:r w:rsidRPr="00C266F1">
        <w:rPr>
          <w:rFonts w:ascii="Times New Roman" w:hAnsi="Times New Roman"/>
          <w:noProof/>
          <w:sz w:val="24"/>
        </w:rPr>
        <w:t xml:space="preserve"> și consolidarea parcursului investițional, de la cercetarea fundamentală la inovare și extindere; </w:t>
      </w:r>
    </w:p>
    <w:p w14:paraId="15C228AE" w14:textId="77777777" w:rsidR="006E6DE3" w:rsidRPr="00C266F1" w:rsidRDefault="00393243">
      <w:pPr>
        <w:pStyle w:val="ListParagraph"/>
        <w:numPr>
          <w:ilvl w:val="0"/>
          <w:numId w:val="1"/>
        </w:numPr>
        <w:jc w:val="both"/>
        <w:rPr>
          <w:rFonts w:ascii="Times New Roman" w:hAnsi="Times New Roman" w:cs="Times New Roman"/>
          <w:i/>
          <w:iCs/>
          <w:noProof/>
          <w:sz w:val="24"/>
          <w:szCs w:val="24"/>
        </w:rPr>
      </w:pPr>
      <w:r w:rsidRPr="00C266F1">
        <w:rPr>
          <w:rFonts w:ascii="Times New Roman" w:hAnsi="Times New Roman"/>
          <w:b/>
          <w:noProof/>
          <w:sz w:val="24"/>
        </w:rPr>
        <w:t>utilizarea analizei prospective strategice a CE</w:t>
      </w:r>
      <w:r w:rsidRPr="00C266F1">
        <w:rPr>
          <w:rStyle w:val="FootnoteReference"/>
          <w:rFonts w:ascii="Times New Roman" w:hAnsi="Times New Roman" w:cs="Times New Roman"/>
          <w:noProof/>
          <w:sz w:val="24"/>
          <w:szCs w:val="24"/>
        </w:rPr>
        <w:footnoteReference w:id="29"/>
      </w:r>
      <w:r w:rsidRPr="00C266F1">
        <w:rPr>
          <w:rFonts w:ascii="Times New Roman" w:hAnsi="Times New Roman"/>
          <w:noProof/>
          <w:sz w:val="24"/>
        </w:rPr>
        <w:t xml:space="preserve"> pentru a sprijini dezvoltarea unui sistem solid și rezilient;</w:t>
      </w:r>
    </w:p>
    <w:p w14:paraId="549F48D7" w14:textId="77777777" w:rsidR="006E6DE3" w:rsidRPr="00C266F1" w:rsidRDefault="00393243">
      <w:pPr>
        <w:numPr>
          <w:ilvl w:val="0"/>
          <w:numId w:val="1"/>
        </w:numPr>
        <w:jc w:val="both"/>
        <w:rPr>
          <w:rFonts w:ascii="Times New Roman" w:hAnsi="Times New Roman" w:cs="Times New Roman"/>
          <w:noProof/>
          <w:sz w:val="24"/>
          <w:szCs w:val="24"/>
        </w:rPr>
      </w:pPr>
      <w:r w:rsidRPr="00C266F1">
        <w:rPr>
          <w:rFonts w:ascii="Times New Roman" w:hAnsi="Times New Roman"/>
          <w:b/>
          <w:noProof/>
          <w:sz w:val="24"/>
        </w:rPr>
        <w:t>angajarea a 30 de milioane EUR pentru o provocare tematică a Consiliului European pentru Inovare privind tehnologiile de observare a oceanelor</w:t>
      </w:r>
      <w:r w:rsidRPr="00C266F1">
        <w:rPr>
          <w:rFonts w:ascii="Times New Roman" w:hAnsi="Times New Roman"/>
          <w:noProof/>
          <w:sz w:val="24"/>
        </w:rPr>
        <w:t>, în cadrul programului de lucru Orizont Europa pentru 2027, pentru a pregăti principalele căi de inovare în vederea mobilizării investițiilor în perspectiva OceanEye.</w:t>
      </w:r>
    </w:p>
    <w:p w14:paraId="7DBA51B1" w14:textId="77777777" w:rsidR="006E6DE3" w:rsidRPr="00C266F1" w:rsidRDefault="00393243">
      <w:pPr>
        <w:pStyle w:val="Heading1"/>
        <w:rPr>
          <w:noProof/>
        </w:rPr>
      </w:pPr>
      <w:r w:rsidRPr="00C266F1">
        <w:rPr>
          <w:noProof/>
        </w:rPr>
        <w:t>Pilonul IV: Parteneriate strategice, educație și competențe, cultură și asumarea responsabilității la nivelul societății</w:t>
      </w:r>
      <w:bookmarkEnd w:id="11"/>
    </w:p>
    <w:p w14:paraId="6FDD0196" w14:textId="21ED7C49" w:rsidR="006E6DE3" w:rsidRPr="00C266F1" w:rsidRDefault="00393243">
      <w:pPr>
        <w:pStyle w:val="Heading2"/>
        <w:rPr>
          <w:noProof/>
        </w:rPr>
      </w:pPr>
      <w:bookmarkStart w:id="12" w:name="_Toc227941360"/>
      <w:r w:rsidRPr="00C266F1">
        <w:rPr>
          <w:noProof/>
        </w:rPr>
        <w:t>4.1</w:t>
      </w:r>
      <w:r w:rsidR="00BD6CEF" w:rsidRPr="00C266F1">
        <w:rPr>
          <w:noProof/>
        </w:rPr>
        <w:t>.</w:t>
      </w:r>
      <w:r w:rsidRPr="00C266F1">
        <w:rPr>
          <w:noProof/>
        </w:rPr>
        <w:t xml:space="preserve"> Intensificarea colaborării cu inițiativele private, naționale și internaționale</w:t>
      </w:r>
      <w:bookmarkEnd w:id="12"/>
    </w:p>
    <w:p w14:paraId="0C92D54D"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Dincolo de alianța internațională, inițiativa OceanEye va construi în mod proactiv parteneriate strategice cu actori privați, programe naționale și inițiative internaționale pentru a consolida coerența și impactul global al observării oceanelor, inclusiv în contextul parteneriatelor pentru securitate și apărare care au o componentă de securitate maritimă sau în regiuni-cheie, cum ar fi regiunea arctică.</w:t>
      </w:r>
    </w:p>
    <w:p w14:paraId="780D9D8C"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Prin alinierea investițiilor și a priorităților, inițiativa va mobiliza capacitățile naționale și infrastructurile de cercetare, promovând în același timp colaborarea cu industria. Un exemplu notabil este </w:t>
      </w:r>
      <w:r w:rsidRPr="00C266F1">
        <w:rPr>
          <w:rFonts w:ascii="Times New Roman" w:hAnsi="Times New Roman"/>
          <w:b/>
          <w:noProof/>
          <w:sz w:val="24"/>
        </w:rPr>
        <w:t>Mission Neptune</w:t>
      </w:r>
      <w:r w:rsidRPr="00C266F1">
        <w:rPr>
          <w:rFonts w:ascii="Times New Roman" w:hAnsi="Times New Roman"/>
          <w:noProof/>
          <w:sz w:val="24"/>
        </w:rPr>
        <w:t xml:space="preserve">, o inițiativă internațională lansată recent de guvernul francez pentru a accelera explorarea oceanelor de adâncime. </w:t>
      </w:r>
    </w:p>
    <w:p w14:paraId="3D61F500"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În plus, recent lansata comunitate de cunoaștere și inovare în domeniul apei</w:t>
      </w:r>
      <w:r w:rsidRPr="00C266F1">
        <w:rPr>
          <w:rStyle w:val="FootnoteReference"/>
          <w:rFonts w:ascii="Times New Roman" w:hAnsi="Times New Roman" w:cs="Times New Roman"/>
          <w:noProof/>
          <w:sz w:val="24"/>
          <w:szCs w:val="24"/>
        </w:rPr>
        <w:footnoteReference w:id="30"/>
      </w:r>
      <w:r w:rsidRPr="00C266F1">
        <w:rPr>
          <w:rFonts w:ascii="Times New Roman" w:hAnsi="Times New Roman"/>
          <w:noProof/>
          <w:sz w:val="24"/>
        </w:rPr>
        <w:t xml:space="preserve"> (EIT Water) din cadrul Institutului European de Inovare și Tehnologie construiește un ecosistem european puternic de inovare în jurul inovării în domeniul apei și al oceanelor. El va contribui la obiectivele inițiativei prin reunirea celor mai importante întreprinderi, centre de cercetare și universități pentru a oferi educație antreprenorială, cercetare bazată pe inovare și activități de sprijin pentru întreprinderi.</w:t>
      </w:r>
    </w:p>
    <w:p w14:paraId="7200E5A0"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Activitățile filantropice existente care promovează protecția și/sau conservarea oceanelor, de exemplu prin intermediul zonelor marine protejate, ar putea fi consolidate printr-o componentă de observare și/sau explorare pentru a le face mai eficace și mai strategice. Inițiativa OceanEye va mobiliza în continuare filantropii, va promova implicarea socială și va spori vizibilitatea internațională, în special prin brandingul comun, recunoscând că observarea constantă a oceanelor necesită un sprijin societal amplu, precum și investiții publice. Pentru a spori vizibilitatea OceanEye, va fi dezvoltată o </w:t>
      </w:r>
      <w:r w:rsidRPr="00C266F1">
        <w:rPr>
          <w:rFonts w:ascii="Times New Roman" w:hAnsi="Times New Roman"/>
          <w:b/>
          <w:noProof/>
          <w:sz w:val="24"/>
        </w:rPr>
        <w:t>etichetă</w:t>
      </w:r>
      <w:r w:rsidRPr="00C266F1">
        <w:rPr>
          <w:rFonts w:ascii="Times New Roman" w:hAnsi="Times New Roman"/>
          <w:noProof/>
          <w:sz w:val="24"/>
        </w:rPr>
        <w:t xml:space="preserve"> pentru toate infrastructurile care contribuie la inițiativă. Prin mecanisme de coinvestiții și programare coordonată, inițiativa OceanEye va crea un ecosistem de încredere în care actorii publici și privați vor colabora pentru a prezenta observații constante, inovare și servicii operaționale.</w:t>
      </w:r>
    </w:p>
    <w:p w14:paraId="27762928" w14:textId="2EC5BE4F" w:rsidR="006E6DE3" w:rsidRPr="00C266F1" w:rsidRDefault="00393243">
      <w:pPr>
        <w:pStyle w:val="Heading2"/>
        <w:rPr>
          <w:noProof/>
        </w:rPr>
      </w:pPr>
      <w:bookmarkStart w:id="13" w:name="_Toc227941361"/>
      <w:bookmarkStart w:id="14" w:name="_Hlk229726997"/>
      <w:r w:rsidRPr="00C266F1">
        <w:rPr>
          <w:noProof/>
        </w:rPr>
        <w:t>4.2</w:t>
      </w:r>
      <w:r w:rsidR="00BD6CEF" w:rsidRPr="00C266F1">
        <w:rPr>
          <w:noProof/>
        </w:rPr>
        <w:t>.</w:t>
      </w:r>
      <w:r w:rsidRPr="00C266F1">
        <w:rPr>
          <w:noProof/>
        </w:rPr>
        <w:t xml:space="preserve"> Conectarea europenilor la oceane: observarea oceanelor ca modalitate de a conecta oamenii și de a inspira angajamentul și acțiunile civice</w:t>
      </w:r>
      <w:bookmarkEnd w:id="13"/>
    </w:p>
    <w:p w14:paraId="7B15AB16"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Atunci când este transpusă în acțiuni semnificative, observarea oceanelor poate influența modul în care europenii înțeleg, apreciază și se raportează la oceane. Pentru a încuraja asumarea colectivă a responsabilității de către societate, inițiativa OceanEye va dezvolta o puternică dimensiune educațională, culturală și de informare, care să creeze punți între știință, antreprenoriat, artă, educație și societate. Comisia va explora – de exemplu, în cadrul noului Bauhaus european – dezvoltarea unor linii de acțiune care să conecteze arta, cultura și știința oceanelor pentru a scoate observarea oceanelor din laboratoarele offshore sau din tablourile de bord digitale și pentru a o aduce în spațiile publice, porturi, muzee și orașe de coastă din întreaga Europă. Scopul va fi nu numai de a comunica știința, ci și de a cultiva imaginația, empatia și gestionarea comună.</w:t>
      </w:r>
    </w:p>
    <w:p w14:paraId="095156BE"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Observarea oceanelor este, de asemenea, o sursă de locuri de muncă de înaltă calitate și de inovare. Prin prezentarea parcursurilor profesionale și prin conectarea educației cu industria, Comisia va sprijini dezvoltarea unei forțe de muncă calificate, capabile să susțină poziția de lider a Europei în economiile albastre și digitale, inclusiv prin intermediul unei </w:t>
      </w:r>
      <w:r w:rsidRPr="00C266F1">
        <w:rPr>
          <w:rFonts w:ascii="Times New Roman" w:hAnsi="Times New Roman"/>
          <w:b/>
          <w:noProof/>
          <w:sz w:val="24"/>
        </w:rPr>
        <w:t>strategii albastre de reînnoire a generațiilor</w:t>
      </w:r>
      <w:r w:rsidRPr="00C266F1">
        <w:rPr>
          <w:rFonts w:ascii="Times New Roman" w:hAnsi="Times New Roman"/>
          <w:noProof/>
          <w:sz w:val="24"/>
        </w:rPr>
        <w:t xml:space="preserve"> în 2027. Se va pune accentul pe competențele interdisciplinare care creează legături între știință, tehnologiile digitale, inginerie și comunicare.</w:t>
      </w:r>
    </w:p>
    <w:p w14:paraId="1079724C"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Inițiativa OceanEye va consolida și mai mult cunoștințele în domeniul marin prin mobilizarea coaliției </w:t>
      </w:r>
      <w:r w:rsidRPr="00C266F1">
        <w:rPr>
          <w:rFonts w:ascii="Times New Roman" w:hAnsi="Times New Roman"/>
          <w:b/>
          <w:noProof/>
          <w:sz w:val="24"/>
        </w:rPr>
        <w:t>EU4Ocean</w:t>
      </w:r>
      <w:r w:rsidRPr="00C266F1">
        <w:rPr>
          <w:rStyle w:val="FootnoteReference"/>
          <w:rFonts w:ascii="Times New Roman" w:hAnsi="Times New Roman" w:cs="Times New Roman"/>
          <w:noProof/>
          <w:sz w:val="24"/>
          <w:szCs w:val="24"/>
        </w:rPr>
        <w:footnoteReference w:id="31"/>
      </w:r>
      <w:r w:rsidRPr="00C266F1">
        <w:rPr>
          <w:rFonts w:ascii="Times New Roman" w:hAnsi="Times New Roman"/>
          <w:noProof/>
          <w:sz w:val="24"/>
        </w:rPr>
        <w:t>, care a îmbunătățit cunoștințele europenilor cu privire la oceanele și apele noastre începând din 2020, precum și a altor rețele științifice și educaționale, cum ar fi Network of European Blue Schools, Forumul Youth4Ocean, Atlasul european al mărilor, Coaliția „Educație pentru climă” și rețeaua eTwinning de pe Platforma europeană pentru educația școlară.</w:t>
      </w:r>
    </w:p>
    <w:p w14:paraId="1E2274B9"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În consecință, Comisia propune:</w:t>
      </w:r>
      <w:r w:rsidRPr="00C266F1">
        <w:rPr>
          <w:rFonts w:ascii="Times New Roman" w:hAnsi="Times New Roman"/>
          <w:noProof/>
          <w:sz w:val="24"/>
        </w:rPr>
        <w:t xml:space="preserve"> </w:t>
      </w:r>
    </w:p>
    <w:p w14:paraId="2AE4B001" w14:textId="77777777" w:rsidR="006E6DE3" w:rsidRPr="00C266F1" w:rsidRDefault="00393243">
      <w:pPr>
        <w:pStyle w:val="ListParagraph"/>
        <w:numPr>
          <w:ilvl w:val="0"/>
          <w:numId w:val="2"/>
        </w:numPr>
        <w:jc w:val="both"/>
        <w:rPr>
          <w:rFonts w:ascii="Times New Roman" w:hAnsi="Times New Roman" w:cs="Times New Roman"/>
          <w:noProof/>
          <w:sz w:val="24"/>
          <w:szCs w:val="24"/>
        </w:rPr>
      </w:pPr>
      <w:r w:rsidRPr="00C266F1">
        <w:rPr>
          <w:rFonts w:ascii="Times New Roman" w:hAnsi="Times New Roman"/>
          <w:b/>
          <w:noProof/>
          <w:sz w:val="24"/>
        </w:rPr>
        <w:t>lansarea laboratorului „Noul Bauhaus european pentru comunitățile oceanice, costiere și insulare</w:t>
      </w:r>
      <w:r w:rsidRPr="00C266F1">
        <w:rPr>
          <w:rFonts w:ascii="Times New Roman" w:hAnsi="Times New Roman"/>
          <w:noProof/>
          <w:sz w:val="24"/>
        </w:rPr>
        <w:t xml:space="preserve">”, care urmărește să coreleze observarea oceanelor cu arta, proiectarea și implicarea civică și să aducă cunoștințele privind oceanele mai aproape de societate. Acest lucru ar putea lua forma unor instalații itinerante, evenimente publice sau colaborări cu muzee, artiști, instituții de cercetare, rețele culturale și societatea civilă, transpunând datele privind oceanele în experiențe accesibile și semnificative și promovând o legătură mai puternică între europeni și mare și transformând observarea oceanelor într-un instrument civic și cultural; </w:t>
      </w:r>
    </w:p>
    <w:p w14:paraId="2240E531" w14:textId="77777777" w:rsidR="006E6DE3" w:rsidRPr="00C266F1" w:rsidRDefault="00393243">
      <w:pPr>
        <w:pStyle w:val="ListParagraph"/>
        <w:numPr>
          <w:ilvl w:val="0"/>
          <w:numId w:val="2"/>
        </w:numPr>
        <w:jc w:val="both"/>
        <w:rPr>
          <w:rFonts w:ascii="Times New Roman" w:hAnsi="Times New Roman" w:cs="Times New Roman"/>
          <w:noProof/>
          <w:sz w:val="24"/>
          <w:szCs w:val="24"/>
        </w:rPr>
      </w:pPr>
      <w:r w:rsidRPr="00C266F1">
        <w:rPr>
          <w:rFonts w:ascii="Times New Roman" w:hAnsi="Times New Roman"/>
          <w:b/>
          <w:noProof/>
          <w:sz w:val="24"/>
        </w:rPr>
        <w:t>aducerea observării oceanelor în educație, în special, pentru copii și tineri prin intermediul EU4Ocean</w:t>
      </w:r>
      <w:r w:rsidRPr="00C266F1">
        <w:rPr>
          <w:rFonts w:ascii="Times New Roman" w:hAnsi="Times New Roman"/>
          <w:noProof/>
          <w:sz w:val="24"/>
        </w:rPr>
        <w:t xml:space="preserve">, făcând din observarea oceanelor tema generală a activităților EU4Ocean din 2027 și sprijinind astfel obiectivele inițiativei OceanEye. Prin intermediul unei </w:t>
      </w:r>
      <w:r w:rsidRPr="00C266F1">
        <w:rPr>
          <w:rFonts w:ascii="Times New Roman" w:hAnsi="Times New Roman"/>
          <w:b/>
          <w:noProof/>
          <w:sz w:val="24"/>
        </w:rPr>
        <w:t>Săptămâni de observare a oceanelor</w:t>
      </w:r>
      <w:r w:rsidRPr="00C266F1">
        <w:rPr>
          <w:rFonts w:ascii="Times New Roman" w:hAnsi="Times New Roman"/>
          <w:noProof/>
          <w:sz w:val="24"/>
        </w:rPr>
        <w:t xml:space="preserve"> în școli, al proiectelor „European Blue Schools” și al proiectelor pentru tineret, al campaniilor de sensibilizare, al unui grup de lucru tematic și al premiilor dedicate #MakeEUBlue, EU4Ocean va sprijini și va recunoaște inițiativele care combină datele privind oceanele cu educația și implicarea publicului. În colaborare cu UNESCO, EU4Ocean va găzdui o școală de vară în care tinerii din Europa și din afara acesteia pot învăța despre observarea oceanelor și se pot implica direct în aceasta;</w:t>
      </w:r>
    </w:p>
    <w:p w14:paraId="2EA53F93" w14:textId="3A3D1336" w:rsidR="006E6DE3" w:rsidRPr="00C266F1" w:rsidRDefault="00393243">
      <w:pPr>
        <w:pStyle w:val="ListParagraph"/>
        <w:numPr>
          <w:ilvl w:val="0"/>
          <w:numId w:val="2"/>
        </w:numPr>
        <w:jc w:val="both"/>
        <w:rPr>
          <w:rFonts w:ascii="Times New Roman" w:hAnsi="Times New Roman" w:cs="Times New Roman"/>
          <w:noProof/>
          <w:sz w:val="24"/>
          <w:szCs w:val="24"/>
        </w:rPr>
      </w:pPr>
      <w:r w:rsidRPr="00C266F1">
        <w:rPr>
          <w:rFonts w:ascii="Times New Roman" w:hAnsi="Times New Roman"/>
          <w:b/>
          <w:noProof/>
          <w:sz w:val="24"/>
        </w:rPr>
        <w:t>promovarea locurilor de muncă bazate pe cunoaștere și a competențelor</w:t>
      </w:r>
      <w:r w:rsidRPr="00C266F1">
        <w:rPr>
          <w:rFonts w:ascii="Times New Roman" w:hAnsi="Times New Roman"/>
          <w:noProof/>
          <w:sz w:val="24"/>
        </w:rPr>
        <w:t xml:space="preserve"> legate de tehnologiile oceanice, știința datelor, operațiunile maritime și monitorizarea mediului, cu un accent deosebit pe sprijinirea profesioniștilor din domeniul oceanelor aflați la începutul carierei, inclusiv prin intermediul educației profesionale în domeniul maritim. Aceste eforturi vor fi completate de programe de mentorat și de stagii EU4Ocean pentru tinerii interesați de cariere legate de oceane, precum și de ateliere specifice în cadrul principalelor evenimente emblematice europene, cum ar fi Săptămâna europeană a tineretului, Zilele europene ale oceanelor și Ziua maritimă europeană</w:t>
      </w:r>
      <w:r w:rsidR="00BD6CEF" w:rsidRPr="00C266F1">
        <w:rPr>
          <w:rFonts w:ascii="Times New Roman" w:hAnsi="Times New Roman"/>
          <w:noProof/>
          <w:sz w:val="24"/>
        </w:rPr>
        <w:t>;</w:t>
      </w:r>
    </w:p>
    <w:p w14:paraId="1484BBC7" w14:textId="77777777" w:rsidR="006E6DE3" w:rsidRPr="00C266F1" w:rsidRDefault="00393243">
      <w:pPr>
        <w:pStyle w:val="ListParagraph"/>
        <w:numPr>
          <w:ilvl w:val="0"/>
          <w:numId w:val="2"/>
        </w:numPr>
        <w:rPr>
          <w:rFonts w:ascii="Times New Roman" w:hAnsi="Times New Roman" w:cs="Times New Roman"/>
          <w:noProof/>
          <w:sz w:val="24"/>
          <w:szCs w:val="24"/>
        </w:rPr>
      </w:pPr>
      <w:r w:rsidRPr="00C266F1">
        <w:rPr>
          <w:rFonts w:ascii="Times New Roman" w:hAnsi="Times New Roman"/>
          <w:b/>
          <w:noProof/>
          <w:sz w:val="24"/>
        </w:rPr>
        <w:t>lansarea unor campanii anuale de comunicare în colaborare cu flota de nave de cercetare a UE</w:t>
      </w:r>
      <w:r w:rsidRPr="00C266F1">
        <w:rPr>
          <w:rFonts w:ascii="Times New Roman" w:hAnsi="Times New Roman"/>
          <w:noProof/>
          <w:sz w:val="24"/>
        </w:rPr>
        <w:t xml:space="preserve">, pentru a deschide navele de cercetare către public în porturile europene. </w:t>
      </w:r>
    </w:p>
    <w:p w14:paraId="43247ECF" w14:textId="361A5EF7" w:rsidR="006E6DE3" w:rsidRPr="00C266F1" w:rsidRDefault="00393243">
      <w:pPr>
        <w:pStyle w:val="Heading1"/>
        <w:rPr>
          <w:noProof/>
        </w:rPr>
      </w:pPr>
      <w:bookmarkStart w:id="15" w:name="_Toc227941362"/>
      <w:bookmarkEnd w:id="14"/>
      <w:r w:rsidRPr="00C266F1">
        <w:rPr>
          <w:noProof/>
        </w:rPr>
        <w:t>V. Accesul la finanțare și investiții</w:t>
      </w:r>
      <w:bookmarkEnd w:id="15"/>
    </w:p>
    <w:p w14:paraId="6A21A9E8"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Finanțarea anuală necesară</w:t>
      </w:r>
      <w:r w:rsidRPr="00C266F1">
        <w:rPr>
          <w:rFonts w:ascii="Times New Roman" w:hAnsi="Times New Roman"/>
          <w:noProof/>
          <w:sz w:val="24"/>
        </w:rPr>
        <w:t xml:space="preserve"> pentru atingerea nivelului de ambiție al inițiativei OceanEye a fost </w:t>
      </w:r>
      <w:r w:rsidRPr="00C266F1">
        <w:rPr>
          <w:rFonts w:ascii="Times New Roman" w:hAnsi="Times New Roman"/>
          <w:b/>
          <w:noProof/>
          <w:sz w:val="24"/>
        </w:rPr>
        <w:t>estimată la de trei până la patru ori nivelul actual al investițiilor.</w:t>
      </w:r>
      <w:r w:rsidRPr="00C266F1">
        <w:rPr>
          <w:rFonts w:ascii="Times New Roman" w:hAnsi="Times New Roman"/>
          <w:noProof/>
          <w:sz w:val="24"/>
        </w:rPr>
        <w:t xml:space="preserve"> Au fost identificate nevoi semnificative de investiții pentru a susține și a îmbunătăți rețeaua de observare </w:t>
      </w:r>
      <w:r w:rsidRPr="00C266F1">
        <w:rPr>
          <w:rFonts w:ascii="Times New Roman" w:hAnsi="Times New Roman"/>
          <w:i/>
          <w:noProof/>
          <w:sz w:val="24"/>
        </w:rPr>
        <w:t>in situ</w:t>
      </w:r>
      <w:r w:rsidRPr="00C266F1">
        <w:rPr>
          <w:rFonts w:ascii="Times New Roman" w:hAnsi="Times New Roman"/>
          <w:noProof/>
          <w:sz w:val="24"/>
        </w:rPr>
        <w:t xml:space="preserve"> a oceanelor, pentru a dezvolta instrumente digitale pentru integrarea cunoștințelor și pentru a sprijini investițiile continue în cercetare în vederea dezvoltării în continuare a serviciilor.</w:t>
      </w:r>
    </w:p>
    <w:p w14:paraId="288019E6"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Pentru a răspunde acestor nevoi de investiții, este necesar să se utilizeze în mod coordonat finanțarea actuală și viitoare din partea UE, precum și măsuri naționale și acțiuni de atragere a capitalului privat pe durata întregului parcurs de investiții pentru inovație. Instrumentele specifice de consiliere, de stabilire de contacte și de flux de proiecte, cum ar fi BlueInvest</w:t>
      </w:r>
      <w:r w:rsidRPr="00C266F1">
        <w:rPr>
          <w:rStyle w:val="FootnoteReference"/>
          <w:rFonts w:ascii="Times New Roman" w:hAnsi="Times New Roman" w:cs="Times New Roman"/>
          <w:noProof/>
          <w:sz w:val="24"/>
          <w:szCs w:val="24"/>
        </w:rPr>
        <w:footnoteReference w:id="32"/>
      </w:r>
      <w:r w:rsidRPr="00C266F1">
        <w:rPr>
          <w:rFonts w:ascii="Times New Roman" w:hAnsi="Times New Roman"/>
          <w:noProof/>
          <w:sz w:val="24"/>
        </w:rPr>
        <w:t xml:space="preserve"> și consilierea BEI în cadrul Platformei de consiliere InvestEU</w:t>
      </w:r>
      <w:r w:rsidRPr="00C266F1">
        <w:rPr>
          <w:rStyle w:val="FootnoteReference"/>
          <w:rFonts w:ascii="Times New Roman" w:hAnsi="Times New Roman" w:cs="Times New Roman"/>
          <w:noProof/>
          <w:sz w:val="24"/>
          <w:szCs w:val="24"/>
        </w:rPr>
        <w:footnoteReference w:id="33"/>
      </w:r>
      <w:r w:rsidRPr="00C266F1">
        <w:rPr>
          <w:rFonts w:ascii="Times New Roman" w:hAnsi="Times New Roman"/>
          <w:noProof/>
          <w:sz w:val="24"/>
        </w:rPr>
        <w:t xml:space="preserve">, pot facilita accesul la resurse și pot crea condiții favorabile pentru finanțarea proiectelor. </w:t>
      </w:r>
    </w:p>
    <w:p w14:paraId="556E669E"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Cu toate acestea, există în continuare lacune esențiale: </w:t>
      </w:r>
    </w:p>
    <w:p w14:paraId="0763A1FB" w14:textId="77777777" w:rsidR="006E6DE3" w:rsidRPr="00C266F1" w:rsidRDefault="00393243">
      <w:pPr>
        <w:pStyle w:val="ListParagraph"/>
        <w:numPr>
          <w:ilvl w:val="0"/>
          <w:numId w:val="8"/>
        </w:numPr>
        <w:jc w:val="both"/>
        <w:rPr>
          <w:rFonts w:ascii="Times New Roman" w:hAnsi="Times New Roman" w:cs="Times New Roman"/>
          <w:noProof/>
          <w:sz w:val="24"/>
          <w:szCs w:val="24"/>
        </w:rPr>
      </w:pPr>
      <w:r w:rsidRPr="00C266F1">
        <w:rPr>
          <w:rFonts w:ascii="Times New Roman" w:hAnsi="Times New Roman"/>
          <w:noProof/>
          <w:sz w:val="24"/>
        </w:rPr>
        <w:t xml:space="preserve">infrastructurile de observare </w:t>
      </w:r>
      <w:r w:rsidRPr="00C266F1">
        <w:rPr>
          <w:rFonts w:ascii="Times New Roman" w:hAnsi="Times New Roman"/>
          <w:i/>
          <w:noProof/>
          <w:sz w:val="24"/>
        </w:rPr>
        <w:t>in situ</w:t>
      </w:r>
      <w:r w:rsidRPr="00C266F1">
        <w:rPr>
          <w:rFonts w:ascii="Times New Roman" w:hAnsi="Times New Roman"/>
          <w:noProof/>
          <w:sz w:val="24"/>
        </w:rPr>
        <w:t xml:space="preserve"> ar trebui să devină operaționale, partajate și conforme cu standardele de calitate și cu specificațiile tehnice comune. De asemenea, sunt necesare infrastructuri digitale operaționale specifice;</w:t>
      </w:r>
    </w:p>
    <w:p w14:paraId="1449C0D9" w14:textId="77777777" w:rsidR="006E6DE3" w:rsidRPr="00C266F1" w:rsidRDefault="00393243">
      <w:pPr>
        <w:pStyle w:val="ListParagraph"/>
        <w:numPr>
          <w:ilvl w:val="0"/>
          <w:numId w:val="8"/>
        </w:numPr>
        <w:jc w:val="both"/>
        <w:rPr>
          <w:rFonts w:ascii="Times New Roman" w:hAnsi="Times New Roman" w:cs="Times New Roman"/>
          <w:noProof/>
          <w:sz w:val="24"/>
          <w:szCs w:val="24"/>
        </w:rPr>
      </w:pPr>
      <w:r w:rsidRPr="00C266F1">
        <w:rPr>
          <w:rFonts w:ascii="Times New Roman" w:hAnsi="Times New Roman"/>
          <w:noProof/>
          <w:sz w:val="24"/>
        </w:rPr>
        <w:t xml:space="preserve">sistemele de observare a oceanelor se caracterizează printr-o finanțare pe termen scurt, bazată pe proiecte de cercetare, în timp ce investițiile substanțiale necesare pentru consolidarea capacităților tehnologice sunt rare și nu au orizonturi de timp bine definite. Este necesară o finanțare operațională pe termen lung pentru a asigura funcționarea continuă a sistemelor și pentru a consolida rețelele de observare (de exemplu, sistemele legate la cheu din zonele de adâncime și monitorizarea biologică); </w:t>
      </w:r>
    </w:p>
    <w:p w14:paraId="6C78142E" w14:textId="77777777" w:rsidR="006E6DE3" w:rsidRPr="00C266F1" w:rsidRDefault="00393243">
      <w:pPr>
        <w:pStyle w:val="ListParagraph"/>
        <w:numPr>
          <w:ilvl w:val="0"/>
          <w:numId w:val="8"/>
        </w:numPr>
        <w:jc w:val="both"/>
        <w:rPr>
          <w:rFonts w:ascii="Times New Roman" w:hAnsi="Times New Roman" w:cs="Times New Roman"/>
          <w:noProof/>
          <w:sz w:val="24"/>
          <w:szCs w:val="24"/>
        </w:rPr>
      </w:pPr>
      <w:r w:rsidRPr="00C266F1">
        <w:rPr>
          <w:rFonts w:ascii="Times New Roman" w:hAnsi="Times New Roman"/>
          <w:noProof/>
          <w:sz w:val="24"/>
        </w:rPr>
        <w:t>finanțarea din partea UE este fragmentată, cu norme și calendare distincte, ceea ce duce la o previzibilitate limitată și la o coerență strategică insuficientă. Propunerea pentru următorul cadru financiar multianual vizează abordarea acestei fragmentări;</w:t>
      </w:r>
    </w:p>
    <w:p w14:paraId="55AB1043" w14:textId="77777777" w:rsidR="006E6DE3" w:rsidRPr="00C266F1" w:rsidRDefault="00393243">
      <w:pPr>
        <w:pStyle w:val="ListParagraph"/>
        <w:numPr>
          <w:ilvl w:val="0"/>
          <w:numId w:val="7"/>
        </w:numPr>
        <w:jc w:val="both"/>
        <w:rPr>
          <w:rFonts w:ascii="Times New Roman" w:hAnsi="Times New Roman" w:cs="Times New Roman"/>
          <w:noProof/>
          <w:sz w:val="24"/>
          <w:szCs w:val="24"/>
        </w:rPr>
      </w:pPr>
      <w:r w:rsidRPr="00C266F1">
        <w:rPr>
          <w:rFonts w:ascii="Times New Roman" w:hAnsi="Times New Roman"/>
          <w:noProof/>
          <w:sz w:val="24"/>
        </w:rPr>
        <w:t>implicarea sectorului privat este limitată, în special în domeniile cu cheltuieli ridicate cu capitalul, cum ar fi vehiculele subacvatice autonome și constelațiile de sateliți, precum și sprijinul insuficient pentru standardizarea și interoperabilitatea datelor, ceea ce împiedică ambiția platformei europene Digital Twin Ocean.</w:t>
      </w:r>
    </w:p>
    <w:p w14:paraId="1E9BB561"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Începând din 2026 și 2027, Comisia va mobiliza resursele disponibile și instrumentele existente în sprijinul inițiativei OceanEye.</w:t>
      </w:r>
    </w:p>
    <w:p w14:paraId="568A1850" w14:textId="77777777" w:rsidR="006E6DE3" w:rsidRPr="00C266F1" w:rsidRDefault="00393243">
      <w:pPr>
        <w:jc w:val="both"/>
        <w:rPr>
          <w:rFonts w:ascii="Times New Roman" w:eastAsia="Aptos" w:hAnsi="Times New Roman" w:cs="Times New Roman"/>
          <w:noProof/>
          <w:sz w:val="24"/>
          <w:szCs w:val="24"/>
        </w:rPr>
      </w:pPr>
      <w:r w:rsidRPr="00C266F1">
        <w:rPr>
          <w:rFonts w:ascii="Times New Roman" w:hAnsi="Times New Roman"/>
          <w:noProof/>
          <w:sz w:val="24"/>
        </w:rPr>
        <w:t xml:space="preserve">Pentru a sprijini parcursul de la inovare la investiții, </w:t>
      </w:r>
      <w:r w:rsidRPr="00C266F1">
        <w:rPr>
          <w:rFonts w:ascii="Times New Roman" w:hAnsi="Times New Roman"/>
          <w:b/>
          <w:noProof/>
          <w:sz w:val="24"/>
        </w:rPr>
        <w:t>Comisia va analiza modul în care întreaga sa gamă de instrumente poate funcționa cel mai bine împreună, în sinergie și complementaritate.</w:t>
      </w:r>
      <w:r w:rsidRPr="00C266F1">
        <w:rPr>
          <w:rFonts w:ascii="Times New Roman" w:hAnsi="Times New Roman"/>
          <w:noProof/>
          <w:sz w:val="24"/>
        </w:rPr>
        <w:t xml:space="preserve"> Orizont Europa va urmări să sprijine în continuare cercetarea și activitățile demonstrative revoluționare și, în cadrul Consiliului European pentru Inovare, va sprijini inovatorii cu risc ridicat și cu impact ridicat. </w:t>
      </w:r>
    </w:p>
    <w:p w14:paraId="0AD3993F"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Următorul cadru financiar multianual ar putea contribui la sprijinirea obiectivelor inițiativei OceanEye, inclusiv prin Fondul european pentru competitivitate (FEC) propus. Planurile de parteneriat național și regional ar putea sprijini pescuitul, acvacultura, activitățile marine și Pactul european privind oceanul planetar. </w:t>
      </w:r>
    </w:p>
    <w:p w14:paraId="72AAB3BD"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Comisia invită statele membre să își sporească sprijinul pentru observarea oceanelor și să alinieze bugetele naționale la prioritățile UE</w:t>
      </w:r>
      <w:r w:rsidRPr="00C266F1">
        <w:rPr>
          <w:rFonts w:ascii="Times New Roman" w:hAnsi="Times New Roman"/>
          <w:noProof/>
          <w:sz w:val="24"/>
        </w:rPr>
        <w:t>, asigurând o finanțare stabilă pentru îmbunătățirea seriilor de observare pe termen lung.</w:t>
      </w:r>
    </w:p>
    <w:p w14:paraId="19BE6029"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b/>
          <w:noProof/>
          <w:sz w:val="24"/>
        </w:rPr>
        <w:t>Statele membre sunt, de asemenea, încurajate:</w:t>
      </w:r>
    </w:p>
    <w:p w14:paraId="377BBA2B" w14:textId="77777777" w:rsidR="006E6DE3" w:rsidRPr="00C266F1" w:rsidRDefault="00393243">
      <w:pPr>
        <w:pStyle w:val="ListParagraph"/>
        <w:numPr>
          <w:ilvl w:val="0"/>
          <w:numId w:val="9"/>
        </w:numPr>
        <w:jc w:val="both"/>
        <w:rPr>
          <w:rFonts w:ascii="Times New Roman" w:hAnsi="Times New Roman" w:cs="Times New Roman"/>
          <w:noProof/>
          <w:sz w:val="24"/>
          <w:szCs w:val="24"/>
        </w:rPr>
      </w:pPr>
      <w:r w:rsidRPr="00C266F1">
        <w:rPr>
          <w:rFonts w:ascii="Times New Roman" w:hAnsi="Times New Roman"/>
          <w:b/>
          <w:noProof/>
          <w:sz w:val="24"/>
        </w:rPr>
        <w:t>să extindă programele naționale de observare a oceanelor</w:t>
      </w:r>
      <w:r w:rsidRPr="00C266F1">
        <w:rPr>
          <w:rFonts w:ascii="Times New Roman" w:hAnsi="Times New Roman"/>
          <w:noProof/>
          <w:sz w:val="24"/>
        </w:rPr>
        <w:t>, să alinieze bugetele naționale de cercetare marină la prioritățile UE și să asigure o finanțare stabilă pentru seriile de observare pe termen lung;</w:t>
      </w:r>
    </w:p>
    <w:p w14:paraId="20A1E315" w14:textId="77777777" w:rsidR="006E6DE3" w:rsidRPr="00C266F1" w:rsidRDefault="00393243">
      <w:pPr>
        <w:pStyle w:val="ListParagraph"/>
        <w:numPr>
          <w:ilvl w:val="0"/>
          <w:numId w:val="9"/>
        </w:numPr>
        <w:jc w:val="both"/>
        <w:rPr>
          <w:rFonts w:ascii="Times New Roman" w:hAnsi="Times New Roman" w:cs="Times New Roman"/>
          <w:noProof/>
          <w:sz w:val="24"/>
          <w:szCs w:val="24"/>
        </w:rPr>
      </w:pPr>
      <w:r w:rsidRPr="00C266F1">
        <w:rPr>
          <w:rFonts w:ascii="Times New Roman" w:hAnsi="Times New Roman"/>
          <w:b/>
          <w:noProof/>
          <w:sz w:val="24"/>
        </w:rPr>
        <w:t>să promoveze achizițiile publice de servicii de observare a oceanelor,</w:t>
      </w:r>
      <w:r w:rsidRPr="00C266F1">
        <w:rPr>
          <w:rFonts w:ascii="Times New Roman" w:hAnsi="Times New Roman"/>
          <w:noProof/>
          <w:sz w:val="24"/>
        </w:rPr>
        <w:t xml:space="preserve"> de exemplu prin achiziții înainte de comercializare pentru a stimula inovarea în furnizarea în timp real de date privind mediul marin pentru agențiile publice;</w:t>
      </w:r>
    </w:p>
    <w:p w14:paraId="7D915FD6" w14:textId="77777777" w:rsidR="006E6DE3" w:rsidRPr="00C266F1" w:rsidRDefault="00393243">
      <w:pPr>
        <w:pStyle w:val="ListParagraph"/>
        <w:numPr>
          <w:ilvl w:val="0"/>
          <w:numId w:val="9"/>
        </w:numPr>
        <w:jc w:val="both"/>
        <w:rPr>
          <w:noProof/>
        </w:rPr>
      </w:pPr>
      <w:r w:rsidRPr="00C266F1">
        <w:rPr>
          <w:rFonts w:ascii="Times New Roman" w:hAnsi="Times New Roman"/>
          <w:b/>
          <w:noProof/>
          <w:sz w:val="24"/>
        </w:rPr>
        <w:t>să promoveze parteneriatele dintre industrie și mediul academic</w:t>
      </w:r>
      <w:r w:rsidRPr="00C266F1">
        <w:rPr>
          <w:rFonts w:ascii="Times New Roman" w:hAnsi="Times New Roman"/>
          <w:noProof/>
          <w:sz w:val="24"/>
        </w:rPr>
        <w:t xml:space="preserve">, de exemplu prin încurajarea agențiilor naționale de inovare să sprijine incubatoarele de tehnologie oceanică și laboratoarele vii, inclusiv testarea planoarelor autonome în condiții reale. </w:t>
      </w:r>
    </w:p>
    <w:p w14:paraId="4D169252" w14:textId="77777777" w:rsidR="006E6DE3" w:rsidRPr="00C266F1" w:rsidRDefault="00393243">
      <w:pPr>
        <w:pStyle w:val="Heading1"/>
        <w:rPr>
          <w:noProof/>
        </w:rPr>
      </w:pPr>
      <w:r w:rsidRPr="00C266F1">
        <w:rPr>
          <w:noProof/>
        </w:rPr>
        <w:t>Concluzii</w:t>
      </w:r>
    </w:p>
    <w:p w14:paraId="75F83E1C" w14:textId="77777777" w:rsidR="006E6DE3" w:rsidRPr="00C266F1" w:rsidRDefault="00393243">
      <w:pPr>
        <w:jc w:val="both"/>
        <w:rPr>
          <w:rFonts w:ascii="Times New Roman" w:hAnsi="Times New Roman" w:cs="Times New Roman"/>
          <w:noProof/>
          <w:sz w:val="24"/>
          <w:szCs w:val="24"/>
        </w:rPr>
      </w:pPr>
      <w:bookmarkStart w:id="16" w:name="_Hlk228829712"/>
      <w:r w:rsidRPr="00C266F1">
        <w:rPr>
          <w:rFonts w:ascii="Times New Roman" w:hAnsi="Times New Roman"/>
          <w:noProof/>
          <w:sz w:val="24"/>
        </w:rPr>
        <w:t>Observarea oceanelor și lanțul valoric al cunoașterii mediului marin sunt esențiale pentru durabilitate, competitivitate, reziliență, autonomie strategică și securitate. Cu toate acestea, în Europa și la nivel mondial, observarea oceanelor este fragmentată, se confruntă cu constrângeri de finanțare și cu lacune în materie de date și este lipsită de eficiență și de angajament operațional. Aceste provocări sunt exacerbate de un context geopolitic în schimbare, care creează riscuri de dependență strategică.</w:t>
      </w:r>
    </w:p>
    <w:p w14:paraId="4F73AEB5"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 xml:space="preserve">Inițiativa OceanEye este un efort strategic al UE de a realiza un sistem european operațional cuprinzător de observare a oceanelor. </w:t>
      </w:r>
    </w:p>
    <w:p w14:paraId="24023D62"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Prin dezvoltarea și mobilizarea în continuare a întregii game de parteneriate, infrastructuri și active de cunoaștere a mediului marin aflate la dispoziția sa, UE își poate asigura autonomia strategică în ceea ce privește observarea oceanelor, infrastructura, datele și serviciile de informare, recunoscând în același timp dubla sa utilizare, și se poate poziționa ca partener mondial de încredere și lider bazat pe valori în cooperarea internațională.</w:t>
      </w:r>
    </w:p>
    <w:p w14:paraId="04F99419"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Viitoarea propunere legislativă referitoare la un act legislativ privind oceanele va dezvolta un lanț valoric european solid, integrat și multidisciplinar al cunoașterii mediului marin – transformând datele în acțiune și știința în soluții pentru toți. Acest lucru va consolida competitivitatea ecosistemului industrial european pentru tehnologiile de observare a oceanelor și serviciile centrate pe utilizator.</w:t>
      </w:r>
    </w:p>
    <w:p w14:paraId="75B33F19" w14:textId="77777777" w:rsidR="006E6DE3" w:rsidRPr="00C266F1" w:rsidRDefault="00393243">
      <w:pPr>
        <w:jc w:val="both"/>
        <w:rPr>
          <w:rFonts w:ascii="Times New Roman" w:hAnsi="Times New Roman" w:cs="Times New Roman"/>
          <w:noProof/>
          <w:sz w:val="24"/>
          <w:szCs w:val="24"/>
        </w:rPr>
      </w:pPr>
      <w:r w:rsidRPr="00C266F1">
        <w:rPr>
          <w:rFonts w:ascii="Times New Roman" w:hAnsi="Times New Roman"/>
          <w:noProof/>
          <w:sz w:val="24"/>
        </w:rPr>
        <w:t>Comisia va colabora cu celelalte instituții ale UE, cu statele membre, cu părțile interesate și cu partenerii internaționali pentru a pune în aplicare acest sistem operațional, parteneriatele și guvernanța care se află în centrul inițiativei OceanEye.</w:t>
      </w:r>
      <w:bookmarkEnd w:id="16"/>
      <w:r w:rsidRPr="00C266F1">
        <w:rPr>
          <w:rFonts w:ascii="Times New Roman" w:hAnsi="Times New Roman"/>
          <w:noProof/>
          <w:sz w:val="24"/>
        </w:rPr>
        <w:t xml:space="preserve"> </w:t>
      </w:r>
    </w:p>
    <w:sectPr w:rsidR="006E6DE3" w:rsidRPr="00C266F1">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4629B" w14:textId="77777777" w:rsidR="006E6DE3" w:rsidRPr="00C266F1" w:rsidRDefault="00393243">
      <w:pPr>
        <w:spacing w:after="0" w:line="240" w:lineRule="auto"/>
      </w:pPr>
      <w:r w:rsidRPr="00C266F1">
        <w:separator/>
      </w:r>
    </w:p>
  </w:endnote>
  <w:endnote w:type="continuationSeparator" w:id="0">
    <w:p w14:paraId="5298E2DC" w14:textId="77777777" w:rsidR="006E6DE3" w:rsidRPr="00C266F1" w:rsidRDefault="00393243">
      <w:pPr>
        <w:spacing w:after="0" w:line="240" w:lineRule="auto"/>
      </w:pPr>
      <w:r w:rsidRPr="00C266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EBCE5" w14:textId="7EAB6614" w:rsidR="00951F48" w:rsidRPr="00951F48" w:rsidRDefault="00951F48" w:rsidP="00951F48">
    <w:pPr>
      <w:pStyle w:val="FooterCoverPage"/>
      <w:rPr>
        <w:rFonts w:ascii="Arial" w:hAnsi="Arial" w:cs="Arial"/>
        <w:b/>
        <w:sz w:val="48"/>
      </w:rPr>
    </w:pPr>
    <w:r w:rsidRPr="00951F48">
      <w:rPr>
        <w:rFonts w:ascii="Arial" w:hAnsi="Arial" w:cs="Arial"/>
        <w:b/>
        <w:sz w:val="48"/>
      </w:rPr>
      <w:t>RO</w:t>
    </w:r>
    <w:r w:rsidRPr="00951F48">
      <w:rPr>
        <w:rFonts w:ascii="Arial" w:hAnsi="Arial" w:cs="Arial"/>
        <w:b/>
        <w:sz w:val="48"/>
      </w:rPr>
      <w:tab/>
    </w:r>
    <w:r w:rsidRPr="00951F48">
      <w:rPr>
        <w:rFonts w:ascii="Arial" w:hAnsi="Arial" w:cs="Arial"/>
        <w:b/>
        <w:sz w:val="48"/>
      </w:rPr>
      <w:tab/>
    </w:r>
    <w:r w:rsidRPr="00951F48">
      <w:tab/>
    </w:r>
    <w:r w:rsidRPr="00951F4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15531" w14:textId="237D030A" w:rsidR="00951F48" w:rsidRPr="00951F48" w:rsidRDefault="00951F48" w:rsidP="00951F48">
    <w:pPr>
      <w:pStyle w:val="FooterCoverPage"/>
      <w:rPr>
        <w:rFonts w:ascii="Arial" w:hAnsi="Arial" w:cs="Arial"/>
        <w:b/>
        <w:sz w:val="48"/>
      </w:rPr>
    </w:pPr>
    <w:r w:rsidRPr="00951F48">
      <w:rPr>
        <w:rFonts w:ascii="Arial" w:hAnsi="Arial" w:cs="Arial"/>
        <w:b/>
        <w:sz w:val="48"/>
      </w:rPr>
      <w:t>RO</w:t>
    </w:r>
    <w:r w:rsidRPr="00951F48">
      <w:rPr>
        <w:rFonts w:ascii="Arial" w:hAnsi="Arial" w:cs="Arial"/>
        <w:b/>
        <w:sz w:val="48"/>
      </w:rPr>
      <w:tab/>
    </w:r>
    <w:r w:rsidRPr="00951F48">
      <w:rPr>
        <w:rFonts w:ascii="Arial" w:hAnsi="Arial" w:cs="Arial"/>
        <w:b/>
        <w:sz w:val="48"/>
      </w:rPr>
      <w:tab/>
    </w:r>
    <w:r w:rsidRPr="00951F48">
      <w:tab/>
    </w:r>
    <w:r w:rsidRPr="00951F4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00359" w14:textId="77777777" w:rsidR="00951F48" w:rsidRPr="00951F48" w:rsidRDefault="00951F48" w:rsidP="00951F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15B08" w14:textId="77777777" w:rsidR="006E6DE3" w:rsidRPr="00C266F1" w:rsidRDefault="00393243">
    <w:pPr>
      <w:pStyle w:val="FooterCoverPage"/>
      <w:rPr>
        <w:rFonts w:ascii="Arial" w:hAnsi="Arial" w:cs="Arial"/>
        <w:b/>
        <w:sz w:val="48"/>
      </w:rPr>
    </w:pPr>
    <w:r w:rsidRPr="00C266F1">
      <w:rPr>
        <w:rFonts w:ascii="Arial" w:hAnsi="Arial"/>
        <w:b/>
        <w:sz w:val="48"/>
      </w:rPr>
      <w:t>RO</w:t>
    </w:r>
    <w:r w:rsidRPr="00C266F1">
      <w:tab/>
    </w:r>
    <w:r w:rsidRPr="00C266F1">
      <w:tab/>
    </w:r>
    <w:r w:rsidRPr="00C266F1">
      <w:tab/>
    </w:r>
    <w:r w:rsidRPr="00C266F1">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715343"/>
      <w:docPartObj>
        <w:docPartGallery w:val="Page Numbers (Bottom of Page)"/>
        <w:docPartUnique/>
      </w:docPartObj>
    </w:sdtPr>
    <w:sdtEndPr>
      <w:rPr>
        <w:rFonts w:ascii="Times New Roman" w:hAnsi="Times New Roman" w:cs="Times New Roman"/>
        <w:sz w:val="24"/>
        <w:szCs w:val="24"/>
      </w:rPr>
    </w:sdtEndPr>
    <w:sdtContent>
      <w:p w14:paraId="6D732D60" w14:textId="61D8F7E1" w:rsidR="006E6DE3" w:rsidRPr="00C266F1" w:rsidRDefault="00393243">
        <w:pPr>
          <w:pStyle w:val="Footer"/>
          <w:jc w:val="center"/>
          <w:rPr>
            <w:rFonts w:ascii="Times New Roman" w:hAnsi="Times New Roman" w:cs="Times New Roman"/>
            <w:sz w:val="24"/>
            <w:szCs w:val="24"/>
          </w:rPr>
        </w:pPr>
        <w:r w:rsidRPr="00C266F1">
          <w:rPr>
            <w:rFonts w:ascii="Times New Roman" w:hAnsi="Times New Roman" w:cs="Times New Roman"/>
            <w:sz w:val="24"/>
          </w:rPr>
          <w:fldChar w:fldCharType="begin"/>
        </w:r>
        <w:r w:rsidRPr="00C266F1">
          <w:rPr>
            <w:rFonts w:ascii="Times New Roman" w:hAnsi="Times New Roman" w:cs="Times New Roman"/>
            <w:sz w:val="24"/>
          </w:rPr>
          <w:instrText xml:space="preserve"> PAGE   \* MERGEFORMAT </w:instrText>
        </w:r>
        <w:r w:rsidRPr="00C266F1">
          <w:rPr>
            <w:rFonts w:ascii="Times New Roman" w:hAnsi="Times New Roman" w:cs="Times New Roman"/>
            <w:sz w:val="24"/>
          </w:rPr>
          <w:fldChar w:fldCharType="separate"/>
        </w:r>
        <w:r w:rsidR="00951F48">
          <w:rPr>
            <w:rFonts w:ascii="Times New Roman" w:hAnsi="Times New Roman" w:cs="Times New Roman"/>
            <w:noProof/>
            <w:sz w:val="24"/>
          </w:rPr>
          <w:t>3</w:t>
        </w:r>
        <w:r w:rsidRPr="00C266F1">
          <w:rPr>
            <w:rFonts w:ascii="Times New Roman" w:hAnsi="Times New Roman" w:cs="Times New Roman"/>
            <w:sz w:val="24"/>
          </w:rPr>
          <w:fldChar w:fldCharType="end"/>
        </w:r>
      </w:p>
    </w:sdtContent>
  </w:sdt>
  <w:p w14:paraId="76A0BE19" w14:textId="77777777" w:rsidR="006E6DE3" w:rsidRPr="00C266F1" w:rsidRDefault="006E6D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FA870" w14:textId="77777777" w:rsidR="006E6DE3" w:rsidRPr="00C266F1" w:rsidRDefault="006E6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A2A61" w14:textId="77777777" w:rsidR="006E6DE3" w:rsidRPr="00C266F1" w:rsidRDefault="00393243">
      <w:pPr>
        <w:spacing w:after="0" w:line="240" w:lineRule="auto"/>
      </w:pPr>
      <w:r w:rsidRPr="00C266F1">
        <w:separator/>
      </w:r>
    </w:p>
  </w:footnote>
  <w:footnote w:type="continuationSeparator" w:id="0">
    <w:p w14:paraId="657C6E05" w14:textId="77777777" w:rsidR="006E6DE3" w:rsidRPr="00C266F1" w:rsidRDefault="00393243">
      <w:pPr>
        <w:spacing w:after="0" w:line="240" w:lineRule="auto"/>
      </w:pPr>
      <w:r w:rsidRPr="00C266F1">
        <w:continuationSeparator/>
      </w:r>
    </w:p>
  </w:footnote>
  <w:footnote w:id="1">
    <w:p w14:paraId="1CF96798" w14:textId="2CB9F14A"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Observarea oceanelor poate fi definită ca suma capacităților utilizate pentru observarea oceanelor, prin satelit, </w:t>
      </w:r>
      <w:r w:rsidRPr="00C266F1">
        <w:rPr>
          <w:rFonts w:ascii="Times New Roman" w:hAnsi="Times New Roman"/>
          <w:i/>
        </w:rPr>
        <w:t>in situ</w:t>
      </w:r>
      <w:r w:rsidRPr="00C266F1">
        <w:rPr>
          <w:rFonts w:ascii="Times New Roman" w:hAnsi="Times New Roman"/>
        </w:rPr>
        <w:t>, cât și prin orice alte mijloace. Aceste capabilități sunt desfășurate prin activități permanente și ad-hoc, utilizând sisteme de monitorizare consacrate, platforme de observare, instrumente, nave maritime, vehicule autonome și alte instrumente.</w:t>
      </w:r>
    </w:p>
  </w:footnote>
  <w:footnote w:id="2">
    <w:p w14:paraId="2707F249" w14:textId="746A6943"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szCs w:val="20"/>
        </w:rPr>
        <w:footnoteRef/>
      </w:r>
      <w:r w:rsidRPr="00C266F1">
        <w:tab/>
      </w:r>
      <w:hyperlink r:id="rId1" w:history="1">
        <w:r w:rsidRPr="00C266F1">
          <w:rPr>
            <w:rStyle w:val="Hyperlink"/>
            <w:rFonts w:ascii="Times New Roman" w:hAnsi="Times New Roman"/>
          </w:rPr>
          <w:t>https://commission.europa.eu/topics/research-and-innovation/choose-europe_en?prefLang=ro</w:t>
        </w:r>
      </w:hyperlink>
      <w:r w:rsidRPr="00C266F1">
        <w:t>.</w:t>
      </w:r>
    </w:p>
  </w:footnote>
  <w:footnote w:id="3">
    <w:p w14:paraId="76E6999B" w14:textId="77777777" w:rsidR="006E6DE3" w:rsidRPr="00C266F1" w:rsidRDefault="00393243">
      <w:pPr>
        <w:pStyle w:val="FootnoteText"/>
        <w:spacing w:after="0"/>
        <w:rPr>
          <w:rFonts w:ascii="Times New Roman" w:eastAsia="Roboto" w:hAnsi="Times New Roman" w:cs="Times New Roman"/>
          <w:szCs w:val="20"/>
        </w:rPr>
      </w:pPr>
      <w:r w:rsidRPr="00C266F1">
        <w:rPr>
          <w:rFonts w:ascii="Times New Roman" w:hAnsi="Times New Roman" w:cs="Times New Roman"/>
          <w:szCs w:val="20"/>
          <w:vertAlign w:val="superscript"/>
        </w:rPr>
        <w:footnoteRef/>
      </w:r>
      <w:r w:rsidRPr="00C266F1">
        <w:tab/>
      </w:r>
      <w:r w:rsidRPr="00C266F1">
        <w:rPr>
          <w:rFonts w:ascii="Times New Roman" w:hAnsi="Times New Roman"/>
          <w:color w:val="333333"/>
        </w:rPr>
        <w:t>Propunere de DECIZIE A CONSILIULUI de instituire a programului specific de punere în aplicare a programului-cadru pentru cercetare și inovare Orizont Europa pentru perioada 2028-2034, de stabilire a normelor de participare și de diseminare în cadrul programului și de abrogare a Deciziei (UE) 2021/764, COM(2025) 544 final.</w:t>
      </w:r>
    </w:p>
  </w:footnote>
  <w:footnote w:id="4">
    <w:p w14:paraId="079FCD44" w14:textId="31553730" w:rsidR="006E6DE3" w:rsidRPr="00C266F1" w:rsidRDefault="00393243">
      <w:pPr>
        <w:pStyle w:val="FootnoteText"/>
        <w:spacing w:after="0"/>
        <w:rPr>
          <w:rFonts w:ascii="Times New Roman" w:eastAsia="Aptos" w:hAnsi="Times New Roman" w:cs="Times New Roman"/>
        </w:rPr>
      </w:pPr>
      <w:r w:rsidRPr="00C266F1">
        <w:rPr>
          <w:rFonts w:ascii="Times New Roman" w:hAnsi="Times New Roman" w:cs="Times New Roman"/>
          <w:szCs w:val="20"/>
          <w:vertAlign w:val="superscript"/>
        </w:rPr>
        <w:footnoteRef/>
      </w:r>
      <w:r w:rsidRPr="00C266F1">
        <w:tab/>
      </w:r>
      <w:hyperlink r:id="rId2" w:history="1">
        <w:r w:rsidRPr="00C266F1">
          <w:rPr>
            <w:rStyle w:val="Hyperlink"/>
            <w:rFonts w:ascii="Times New Roman" w:hAnsi="Times New Roman"/>
          </w:rPr>
          <w:t>The ocean – the world’s greatest ally against climate change</w:t>
        </w:r>
      </w:hyperlink>
      <w:r w:rsidRPr="00C266F1">
        <w:t xml:space="preserve"> </w:t>
      </w:r>
      <w:r w:rsidRPr="00C266F1">
        <w:rPr>
          <w:rFonts w:ascii="Times New Roman" w:hAnsi="Times New Roman" w:cs="Times New Roman"/>
          <w:u w:val="single"/>
        </w:rPr>
        <w:t>(Oceanul – cel mai mare aliat de la nivel mondial împotriva schimbărilor climatice) |</w:t>
      </w:r>
      <w:hyperlink r:id="rId3" w:history="1">
        <w:r w:rsidRPr="00C266F1">
          <w:rPr>
            <w:rStyle w:val="Hyperlink"/>
            <w:rFonts w:ascii="Times New Roman" w:hAnsi="Times New Roman" w:cs="Times New Roman"/>
          </w:rPr>
          <w:t>Organizația Națiunilor Unite</w:t>
        </w:r>
      </w:hyperlink>
      <w:r w:rsidRPr="00C266F1">
        <w:t>.</w:t>
      </w:r>
    </w:p>
  </w:footnote>
  <w:footnote w:id="5">
    <w:p w14:paraId="18926A38" w14:textId="22418EF0"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4" w:history="1">
        <w:r w:rsidRPr="00C266F1">
          <w:rPr>
            <w:rStyle w:val="Hyperlink"/>
            <w:rFonts w:ascii="Times New Roman" w:hAnsi="Times New Roman"/>
          </w:rPr>
          <w:t>https://www.eeas.europa.eu/eeas/eu-security-and-defence-partnerships_en?etrans=ro</w:t>
        </w:r>
      </w:hyperlink>
      <w:r w:rsidRPr="00C266F1">
        <w:t>.</w:t>
      </w:r>
      <w:r w:rsidRPr="00C266F1">
        <w:rPr>
          <w:rFonts w:ascii="Times New Roman" w:hAnsi="Times New Roman"/>
        </w:rPr>
        <w:t xml:space="preserve"> </w:t>
      </w:r>
    </w:p>
  </w:footnote>
  <w:footnote w:id="6">
    <w:p w14:paraId="4401A8E1" w14:textId="48155F75"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rPr>
        <w:footnoteRef/>
      </w:r>
      <w:r w:rsidRPr="00C266F1">
        <w:tab/>
      </w:r>
      <w:hyperlink r:id="rId5" w:history="1">
        <w:r w:rsidRPr="00C266F1">
          <w:rPr>
            <w:rStyle w:val="Hyperlink"/>
            <w:rFonts w:ascii="Times New Roman" w:hAnsi="Times New Roman"/>
          </w:rPr>
          <w:t>https://cdn.ioos.noaa.gov/media/2017/12/ioos_devplan.pdf</w:t>
        </w:r>
      </w:hyperlink>
      <w:r w:rsidRPr="00C266F1">
        <w:rPr>
          <w:rFonts w:ascii="Times New Roman" w:hAnsi="Times New Roman"/>
        </w:rPr>
        <w:t xml:space="preserve"> și </w:t>
      </w:r>
      <w:hyperlink r:id="rId6" w:history="1">
        <w:r w:rsidRPr="00C266F1">
          <w:rPr>
            <w:rStyle w:val="Hyperlink"/>
            <w:rFonts w:ascii="Times New Roman" w:hAnsi="Times New Roman"/>
          </w:rPr>
          <w:t>https://www.oecd.org/content/dam/oecd/en/publications/reports/2021/07/value-chains-in-public-marine-data_ec9a528e/d8bbdcfa-en.pdf</w:t>
        </w:r>
      </w:hyperlink>
      <w:r w:rsidRPr="00C266F1">
        <w:t>.</w:t>
      </w:r>
      <w:r w:rsidRPr="00C266F1">
        <w:rPr>
          <w:rFonts w:ascii="Times New Roman" w:hAnsi="Times New Roman"/>
        </w:rPr>
        <w:t xml:space="preserve"> </w:t>
      </w:r>
    </w:p>
  </w:footnote>
  <w:footnote w:id="7">
    <w:p w14:paraId="0EB8A4F8" w14:textId="76FBF646"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7" w:history="1">
        <w:r w:rsidRPr="00C266F1">
          <w:rPr>
            <w:rStyle w:val="Hyperlink"/>
            <w:rFonts w:ascii="Times New Roman" w:hAnsi="Times New Roman"/>
          </w:rPr>
          <w:t>https://www.unesco.org/sites/default/files/medias/files/2022/02/en-ocean-presskit.pdf</w:t>
        </w:r>
      </w:hyperlink>
      <w:r w:rsidRPr="00C266F1">
        <w:t>.</w:t>
      </w:r>
      <w:r w:rsidRPr="00C266F1">
        <w:rPr>
          <w:rFonts w:ascii="Times New Roman" w:hAnsi="Times New Roman"/>
        </w:rPr>
        <w:t xml:space="preserve"> </w:t>
      </w:r>
    </w:p>
  </w:footnote>
  <w:footnote w:id="8">
    <w:p w14:paraId="5C9D80C7" w14:textId="3B23D56A"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Date colectate prin intermediul Grupului de experți pentru observarea oceanelor și din alte rapoarte.</w:t>
      </w:r>
    </w:p>
  </w:footnote>
  <w:footnote w:id="9">
    <w:p w14:paraId="21624576" w14:textId="68BF1241"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NOAA, 2021. </w:t>
      </w:r>
      <w:r w:rsidRPr="00C266F1">
        <w:rPr>
          <w:rFonts w:ascii="Times New Roman" w:hAnsi="Times New Roman"/>
          <w:i/>
        </w:rPr>
        <w:t xml:space="preserve">The Ocean Enterprise 2015 – 2020: A study of U.S. New Blue Economy business activity </w:t>
      </w:r>
      <w:r w:rsidRPr="00C266F1">
        <w:rPr>
          <w:rFonts w:ascii="Times New Roman" w:hAnsi="Times New Roman"/>
        </w:rPr>
        <w:t xml:space="preserve">(Întreprinderea oceanică 2015-2020: un studiu al activității comerciale a noii economii albastre din Statele Unite). </w:t>
      </w:r>
    </w:p>
  </w:footnote>
  <w:footnote w:id="10">
    <w:p w14:paraId="520F7A4F" w14:textId="052C4426"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8" w:history="1">
        <w:r w:rsidRPr="00C266F1">
          <w:rPr>
            <w:rStyle w:val="Hyperlink"/>
            <w:rFonts w:ascii="Times New Roman" w:hAnsi="Times New Roman"/>
          </w:rPr>
          <w:t>https://marine.copernicus.eu/</w:t>
        </w:r>
      </w:hyperlink>
      <w:r w:rsidRPr="00C266F1">
        <w:t>.</w:t>
      </w:r>
    </w:p>
  </w:footnote>
  <w:footnote w:id="11">
    <w:p w14:paraId="36D41C9D" w14:textId="0E3F14F0"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9" w:history="1">
        <w:r w:rsidRPr="00C266F1">
          <w:rPr>
            <w:rStyle w:val="Hyperlink"/>
            <w:rFonts w:ascii="Times New Roman" w:hAnsi="Times New Roman"/>
          </w:rPr>
          <w:t>https://emodnet.ec.europa.eu</w:t>
        </w:r>
      </w:hyperlink>
      <w:r w:rsidRPr="00C266F1">
        <w:t>.</w:t>
      </w:r>
    </w:p>
  </w:footnote>
  <w:footnote w:id="12">
    <w:p w14:paraId="025A8CCE" w14:textId="2512F855"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0" w:history="1">
        <w:r w:rsidRPr="00C266F1">
          <w:rPr>
            <w:rStyle w:val="Hyperlink"/>
            <w:rFonts w:ascii="Times New Roman" w:hAnsi="Times New Roman"/>
          </w:rPr>
          <w:t>https://water.europa.eu</w:t>
        </w:r>
      </w:hyperlink>
      <w:r w:rsidRPr="00C266F1">
        <w:t>.</w:t>
      </w:r>
    </w:p>
  </w:footnote>
  <w:footnote w:id="13">
    <w:p w14:paraId="66D85F2D" w14:textId="63CD90BF"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Cum ar fi cele pentru transportul maritim și pescuit ale EMSA, EFCA și Centrul Comun de Cercetare.</w:t>
      </w:r>
    </w:p>
  </w:footnote>
  <w:footnote w:id="14">
    <w:p w14:paraId="15C81EDD" w14:textId="6036CE3F"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1" w:history="1">
        <w:r w:rsidRPr="00C266F1">
          <w:rPr>
            <w:rStyle w:val="Hyperlink"/>
            <w:rFonts w:ascii="Times New Roman" w:hAnsi="Times New Roman"/>
          </w:rPr>
          <w:t>https://www.edito.eu/european-digital-twin-ocean-about/</w:t>
        </w:r>
      </w:hyperlink>
      <w:r w:rsidRPr="00C266F1">
        <w:t>.</w:t>
      </w:r>
    </w:p>
  </w:footnote>
  <w:footnote w:id="15">
    <w:p w14:paraId="3954C2C7" w14:textId="31931F14" w:rsidR="006E6DE3" w:rsidRPr="00C266F1" w:rsidRDefault="00393243">
      <w:pPr>
        <w:pStyle w:val="FootnoteText"/>
        <w:spacing w:after="0" w:line="240" w:lineRule="auto"/>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Textul utilizează </w:t>
      </w:r>
      <w:r w:rsidRPr="00C266F1">
        <w:rPr>
          <w:rFonts w:ascii="Times New Roman" w:hAnsi="Times New Roman"/>
          <w:b/>
        </w:rPr>
        <w:t>termenul „sistem global de observare a oceanelor”</w:t>
      </w:r>
      <w:r w:rsidRPr="00C266F1">
        <w:rPr>
          <w:rFonts w:ascii="Times New Roman" w:hAnsi="Times New Roman"/>
        </w:rPr>
        <w:t xml:space="preserve"> integral pentru a face trimitere la </w:t>
      </w:r>
      <w:r w:rsidRPr="00C266F1">
        <w:rPr>
          <w:rFonts w:ascii="Times New Roman" w:hAnsi="Times New Roman"/>
          <w:b/>
        </w:rPr>
        <w:t>sistemul</w:t>
      </w:r>
      <w:r w:rsidRPr="00C266F1">
        <w:rPr>
          <w:rFonts w:ascii="Times New Roman" w:hAnsi="Times New Roman"/>
        </w:rPr>
        <w:t xml:space="preserve"> global de observare constantă a oceanelor, iar acronimul </w:t>
      </w:r>
      <w:r w:rsidRPr="00C266F1">
        <w:rPr>
          <w:rFonts w:ascii="Times New Roman" w:hAnsi="Times New Roman"/>
          <w:b/>
        </w:rPr>
        <w:t>GOOS</w:t>
      </w:r>
      <w:r w:rsidRPr="00C266F1">
        <w:rPr>
          <w:rFonts w:ascii="Times New Roman" w:hAnsi="Times New Roman"/>
        </w:rPr>
        <w:t xml:space="preserve"> pentru a face trimitere la </w:t>
      </w:r>
      <w:r w:rsidRPr="00C266F1">
        <w:rPr>
          <w:rFonts w:ascii="Times New Roman" w:hAnsi="Times New Roman"/>
          <w:b/>
        </w:rPr>
        <w:t>programul</w:t>
      </w:r>
      <w:r w:rsidRPr="00C266F1">
        <w:rPr>
          <w:rFonts w:ascii="Times New Roman" w:hAnsi="Times New Roman"/>
        </w:rPr>
        <w:t xml:space="preserve"> condus de Comisia Oceanografică Interguvernamentală (IOC) a UNESCO (</w:t>
      </w:r>
      <w:hyperlink r:id="rId12" w:history="1">
        <w:r w:rsidRPr="00C266F1">
          <w:rPr>
            <w:rStyle w:val="Hyperlink"/>
            <w:rFonts w:ascii="Times New Roman" w:hAnsi="Times New Roman"/>
          </w:rPr>
          <w:t>https://goosocean.org/who-we-are/</w:t>
        </w:r>
      </w:hyperlink>
      <w:r w:rsidRPr="00C266F1">
        <w:rPr>
          <w:rFonts w:ascii="Times New Roman" w:hAnsi="Times New Roman"/>
        </w:rPr>
        <w:t>).</w:t>
      </w:r>
    </w:p>
  </w:footnote>
  <w:footnote w:id="16">
    <w:p w14:paraId="03C11281" w14:textId="741C1416"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Grupul de experți la nivel înalt care sprijină punerea în aplicare a Pactului european privind oceanul planetar.</w:t>
      </w:r>
    </w:p>
  </w:footnote>
  <w:footnote w:id="17">
    <w:p w14:paraId="20EF99E9" w14:textId="743B7751"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3" w:history="1">
        <w:r w:rsidRPr="00C266F1">
          <w:rPr>
            <w:rStyle w:val="Hyperlink"/>
            <w:rFonts w:ascii="Times New Roman" w:hAnsi="Times New Roman"/>
          </w:rPr>
          <w:t>https://eurogoos.eu/</w:t>
        </w:r>
      </w:hyperlink>
      <w:r w:rsidRPr="00C266F1">
        <w:t>.</w:t>
      </w:r>
    </w:p>
  </w:footnote>
  <w:footnote w:id="18">
    <w:p w14:paraId="22F03838" w14:textId="285D4AD9"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Obiectivul Eurofleets, înființată cu ajutorul unor proiecte europene de cercetare succesive, este de a consolida cooperarea și coordonarea între flotele oceanografice europene pentru a optimiza și a facilita desfășurarea acestor instalații marine naționale, a se vedea </w:t>
      </w:r>
      <w:hyperlink r:id="rId14" w:history="1">
        <w:r w:rsidRPr="00C266F1">
          <w:rPr>
            <w:rStyle w:val="Hyperlink"/>
            <w:rFonts w:ascii="Times New Roman" w:hAnsi="Times New Roman"/>
          </w:rPr>
          <w:t>https://www.eurofleets.eu/</w:t>
        </w:r>
      </w:hyperlink>
      <w:r w:rsidRPr="00C266F1">
        <w:t>.</w:t>
      </w:r>
      <w:r w:rsidRPr="00C266F1">
        <w:rPr>
          <w:rFonts w:ascii="Times New Roman" w:hAnsi="Times New Roman"/>
        </w:rPr>
        <w:t xml:space="preserve"> </w:t>
      </w:r>
    </w:p>
  </w:footnote>
  <w:footnote w:id="19">
    <w:p w14:paraId="74A97523" w14:textId="2434911B"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5" w:history="1">
        <w:r w:rsidRPr="00C266F1">
          <w:rPr>
            <w:rStyle w:val="Hyperlink"/>
            <w:rFonts w:ascii="Times New Roman" w:hAnsi="Times New Roman"/>
          </w:rPr>
          <w:t>https://defence-industry-space.ec.europa.eu/developing-reconnaissance-capabilities-eu-level-2024-01-23_en</w:t>
        </w:r>
      </w:hyperlink>
      <w:r w:rsidRPr="00C266F1">
        <w:t>.</w:t>
      </w:r>
    </w:p>
  </w:footnote>
  <w:footnote w:id="20">
    <w:p w14:paraId="23FFB3C8" w14:textId="0FAF8E01"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A se vedea Raportul de situație din 2025, disponibil la adresa </w:t>
      </w:r>
      <w:hyperlink r:id="rId16" w:history="1">
        <w:r w:rsidRPr="00C266F1">
          <w:rPr>
            <w:rStyle w:val="Hyperlink"/>
            <w:rFonts w:ascii="Times New Roman" w:hAnsi="Times New Roman"/>
          </w:rPr>
          <w:t>https://www.ocean-ops.org/goosreport/goosreport2025.pdf</w:t>
        </w:r>
      </w:hyperlink>
      <w:r w:rsidRPr="00C266F1">
        <w:t>.</w:t>
      </w:r>
      <w:r w:rsidRPr="00C266F1">
        <w:rPr>
          <w:rFonts w:ascii="Times New Roman" w:hAnsi="Times New Roman"/>
        </w:rPr>
        <w:t xml:space="preserve"> </w:t>
      </w:r>
    </w:p>
  </w:footnote>
  <w:footnote w:id="21">
    <w:p w14:paraId="23A0C112" w14:textId="5CE783FE"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Flotoarele ARGO sunt instrumente autonome </w:t>
      </w:r>
      <w:r w:rsidRPr="00C266F1">
        <w:rPr>
          <w:rFonts w:ascii="Times New Roman" w:hAnsi="Times New Roman"/>
          <w:b/>
        </w:rPr>
        <w:t>flotante</w:t>
      </w:r>
      <w:r w:rsidRPr="00C266F1">
        <w:rPr>
          <w:rFonts w:ascii="Times New Roman" w:hAnsi="Times New Roman"/>
        </w:rPr>
        <w:t xml:space="preserve"> care măsoară, de regulă, temperatura și salinitatea în întreaga </w:t>
      </w:r>
      <w:r w:rsidRPr="00C266F1">
        <w:rPr>
          <w:rFonts w:ascii="Times New Roman" w:hAnsi="Times New Roman"/>
          <w:b/>
        </w:rPr>
        <w:t>coloană de apă</w:t>
      </w:r>
      <w:r w:rsidRPr="00C266F1">
        <w:rPr>
          <w:rFonts w:ascii="Times New Roman" w:hAnsi="Times New Roman"/>
        </w:rPr>
        <w:t xml:space="preserve">, care ies la suprafață periodic pentru a transmite date prin satelit. Sistemele legate la cheu sunt sisteme </w:t>
      </w:r>
      <w:r w:rsidRPr="00C266F1">
        <w:rPr>
          <w:rFonts w:ascii="Times New Roman" w:hAnsi="Times New Roman"/>
          <w:b/>
        </w:rPr>
        <w:t>fixe</w:t>
      </w:r>
      <w:r w:rsidRPr="00C266F1">
        <w:rPr>
          <w:rFonts w:ascii="Times New Roman" w:hAnsi="Times New Roman"/>
        </w:rPr>
        <w:t xml:space="preserve"> de observare a oceanelor ancorate, care măsoară în permanență condițiile oceanice și atmosferice, cum ar fi temperatura, vânturile și curenții.</w:t>
      </w:r>
    </w:p>
  </w:footnote>
  <w:footnote w:id="22">
    <w:p w14:paraId="691B98F7" w14:textId="29835C46"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7" w:history="1">
        <w:r w:rsidRPr="00C266F1">
          <w:rPr>
            <w:rStyle w:val="Hyperlink"/>
            <w:rFonts w:ascii="Times New Roman" w:hAnsi="Times New Roman"/>
          </w:rPr>
          <w:t>https://www.un.org/bbnjagreement/en</w:t>
        </w:r>
      </w:hyperlink>
      <w:r w:rsidRPr="00C266F1">
        <w:t>.</w:t>
      </w:r>
      <w:r w:rsidRPr="00C266F1">
        <w:rPr>
          <w:rFonts w:ascii="Times New Roman" w:hAnsi="Times New Roman"/>
        </w:rPr>
        <w:t xml:space="preserve"> </w:t>
      </w:r>
    </w:p>
  </w:footnote>
  <w:footnote w:id="23">
    <w:p w14:paraId="62C83C3B" w14:textId="2F77A958"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 xml:space="preserve">Achiziții publice de 12 milioane EUR. </w:t>
      </w:r>
      <w:hyperlink r:id="rId18" w:history="1">
        <w:r w:rsidRPr="00C266F1">
          <w:rPr>
            <w:rStyle w:val="Hyperlink"/>
            <w:rFonts w:ascii="Times New Roman" w:hAnsi="Times New Roman"/>
          </w:rPr>
          <w:t>https://ec.europa.eu/info/funding-tenders/opportunities/docs/2021-2027/horizon/wp-call/2026-2027/wp-9-food-bioeconomy-natural-resources-agriculture-and-environment_horizon-2026-2027_en.pdf</w:t>
        </w:r>
      </w:hyperlink>
      <w:r w:rsidRPr="00C266F1">
        <w:t>.</w:t>
      </w:r>
    </w:p>
  </w:footnote>
  <w:footnote w:id="24">
    <w:p w14:paraId="36BB90FB" w14:textId="37DDB1D3"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19" w:history="1">
        <w:r w:rsidRPr="00C266F1">
          <w:rPr>
            <w:rStyle w:val="Hyperlink"/>
            <w:rFonts w:ascii="Times New Roman" w:hAnsi="Times New Roman"/>
          </w:rPr>
          <w:t>https://www.edito.eu/</w:t>
        </w:r>
      </w:hyperlink>
      <w:r w:rsidRPr="00C266F1">
        <w:t>.</w:t>
      </w:r>
      <w:r w:rsidRPr="00C266F1">
        <w:rPr>
          <w:rFonts w:ascii="Times New Roman" w:hAnsi="Times New Roman"/>
        </w:rPr>
        <w:t xml:space="preserve"> </w:t>
      </w:r>
    </w:p>
  </w:footnote>
  <w:footnote w:id="25">
    <w:p w14:paraId="54B5B616" w14:textId="4EFBCAA9"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20" w:history="1">
        <w:r w:rsidRPr="00C266F1">
          <w:rPr>
            <w:rStyle w:val="Hyperlink"/>
            <w:rFonts w:ascii="Times New Roman" w:hAnsi="Times New Roman"/>
          </w:rPr>
          <w:t>https://research-and-innovation.ec.europa.eu/strategy/strategy-research-and-innovation/our-digital-future/open-science/european-open-science-cloud-eosc_en</w:t>
        </w:r>
      </w:hyperlink>
      <w:r w:rsidRPr="00C266F1">
        <w:t>.</w:t>
      </w:r>
    </w:p>
  </w:footnote>
  <w:footnote w:id="26">
    <w:p w14:paraId="5A176014" w14:textId="424D2D42"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Studiul din 2021 intitulat „</w:t>
      </w:r>
      <w:r w:rsidRPr="00C266F1">
        <w:rPr>
          <w:rFonts w:ascii="Times New Roman" w:hAnsi="Times New Roman"/>
          <w:i/>
        </w:rPr>
        <w:t>Uptake of new technology for ocean observation</w:t>
      </w:r>
      <w:r w:rsidRPr="00C266F1">
        <w:rPr>
          <w:rFonts w:ascii="Times New Roman" w:hAnsi="Times New Roman"/>
        </w:rPr>
        <w:t>” (Actualizarea noilor tehnologii pentru observarea oceanelor), contractul de servicii EASME/EMFF/2020/3.1.16/SI2.833154-SC08. Valori actualizate și îmbunătățite vor rezulta din contractul de servicii în curs intitulat „</w:t>
      </w:r>
      <w:r w:rsidRPr="00C266F1">
        <w:rPr>
          <w:rFonts w:ascii="Times New Roman" w:hAnsi="Times New Roman"/>
          <w:i/>
        </w:rPr>
        <w:t>Study on the competitiveness of EU sustainable blue economy sectors:</w:t>
      </w:r>
      <w:r w:rsidRPr="00C266F1">
        <w:rPr>
          <w:rFonts w:ascii="Times New Roman" w:hAnsi="Times New Roman"/>
        </w:rPr>
        <w:t xml:space="preserve"> </w:t>
      </w:r>
      <w:r w:rsidRPr="00C266F1">
        <w:rPr>
          <w:rFonts w:ascii="Times New Roman" w:hAnsi="Times New Roman"/>
          <w:i/>
        </w:rPr>
        <w:t>focus on ocean observation technologies</w:t>
      </w:r>
      <w:r w:rsidRPr="00C266F1">
        <w:rPr>
          <w:rFonts w:ascii="Times New Roman" w:hAnsi="Times New Roman"/>
        </w:rPr>
        <w:t>” (Studiu privind competitivitatea sectoarelor economiei albastre sustenabile a UE) CINEA/EMFAF/2025/3.5/Lot2/02/SC10/4500128122 contract-cadru de punere în aplicare nr. CINEA/2021/OP/0011 – LOT 2.</w:t>
      </w:r>
    </w:p>
  </w:footnote>
  <w:footnote w:id="27">
    <w:p w14:paraId="4DCDC34B" w14:textId="25CE250E"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i/>
        </w:rPr>
        <w:t>The Ocean Enterprise 2015-2020:</w:t>
      </w:r>
      <w:r w:rsidRPr="00C266F1">
        <w:rPr>
          <w:rFonts w:ascii="Times New Roman" w:hAnsi="Times New Roman"/>
        </w:rPr>
        <w:t xml:space="preserve"> </w:t>
      </w:r>
      <w:r w:rsidRPr="00C266F1">
        <w:rPr>
          <w:rFonts w:ascii="Times New Roman" w:hAnsi="Times New Roman"/>
          <w:i/>
        </w:rPr>
        <w:t>A study of U.S. New Blue Economy business activity</w:t>
      </w:r>
      <w:r w:rsidRPr="00C266F1">
        <w:rPr>
          <w:rFonts w:ascii="Times New Roman" w:hAnsi="Times New Roman"/>
        </w:rPr>
        <w:t xml:space="preserve"> (Întreprinderea oceanică 2015-2020: un studiu al activității comerciale a noii economii albastre din Statele Unite). </w:t>
      </w:r>
    </w:p>
  </w:footnote>
  <w:footnote w:id="28">
    <w:p w14:paraId="69CA00E4" w14:textId="70704906"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De exemplu, prin clarificarea și facilitarea activităților de observare a oceanelor cu risc scăzut în zonele economice exclusive, prin reducerea barierelor administrative, cu respectarea deplină a drepturilor suverane și a jurisdicției statelor de coastă în temeiul Convenției Națiunilor Unite asupra dreptului mării (regimul de cercetare științifică marină).</w:t>
      </w:r>
    </w:p>
  </w:footnote>
  <w:footnote w:id="29">
    <w:p w14:paraId="05911335" w14:textId="1EAE5B33" w:rsidR="006E6DE3" w:rsidRPr="00C266F1" w:rsidRDefault="00393243">
      <w:pPr>
        <w:pStyle w:val="FootnoteText"/>
        <w:spacing w:after="0"/>
        <w:rPr>
          <w:rFonts w:ascii="Times New Roman" w:hAnsi="Times New Roman"/>
        </w:rPr>
      </w:pPr>
      <w:r w:rsidRPr="00C266F1">
        <w:rPr>
          <w:rStyle w:val="FootnoteReference"/>
          <w:rFonts w:ascii="Times New Roman" w:hAnsi="Times New Roman" w:cs="Times New Roman"/>
        </w:rPr>
        <w:footnoteRef/>
      </w:r>
      <w:r w:rsidRPr="00C266F1">
        <w:tab/>
      </w:r>
      <w:hyperlink r:id="rId21" w:history="1">
        <w:r w:rsidRPr="00C266F1">
          <w:rPr>
            <w:rStyle w:val="Hyperlink"/>
            <w:rFonts w:ascii="Times New Roman" w:hAnsi="Times New Roman"/>
          </w:rPr>
          <w:t>https://joint-research-centre.ec.europa.eu/strategic-foresight-eu_en</w:t>
        </w:r>
      </w:hyperlink>
      <w:r w:rsidRPr="00C266F1">
        <w:t>.</w:t>
      </w:r>
    </w:p>
  </w:footnote>
  <w:footnote w:id="30">
    <w:p w14:paraId="299A8CB5" w14:textId="7322A29B"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r w:rsidRPr="00C266F1">
        <w:rPr>
          <w:rFonts w:ascii="Times New Roman" w:hAnsi="Times New Roman"/>
        </w:rPr>
        <w:t>Axându-se pe sectoarele apei, marin și maritim și pe ecosisteme.</w:t>
      </w:r>
    </w:p>
  </w:footnote>
  <w:footnote w:id="31">
    <w:p w14:paraId="2914B4ED" w14:textId="12C50035"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22" w:history="1">
        <w:r w:rsidRPr="00C266F1">
          <w:rPr>
            <w:rStyle w:val="Hyperlink"/>
            <w:rFonts w:ascii="Times New Roman" w:hAnsi="Times New Roman"/>
          </w:rPr>
          <w:t>https://maritime-forum.ec.europa.eu/theme/ocean-literacy-and-blue-skills/ocean-literacy/eu4ocean-coalition_en</w:t>
        </w:r>
      </w:hyperlink>
      <w:r w:rsidRPr="00C266F1">
        <w:t>.</w:t>
      </w:r>
    </w:p>
  </w:footnote>
  <w:footnote w:id="32">
    <w:p w14:paraId="1A6DB247" w14:textId="224F28C2" w:rsidR="006E6DE3" w:rsidRPr="00C266F1"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23" w:history="1">
        <w:r w:rsidRPr="00C266F1">
          <w:rPr>
            <w:rStyle w:val="Hyperlink"/>
            <w:rFonts w:ascii="Times New Roman" w:hAnsi="Times New Roman"/>
          </w:rPr>
          <w:t>https://maritime-forum.ec.europa.eu/theme/investments/blueinvest_en</w:t>
        </w:r>
      </w:hyperlink>
      <w:r w:rsidRPr="00C266F1">
        <w:t>.</w:t>
      </w:r>
    </w:p>
  </w:footnote>
  <w:footnote w:id="33">
    <w:p w14:paraId="7D5D20E3" w14:textId="51DB65EE" w:rsidR="006E6DE3" w:rsidRDefault="00393243">
      <w:pPr>
        <w:pStyle w:val="FootnoteText"/>
        <w:spacing w:after="0"/>
        <w:rPr>
          <w:rFonts w:ascii="Times New Roman" w:hAnsi="Times New Roman" w:cs="Times New Roman"/>
        </w:rPr>
      </w:pPr>
      <w:r w:rsidRPr="00C266F1">
        <w:rPr>
          <w:rStyle w:val="FootnoteReference"/>
          <w:rFonts w:ascii="Times New Roman" w:hAnsi="Times New Roman" w:cs="Times New Roman"/>
        </w:rPr>
        <w:footnoteRef/>
      </w:r>
      <w:r w:rsidRPr="00C266F1">
        <w:tab/>
      </w:r>
      <w:hyperlink r:id="rId24" w:history="1">
        <w:r w:rsidRPr="00C266F1">
          <w:rPr>
            <w:rStyle w:val="Hyperlink"/>
            <w:rFonts w:ascii="Times New Roman" w:hAnsi="Times New Roman"/>
          </w:rPr>
          <w:t>https://investeu.europa.eu/investeu-programme/investeu-advisory-hub_en</w:t>
        </w:r>
      </w:hyperlink>
      <w:r w:rsidRPr="00C266F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526E" w14:textId="77777777" w:rsidR="00951F48" w:rsidRPr="00951F48" w:rsidRDefault="00951F48" w:rsidP="00951F4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E2533" w14:textId="77777777" w:rsidR="00951F48" w:rsidRPr="00951F48" w:rsidRDefault="00951F48" w:rsidP="00951F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36886" w14:textId="77777777" w:rsidR="00951F48" w:rsidRPr="00951F48" w:rsidRDefault="00951F48" w:rsidP="00951F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4D856" w14:textId="77777777" w:rsidR="006E6DE3" w:rsidRPr="00C266F1" w:rsidRDefault="006E6D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30CEC" w14:textId="77777777" w:rsidR="006E6DE3" w:rsidRPr="00C266F1" w:rsidRDefault="006E6D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E770" w14:textId="77777777" w:rsidR="006E6DE3" w:rsidRPr="00C266F1" w:rsidRDefault="006E6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80F"/>
    <w:multiLevelType w:val="hybridMultilevel"/>
    <w:tmpl w:val="E20ED3F6"/>
    <w:lvl w:ilvl="0" w:tplc="0F0804E4">
      <w:start w:val="1"/>
      <w:numFmt w:val="bullet"/>
      <w:lvlText w:val=""/>
      <w:lvlJc w:val="left"/>
      <w:pPr>
        <w:ind w:left="1440" w:hanging="360"/>
      </w:pPr>
      <w:rPr>
        <w:rFonts w:ascii="Symbol" w:hAnsi="Symbol"/>
      </w:rPr>
    </w:lvl>
    <w:lvl w:ilvl="1" w:tplc="D67281F8">
      <w:start w:val="1"/>
      <w:numFmt w:val="bullet"/>
      <w:lvlText w:val=""/>
      <w:lvlJc w:val="left"/>
      <w:pPr>
        <w:ind w:left="1440" w:hanging="360"/>
      </w:pPr>
      <w:rPr>
        <w:rFonts w:ascii="Symbol" w:hAnsi="Symbol"/>
      </w:rPr>
    </w:lvl>
    <w:lvl w:ilvl="2" w:tplc="A1B2A672">
      <w:start w:val="1"/>
      <w:numFmt w:val="bullet"/>
      <w:lvlText w:val=""/>
      <w:lvlJc w:val="left"/>
      <w:pPr>
        <w:ind w:left="1440" w:hanging="360"/>
      </w:pPr>
      <w:rPr>
        <w:rFonts w:ascii="Symbol" w:hAnsi="Symbol"/>
      </w:rPr>
    </w:lvl>
    <w:lvl w:ilvl="3" w:tplc="FEB4DF80">
      <w:start w:val="1"/>
      <w:numFmt w:val="bullet"/>
      <w:lvlText w:val=""/>
      <w:lvlJc w:val="left"/>
      <w:pPr>
        <w:ind w:left="1440" w:hanging="360"/>
      </w:pPr>
      <w:rPr>
        <w:rFonts w:ascii="Symbol" w:hAnsi="Symbol"/>
      </w:rPr>
    </w:lvl>
    <w:lvl w:ilvl="4" w:tplc="D1FC384A">
      <w:start w:val="1"/>
      <w:numFmt w:val="bullet"/>
      <w:lvlText w:val=""/>
      <w:lvlJc w:val="left"/>
      <w:pPr>
        <w:ind w:left="1440" w:hanging="360"/>
      </w:pPr>
      <w:rPr>
        <w:rFonts w:ascii="Symbol" w:hAnsi="Symbol"/>
      </w:rPr>
    </w:lvl>
    <w:lvl w:ilvl="5" w:tplc="E9E49894">
      <w:start w:val="1"/>
      <w:numFmt w:val="bullet"/>
      <w:lvlText w:val=""/>
      <w:lvlJc w:val="left"/>
      <w:pPr>
        <w:ind w:left="1440" w:hanging="360"/>
      </w:pPr>
      <w:rPr>
        <w:rFonts w:ascii="Symbol" w:hAnsi="Symbol"/>
      </w:rPr>
    </w:lvl>
    <w:lvl w:ilvl="6" w:tplc="F4DE7B08">
      <w:start w:val="1"/>
      <w:numFmt w:val="bullet"/>
      <w:lvlText w:val=""/>
      <w:lvlJc w:val="left"/>
      <w:pPr>
        <w:ind w:left="1440" w:hanging="360"/>
      </w:pPr>
      <w:rPr>
        <w:rFonts w:ascii="Symbol" w:hAnsi="Symbol"/>
      </w:rPr>
    </w:lvl>
    <w:lvl w:ilvl="7" w:tplc="51689800">
      <w:start w:val="1"/>
      <w:numFmt w:val="bullet"/>
      <w:lvlText w:val=""/>
      <w:lvlJc w:val="left"/>
      <w:pPr>
        <w:ind w:left="1440" w:hanging="360"/>
      </w:pPr>
      <w:rPr>
        <w:rFonts w:ascii="Symbol" w:hAnsi="Symbol"/>
      </w:rPr>
    </w:lvl>
    <w:lvl w:ilvl="8" w:tplc="C160F8D6">
      <w:start w:val="1"/>
      <w:numFmt w:val="bullet"/>
      <w:lvlText w:val=""/>
      <w:lvlJc w:val="left"/>
      <w:pPr>
        <w:ind w:left="1440" w:hanging="360"/>
      </w:pPr>
      <w:rPr>
        <w:rFonts w:ascii="Symbol" w:hAnsi="Symbol"/>
      </w:rPr>
    </w:lvl>
  </w:abstractNum>
  <w:abstractNum w:abstractNumId="1" w15:restartNumberingAfterBreak="0">
    <w:nsid w:val="03D24A1C"/>
    <w:multiLevelType w:val="multilevel"/>
    <w:tmpl w:val="BC04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39D0"/>
    <w:multiLevelType w:val="hybridMultilevel"/>
    <w:tmpl w:val="2CA6598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324991"/>
    <w:multiLevelType w:val="multilevel"/>
    <w:tmpl w:val="15A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65C73"/>
    <w:multiLevelType w:val="hybridMultilevel"/>
    <w:tmpl w:val="C2C47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6EF7"/>
    <w:multiLevelType w:val="hybridMultilevel"/>
    <w:tmpl w:val="C92E8290"/>
    <w:lvl w:ilvl="0" w:tplc="8806E8D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82E7A4A"/>
    <w:multiLevelType w:val="multilevel"/>
    <w:tmpl w:val="9B74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217A08"/>
    <w:multiLevelType w:val="hybridMultilevel"/>
    <w:tmpl w:val="A1E441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096D50A0"/>
    <w:multiLevelType w:val="hybridMultilevel"/>
    <w:tmpl w:val="9F4491AC"/>
    <w:lvl w:ilvl="0" w:tplc="BDD2AF10">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0A592A7A"/>
    <w:multiLevelType w:val="hybridMultilevel"/>
    <w:tmpl w:val="9B4C32D8"/>
    <w:lvl w:ilvl="0" w:tplc="119CFF3E">
      <w:start w:val="1"/>
      <w:numFmt w:val="bullet"/>
      <w:lvlText w:val=""/>
      <w:lvlJc w:val="left"/>
      <w:pPr>
        <w:ind w:left="720" w:hanging="360"/>
      </w:pPr>
      <w:rPr>
        <w:rFonts w:ascii="Symbol" w:hAnsi="Symbol"/>
      </w:rPr>
    </w:lvl>
    <w:lvl w:ilvl="1" w:tplc="8708B53C">
      <w:start w:val="1"/>
      <w:numFmt w:val="bullet"/>
      <w:lvlText w:val=""/>
      <w:lvlJc w:val="left"/>
      <w:pPr>
        <w:ind w:left="720" w:hanging="360"/>
      </w:pPr>
      <w:rPr>
        <w:rFonts w:ascii="Symbol" w:hAnsi="Symbol"/>
      </w:rPr>
    </w:lvl>
    <w:lvl w:ilvl="2" w:tplc="3E3E5D28">
      <w:start w:val="1"/>
      <w:numFmt w:val="bullet"/>
      <w:lvlText w:val=""/>
      <w:lvlJc w:val="left"/>
      <w:pPr>
        <w:ind w:left="720" w:hanging="360"/>
      </w:pPr>
      <w:rPr>
        <w:rFonts w:ascii="Symbol" w:hAnsi="Symbol"/>
      </w:rPr>
    </w:lvl>
    <w:lvl w:ilvl="3" w:tplc="55A4E4E4">
      <w:start w:val="1"/>
      <w:numFmt w:val="bullet"/>
      <w:lvlText w:val=""/>
      <w:lvlJc w:val="left"/>
      <w:pPr>
        <w:ind w:left="720" w:hanging="360"/>
      </w:pPr>
      <w:rPr>
        <w:rFonts w:ascii="Symbol" w:hAnsi="Symbol"/>
      </w:rPr>
    </w:lvl>
    <w:lvl w:ilvl="4" w:tplc="C22A4B7E">
      <w:start w:val="1"/>
      <w:numFmt w:val="bullet"/>
      <w:lvlText w:val=""/>
      <w:lvlJc w:val="left"/>
      <w:pPr>
        <w:ind w:left="720" w:hanging="360"/>
      </w:pPr>
      <w:rPr>
        <w:rFonts w:ascii="Symbol" w:hAnsi="Symbol"/>
      </w:rPr>
    </w:lvl>
    <w:lvl w:ilvl="5" w:tplc="9B56B808">
      <w:start w:val="1"/>
      <w:numFmt w:val="bullet"/>
      <w:lvlText w:val=""/>
      <w:lvlJc w:val="left"/>
      <w:pPr>
        <w:ind w:left="720" w:hanging="360"/>
      </w:pPr>
      <w:rPr>
        <w:rFonts w:ascii="Symbol" w:hAnsi="Symbol"/>
      </w:rPr>
    </w:lvl>
    <w:lvl w:ilvl="6" w:tplc="916C5780">
      <w:start w:val="1"/>
      <w:numFmt w:val="bullet"/>
      <w:lvlText w:val=""/>
      <w:lvlJc w:val="left"/>
      <w:pPr>
        <w:ind w:left="720" w:hanging="360"/>
      </w:pPr>
      <w:rPr>
        <w:rFonts w:ascii="Symbol" w:hAnsi="Symbol"/>
      </w:rPr>
    </w:lvl>
    <w:lvl w:ilvl="7" w:tplc="606CA142">
      <w:start w:val="1"/>
      <w:numFmt w:val="bullet"/>
      <w:lvlText w:val=""/>
      <w:lvlJc w:val="left"/>
      <w:pPr>
        <w:ind w:left="720" w:hanging="360"/>
      </w:pPr>
      <w:rPr>
        <w:rFonts w:ascii="Symbol" w:hAnsi="Symbol"/>
      </w:rPr>
    </w:lvl>
    <w:lvl w:ilvl="8" w:tplc="DCE2850A">
      <w:start w:val="1"/>
      <w:numFmt w:val="bullet"/>
      <w:lvlText w:val=""/>
      <w:lvlJc w:val="left"/>
      <w:pPr>
        <w:ind w:left="720" w:hanging="360"/>
      </w:pPr>
      <w:rPr>
        <w:rFonts w:ascii="Symbol" w:hAnsi="Symbol"/>
      </w:rPr>
    </w:lvl>
  </w:abstractNum>
  <w:abstractNum w:abstractNumId="10" w15:restartNumberingAfterBreak="0">
    <w:nsid w:val="0A660B4A"/>
    <w:multiLevelType w:val="multilevel"/>
    <w:tmpl w:val="A0E6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12277"/>
    <w:multiLevelType w:val="hybridMultilevel"/>
    <w:tmpl w:val="B1A450E0"/>
    <w:lvl w:ilvl="0" w:tplc="080C0001">
      <w:start w:val="1"/>
      <w:numFmt w:val="bullet"/>
      <w:lvlText w:val=""/>
      <w:lvlJc w:val="left"/>
      <w:pPr>
        <w:ind w:left="765" w:hanging="360"/>
      </w:pPr>
      <w:rPr>
        <w:rFonts w:ascii="Symbol" w:hAnsi="Symbol" w:hint="default"/>
      </w:rPr>
    </w:lvl>
    <w:lvl w:ilvl="1" w:tplc="080C0003" w:tentative="1">
      <w:start w:val="1"/>
      <w:numFmt w:val="bullet"/>
      <w:lvlText w:val="o"/>
      <w:lvlJc w:val="left"/>
      <w:pPr>
        <w:ind w:left="1485" w:hanging="360"/>
      </w:pPr>
      <w:rPr>
        <w:rFonts w:ascii="Courier New" w:hAnsi="Courier New" w:cs="Courier New" w:hint="default"/>
      </w:rPr>
    </w:lvl>
    <w:lvl w:ilvl="2" w:tplc="080C0005" w:tentative="1">
      <w:start w:val="1"/>
      <w:numFmt w:val="bullet"/>
      <w:lvlText w:val=""/>
      <w:lvlJc w:val="left"/>
      <w:pPr>
        <w:ind w:left="2205" w:hanging="360"/>
      </w:pPr>
      <w:rPr>
        <w:rFonts w:ascii="Wingdings" w:hAnsi="Wingdings" w:hint="default"/>
      </w:rPr>
    </w:lvl>
    <w:lvl w:ilvl="3" w:tplc="080C0001" w:tentative="1">
      <w:start w:val="1"/>
      <w:numFmt w:val="bullet"/>
      <w:lvlText w:val=""/>
      <w:lvlJc w:val="left"/>
      <w:pPr>
        <w:ind w:left="2925" w:hanging="360"/>
      </w:pPr>
      <w:rPr>
        <w:rFonts w:ascii="Symbol" w:hAnsi="Symbol" w:hint="default"/>
      </w:rPr>
    </w:lvl>
    <w:lvl w:ilvl="4" w:tplc="080C0003" w:tentative="1">
      <w:start w:val="1"/>
      <w:numFmt w:val="bullet"/>
      <w:lvlText w:val="o"/>
      <w:lvlJc w:val="left"/>
      <w:pPr>
        <w:ind w:left="3645" w:hanging="360"/>
      </w:pPr>
      <w:rPr>
        <w:rFonts w:ascii="Courier New" w:hAnsi="Courier New" w:cs="Courier New" w:hint="default"/>
      </w:rPr>
    </w:lvl>
    <w:lvl w:ilvl="5" w:tplc="080C0005" w:tentative="1">
      <w:start w:val="1"/>
      <w:numFmt w:val="bullet"/>
      <w:lvlText w:val=""/>
      <w:lvlJc w:val="left"/>
      <w:pPr>
        <w:ind w:left="4365" w:hanging="360"/>
      </w:pPr>
      <w:rPr>
        <w:rFonts w:ascii="Wingdings" w:hAnsi="Wingdings" w:hint="default"/>
      </w:rPr>
    </w:lvl>
    <w:lvl w:ilvl="6" w:tplc="080C0001" w:tentative="1">
      <w:start w:val="1"/>
      <w:numFmt w:val="bullet"/>
      <w:lvlText w:val=""/>
      <w:lvlJc w:val="left"/>
      <w:pPr>
        <w:ind w:left="5085" w:hanging="360"/>
      </w:pPr>
      <w:rPr>
        <w:rFonts w:ascii="Symbol" w:hAnsi="Symbol" w:hint="default"/>
      </w:rPr>
    </w:lvl>
    <w:lvl w:ilvl="7" w:tplc="080C0003" w:tentative="1">
      <w:start w:val="1"/>
      <w:numFmt w:val="bullet"/>
      <w:lvlText w:val="o"/>
      <w:lvlJc w:val="left"/>
      <w:pPr>
        <w:ind w:left="5805" w:hanging="360"/>
      </w:pPr>
      <w:rPr>
        <w:rFonts w:ascii="Courier New" w:hAnsi="Courier New" w:cs="Courier New" w:hint="default"/>
      </w:rPr>
    </w:lvl>
    <w:lvl w:ilvl="8" w:tplc="080C0005" w:tentative="1">
      <w:start w:val="1"/>
      <w:numFmt w:val="bullet"/>
      <w:lvlText w:val=""/>
      <w:lvlJc w:val="left"/>
      <w:pPr>
        <w:ind w:left="6525" w:hanging="360"/>
      </w:pPr>
      <w:rPr>
        <w:rFonts w:ascii="Wingdings" w:hAnsi="Wingdings" w:hint="default"/>
      </w:rPr>
    </w:lvl>
  </w:abstractNum>
  <w:abstractNum w:abstractNumId="12" w15:restartNumberingAfterBreak="0">
    <w:nsid w:val="0BE90B8B"/>
    <w:multiLevelType w:val="hybridMultilevel"/>
    <w:tmpl w:val="FCAA9A6E"/>
    <w:lvl w:ilvl="0" w:tplc="7E982B52">
      <w:numFmt w:val="bullet"/>
      <w:lvlText w:val="-"/>
      <w:lvlJc w:val="left"/>
      <w:pPr>
        <w:ind w:left="1080" w:hanging="360"/>
      </w:pPr>
      <w:rPr>
        <w:rFonts w:ascii="Times New Roman" w:eastAsiaTheme="minorEastAsia"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02936FA"/>
    <w:multiLevelType w:val="hybridMultilevel"/>
    <w:tmpl w:val="C2DCF3CE"/>
    <w:lvl w:ilvl="0" w:tplc="D52EDA3C">
      <w:start w:val="1"/>
      <w:numFmt w:val="bullet"/>
      <w:lvlText w:val=""/>
      <w:lvlJc w:val="left"/>
      <w:pPr>
        <w:ind w:left="1080" w:hanging="360"/>
      </w:pPr>
      <w:rPr>
        <w:rFonts w:ascii="Symbol" w:hAnsi="Symbol"/>
      </w:rPr>
    </w:lvl>
    <w:lvl w:ilvl="1" w:tplc="AA68C2FE">
      <w:start w:val="1"/>
      <w:numFmt w:val="bullet"/>
      <w:lvlText w:val=""/>
      <w:lvlJc w:val="left"/>
      <w:pPr>
        <w:ind w:left="1080" w:hanging="360"/>
      </w:pPr>
      <w:rPr>
        <w:rFonts w:ascii="Symbol" w:hAnsi="Symbol"/>
      </w:rPr>
    </w:lvl>
    <w:lvl w:ilvl="2" w:tplc="FD08BFDE">
      <w:start w:val="1"/>
      <w:numFmt w:val="bullet"/>
      <w:lvlText w:val=""/>
      <w:lvlJc w:val="left"/>
      <w:pPr>
        <w:ind w:left="1080" w:hanging="360"/>
      </w:pPr>
      <w:rPr>
        <w:rFonts w:ascii="Symbol" w:hAnsi="Symbol"/>
      </w:rPr>
    </w:lvl>
    <w:lvl w:ilvl="3" w:tplc="5B78943A">
      <w:start w:val="1"/>
      <w:numFmt w:val="bullet"/>
      <w:lvlText w:val=""/>
      <w:lvlJc w:val="left"/>
      <w:pPr>
        <w:ind w:left="1080" w:hanging="360"/>
      </w:pPr>
      <w:rPr>
        <w:rFonts w:ascii="Symbol" w:hAnsi="Symbol"/>
      </w:rPr>
    </w:lvl>
    <w:lvl w:ilvl="4" w:tplc="E604C2FA">
      <w:start w:val="1"/>
      <w:numFmt w:val="bullet"/>
      <w:lvlText w:val=""/>
      <w:lvlJc w:val="left"/>
      <w:pPr>
        <w:ind w:left="1080" w:hanging="360"/>
      </w:pPr>
      <w:rPr>
        <w:rFonts w:ascii="Symbol" w:hAnsi="Symbol"/>
      </w:rPr>
    </w:lvl>
    <w:lvl w:ilvl="5" w:tplc="A4501772">
      <w:start w:val="1"/>
      <w:numFmt w:val="bullet"/>
      <w:lvlText w:val=""/>
      <w:lvlJc w:val="left"/>
      <w:pPr>
        <w:ind w:left="1080" w:hanging="360"/>
      </w:pPr>
      <w:rPr>
        <w:rFonts w:ascii="Symbol" w:hAnsi="Symbol"/>
      </w:rPr>
    </w:lvl>
    <w:lvl w:ilvl="6" w:tplc="D32A6DD4">
      <w:start w:val="1"/>
      <w:numFmt w:val="bullet"/>
      <w:lvlText w:val=""/>
      <w:lvlJc w:val="left"/>
      <w:pPr>
        <w:ind w:left="1080" w:hanging="360"/>
      </w:pPr>
      <w:rPr>
        <w:rFonts w:ascii="Symbol" w:hAnsi="Symbol"/>
      </w:rPr>
    </w:lvl>
    <w:lvl w:ilvl="7" w:tplc="CCA43F20">
      <w:start w:val="1"/>
      <w:numFmt w:val="bullet"/>
      <w:lvlText w:val=""/>
      <w:lvlJc w:val="left"/>
      <w:pPr>
        <w:ind w:left="1080" w:hanging="360"/>
      </w:pPr>
      <w:rPr>
        <w:rFonts w:ascii="Symbol" w:hAnsi="Symbol"/>
      </w:rPr>
    </w:lvl>
    <w:lvl w:ilvl="8" w:tplc="0CF8022C">
      <w:start w:val="1"/>
      <w:numFmt w:val="bullet"/>
      <w:lvlText w:val=""/>
      <w:lvlJc w:val="left"/>
      <w:pPr>
        <w:ind w:left="1080" w:hanging="360"/>
      </w:pPr>
      <w:rPr>
        <w:rFonts w:ascii="Symbol" w:hAnsi="Symbol"/>
      </w:rPr>
    </w:lvl>
  </w:abstractNum>
  <w:abstractNum w:abstractNumId="14" w15:restartNumberingAfterBreak="0">
    <w:nsid w:val="11632BD7"/>
    <w:multiLevelType w:val="hybridMultilevel"/>
    <w:tmpl w:val="49F0E47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215684F"/>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16" w15:restartNumberingAfterBreak="0">
    <w:nsid w:val="13E74B63"/>
    <w:multiLevelType w:val="hybridMultilevel"/>
    <w:tmpl w:val="E230E77C"/>
    <w:lvl w:ilvl="0" w:tplc="BDD2AF10">
      <w:numFmt w:val="bullet"/>
      <w:lvlText w:val=""/>
      <w:lvlJc w:val="left"/>
      <w:pPr>
        <w:ind w:left="720" w:hanging="360"/>
      </w:pPr>
      <w:rPr>
        <w:rFonts w:ascii="Wingdings" w:eastAsia="Times New Roman"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8AA6391"/>
    <w:multiLevelType w:val="hybridMultilevel"/>
    <w:tmpl w:val="E806ACE6"/>
    <w:lvl w:ilvl="0" w:tplc="1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9AC2230"/>
    <w:multiLevelType w:val="hybridMultilevel"/>
    <w:tmpl w:val="6DBA0ED4"/>
    <w:lvl w:ilvl="0" w:tplc="3D685042">
      <w:start w:val="1"/>
      <w:numFmt w:val="bullet"/>
      <w:lvlText w:val=""/>
      <w:lvlJc w:val="left"/>
      <w:pPr>
        <w:ind w:left="1080" w:hanging="360"/>
      </w:pPr>
      <w:rPr>
        <w:rFonts w:ascii="Symbol" w:hAnsi="Symbol"/>
      </w:rPr>
    </w:lvl>
    <w:lvl w:ilvl="1" w:tplc="81843D38">
      <w:start w:val="1"/>
      <w:numFmt w:val="bullet"/>
      <w:lvlText w:val=""/>
      <w:lvlJc w:val="left"/>
      <w:pPr>
        <w:ind w:left="1080" w:hanging="360"/>
      </w:pPr>
      <w:rPr>
        <w:rFonts w:ascii="Symbol" w:hAnsi="Symbol"/>
      </w:rPr>
    </w:lvl>
    <w:lvl w:ilvl="2" w:tplc="15269D84">
      <w:start w:val="1"/>
      <w:numFmt w:val="bullet"/>
      <w:lvlText w:val=""/>
      <w:lvlJc w:val="left"/>
      <w:pPr>
        <w:ind w:left="1080" w:hanging="360"/>
      </w:pPr>
      <w:rPr>
        <w:rFonts w:ascii="Symbol" w:hAnsi="Symbol"/>
      </w:rPr>
    </w:lvl>
    <w:lvl w:ilvl="3" w:tplc="75887E4E">
      <w:start w:val="1"/>
      <w:numFmt w:val="bullet"/>
      <w:lvlText w:val=""/>
      <w:lvlJc w:val="left"/>
      <w:pPr>
        <w:ind w:left="1080" w:hanging="360"/>
      </w:pPr>
      <w:rPr>
        <w:rFonts w:ascii="Symbol" w:hAnsi="Symbol"/>
      </w:rPr>
    </w:lvl>
    <w:lvl w:ilvl="4" w:tplc="D490240C">
      <w:start w:val="1"/>
      <w:numFmt w:val="bullet"/>
      <w:lvlText w:val=""/>
      <w:lvlJc w:val="left"/>
      <w:pPr>
        <w:ind w:left="1080" w:hanging="360"/>
      </w:pPr>
      <w:rPr>
        <w:rFonts w:ascii="Symbol" w:hAnsi="Symbol"/>
      </w:rPr>
    </w:lvl>
    <w:lvl w:ilvl="5" w:tplc="27B0E4C2">
      <w:start w:val="1"/>
      <w:numFmt w:val="bullet"/>
      <w:lvlText w:val=""/>
      <w:lvlJc w:val="left"/>
      <w:pPr>
        <w:ind w:left="1080" w:hanging="360"/>
      </w:pPr>
      <w:rPr>
        <w:rFonts w:ascii="Symbol" w:hAnsi="Symbol"/>
      </w:rPr>
    </w:lvl>
    <w:lvl w:ilvl="6" w:tplc="687E4208">
      <w:start w:val="1"/>
      <w:numFmt w:val="bullet"/>
      <w:lvlText w:val=""/>
      <w:lvlJc w:val="left"/>
      <w:pPr>
        <w:ind w:left="1080" w:hanging="360"/>
      </w:pPr>
      <w:rPr>
        <w:rFonts w:ascii="Symbol" w:hAnsi="Symbol"/>
      </w:rPr>
    </w:lvl>
    <w:lvl w:ilvl="7" w:tplc="9586D124">
      <w:start w:val="1"/>
      <w:numFmt w:val="bullet"/>
      <w:lvlText w:val=""/>
      <w:lvlJc w:val="left"/>
      <w:pPr>
        <w:ind w:left="1080" w:hanging="360"/>
      </w:pPr>
      <w:rPr>
        <w:rFonts w:ascii="Symbol" w:hAnsi="Symbol"/>
      </w:rPr>
    </w:lvl>
    <w:lvl w:ilvl="8" w:tplc="CEE819EC">
      <w:start w:val="1"/>
      <w:numFmt w:val="bullet"/>
      <w:lvlText w:val=""/>
      <w:lvlJc w:val="left"/>
      <w:pPr>
        <w:ind w:left="1080" w:hanging="360"/>
      </w:pPr>
      <w:rPr>
        <w:rFonts w:ascii="Symbol" w:hAnsi="Symbol"/>
      </w:rPr>
    </w:lvl>
  </w:abstractNum>
  <w:abstractNum w:abstractNumId="19" w15:restartNumberingAfterBreak="0">
    <w:nsid w:val="1A4335FE"/>
    <w:multiLevelType w:val="hybridMultilevel"/>
    <w:tmpl w:val="2A5084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1ABC5F09"/>
    <w:multiLevelType w:val="hybridMultilevel"/>
    <w:tmpl w:val="684ECF0E"/>
    <w:lvl w:ilvl="0" w:tplc="080C0001">
      <w:start w:val="1"/>
      <w:numFmt w:val="bullet"/>
      <w:lvlText w:val=""/>
      <w:lvlJc w:val="left"/>
      <w:pPr>
        <w:ind w:left="720" w:hanging="360"/>
      </w:pPr>
      <w:rPr>
        <w:rFonts w:ascii="Symbol" w:hAnsi="Symbol" w:hint="default"/>
      </w:rPr>
    </w:lvl>
    <w:lvl w:ilvl="1" w:tplc="FFFFFFFF">
      <w:start w:val="3"/>
      <w:numFmt w:val="bullet"/>
      <w:lvlText w:val="•"/>
      <w:lvlJc w:val="left"/>
      <w:pPr>
        <w:ind w:left="1800" w:hanging="72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C0F126E"/>
    <w:multiLevelType w:val="multilevel"/>
    <w:tmpl w:val="8684E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9D657F"/>
    <w:multiLevelType w:val="hybridMultilevel"/>
    <w:tmpl w:val="11207132"/>
    <w:lvl w:ilvl="0" w:tplc="157448A6">
      <w:start w:val="1"/>
      <w:numFmt w:val="bullet"/>
      <w:lvlText w:val=""/>
      <w:lvlJc w:val="left"/>
      <w:pPr>
        <w:ind w:left="1440" w:hanging="360"/>
      </w:pPr>
      <w:rPr>
        <w:rFonts w:ascii="Symbol" w:hAnsi="Symbol"/>
      </w:rPr>
    </w:lvl>
    <w:lvl w:ilvl="1" w:tplc="7CFC2F40">
      <w:start w:val="1"/>
      <w:numFmt w:val="bullet"/>
      <w:lvlText w:val=""/>
      <w:lvlJc w:val="left"/>
      <w:pPr>
        <w:ind w:left="1440" w:hanging="360"/>
      </w:pPr>
      <w:rPr>
        <w:rFonts w:ascii="Symbol" w:hAnsi="Symbol"/>
      </w:rPr>
    </w:lvl>
    <w:lvl w:ilvl="2" w:tplc="332A3476">
      <w:start w:val="1"/>
      <w:numFmt w:val="bullet"/>
      <w:lvlText w:val=""/>
      <w:lvlJc w:val="left"/>
      <w:pPr>
        <w:ind w:left="1440" w:hanging="360"/>
      </w:pPr>
      <w:rPr>
        <w:rFonts w:ascii="Symbol" w:hAnsi="Symbol"/>
      </w:rPr>
    </w:lvl>
    <w:lvl w:ilvl="3" w:tplc="EB2201E6">
      <w:start w:val="1"/>
      <w:numFmt w:val="bullet"/>
      <w:lvlText w:val=""/>
      <w:lvlJc w:val="left"/>
      <w:pPr>
        <w:ind w:left="1440" w:hanging="360"/>
      </w:pPr>
      <w:rPr>
        <w:rFonts w:ascii="Symbol" w:hAnsi="Symbol"/>
      </w:rPr>
    </w:lvl>
    <w:lvl w:ilvl="4" w:tplc="0F50CA9A">
      <w:start w:val="1"/>
      <w:numFmt w:val="bullet"/>
      <w:lvlText w:val=""/>
      <w:lvlJc w:val="left"/>
      <w:pPr>
        <w:ind w:left="1440" w:hanging="360"/>
      </w:pPr>
      <w:rPr>
        <w:rFonts w:ascii="Symbol" w:hAnsi="Symbol"/>
      </w:rPr>
    </w:lvl>
    <w:lvl w:ilvl="5" w:tplc="ED3E0E8A">
      <w:start w:val="1"/>
      <w:numFmt w:val="bullet"/>
      <w:lvlText w:val=""/>
      <w:lvlJc w:val="left"/>
      <w:pPr>
        <w:ind w:left="1440" w:hanging="360"/>
      </w:pPr>
      <w:rPr>
        <w:rFonts w:ascii="Symbol" w:hAnsi="Symbol"/>
      </w:rPr>
    </w:lvl>
    <w:lvl w:ilvl="6" w:tplc="163405D8">
      <w:start w:val="1"/>
      <w:numFmt w:val="bullet"/>
      <w:lvlText w:val=""/>
      <w:lvlJc w:val="left"/>
      <w:pPr>
        <w:ind w:left="1440" w:hanging="360"/>
      </w:pPr>
      <w:rPr>
        <w:rFonts w:ascii="Symbol" w:hAnsi="Symbol"/>
      </w:rPr>
    </w:lvl>
    <w:lvl w:ilvl="7" w:tplc="AA424EC0">
      <w:start w:val="1"/>
      <w:numFmt w:val="bullet"/>
      <w:lvlText w:val=""/>
      <w:lvlJc w:val="left"/>
      <w:pPr>
        <w:ind w:left="1440" w:hanging="360"/>
      </w:pPr>
      <w:rPr>
        <w:rFonts w:ascii="Symbol" w:hAnsi="Symbol"/>
      </w:rPr>
    </w:lvl>
    <w:lvl w:ilvl="8" w:tplc="6B5AD29A">
      <w:start w:val="1"/>
      <w:numFmt w:val="bullet"/>
      <w:lvlText w:val=""/>
      <w:lvlJc w:val="left"/>
      <w:pPr>
        <w:ind w:left="1440" w:hanging="360"/>
      </w:pPr>
      <w:rPr>
        <w:rFonts w:ascii="Symbol" w:hAnsi="Symbol"/>
      </w:rPr>
    </w:lvl>
  </w:abstractNum>
  <w:abstractNum w:abstractNumId="23" w15:restartNumberingAfterBreak="0">
    <w:nsid w:val="1D3F25C7"/>
    <w:multiLevelType w:val="hybridMultilevel"/>
    <w:tmpl w:val="DA06BD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1ED629AF"/>
    <w:multiLevelType w:val="hybridMultilevel"/>
    <w:tmpl w:val="C40227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1421686"/>
    <w:multiLevelType w:val="hybridMultilevel"/>
    <w:tmpl w:val="99C81CB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21C13249"/>
    <w:multiLevelType w:val="hybridMultilevel"/>
    <w:tmpl w:val="86169DD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22A30B98"/>
    <w:multiLevelType w:val="hybridMultilevel"/>
    <w:tmpl w:val="F66879B6"/>
    <w:lvl w:ilvl="0" w:tplc="A5B24D86">
      <w:start w:val="1"/>
      <w:numFmt w:val="bullet"/>
      <w:lvlText w:val=""/>
      <w:lvlJc w:val="left"/>
      <w:pPr>
        <w:ind w:left="1440" w:hanging="360"/>
      </w:pPr>
      <w:rPr>
        <w:rFonts w:ascii="Symbol" w:hAnsi="Symbol"/>
      </w:rPr>
    </w:lvl>
    <w:lvl w:ilvl="1" w:tplc="86025FB4">
      <w:start w:val="1"/>
      <w:numFmt w:val="bullet"/>
      <w:lvlText w:val=""/>
      <w:lvlJc w:val="left"/>
      <w:pPr>
        <w:ind w:left="1440" w:hanging="360"/>
      </w:pPr>
      <w:rPr>
        <w:rFonts w:ascii="Symbol" w:hAnsi="Symbol"/>
      </w:rPr>
    </w:lvl>
    <w:lvl w:ilvl="2" w:tplc="DC60FDB2">
      <w:start w:val="1"/>
      <w:numFmt w:val="bullet"/>
      <w:lvlText w:val=""/>
      <w:lvlJc w:val="left"/>
      <w:pPr>
        <w:ind w:left="1440" w:hanging="360"/>
      </w:pPr>
      <w:rPr>
        <w:rFonts w:ascii="Symbol" w:hAnsi="Symbol"/>
      </w:rPr>
    </w:lvl>
    <w:lvl w:ilvl="3" w:tplc="58A2C0E4">
      <w:start w:val="1"/>
      <w:numFmt w:val="bullet"/>
      <w:lvlText w:val=""/>
      <w:lvlJc w:val="left"/>
      <w:pPr>
        <w:ind w:left="1440" w:hanging="360"/>
      </w:pPr>
      <w:rPr>
        <w:rFonts w:ascii="Symbol" w:hAnsi="Symbol"/>
      </w:rPr>
    </w:lvl>
    <w:lvl w:ilvl="4" w:tplc="6C5C9AC4">
      <w:start w:val="1"/>
      <w:numFmt w:val="bullet"/>
      <w:lvlText w:val=""/>
      <w:lvlJc w:val="left"/>
      <w:pPr>
        <w:ind w:left="1440" w:hanging="360"/>
      </w:pPr>
      <w:rPr>
        <w:rFonts w:ascii="Symbol" w:hAnsi="Symbol"/>
      </w:rPr>
    </w:lvl>
    <w:lvl w:ilvl="5" w:tplc="B622EEE6">
      <w:start w:val="1"/>
      <w:numFmt w:val="bullet"/>
      <w:lvlText w:val=""/>
      <w:lvlJc w:val="left"/>
      <w:pPr>
        <w:ind w:left="1440" w:hanging="360"/>
      </w:pPr>
      <w:rPr>
        <w:rFonts w:ascii="Symbol" w:hAnsi="Symbol"/>
      </w:rPr>
    </w:lvl>
    <w:lvl w:ilvl="6" w:tplc="91EEC25E">
      <w:start w:val="1"/>
      <w:numFmt w:val="bullet"/>
      <w:lvlText w:val=""/>
      <w:lvlJc w:val="left"/>
      <w:pPr>
        <w:ind w:left="1440" w:hanging="360"/>
      </w:pPr>
      <w:rPr>
        <w:rFonts w:ascii="Symbol" w:hAnsi="Symbol"/>
      </w:rPr>
    </w:lvl>
    <w:lvl w:ilvl="7" w:tplc="1CAEA86A">
      <w:start w:val="1"/>
      <w:numFmt w:val="bullet"/>
      <w:lvlText w:val=""/>
      <w:lvlJc w:val="left"/>
      <w:pPr>
        <w:ind w:left="1440" w:hanging="360"/>
      </w:pPr>
      <w:rPr>
        <w:rFonts w:ascii="Symbol" w:hAnsi="Symbol"/>
      </w:rPr>
    </w:lvl>
    <w:lvl w:ilvl="8" w:tplc="8C2ABA06">
      <w:start w:val="1"/>
      <w:numFmt w:val="bullet"/>
      <w:lvlText w:val=""/>
      <w:lvlJc w:val="left"/>
      <w:pPr>
        <w:ind w:left="1440" w:hanging="360"/>
      </w:pPr>
      <w:rPr>
        <w:rFonts w:ascii="Symbol" w:hAnsi="Symbol"/>
      </w:rPr>
    </w:lvl>
  </w:abstractNum>
  <w:abstractNum w:abstractNumId="28" w15:restartNumberingAfterBreak="0">
    <w:nsid w:val="22C51F53"/>
    <w:multiLevelType w:val="multilevel"/>
    <w:tmpl w:val="D582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34B1FBC"/>
    <w:multiLevelType w:val="hybridMultilevel"/>
    <w:tmpl w:val="E252F1C8"/>
    <w:lvl w:ilvl="0" w:tplc="FFFFFFFF">
      <w:start w:val="1"/>
      <w:numFmt w:val="decimal"/>
      <w:lvlText w:val="(%1)"/>
      <w:lvlJc w:val="left"/>
      <w:pPr>
        <w:ind w:left="1140" w:hanging="4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247D758B"/>
    <w:multiLevelType w:val="hybridMultilevel"/>
    <w:tmpl w:val="6388AD90"/>
    <w:lvl w:ilvl="0" w:tplc="FF367464">
      <w:start w:val="1"/>
      <w:numFmt w:val="bullet"/>
      <w:lvlText w:val=""/>
      <w:lvlJc w:val="left"/>
      <w:pPr>
        <w:ind w:left="1440" w:hanging="360"/>
      </w:pPr>
      <w:rPr>
        <w:rFonts w:ascii="Symbol" w:hAnsi="Symbol"/>
      </w:rPr>
    </w:lvl>
    <w:lvl w:ilvl="1" w:tplc="962A4C68">
      <w:start w:val="1"/>
      <w:numFmt w:val="bullet"/>
      <w:lvlText w:val=""/>
      <w:lvlJc w:val="left"/>
      <w:pPr>
        <w:ind w:left="1440" w:hanging="360"/>
      </w:pPr>
      <w:rPr>
        <w:rFonts w:ascii="Symbol" w:hAnsi="Symbol"/>
      </w:rPr>
    </w:lvl>
    <w:lvl w:ilvl="2" w:tplc="8B28FADC">
      <w:start w:val="1"/>
      <w:numFmt w:val="bullet"/>
      <w:lvlText w:val=""/>
      <w:lvlJc w:val="left"/>
      <w:pPr>
        <w:ind w:left="1440" w:hanging="360"/>
      </w:pPr>
      <w:rPr>
        <w:rFonts w:ascii="Symbol" w:hAnsi="Symbol"/>
      </w:rPr>
    </w:lvl>
    <w:lvl w:ilvl="3" w:tplc="579C4E06">
      <w:start w:val="1"/>
      <w:numFmt w:val="bullet"/>
      <w:lvlText w:val=""/>
      <w:lvlJc w:val="left"/>
      <w:pPr>
        <w:ind w:left="1440" w:hanging="360"/>
      </w:pPr>
      <w:rPr>
        <w:rFonts w:ascii="Symbol" w:hAnsi="Symbol"/>
      </w:rPr>
    </w:lvl>
    <w:lvl w:ilvl="4" w:tplc="9FDC2200">
      <w:start w:val="1"/>
      <w:numFmt w:val="bullet"/>
      <w:lvlText w:val=""/>
      <w:lvlJc w:val="left"/>
      <w:pPr>
        <w:ind w:left="1440" w:hanging="360"/>
      </w:pPr>
      <w:rPr>
        <w:rFonts w:ascii="Symbol" w:hAnsi="Symbol"/>
      </w:rPr>
    </w:lvl>
    <w:lvl w:ilvl="5" w:tplc="D764D340">
      <w:start w:val="1"/>
      <w:numFmt w:val="bullet"/>
      <w:lvlText w:val=""/>
      <w:lvlJc w:val="left"/>
      <w:pPr>
        <w:ind w:left="1440" w:hanging="360"/>
      </w:pPr>
      <w:rPr>
        <w:rFonts w:ascii="Symbol" w:hAnsi="Symbol"/>
      </w:rPr>
    </w:lvl>
    <w:lvl w:ilvl="6" w:tplc="E8F801A4">
      <w:start w:val="1"/>
      <w:numFmt w:val="bullet"/>
      <w:lvlText w:val=""/>
      <w:lvlJc w:val="left"/>
      <w:pPr>
        <w:ind w:left="1440" w:hanging="360"/>
      </w:pPr>
      <w:rPr>
        <w:rFonts w:ascii="Symbol" w:hAnsi="Symbol"/>
      </w:rPr>
    </w:lvl>
    <w:lvl w:ilvl="7" w:tplc="6D26CC40">
      <w:start w:val="1"/>
      <w:numFmt w:val="bullet"/>
      <w:lvlText w:val=""/>
      <w:lvlJc w:val="left"/>
      <w:pPr>
        <w:ind w:left="1440" w:hanging="360"/>
      </w:pPr>
      <w:rPr>
        <w:rFonts w:ascii="Symbol" w:hAnsi="Symbol"/>
      </w:rPr>
    </w:lvl>
    <w:lvl w:ilvl="8" w:tplc="57D4F9BA">
      <w:start w:val="1"/>
      <w:numFmt w:val="bullet"/>
      <w:lvlText w:val=""/>
      <w:lvlJc w:val="left"/>
      <w:pPr>
        <w:ind w:left="1440" w:hanging="360"/>
      </w:pPr>
      <w:rPr>
        <w:rFonts w:ascii="Symbol" w:hAnsi="Symbol"/>
      </w:rPr>
    </w:lvl>
  </w:abstractNum>
  <w:abstractNum w:abstractNumId="31" w15:restartNumberingAfterBreak="0">
    <w:nsid w:val="24B1415E"/>
    <w:multiLevelType w:val="hybridMultilevel"/>
    <w:tmpl w:val="00C62A6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112D39"/>
    <w:multiLevelType w:val="hybridMultilevel"/>
    <w:tmpl w:val="27E846B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26FE9BD0"/>
    <w:multiLevelType w:val="hybridMultilevel"/>
    <w:tmpl w:val="5A8E57EE"/>
    <w:lvl w:ilvl="0" w:tplc="B9184714">
      <w:start w:val="1"/>
      <w:numFmt w:val="bullet"/>
      <w:lvlText w:val="-"/>
      <w:lvlJc w:val="left"/>
      <w:pPr>
        <w:ind w:left="720" w:hanging="360"/>
      </w:pPr>
      <w:rPr>
        <w:rFonts w:ascii="Aptos" w:hAnsi="Aptos" w:hint="default"/>
      </w:rPr>
    </w:lvl>
    <w:lvl w:ilvl="1" w:tplc="4FD29988">
      <w:start w:val="1"/>
      <w:numFmt w:val="bullet"/>
      <w:lvlText w:val="o"/>
      <w:lvlJc w:val="left"/>
      <w:pPr>
        <w:ind w:left="1440" w:hanging="360"/>
      </w:pPr>
      <w:rPr>
        <w:rFonts w:ascii="Courier New" w:hAnsi="Courier New" w:hint="default"/>
      </w:rPr>
    </w:lvl>
    <w:lvl w:ilvl="2" w:tplc="5ABA2CFE">
      <w:start w:val="1"/>
      <w:numFmt w:val="bullet"/>
      <w:lvlText w:val=""/>
      <w:lvlJc w:val="left"/>
      <w:pPr>
        <w:ind w:left="2160" w:hanging="360"/>
      </w:pPr>
      <w:rPr>
        <w:rFonts w:ascii="Wingdings" w:hAnsi="Wingdings" w:hint="default"/>
      </w:rPr>
    </w:lvl>
    <w:lvl w:ilvl="3" w:tplc="79A09370">
      <w:start w:val="1"/>
      <w:numFmt w:val="bullet"/>
      <w:lvlText w:val=""/>
      <w:lvlJc w:val="left"/>
      <w:pPr>
        <w:ind w:left="2880" w:hanging="360"/>
      </w:pPr>
      <w:rPr>
        <w:rFonts w:ascii="Symbol" w:hAnsi="Symbol" w:hint="default"/>
      </w:rPr>
    </w:lvl>
    <w:lvl w:ilvl="4" w:tplc="B40258EC">
      <w:start w:val="1"/>
      <w:numFmt w:val="bullet"/>
      <w:lvlText w:val="o"/>
      <w:lvlJc w:val="left"/>
      <w:pPr>
        <w:ind w:left="3600" w:hanging="360"/>
      </w:pPr>
      <w:rPr>
        <w:rFonts w:ascii="Courier New" w:hAnsi="Courier New" w:hint="default"/>
      </w:rPr>
    </w:lvl>
    <w:lvl w:ilvl="5" w:tplc="EC32BDB6">
      <w:start w:val="1"/>
      <w:numFmt w:val="bullet"/>
      <w:lvlText w:val=""/>
      <w:lvlJc w:val="left"/>
      <w:pPr>
        <w:ind w:left="4320" w:hanging="360"/>
      </w:pPr>
      <w:rPr>
        <w:rFonts w:ascii="Wingdings" w:hAnsi="Wingdings" w:hint="default"/>
      </w:rPr>
    </w:lvl>
    <w:lvl w:ilvl="6" w:tplc="77428CC6">
      <w:start w:val="1"/>
      <w:numFmt w:val="bullet"/>
      <w:lvlText w:val=""/>
      <w:lvlJc w:val="left"/>
      <w:pPr>
        <w:ind w:left="5040" w:hanging="360"/>
      </w:pPr>
      <w:rPr>
        <w:rFonts w:ascii="Symbol" w:hAnsi="Symbol" w:hint="default"/>
      </w:rPr>
    </w:lvl>
    <w:lvl w:ilvl="7" w:tplc="059EC834">
      <w:start w:val="1"/>
      <w:numFmt w:val="bullet"/>
      <w:lvlText w:val="o"/>
      <w:lvlJc w:val="left"/>
      <w:pPr>
        <w:ind w:left="5760" w:hanging="360"/>
      </w:pPr>
      <w:rPr>
        <w:rFonts w:ascii="Courier New" w:hAnsi="Courier New" w:hint="default"/>
      </w:rPr>
    </w:lvl>
    <w:lvl w:ilvl="8" w:tplc="EC122C52">
      <w:start w:val="1"/>
      <w:numFmt w:val="bullet"/>
      <w:lvlText w:val=""/>
      <w:lvlJc w:val="left"/>
      <w:pPr>
        <w:ind w:left="6480" w:hanging="360"/>
      </w:pPr>
      <w:rPr>
        <w:rFonts w:ascii="Wingdings" w:hAnsi="Wingdings" w:hint="default"/>
      </w:rPr>
    </w:lvl>
  </w:abstractNum>
  <w:abstractNum w:abstractNumId="34" w15:restartNumberingAfterBreak="0">
    <w:nsid w:val="274F4610"/>
    <w:multiLevelType w:val="multilevel"/>
    <w:tmpl w:val="0804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D33F71"/>
    <w:multiLevelType w:val="hybridMultilevel"/>
    <w:tmpl w:val="36B4F12E"/>
    <w:lvl w:ilvl="0" w:tplc="6B6211EE">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2D170189"/>
    <w:multiLevelType w:val="hybridMultilevel"/>
    <w:tmpl w:val="6658B76C"/>
    <w:lvl w:ilvl="0" w:tplc="536CD69C">
      <w:start w:val="1"/>
      <w:numFmt w:val="bullet"/>
      <w:lvlText w:val="-"/>
      <w:lvlJc w:val="left"/>
      <w:pPr>
        <w:ind w:left="720" w:hanging="360"/>
      </w:pPr>
      <w:rPr>
        <w:rFonts w:ascii="Aptos" w:hAnsi="Aptos" w:hint="default"/>
      </w:rPr>
    </w:lvl>
    <w:lvl w:ilvl="1" w:tplc="D5A6D1A2">
      <w:start w:val="1"/>
      <w:numFmt w:val="bullet"/>
      <w:lvlText w:val="o"/>
      <w:lvlJc w:val="left"/>
      <w:pPr>
        <w:ind w:left="1440" w:hanging="360"/>
      </w:pPr>
      <w:rPr>
        <w:rFonts w:ascii="Courier New" w:hAnsi="Courier New" w:hint="default"/>
      </w:rPr>
    </w:lvl>
    <w:lvl w:ilvl="2" w:tplc="EB98B69A">
      <w:start w:val="1"/>
      <w:numFmt w:val="bullet"/>
      <w:lvlText w:val=""/>
      <w:lvlJc w:val="left"/>
      <w:pPr>
        <w:ind w:left="2160" w:hanging="360"/>
      </w:pPr>
      <w:rPr>
        <w:rFonts w:ascii="Wingdings" w:hAnsi="Wingdings" w:hint="default"/>
      </w:rPr>
    </w:lvl>
    <w:lvl w:ilvl="3" w:tplc="AE48ADAA">
      <w:start w:val="1"/>
      <w:numFmt w:val="bullet"/>
      <w:lvlText w:val=""/>
      <w:lvlJc w:val="left"/>
      <w:pPr>
        <w:ind w:left="2880" w:hanging="360"/>
      </w:pPr>
      <w:rPr>
        <w:rFonts w:ascii="Symbol" w:hAnsi="Symbol" w:hint="default"/>
      </w:rPr>
    </w:lvl>
    <w:lvl w:ilvl="4" w:tplc="E72039D0">
      <w:start w:val="1"/>
      <w:numFmt w:val="bullet"/>
      <w:lvlText w:val="o"/>
      <w:lvlJc w:val="left"/>
      <w:pPr>
        <w:ind w:left="3600" w:hanging="360"/>
      </w:pPr>
      <w:rPr>
        <w:rFonts w:ascii="Courier New" w:hAnsi="Courier New" w:hint="default"/>
      </w:rPr>
    </w:lvl>
    <w:lvl w:ilvl="5" w:tplc="51ACCA98">
      <w:start w:val="1"/>
      <w:numFmt w:val="bullet"/>
      <w:lvlText w:val=""/>
      <w:lvlJc w:val="left"/>
      <w:pPr>
        <w:ind w:left="4320" w:hanging="360"/>
      </w:pPr>
      <w:rPr>
        <w:rFonts w:ascii="Wingdings" w:hAnsi="Wingdings" w:hint="default"/>
      </w:rPr>
    </w:lvl>
    <w:lvl w:ilvl="6" w:tplc="D17643FE">
      <w:start w:val="1"/>
      <w:numFmt w:val="bullet"/>
      <w:lvlText w:val=""/>
      <w:lvlJc w:val="left"/>
      <w:pPr>
        <w:ind w:left="5040" w:hanging="360"/>
      </w:pPr>
      <w:rPr>
        <w:rFonts w:ascii="Symbol" w:hAnsi="Symbol" w:hint="default"/>
      </w:rPr>
    </w:lvl>
    <w:lvl w:ilvl="7" w:tplc="C434B860">
      <w:start w:val="1"/>
      <w:numFmt w:val="bullet"/>
      <w:lvlText w:val="o"/>
      <w:lvlJc w:val="left"/>
      <w:pPr>
        <w:ind w:left="5760" w:hanging="360"/>
      </w:pPr>
      <w:rPr>
        <w:rFonts w:ascii="Courier New" w:hAnsi="Courier New" w:hint="default"/>
      </w:rPr>
    </w:lvl>
    <w:lvl w:ilvl="8" w:tplc="E1040B74">
      <w:start w:val="1"/>
      <w:numFmt w:val="bullet"/>
      <w:lvlText w:val=""/>
      <w:lvlJc w:val="left"/>
      <w:pPr>
        <w:ind w:left="6480" w:hanging="360"/>
      </w:pPr>
      <w:rPr>
        <w:rFonts w:ascii="Wingdings" w:hAnsi="Wingdings" w:hint="default"/>
      </w:rPr>
    </w:lvl>
  </w:abstractNum>
  <w:abstractNum w:abstractNumId="37" w15:restartNumberingAfterBreak="0">
    <w:nsid w:val="2E3D1D18"/>
    <w:multiLevelType w:val="multilevel"/>
    <w:tmpl w:val="D2602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5B1EA6"/>
    <w:multiLevelType w:val="hybridMultilevel"/>
    <w:tmpl w:val="DC380AFE"/>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5C202C8"/>
    <w:multiLevelType w:val="hybridMultilevel"/>
    <w:tmpl w:val="C6122C5E"/>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39E13075"/>
    <w:multiLevelType w:val="hybridMultilevel"/>
    <w:tmpl w:val="749636FE"/>
    <w:lvl w:ilvl="0" w:tplc="3722638C">
      <w:start w:val="1"/>
      <w:numFmt w:val="lowerLetter"/>
      <w:lvlText w:val="%1)"/>
      <w:lvlJc w:val="left"/>
      <w:pPr>
        <w:ind w:left="1020" w:hanging="360"/>
      </w:pPr>
    </w:lvl>
    <w:lvl w:ilvl="1" w:tplc="5C50E132">
      <w:start w:val="1"/>
      <w:numFmt w:val="lowerLetter"/>
      <w:lvlText w:val="%2)"/>
      <w:lvlJc w:val="left"/>
      <w:pPr>
        <w:ind w:left="1020" w:hanging="360"/>
      </w:pPr>
    </w:lvl>
    <w:lvl w:ilvl="2" w:tplc="C63EE880">
      <w:start w:val="1"/>
      <w:numFmt w:val="lowerLetter"/>
      <w:lvlText w:val="%3)"/>
      <w:lvlJc w:val="left"/>
      <w:pPr>
        <w:ind w:left="1020" w:hanging="360"/>
      </w:pPr>
    </w:lvl>
    <w:lvl w:ilvl="3" w:tplc="3A32E500">
      <w:start w:val="1"/>
      <w:numFmt w:val="lowerLetter"/>
      <w:lvlText w:val="%4)"/>
      <w:lvlJc w:val="left"/>
      <w:pPr>
        <w:ind w:left="1020" w:hanging="360"/>
      </w:pPr>
    </w:lvl>
    <w:lvl w:ilvl="4" w:tplc="BC164B8E">
      <w:start w:val="1"/>
      <w:numFmt w:val="lowerLetter"/>
      <w:lvlText w:val="%5)"/>
      <w:lvlJc w:val="left"/>
      <w:pPr>
        <w:ind w:left="1020" w:hanging="360"/>
      </w:pPr>
    </w:lvl>
    <w:lvl w:ilvl="5" w:tplc="0C660630">
      <w:start w:val="1"/>
      <w:numFmt w:val="lowerLetter"/>
      <w:lvlText w:val="%6)"/>
      <w:lvlJc w:val="left"/>
      <w:pPr>
        <w:ind w:left="1020" w:hanging="360"/>
      </w:pPr>
    </w:lvl>
    <w:lvl w:ilvl="6" w:tplc="B742FA7E">
      <w:start w:val="1"/>
      <w:numFmt w:val="lowerLetter"/>
      <w:lvlText w:val="%7)"/>
      <w:lvlJc w:val="left"/>
      <w:pPr>
        <w:ind w:left="1020" w:hanging="360"/>
      </w:pPr>
    </w:lvl>
    <w:lvl w:ilvl="7" w:tplc="74C673F4">
      <w:start w:val="1"/>
      <w:numFmt w:val="lowerLetter"/>
      <w:lvlText w:val="%8)"/>
      <w:lvlJc w:val="left"/>
      <w:pPr>
        <w:ind w:left="1020" w:hanging="360"/>
      </w:pPr>
    </w:lvl>
    <w:lvl w:ilvl="8" w:tplc="D44A9F5C">
      <w:start w:val="1"/>
      <w:numFmt w:val="lowerLetter"/>
      <w:lvlText w:val="%9)"/>
      <w:lvlJc w:val="left"/>
      <w:pPr>
        <w:ind w:left="1020" w:hanging="360"/>
      </w:pPr>
    </w:lvl>
  </w:abstractNum>
  <w:abstractNum w:abstractNumId="41" w15:restartNumberingAfterBreak="0">
    <w:nsid w:val="39FC2920"/>
    <w:multiLevelType w:val="multilevel"/>
    <w:tmpl w:val="E0440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47050C"/>
    <w:multiLevelType w:val="hybridMultilevel"/>
    <w:tmpl w:val="95DC8E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BEF79F6"/>
    <w:multiLevelType w:val="hybridMultilevel"/>
    <w:tmpl w:val="6376112E"/>
    <w:lvl w:ilvl="0" w:tplc="9174B4A4">
      <w:start w:val="1"/>
      <w:numFmt w:val="bullet"/>
      <w:lvlText w:val=""/>
      <w:lvlJc w:val="left"/>
      <w:pPr>
        <w:ind w:left="1080" w:hanging="360"/>
      </w:pPr>
      <w:rPr>
        <w:rFonts w:ascii="Symbol" w:hAnsi="Symbol"/>
      </w:rPr>
    </w:lvl>
    <w:lvl w:ilvl="1" w:tplc="67362064">
      <w:start w:val="1"/>
      <w:numFmt w:val="bullet"/>
      <w:lvlText w:val=""/>
      <w:lvlJc w:val="left"/>
      <w:pPr>
        <w:ind w:left="1080" w:hanging="360"/>
      </w:pPr>
      <w:rPr>
        <w:rFonts w:ascii="Symbol" w:hAnsi="Symbol"/>
      </w:rPr>
    </w:lvl>
    <w:lvl w:ilvl="2" w:tplc="064E26B2">
      <w:start w:val="1"/>
      <w:numFmt w:val="bullet"/>
      <w:lvlText w:val=""/>
      <w:lvlJc w:val="left"/>
      <w:pPr>
        <w:ind w:left="1080" w:hanging="360"/>
      </w:pPr>
      <w:rPr>
        <w:rFonts w:ascii="Symbol" w:hAnsi="Symbol"/>
      </w:rPr>
    </w:lvl>
    <w:lvl w:ilvl="3" w:tplc="FB08216A">
      <w:start w:val="1"/>
      <w:numFmt w:val="bullet"/>
      <w:lvlText w:val=""/>
      <w:lvlJc w:val="left"/>
      <w:pPr>
        <w:ind w:left="1080" w:hanging="360"/>
      </w:pPr>
      <w:rPr>
        <w:rFonts w:ascii="Symbol" w:hAnsi="Symbol"/>
      </w:rPr>
    </w:lvl>
    <w:lvl w:ilvl="4" w:tplc="363ACDEE">
      <w:start w:val="1"/>
      <w:numFmt w:val="bullet"/>
      <w:lvlText w:val=""/>
      <w:lvlJc w:val="left"/>
      <w:pPr>
        <w:ind w:left="1080" w:hanging="360"/>
      </w:pPr>
      <w:rPr>
        <w:rFonts w:ascii="Symbol" w:hAnsi="Symbol"/>
      </w:rPr>
    </w:lvl>
    <w:lvl w:ilvl="5" w:tplc="A21A61D6">
      <w:start w:val="1"/>
      <w:numFmt w:val="bullet"/>
      <w:lvlText w:val=""/>
      <w:lvlJc w:val="left"/>
      <w:pPr>
        <w:ind w:left="1080" w:hanging="360"/>
      </w:pPr>
      <w:rPr>
        <w:rFonts w:ascii="Symbol" w:hAnsi="Symbol"/>
      </w:rPr>
    </w:lvl>
    <w:lvl w:ilvl="6" w:tplc="D62E300A">
      <w:start w:val="1"/>
      <w:numFmt w:val="bullet"/>
      <w:lvlText w:val=""/>
      <w:lvlJc w:val="left"/>
      <w:pPr>
        <w:ind w:left="1080" w:hanging="360"/>
      </w:pPr>
      <w:rPr>
        <w:rFonts w:ascii="Symbol" w:hAnsi="Symbol"/>
      </w:rPr>
    </w:lvl>
    <w:lvl w:ilvl="7" w:tplc="6422D040">
      <w:start w:val="1"/>
      <w:numFmt w:val="bullet"/>
      <w:lvlText w:val=""/>
      <w:lvlJc w:val="left"/>
      <w:pPr>
        <w:ind w:left="1080" w:hanging="360"/>
      </w:pPr>
      <w:rPr>
        <w:rFonts w:ascii="Symbol" w:hAnsi="Symbol"/>
      </w:rPr>
    </w:lvl>
    <w:lvl w:ilvl="8" w:tplc="AE826430">
      <w:start w:val="1"/>
      <w:numFmt w:val="bullet"/>
      <w:lvlText w:val=""/>
      <w:lvlJc w:val="left"/>
      <w:pPr>
        <w:ind w:left="1080" w:hanging="360"/>
      </w:pPr>
      <w:rPr>
        <w:rFonts w:ascii="Symbol" w:hAnsi="Symbol"/>
      </w:rPr>
    </w:lvl>
  </w:abstractNum>
  <w:abstractNum w:abstractNumId="44" w15:restartNumberingAfterBreak="0">
    <w:nsid w:val="3D35650B"/>
    <w:multiLevelType w:val="hybridMultilevel"/>
    <w:tmpl w:val="6860B726"/>
    <w:lvl w:ilvl="0" w:tplc="B8F2CAC2">
      <w:start w:val="1"/>
      <w:numFmt w:val="lowerLetter"/>
      <w:lvlText w:val="%1)"/>
      <w:lvlJc w:val="left"/>
      <w:pPr>
        <w:ind w:left="1020" w:hanging="360"/>
      </w:pPr>
    </w:lvl>
    <w:lvl w:ilvl="1" w:tplc="0B4243AE">
      <w:start w:val="1"/>
      <w:numFmt w:val="lowerLetter"/>
      <w:lvlText w:val="%2)"/>
      <w:lvlJc w:val="left"/>
      <w:pPr>
        <w:ind w:left="1020" w:hanging="360"/>
      </w:pPr>
    </w:lvl>
    <w:lvl w:ilvl="2" w:tplc="EA24FB1E">
      <w:start w:val="1"/>
      <w:numFmt w:val="lowerLetter"/>
      <w:lvlText w:val="%3)"/>
      <w:lvlJc w:val="left"/>
      <w:pPr>
        <w:ind w:left="1020" w:hanging="360"/>
      </w:pPr>
    </w:lvl>
    <w:lvl w:ilvl="3" w:tplc="37ECA0A6">
      <w:start w:val="1"/>
      <w:numFmt w:val="lowerLetter"/>
      <w:lvlText w:val="%4)"/>
      <w:lvlJc w:val="left"/>
      <w:pPr>
        <w:ind w:left="1020" w:hanging="360"/>
      </w:pPr>
    </w:lvl>
    <w:lvl w:ilvl="4" w:tplc="AEE63A92">
      <w:start w:val="1"/>
      <w:numFmt w:val="lowerLetter"/>
      <w:lvlText w:val="%5)"/>
      <w:lvlJc w:val="left"/>
      <w:pPr>
        <w:ind w:left="1020" w:hanging="360"/>
      </w:pPr>
    </w:lvl>
    <w:lvl w:ilvl="5" w:tplc="633439E0">
      <w:start w:val="1"/>
      <w:numFmt w:val="lowerLetter"/>
      <w:lvlText w:val="%6)"/>
      <w:lvlJc w:val="left"/>
      <w:pPr>
        <w:ind w:left="1020" w:hanging="360"/>
      </w:pPr>
    </w:lvl>
    <w:lvl w:ilvl="6" w:tplc="9BD02A98">
      <w:start w:val="1"/>
      <w:numFmt w:val="lowerLetter"/>
      <w:lvlText w:val="%7)"/>
      <w:lvlJc w:val="left"/>
      <w:pPr>
        <w:ind w:left="1020" w:hanging="360"/>
      </w:pPr>
    </w:lvl>
    <w:lvl w:ilvl="7" w:tplc="67CEC09E">
      <w:start w:val="1"/>
      <w:numFmt w:val="lowerLetter"/>
      <w:lvlText w:val="%8)"/>
      <w:lvlJc w:val="left"/>
      <w:pPr>
        <w:ind w:left="1020" w:hanging="360"/>
      </w:pPr>
    </w:lvl>
    <w:lvl w:ilvl="8" w:tplc="10D4D5B8">
      <w:start w:val="1"/>
      <w:numFmt w:val="lowerLetter"/>
      <w:lvlText w:val="%9)"/>
      <w:lvlJc w:val="left"/>
      <w:pPr>
        <w:ind w:left="1020" w:hanging="360"/>
      </w:pPr>
    </w:lvl>
  </w:abstractNum>
  <w:abstractNum w:abstractNumId="45" w15:restartNumberingAfterBreak="0">
    <w:nsid w:val="3DE54D36"/>
    <w:multiLevelType w:val="multilevel"/>
    <w:tmpl w:val="C48256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3F5849BF"/>
    <w:multiLevelType w:val="multilevel"/>
    <w:tmpl w:val="EE82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8931C5"/>
    <w:multiLevelType w:val="hybridMultilevel"/>
    <w:tmpl w:val="FC8E64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3054753"/>
    <w:multiLevelType w:val="hybridMultilevel"/>
    <w:tmpl w:val="31445D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45435254"/>
    <w:multiLevelType w:val="hybridMultilevel"/>
    <w:tmpl w:val="5B60DAF0"/>
    <w:lvl w:ilvl="0" w:tplc="A9BC45A4">
      <w:start w:val="1"/>
      <w:numFmt w:val="lowerLetter"/>
      <w:lvlText w:val="%1)"/>
      <w:lvlJc w:val="left"/>
      <w:pPr>
        <w:ind w:left="1020" w:hanging="360"/>
      </w:pPr>
    </w:lvl>
    <w:lvl w:ilvl="1" w:tplc="3BA23E4E">
      <w:start w:val="1"/>
      <w:numFmt w:val="lowerLetter"/>
      <w:lvlText w:val="%2)"/>
      <w:lvlJc w:val="left"/>
      <w:pPr>
        <w:ind w:left="1020" w:hanging="360"/>
      </w:pPr>
    </w:lvl>
    <w:lvl w:ilvl="2" w:tplc="A88802CE">
      <w:start w:val="1"/>
      <w:numFmt w:val="lowerLetter"/>
      <w:lvlText w:val="%3)"/>
      <w:lvlJc w:val="left"/>
      <w:pPr>
        <w:ind w:left="1020" w:hanging="360"/>
      </w:pPr>
    </w:lvl>
    <w:lvl w:ilvl="3" w:tplc="ED7AE614">
      <w:start w:val="1"/>
      <w:numFmt w:val="lowerLetter"/>
      <w:lvlText w:val="%4)"/>
      <w:lvlJc w:val="left"/>
      <w:pPr>
        <w:ind w:left="1020" w:hanging="360"/>
      </w:pPr>
    </w:lvl>
    <w:lvl w:ilvl="4" w:tplc="142080D8">
      <w:start w:val="1"/>
      <w:numFmt w:val="lowerLetter"/>
      <w:lvlText w:val="%5)"/>
      <w:lvlJc w:val="left"/>
      <w:pPr>
        <w:ind w:left="1020" w:hanging="360"/>
      </w:pPr>
    </w:lvl>
    <w:lvl w:ilvl="5" w:tplc="6E4CDB7C">
      <w:start w:val="1"/>
      <w:numFmt w:val="lowerLetter"/>
      <w:lvlText w:val="%6)"/>
      <w:lvlJc w:val="left"/>
      <w:pPr>
        <w:ind w:left="1020" w:hanging="360"/>
      </w:pPr>
    </w:lvl>
    <w:lvl w:ilvl="6" w:tplc="CB74C184">
      <w:start w:val="1"/>
      <w:numFmt w:val="lowerLetter"/>
      <w:lvlText w:val="%7)"/>
      <w:lvlJc w:val="left"/>
      <w:pPr>
        <w:ind w:left="1020" w:hanging="360"/>
      </w:pPr>
    </w:lvl>
    <w:lvl w:ilvl="7" w:tplc="8D22C74C">
      <w:start w:val="1"/>
      <w:numFmt w:val="lowerLetter"/>
      <w:lvlText w:val="%8)"/>
      <w:lvlJc w:val="left"/>
      <w:pPr>
        <w:ind w:left="1020" w:hanging="360"/>
      </w:pPr>
    </w:lvl>
    <w:lvl w:ilvl="8" w:tplc="49D26D46">
      <w:start w:val="1"/>
      <w:numFmt w:val="lowerLetter"/>
      <w:lvlText w:val="%9)"/>
      <w:lvlJc w:val="left"/>
      <w:pPr>
        <w:ind w:left="1020" w:hanging="360"/>
      </w:pPr>
    </w:lvl>
  </w:abstractNum>
  <w:abstractNum w:abstractNumId="50" w15:restartNumberingAfterBreak="0">
    <w:nsid w:val="4619692C"/>
    <w:multiLevelType w:val="hybridMultilevel"/>
    <w:tmpl w:val="E252F1C8"/>
    <w:lvl w:ilvl="0" w:tplc="8556ADD2">
      <w:start w:val="1"/>
      <w:numFmt w:val="decimal"/>
      <w:lvlText w:val="(%1)"/>
      <w:lvlJc w:val="left"/>
      <w:pPr>
        <w:ind w:left="1140" w:hanging="4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15:restartNumberingAfterBreak="0">
    <w:nsid w:val="469D2720"/>
    <w:multiLevelType w:val="multilevel"/>
    <w:tmpl w:val="586E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3036ED"/>
    <w:multiLevelType w:val="hybridMultilevel"/>
    <w:tmpl w:val="B1F81F4E"/>
    <w:lvl w:ilvl="0" w:tplc="747C1858">
      <w:start w:val="1"/>
      <w:numFmt w:val="bullet"/>
      <w:lvlText w:val=""/>
      <w:lvlJc w:val="left"/>
      <w:pPr>
        <w:ind w:left="1440" w:hanging="360"/>
      </w:pPr>
      <w:rPr>
        <w:rFonts w:ascii="Symbol" w:hAnsi="Symbol"/>
      </w:rPr>
    </w:lvl>
    <w:lvl w:ilvl="1" w:tplc="631E032C">
      <w:start w:val="1"/>
      <w:numFmt w:val="bullet"/>
      <w:lvlText w:val=""/>
      <w:lvlJc w:val="left"/>
      <w:pPr>
        <w:ind w:left="1440" w:hanging="360"/>
      </w:pPr>
      <w:rPr>
        <w:rFonts w:ascii="Symbol" w:hAnsi="Symbol"/>
      </w:rPr>
    </w:lvl>
    <w:lvl w:ilvl="2" w:tplc="F2E862AA">
      <w:start w:val="1"/>
      <w:numFmt w:val="bullet"/>
      <w:lvlText w:val=""/>
      <w:lvlJc w:val="left"/>
      <w:pPr>
        <w:ind w:left="1440" w:hanging="360"/>
      </w:pPr>
      <w:rPr>
        <w:rFonts w:ascii="Symbol" w:hAnsi="Symbol"/>
      </w:rPr>
    </w:lvl>
    <w:lvl w:ilvl="3" w:tplc="9F1C9E82">
      <w:start w:val="1"/>
      <w:numFmt w:val="bullet"/>
      <w:lvlText w:val=""/>
      <w:lvlJc w:val="left"/>
      <w:pPr>
        <w:ind w:left="1440" w:hanging="360"/>
      </w:pPr>
      <w:rPr>
        <w:rFonts w:ascii="Symbol" w:hAnsi="Symbol"/>
      </w:rPr>
    </w:lvl>
    <w:lvl w:ilvl="4" w:tplc="60F2B24C">
      <w:start w:val="1"/>
      <w:numFmt w:val="bullet"/>
      <w:lvlText w:val=""/>
      <w:lvlJc w:val="left"/>
      <w:pPr>
        <w:ind w:left="1440" w:hanging="360"/>
      </w:pPr>
      <w:rPr>
        <w:rFonts w:ascii="Symbol" w:hAnsi="Symbol"/>
      </w:rPr>
    </w:lvl>
    <w:lvl w:ilvl="5" w:tplc="A934AF74">
      <w:start w:val="1"/>
      <w:numFmt w:val="bullet"/>
      <w:lvlText w:val=""/>
      <w:lvlJc w:val="left"/>
      <w:pPr>
        <w:ind w:left="1440" w:hanging="360"/>
      </w:pPr>
      <w:rPr>
        <w:rFonts w:ascii="Symbol" w:hAnsi="Symbol"/>
      </w:rPr>
    </w:lvl>
    <w:lvl w:ilvl="6" w:tplc="7C2E90EA">
      <w:start w:val="1"/>
      <w:numFmt w:val="bullet"/>
      <w:lvlText w:val=""/>
      <w:lvlJc w:val="left"/>
      <w:pPr>
        <w:ind w:left="1440" w:hanging="360"/>
      </w:pPr>
      <w:rPr>
        <w:rFonts w:ascii="Symbol" w:hAnsi="Symbol"/>
      </w:rPr>
    </w:lvl>
    <w:lvl w:ilvl="7" w:tplc="F070B3F4">
      <w:start w:val="1"/>
      <w:numFmt w:val="bullet"/>
      <w:lvlText w:val=""/>
      <w:lvlJc w:val="left"/>
      <w:pPr>
        <w:ind w:left="1440" w:hanging="360"/>
      </w:pPr>
      <w:rPr>
        <w:rFonts w:ascii="Symbol" w:hAnsi="Symbol"/>
      </w:rPr>
    </w:lvl>
    <w:lvl w:ilvl="8" w:tplc="47784280">
      <w:start w:val="1"/>
      <w:numFmt w:val="bullet"/>
      <w:lvlText w:val=""/>
      <w:lvlJc w:val="left"/>
      <w:pPr>
        <w:ind w:left="1440" w:hanging="360"/>
      </w:pPr>
      <w:rPr>
        <w:rFonts w:ascii="Symbol" w:hAnsi="Symbol"/>
      </w:rPr>
    </w:lvl>
  </w:abstractNum>
  <w:abstractNum w:abstractNumId="53" w15:restartNumberingAfterBreak="0">
    <w:nsid w:val="4989594D"/>
    <w:multiLevelType w:val="hybridMultilevel"/>
    <w:tmpl w:val="492204A2"/>
    <w:lvl w:ilvl="0" w:tplc="080C0001">
      <w:start w:val="1"/>
      <w:numFmt w:val="bullet"/>
      <w:lvlText w:val=""/>
      <w:lvlJc w:val="left"/>
      <w:pPr>
        <w:ind w:left="732" w:hanging="360"/>
      </w:pPr>
      <w:rPr>
        <w:rFonts w:ascii="Symbol" w:hAnsi="Symbol" w:hint="default"/>
      </w:rPr>
    </w:lvl>
    <w:lvl w:ilvl="1" w:tplc="080C0003" w:tentative="1">
      <w:start w:val="1"/>
      <w:numFmt w:val="bullet"/>
      <w:lvlText w:val="o"/>
      <w:lvlJc w:val="left"/>
      <w:pPr>
        <w:ind w:left="1452" w:hanging="360"/>
      </w:pPr>
      <w:rPr>
        <w:rFonts w:ascii="Courier New" w:hAnsi="Courier New" w:cs="Courier New" w:hint="default"/>
      </w:rPr>
    </w:lvl>
    <w:lvl w:ilvl="2" w:tplc="080C0005" w:tentative="1">
      <w:start w:val="1"/>
      <w:numFmt w:val="bullet"/>
      <w:lvlText w:val=""/>
      <w:lvlJc w:val="left"/>
      <w:pPr>
        <w:ind w:left="2172" w:hanging="360"/>
      </w:pPr>
      <w:rPr>
        <w:rFonts w:ascii="Wingdings" w:hAnsi="Wingdings" w:hint="default"/>
      </w:rPr>
    </w:lvl>
    <w:lvl w:ilvl="3" w:tplc="080C0001" w:tentative="1">
      <w:start w:val="1"/>
      <w:numFmt w:val="bullet"/>
      <w:lvlText w:val=""/>
      <w:lvlJc w:val="left"/>
      <w:pPr>
        <w:ind w:left="2892" w:hanging="360"/>
      </w:pPr>
      <w:rPr>
        <w:rFonts w:ascii="Symbol" w:hAnsi="Symbol" w:hint="default"/>
      </w:rPr>
    </w:lvl>
    <w:lvl w:ilvl="4" w:tplc="080C0003" w:tentative="1">
      <w:start w:val="1"/>
      <w:numFmt w:val="bullet"/>
      <w:lvlText w:val="o"/>
      <w:lvlJc w:val="left"/>
      <w:pPr>
        <w:ind w:left="3612" w:hanging="360"/>
      </w:pPr>
      <w:rPr>
        <w:rFonts w:ascii="Courier New" w:hAnsi="Courier New" w:cs="Courier New" w:hint="default"/>
      </w:rPr>
    </w:lvl>
    <w:lvl w:ilvl="5" w:tplc="080C0005" w:tentative="1">
      <w:start w:val="1"/>
      <w:numFmt w:val="bullet"/>
      <w:lvlText w:val=""/>
      <w:lvlJc w:val="left"/>
      <w:pPr>
        <w:ind w:left="4332" w:hanging="360"/>
      </w:pPr>
      <w:rPr>
        <w:rFonts w:ascii="Wingdings" w:hAnsi="Wingdings" w:hint="default"/>
      </w:rPr>
    </w:lvl>
    <w:lvl w:ilvl="6" w:tplc="080C0001" w:tentative="1">
      <w:start w:val="1"/>
      <w:numFmt w:val="bullet"/>
      <w:lvlText w:val=""/>
      <w:lvlJc w:val="left"/>
      <w:pPr>
        <w:ind w:left="5052" w:hanging="360"/>
      </w:pPr>
      <w:rPr>
        <w:rFonts w:ascii="Symbol" w:hAnsi="Symbol" w:hint="default"/>
      </w:rPr>
    </w:lvl>
    <w:lvl w:ilvl="7" w:tplc="080C0003" w:tentative="1">
      <w:start w:val="1"/>
      <w:numFmt w:val="bullet"/>
      <w:lvlText w:val="o"/>
      <w:lvlJc w:val="left"/>
      <w:pPr>
        <w:ind w:left="5772" w:hanging="360"/>
      </w:pPr>
      <w:rPr>
        <w:rFonts w:ascii="Courier New" w:hAnsi="Courier New" w:cs="Courier New" w:hint="default"/>
      </w:rPr>
    </w:lvl>
    <w:lvl w:ilvl="8" w:tplc="080C0005" w:tentative="1">
      <w:start w:val="1"/>
      <w:numFmt w:val="bullet"/>
      <w:lvlText w:val=""/>
      <w:lvlJc w:val="left"/>
      <w:pPr>
        <w:ind w:left="6492" w:hanging="360"/>
      </w:pPr>
      <w:rPr>
        <w:rFonts w:ascii="Wingdings" w:hAnsi="Wingdings" w:hint="default"/>
      </w:rPr>
    </w:lvl>
  </w:abstractNum>
  <w:abstractNum w:abstractNumId="54" w15:restartNumberingAfterBreak="0">
    <w:nsid w:val="4B2E79E9"/>
    <w:multiLevelType w:val="hybridMultilevel"/>
    <w:tmpl w:val="7BC0E01C"/>
    <w:lvl w:ilvl="0" w:tplc="14CE81AE">
      <w:start w:val="1"/>
      <w:numFmt w:val="lowerRoman"/>
      <w:lvlText w:val="%1)"/>
      <w:lvlJc w:val="right"/>
      <w:pPr>
        <w:ind w:left="720" w:hanging="360"/>
      </w:pPr>
    </w:lvl>
    <w:lvl w:ilvl="1" w:tplc="83FE257A">
      <w:start w:val="1"/>
      <w:numFmt w:val="lowerRoman"/>
      <w:lvlText w:val="%2)"/>
      <w:lvlJc w:val="right"/>
      <w:pPr>
        <w:ind w:left="720" w:hanging="360"/>
      </w:pPr>
    </w:lvl>
    <w:lvl w:ilvl="2" w:tplc="259642DC">
      <w:start w:val="1"/>
      <w:numFmt w:val="lowerRoman"/>
      <w:lvlText w:val="%3)"/>
      <w:lvlJc w:val="right"/>
      <w:pPr>
        <w:ind w:left="720" w:hanging="360"/>
      </w:pPr>
    </w:lvl>
    <w:lvl w:ilvl="3" w:tplc="47C82894">
      <w:start w:val="1"/>
      <w:numFmt w:val="lowerRoman"/>
      <w:lvlText w:val="%4)"/>
      <w:lvlJc w:val="right"/>
      <w:pPr>
        <w:ind w:left="720" w:hanging="360"/>
      </w:pPr>
    </w:lvl>
    <w:lvl w:ilvl="4" w:tplc="39A01CBE">
      <w:start w:val="1"/>
      <w:numFmt w:val="lowerRoman"/>
      <w:lvlText w:val="%5)"/>
      <w:lvlJc w:val="right"/>
      <w:pPr>
        <w:ind w:left="720" w:hanging="360"/>
      </w:pPr>
    </w:lvl>
    <w:lvl w:ilvl="5" w:tplc="20C0CBB4">
      <w:start w:val="1"/>
      <w:numFmt w:val="lowerRoman"/>
      <w:lvlText w:val="%6)"/>
      <w:lvlJc w:val="right"/>
      <w:pPr>
        <w:ind w:left="720" w:hanging="360"/>
      </w:pPr>
    </w:lvl>
    <w:lvl w:ilvl="6" w:tplc="688C640A">
      <w:start w:val="1"/>
      <w:numFmt w:val="lowerRoman"/>
      <w:lvlText w:val="%7)"/>
      <w:lvlJc w:val="right"/>
      <w:pPr>
        <w:ind w:left="720" w:hanging="360"/>
      </w:pPr>
    </w:lvl>
    <w:lvl w:ilvl="7" w:tplc="4B44D76C">
      <w:start w:val="1"/>
      <w:numFmt w:val="lowerRoman"/>
      <w:lvlText w:val="%8)"/>
      <w:lvlJc w:val="right"/>
      <w:pPr>
        <w:ind w:left="720" w:hanging="360"/>
      </w:pPr>
    </w:lvl>
    <w:lvl w:ilvl="8" w:tplc="F154A83A">
      <w:start w:val="1"/>
      <w:numFmt w:val="lowerRoman"/>
      <w:lvlText w:val="%9)"/>
      <w:lvlJc w:val="right"/>
      <w:pPr>
        <w:ind w:left="720" w:hanging="360"/>
      </w:pPr>
    </w:lvl>
  </w:abstractNum>
  <w:abstractNum w:abstractNumId="55" w15:restartNumberingAfterBreak="0">
    <w:nsid w:val="4F635F0C"/>
    <w:multiLevelType w:val="multilevel"/>
    <w:tmpl w:val="28743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FF370C3"/>
    <w:multiLevelType w:val="hybridMultilevel"/>
    <w:tmpl w:val="598CEB26"/>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57" w15:restartNumberingAfterBreak="0">
    <w:nsid w:val="5066736B"/>
    <w:multiLevelType w:val="hybridMultilevel"/>
    <w:tmpl w:val="AB321EF8"/>
    <w:lvl w:ilvl="0" w:tplc="6B6211EE">
      <w:start w:val="1"/>
      <w:numFmt w:val="bullet"/>
      <w:lvlText w:val="-"/>
      <w:lvlJc w:val="left"/>
      <w:pPr>
        <w:ind w:left="720" w:hanging="360"/>
      </w:pPr>
      <w:rPr>
        <w:rFonts w:ascii="Aptos" w:hAnsi="Aptos" w:hint="default"/>
      </w:rPr>
    </w:lvl>
    <w:lvl w:ilvl="1" w:tplc="2B523A1A">
      <w:start w:val="1"/>
      <w:numFmt w:val="bullet"/>
      <w:lvlText w:val="o"/>
      <w:lvlJc w:val="left"/>
      <w:pPr>
        <w:ind w:left="1440" w:hanging="360"/>
      </w:pPr>
      <w:rPr>
        <w:rFonts w:ascii="Courier New" w:hAnsi="Courier New" w:hint="default"/>
      </w:rPr>
    </w:lvl>
    <w:lvl w:ilvl="2" w:tplc="621055BC">
      <w:start w:val="1"/>
      <w:numFmt w:val="bullet"/>
      <w:lvlText w:val=""/>
      <w:lvlJc w:val="left"/>
      <w:pPr>
        <w:ind w:left="2160" w:hanging="360"/>
      </w:pPr>
      <w:rPr>
        <w:rFonts w:ascii="Wingdings" w:hAnsi="Wingdings" w:hint="default"/>
      </w:rPr>
    </w:lvl>
    <w:lvl w:ilvl="3" w:tplc="6A40A66A">
      <w:start w:val="1"/>
      <w:numFmt w:val="bullet"/>
      <w:lvlText w:val=""/>
      <w:lvlJc w:val="left"/>
      <w:pPr>
        <w:ind w:left="2880" w:hanging="360"/>
      </w:pPr>
      <w:rPr>
        <w:rFonts w:ascii="Symbol" w:hAnsi="Symbol" w:hint="default"/>
      </w:rPr>
    </w:lvl>
    <w:lvl w:ilvl="4" w:tplc="A26A37B4">
      <w:start w:val="1"/>
      <w:numFmt w:val="bullet"/>
      <w:lvlText w:val="o"/>
      <w:lvlJc w:val="left"/>
      <w:pPr>
        <w:ind w:left="3600" w:hanging="360"/>
      </w:pPr>
      <w:rPr>
        <w:rFonts w:ascii="Courier New" w:hAnsi="Courier New" w:hint="default"/>
      </w:rPr>
    </w:lvl>
    <w:lvl w:ilvl="5" w:tplc="68F64554">
      <w:start w:val="1"/>
      <w:numFmt w:val="bullet"/>
      <w:lvlText w:val=""/>
      <w:lvlJc w:val="left"/>
      <w:pPr>
        <w:ind w:left="4320" w:hanging="360"/>
      </w:pPr>
      <w:rPr>
        <w:rFonts w:ascii="Wingdings" w:hAnsi="Wingdings" w:hint="default"/>
      </w:rPr>
    </w:lvl>
    <w:lvl w:ilvl="6" w:tplc="3798434A">
      <w:start w:val="1"/>
      <w:numFmt w:val="bullet"/>
      <w:lvlText w:val=""/>
      <w:lvlJc w:val="left"/>
      <w:pPr>
        <w:ind w:left="5040" w:hanging="360"/>
      </w:pPr>
      <w:rPr>
        <w:rFonts w:ascii="Symbol" w:hAnsi="Symbol" w:hint="default"/>
      </w:rPr>
    </w:lvl>
    <w:lvl w:ilvl="7" w:tplc="C1C4322C">
      <w:start w:val="1"/>
      <w:numFmt w:val="bullet"/>
      <w:lvlText w:val="o"/>
      <w:lvlJc w:val="left"/>
      <w:pPr>
        <w:ind w:left="5760" w:hanging="360"/>
      </w:pPr>
      <w:rPr>
        <w:rFonts w:ascii="Courier New" w:hAnsi="Courier New" w:hint="default"/>
      </w:rPr>
    </w:lvl>
    <w:lvl w:ilvl="8" w:tplc="31063D06">
      <w:start w:val="1"/>
      <w:numFmt w:val="bullet"/>
      <w:lvlText w:val=""/>
      <w:lvlJc w:val="left"/>
      <w:pPr>
        <w:ind w:left="6480" w:hanging="360"/>
      </w:pPr>
      <w:rPr>
        <w:rFonts w:ascii="Wingdings" w:hAnsi="Wingdings" w:hint="default"/>
      </w:rPr>
    </w:lvl>
  </w:abstractNum>
  <w:abstractNum w:abstractNumId="58" w15:restartNumberingAfterBreak="0">
    <w:nsid w:val="51CA7703"/>
    <w:multiLevelType w:val="hybridMultilevel"/>
    <w:tmpl w:val="175EEA5C"/>
    <w:lvl w:ilvl="0" w:tplc="080C0001">
      <w:start w:val="1"/>
      <w:numFmt w:val="bullet"/>
      <w:lvlText w:val=""/>
      <w:lvlJc w:val="left"/>
      <w:pPr>
        <w:ind w:left="729" w:hanging="360"/>
      </w:pPr>
      <w:rPr>
        <w:rFonts w:ascii="Symbol" w:hAnsi="Symbol" w:hint="default"/>
      </w:rPr>
    </w:lvl>
    <w:lvl w:ilvl="1" w:tplc="080C0003" w:tentative="1">
      <w:start w:val="1"/>
      <w:numFmt w:val="bullet"/>
      <w:lvlText w:val="o"/>
      <w:lvlJc w:val="left"/>
      <w:pPr>
        <w:ind w:left="1449" w:hanging="360"/>
      </w:pPr>
      <w:rPr>
        <w:rFonts w:ascii="Courier New" w:hAnsi="Courier New" w:cs="Courier New" w:hint="default"/>
      </w:rPr>
    </w:lvl>
    <w:lvl w:ilvl="2" w:tplc="080C0005" w:tentative="1">
      <w:start w:val="1"/>
      <w:numFmt w:val="bullet"/>
      <w:lvlText w:val=""/>
      <w:lvlJc w:val="left"/>
      <w:pPr>
        <w:ind w:left="2169" w:hanging="360"/>
      </w:pPr>
      <w:rPr>
        <w:rFonts w:ascii="Wingdings" w:hAnsi="Wingdings" w:hint="default"/>
      </w:rPr>
    </w:lvl>
    <w:lvl w:ilvl="3" w:tplc="080C0001" w:tentative="1">
      <w:start w:val="1"/>
      <w:numFmt w:val="bullet"/>
      <w:lvlText w:val=""/>
      <w:lvlJc w:val="left"/>
      <w:pPr>
        <w:ind w:left="2889" w:hanging="360"/>
      </w:pPr>
      <w:rPr>
        <w:rFonts w:ascii="Symbol" w:hAnsi="Symbol" w:hint="default"/>
      </w:rPr>
    </w:lvl>
    <w:lvl w:ilvl="4" w:tplc="080C0003" w:tentative="1">
      <w:start w:val="1"/>
      <w:numFmt w:val="bullet"/>
      <w:lvlText w:val="o"/>
      <w:lvlJc w:val="left"/>
      <w:pPr>
        <w:ind w:left="3609" w:hanging="360"/>
      </w:pPr>
      <w:rPr>
        <w:rFonts w:ascii="Courier New" w:hAnsi="Courier New" w:cs="Courier New" w:hint="default"/>
      </w:rPr>
    </w:lvl>
    <w:lvl w:ilvl="5" w:tplc="080C0005" w:tentative="1">
      <w:start w:val="1"/>
      <w:numFmt w:val="bullet"/>
      <w:lvlText w:val=""/>
      <w:lvlJc w:val="left"/>
      <w:pPr>
        <w:ind w:left="4329" w:hanging="360"/>
      </w:pPr>
      <w:rPr>
        <w:rFonts w:ascii="Wingdings" w:hAnsi="Wingdings" w:hint="default"/>
      </w:rPr>
    </w:lvl>
    <w:lvl w:ilvl="6" w:tplc="080C0001" w:tentative="1">
      <w:start w:val="1"/>
      <w:numFmt w:val="bullet"/>
      <w:lvlText w:val=""/>
      <w:lvlJc w:val="left"/>
      <w:pPr>
        <w:ind w:left="5049" w:hanging="360"/>
      </w:pPr>
      <w:rPr>
        <w:rFonts w:ascii="Symbol" w:hAnsi="Symbol" w:hint="default"/>
      </w:rPr>
    </w:lvl>
    <w:lvl w:ilvl="7" w:tplc="080C0003" w:tentative="1">
      <w:start w:val="1"/>
      <w:numFmt w:val="bullet"/>
      <w:lvlText w:val="o"/>
      <w:lvlJc w:val="left"/>
      <w:pPr>
        <w:ind w:left="5769" w:hanging="360"/>
      </w:pPr>
      <w:rPr>
        <w:rFonts w:ascii="Courier New" w:hAnsi="Courier New" w:cs="Courier New" w:hint="default"/>
      </w:rPr>
    </w:lvl>
    <w:lvl w:ilvl="8" w:tplc="080C0005" w:tentative="1">
      <w:start w:val="1"/>
      <w:numFmt w:val="bullet"/>
      <w:lvlText w:val=""/>
      <w:lvlJc w:val="left"/>
      <w:pPr>
        <w:ind w:left="6489" w:hanging="360"/>
      </w:pPr>
      <w:rPr>
        <w:rFonts w:ascii="Wingdings" w:hAnsi="Wingdings" w:hint="default"/>
      </w:rPr>
    </w:lvl>
  </w:abstractNum>
  <w:abstractNum w:abstractNumId="59" w15:restartNumberingAfterBreak="0">
    <w:nsid w:val="52414D2C"/>
    <w:multiLevelType w:val="multilevel"/>
    <w:tmpl w:val="AE04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8E676E"/>
    <w:multiLevelType w:val="hybridMultilevel"/>
    <w:tmpl w:val="5A504276"/>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5340152B"/>
    <w:multiLevelType w:val="hybridMultilevel"/>
    <w:tmpl w:val="A0FEAEA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3425FE3"/>
    <w:multiLevelType w:val="hybridMultilevel"/>
    <w:tmpl w:val="869A66E8"/>
    <w:lvl w:ilvl="0" w:tplc="659C9F62">
      <w:start w:val="1"/>
      <w:numFmt w:val="bullet"/>
      <w:lvlText w:val=""/>
      <w:lvlJc w:val="left"/>
      <w:pPr>
        <w:ind w:left="1440" w:hanging="360"/>
      </w:pPr>
      <w:rPr>
        <w:rFonts w:ascii="Symbol" w:hAnsi="Symbol"/>
      </w:rPr>
    </w:lvl>
    <w:lvl w:ilvl="1" w:tplc="191498E0">
      <w:start w:val="1"/>
      <w:numFmt w:val="bullet"/>
      <w:lvlText w:val=""/>
      <w:lvlJc w:val="left"/>
      <w:pPr>
        <w:ind w:left="1440" w:hanging="360"/>
      </w:pPr>
      <w:rPr>
        <w:rFonts w:ascii="Symbol" w:hAnsi="Symbol"/>
      </w:rPr>
    </w:lvl>
    <w:lvl w:ilvl="2" w:tplc="4C96678A">
      <w:start w:val="1"/>
      <w:numFmt w:val="bullet"/>
      <w:lvlText w:val=""/>
      <w:lvlJc w:val="left"/>
      <w:pPr>
        <w:ind w:left="1440" w:hanging="360"/>
      </w:pPr>
      <w:rPr>
        <w:rFonts w:ascii="Symbol" w:hAnsi="Symbol"/>
      </w:rPr>
    </w:lvl>
    <w:lvl w:ilvl="3" w:tplc="A0627EDE">
      <w:start w:val="1"/>
      <w:numFmt w:val="bullet"/>
      <w:lvlText w:val=""/>
      <w:lvlJc w:val="left"/>
      <w:pPr>
        <w:ind w:left="1440" w:hanging="360"/>
      </w:pPr>
      <w:rPr>
        <w:rFonts w:ascii="Symbol" w:hAnsi="Symbol"/>
      </w:rPr>
    </w:lvl>
    <w:lvl w:ilvl="4" w:tplc="A8380802">
      <w:start w:val="1"/>
      <w:numFmt w:val="bullet"/>
      <w:lvlText w:val=""/>
      <w:lvlJc w:val="left"/>
      <w:pPr>
        <w:ind w:left="1440" w:hanging="360"/>
      </w:pPr>
      <w:rPr>
        <w:rFonts w:ascii="Symbol" w:hAnsi="Symbol"/>
      </w:rPr>
    </w:lvl>
    <w:lvl w:ilvl="5" w:tplc="874C0728">
      <w:start w:val="1"/>
      <w:numFmt w:val="bullet"/>
      <w:lvlText w:val=""/>
      <w:lvlJc w:val="left"/>
      <w:pPr>
        <w:ind w:left="1440" w:hanging="360"/>
      </w:pPr>
      <w:rPr>
        <w:rFonts w:ascii="Symbol" w:hAnsi="Symbol"/>
      </w:rPr>
    </w:lvl>
    <w:lvl w:ilvl="6" w:tplc="F8E27D5C">
      <w:start w:val="1"/>
      <w:numFmt w:val="bullet"/>
      <w:lvlText w:val=""/>
      <w:lvlJc w:val="left"/>
      <w:pPr>
        <w:ind w:left="1440" w:hanging="360"/>
      </w:pPr>
      <w:rPr>
        <w:rFonts w:ascii="Symbol" w:hAnsi="Symbol"/>
      </w:rPr>
    </w:lvl>
    <w:lvl w:ilvl="7" w:tplc="CDAA97FC">
      <w:start w:val="1"/>
      <w:numFmt w:val="bullet"/>
      <w:lvlText w:val=""/>
      <w:lvlJc w:val="left"/>
      <w:pPr>
        <w:ind w:left="1440" w:hanging="360"/>
      </w:pPr>
      <w:rPr>
        <w:rFonts w:ascii="Symbol" w:hAnsi="Symbol"/>
      </w:rPr>
    </w:lvl>
    <w:lvl w:ilvl="8" w:tplc="04CC7D36">
      <w:start w:val="1"/>
      <w:numFmt w:val="bullet"/>
      <w:lvlText w:val=""/>
      <w:lvlJc w:val="left"/>
      <w:pPr>
        <w:ind w:left="1440" w:hanging="360"/>
      </w:pPr>
      <w:rPr>
        <w:rFonts w:ascii="Symbol" w:hAnsi="Symbol"/>
      </w:rPr>
    </w:lvl>
  </w:abstractNum>
  <w:abstractNum w:abstractNumId="63" w15:restartNumberingAfterBreak="0">
    <w:nsid w:val="53E8418E"/>
    <w:multiLevelType w:val="hybridMultilevel"/>
    <w:tmpl w:val="28E66E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431F8AF"/>
    <w:multiLevelType w:val="hybridMultilevel"/>
    <w:tmpl w:val="913AD0B0"/>
    <w:lvl w:ilvl="0" w:tplc="6BC4DC98">
      <w:start w:val="1"/>
      <w:numFmt w:val="bullet"/>
      <w:lvlText w:val=""/>
      <w:lvlJc w:val="left"/>
      <w:pPr>
        <w:ind w:left="720" w:hanging="360"/>
      </w:pPr>
      <w:rPr>
        <w:rFonts w:ascii="Symbol" w:hAnsi="Symbol" w:hint="default"/>
      </w:rPr>
    </w:lvl>
    <w:lvl w:ilvl="1" w:tplc="703ADB90">
      <w:start w:val="1"/>
      <w:numFmt w:val="bullet"/>
      <w:lvlText w:val="o"/>
      <w:lvlJc w:val="left"/>
      <w:pPr>
        <w:ind w:left="1440" w:hanging="360"/>
      </w:pPr>
      <w:rPr>
        <w:rFonts w:ascii="Courier New" w:hAnsi="Courier New" w:hint="default"/>
      </w:rPr>
    </w:lvl>
    <w:lvl w:ilvl="2" w:tplc="C004EAFA">
      <w:start w:val="1"/>
      <w:numFmt w:val="bullet"/>
      <w:lvlText w:val=""/>
      <w:lvlJc w:val="left"/>
      <w:pPr>
        <w:ind w:left="2160" w:hanging="360"/>
      </w:pPr>
      <w:rPr>
        <w:rFonts w:ascii="Wingdings" w:hAnsi="Wingdings" w:hint="default"/>
      </w:rPr>
    </w:lvl>
    <w:lvl w:ilvl="3" w:tplc="F6A0F9D2">
      <w:start w:val="1"/>
      <w:numFmt w:val="bullet"/>
      <w:lvlText w:val=""/>
      <w:lvlJc w:val="left"/>
      <w:pPr>
        <w:ind w:left="2880" w:hanging="360"/>
      </w:pPr>
      <w:rPr>
        <w:rFonts w:ascii="Symbol" w:hAnsi="Symbol" w:hint="default"/>
      </w:rPr>
    </w:lvl>
    <w:lvl w:ilvl="4" w:tplc="A0AA13F2">
      <w:start w:val="1"/>
      <w:numFmt w:val="bullet"/>
      <w:lvlText w:val="o"/>
      <w:lvlJc w:val="left"/>
      <w:pPr>
        <w:ind w:left="3600" w:hanging="360"/>
      </w:pPr>
      <w:rPr>
        <w:rFonts w:ascii="Courier New" w:hAnsi="Courier New" w:hint="default"/>
      </w:rPr>
    </w:lvl>
    <w:lvl w:ilvl="5" w:tplc="9A4A7A74">
      <w:start w:val="1"/>
      <w:numFmt w:val="bullet"/>
      <w:lvlText w:val=""/>
      <w:lvlJc w:val="left"/>
      <w:pPr>
        <w:ind w:left="4320" w:hanging="360"/>
      </w:pPr>
      <w:rPr>
        <w:rFonts w:ascii="Wingdings" w:hAnsi="Wingdings" w:hint="default"/>
      </w:rPr>
    </w:lvl>
    <w:lvl w:ilvl="6" w:tplc="40CE85F8">
      <w:start w:val="1"/>
      <w:numFmt w:val="bullet"/>
      <w:lvlText w:val=""/>
      <w:lvlJc w:val="left"/>
      <w:pPr>
        <w:ind w:left="5040" w:hanging="360"/>
      </w:pPr>
      <w:rPr>
        <w:rFonts w:ascii="Symbol" w:hAnsi="Symbol" w:hint="default"/>
      </w:rPr>
    </w:lvl>
    <w:lvl w:ilvl="7" w:tplc="19460F7C">
      <w:start w:val="1"/>
      <w:numFmt w:val="bullet"/>
      <w:lvlText w:val="o"/>
      <w:lvlJc w:val="left"/>
      <w:pPr>
        <w:ind w:left="5760" w:hanging="360"/>
      </w:pPr>
      <w:rPr>
        <w:rFonts w:ascii="Courier New" w:hAnsi="Courier New" w:hint="default"/>
      </w:rPr>
    </w:lvl>
    <w:lvl w:ilvl="8" w:tplc="85A6C870">
      <w:start w:val="1"/>
      <w:numFmt w:val="bullet"/>
      <w:lvlText w:val=""/>
      <w:lvlJc w:val="left"/>
      <w:pPr>
        <w:ind w:left="6480" w:hanging="360"/>
      </w:pPr>
      <w:rPr>
        <w:rFonts w:ascii="Wingdings" w:hAnsi="Wingdings" w:hint="default"/>
      </w:rPr>
    </w:lvl>
  </w:abstractNum>
  <w:abstractNum w:abstractNumId="65" w15:restartNumberingAfterBreak="0">
    <w:nsid w:val="562D4D19"/>
    <w:multiLevelType w:val="hybridMultilevel"/>
    <w:tmpl w:val="DE98006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576C1DD4"/>
    <w:multiLevelType w:val="hybridMultilevel"/>
    <w:tmpl w:val="A0020E48"/>
    <w:lvl w:ilvl="0" w:tplc="A75CEDFC">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7" w15:restartNumberingAfterBreak="0">
    <w:nsid w:val="59B83604"/>
    <w:multiLevelType w:val="hybridMultilevel"/>
    <w:tmpl w:val="70FA84F0"/>
    <w:lvl w:ilvl="0" w:tplc="1809000F">
      <w:start w:val="1"/>
      <w:numFmt w:val="decimal"/>
      <w:lvlText w:val="%1."/>
      <w:lvlJc w:val="left"/>
      <w:pPr>
        <w:ind w:left="720" w:hanging="360"/>
      </w:pPr>
      <w:rPr>
        <w:rFonts w:hint="default"/>
      </w:rPr>
    </w:lvl>
    <w:lvl w:ilvl="1" w:tplc="4D0641DA">
      <w:start w:val="3"/>
      <w:numFmt w:val="bullet"/>
      <w:lvlText w:val="•"/>
      <w:lvlJc w:val="left"/>
      <w:pPr>
        <w:ind w:left="1800" w:hanging="720"/>
      </w:pPr>
      <w:rPr>
        <w:rFonts w:ascii="Aptos" w:eastAsiaTheme="minorHAnsi" w:hAnsi="Apto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9BB1733"/>
    <w:multiLevelType w:val="multilevel"/>
    <w:tmpl w:val="80C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CF1D2A"/>
    <w:multiLevelType w:val="multilevel"/>
    <w:tmpl w:val="246A6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A583C69"/>
    <w:multiLevelType w:val="multilevel"/>
    <w:tmpl w:val="A15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DC55CBE"/>
    <w:multiLevelType w:val="hybridMultilevel"/>
    <w:tmpl w:val="2B5A9D52"/>
    <w:lvl w:ilvl="0" w:tplc="CAAE2312">
      <w:start w:val="1"/>
      <w:numFmt w:val="bullet"/>
      <w:lvlText w:val="-"/>
      <w:lvlJc w:val="left"/>
      <w:pPr>
        <w:ind w:left="720" w:hanging="360"/>
      </w:pPr>
      <w:rPr>
        <w:rFonts w:ascii="Aptos" w:hAnsi="Aptos" w:hint="default"/>
      </w:rPr>
    </w:lvl>
    <w:lvl w:ilvl="1" w:tplc="F120F804">
      <w:start w:val="1"/>
      <w:numFmt w:val="bullet"/>
      <w:lvlText w:val="o"/>
      <w:lvlJc w:val="left"/>
      <w:pPr>
        <w:ind w:left="1440" w:hanging="360"/>
      </w:pPr>
      <w:rPr>
        <w:rFonts w:ascii="Courier New" w:hAnsi="Courier New" w:hint="default"/>
      </w:rPr>
    </w:lvl>
    <w:lvl w:ilvl="2" w:tplc="634E1458">
      <w:start w:val="1"/>
      <w:numFmt w:val="bullet"/>
      <w:lvlText w:val=""/>
      <w:lvlJc w:val="left"/>
      <w:pPr>
        <w:ind w:left="2160" w:hanging="360"/>
      </w:pPr>
      <w:rPr>
        <w:rFonts w:ascii="Wingdings" w:hAnsi="Wingdings" w:hint="default"/>
      </w:rPr>
    </w:lvl>
    <w:lvl w:ilvl="3" w:tplc="D9067868">
      <w:start w:val="1"/>
      <w:numFmt w:val="bullet"/>
      <w:lvlText w:val=""/>
      <w:lvlJc w:val="left"/>
      <w:pPr>
        <w:ind w:left="2880" w:hanging="360"/>
      </w:pPr>
      <w:rPr>
        <w:rFonts w:ascii="Symbol" w:hAnsi="Symbol" w:hint="default"/>
      </w:rPr>
    </w:lvl>
    <w:lvl w:ilvl="4" w:tplc="D45C77F8">
      <w:start w:val="1"/>
      <w:numFmt w:val="bullet"/>
      <w:lvlText w:val="o"/>
      <w:lvlJc w:val="left"/>
      <w:pPr>
        <w:ind w:left="3600" w:hanging="360"/>
      </w:pPr>
      <w:rPr>
        <w:rFonts w:ascii="Courier New" w:hAnsi="Courier New" w:hint="default"/>
      </w:rPr>
    </w:lvl>
    <w:lvl w:ilvl="5" w:tplc="C85CF520">
      <w:start w:val="1"/>
      <w:numFmt w:val="bullet"/>
      <w:lvlText w:val=""/>
      <w:lvlJc w:val="left"/>
      <w:pPr>
        <w:ind w:left="4320" w:hanging="360"/>
      </w:pPr>
      <w:rPr>
        <w:rFonts w:ascii="Wingdings" w:hAnsi="Wingdings" w:hint="default"/>
      </w:rPr>
    </w:lvl>
    <w:lvl w:ilvl="6" w:tplc="6D388284">
      <w:start w:val="1"/>
      <w:numFmt w:val="bullet"/>
      <w:lvlText w:val=""/>
      <w:lvlJc w:val="left"/>
      <w:pPr>
        <w:ind w:left="5040" w:hanging="360"/>
      </w:pPr>
      <w:rPr>
        <w:rFonts w:ascii="Symbol" w:hAnsi="Symbol" w:hint="default"/>
      </w:rPr>
    </w:lvl>
    <w:lvl w:ilvl="7" w:tplc="88022590">
      <w:start w:val="1"/>
      <w:numFmt w:val="bullet"/>
      <w:lvlText w:val="o"/>
      <w:lvlJc w:val="left"/>
      <w:pPr>
        <w:ind w:left="5760" w:hanging="360"/>
      </w:pPr>
      <w:rPr>
        <w:rFonts w:ascii="Courier New" w:hAnsi="Courier New" w:hint="default"/>
      </w:rPr>
    </w:lvl>
    <w:lvl w:ilvl="8" w:tplc="7B20E258">
      <w:start w:val="1"/>
      <w:numFmt w:val="bullet"/>
      <w:lvlText w:val=""/>
      <w:lvlJc w:val="left"/>
      <w:pPr>
        <w:ind w:left="6480" w:hanging="360"/>
      </w:pPr>
      <w:rPr>
        <w:rFonts w:ascii="Wingdings" w:hAnsi="Wingdings" w:hint="default"/>
      </w:rPr>
    </w:lvl>
  </w:abstractNum>
  <w:abstractNum w:abstractNumId="72" w15:restartNumberingAfterBreak="0">
    <w:nsid w:val="5E2745B8"/>
    <w:multiLevelType w:val="hybridMultilevel"/>
    <w:tmpl w:val="E97855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60C22B38"/>
    <w:multiLevelType w:val="hybridMultilevel"/>
    <w:tmpl w:val="63BC853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4" w15:restartNumberingAfterBreak="0">
    <w:nsid w:val="60FF6498"/>
    <w:multiLevelType w:val="hybridMultilevel"/>
    <w:tmpl w:val="CB680264"/>
    <w:lvl w:ilvl="0" w:tplc="080C0001">
      <w:start w:val="1"/>
      <w:numFmt w:val="bullet"/>
      <w:lvlText w:val=""/>
      <w:lvlJc w:val="left"/>
      <w:pPr>
        <w:ind w:left="990" w:hanging="360"/>
      </w:pPr>
      <w:rPr>
        <w:rFonts w:ascii="Symbol" w:hAnsi="Symbol" w:hint="default"/>
      </w:rPr>
    </w:lvl>
    <w:lvl w:ilvl="1" w:tplc="080C0003" w:tentative="1">
      <w:start w:val="1"/>
      <w:numFmt w:val="bullet"/>
      <w:lvlText w:val="o"/>
      <w:lvlJc w:val="left"/>
      <w:pPr>
        <w:ind w:left="1710" w:hanging="360"/>
      </w:pPr>
      <w:rPr>
        <w:rFonts w:ascii="Courier New" w:hAnsi="Courier New" w:cs="Courier New" w:hint="default"/>
      </w:rPr>
    </w:lvl>
    <w:lvl w:ilvl="2" w:tplc="080C0005" w:tentative="1">
      <w:start w:val="1"/>
      <w:numFmt w:val="bullet"/>
      <w:lvlText w:val=""/>
      <w:lvlJc w:val="left"/>
      <w:pPr>
        <w:ind w:left="2430" w:hanging="360"/>
      </w:pPr>
      <w:rPr>
        <w:rFonts w:ascii="Wingdings" w:hAnsi="Wingdings" w:hint="default"/>
      </w:rPr>
    </w:lvl>
    <w:lvl w:ilvl="3" w:tplc="080C0001" w:tentative="1">
      <w:start w:val="1"/>
      <w:numFmt w:val="bullet"/>
      <w:lvlText w:val=""/>
      <w:lvlJc w:val="left"/>
      <w:pPr>
        <w:ind w:left="3150" w:hanging="360"/>
      </w:pPr>
      <w:rPr>
        <w:rFonts w:ascii="Symbol" w:hAnsi="Symbol" w:hint="default"/>
      </w:rPr>
    </w:lvl>
    <w:lvl w:ilvl="4" w:tplc="080C0003" w:tentative="1">
      <w:start w:val="1"/>
      <w:numFmt w:val="bullet"/>
      <w:lvlText w:val="o"/>
      <w:lvlJc w:val="left"/>
      <w:pPr>
        <w:ind w:left="3870" w:hanging="360"/>
      </w:pPr>
      <w:rPr>
        <w:rFonts w:ascii="Courier New" w:hAnsi="Courier New" w:cs="Courier New" w:hint="default"/>
      </w:rPr>
    </w:lvl>
    <w:lvl w:ilvl="5" w:tplc="080C0005" w:tentative="1">
      <w:start w:val="1"/>
      <w:numFmt w:val="bullet"/>
      <w:lvlText w:val=""/>
      <w:lvlJc w:val="left"/>
      <w:pPr>
        <w:ind w:left="4590" w:hanging="360"/>
      </w:pPr>
      <w:rPr>
        <w:rFonts w:ascii="Wingdings" w:hAnsi="Wingdings" w:hint="default"/>
      </w:rPr>
    </w:lvl>
    <w:lvl w:ilvl="6" w:tplc="080C0001" w:tentative="1">
      <w:start w:val="1"/>
      <w:numFmt w:val="bullet"/>
      <w:lvlText w:val=""/>
      <w:lvlJc w:val="left"/>
      <w:pPr>
        <w:ind w:left="5310" w:hanging="360"/>
      </w:pPr>
      <w:rPr>
        <w:rFonts w:ascii="Symbol" w:hAnsi="Symbol" w:hint="default"/>
      </w:rPr>
    </w:lvl>
    <w:lvl w:ilvl="7" w:tplc="080C0003" w:tentative="1">
      <w:start w:val="1"/>
      <w:numFmt w:val="bullet"/>
      <w:lvlText w:val="o"/>
      <w:lvlJc w:val="left"/>
      <w:pPr>
        <w:ind w:left="6030" w:hanging="360"/>
      </w:pPr>
      <w:rPr>
        <w:rFonts w:ascii="Courier New" w:hAnsi="Courier New" w:cs="Courier New" w:hint="default"/>
      </w:rPr>
    </w:lvl>
    <w:lvl w:ilvl="8" w:tplc="080C0005" w:tentative="1">
      <w:start w:val="1"/>
      <w:numFmt w:val="bullet"/>
      <w:lvlText w:val=""/>
      <w:lvlJc w:val="left"/>
      <w:pPr>
        <w:ind w:left="6750" w:hanging="360"/>
      </w:pPr>
      <w:rPr>
        <w:rFonts w:ascii="Wingdings" w:hAnsi="Wingdings" w:hint="default"/>
      </w:rPr>
    </w:lvl>
  </w:abstractNum>
  <w:abstractNum w:abstractNumId="75" w15:restartNumberingAfterBreak="0">
    <w:nsid w:val="62EE1F37"/>
    <w:multiLevelType w:val="hybridMultilevel"/>
    <w:tmpl w:val="8A06B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6" w15:restartNumberingAfterBreak="0">
    <w:nsid w:val="645B4F6A"/>
    <w:multiLevelType w:val="hybridMultilevel"/>
    <w:tmpl w:val="9294B904"/>
    <w:lvl w:ilvl="0" w:tplc="793C59EE">
      <w:start w:val="1"/>
      <w:numFmt w:val="bullet"/>
      <w:lvlText w:val=""/>
      <w:lvlJc w:val="left"/>
      <w:pPr>
        <w:ind w:left="1440" w:hanging="360"/>
      </w:pPr>
      <w:rPr>
        <w:rFonts w:ascii="Symbol" w:hAnsi="Symbol"/>
      </w:rPr>
    </w:lvl>
    <w:lvl w:ilvl="1" w:tplc="53DA21FC">
      <w:start w:val="1"/>
      <w:numFmt w:val="bullet"/>
      <w:lvlText w:val=""/>
      <w:lvlJc w:val="left"/>
      <w:pPr>
        <w:ind w:left="1440" w:hanging="360"/>
      </w:pPr>
      <w:rPr>
        <w:rFonts w:ascii="Symbol" w:hAnsi="Symbol"/>
      </w:rPr>
    </w:lvl>
    <w:lvl w:ilvl="2" w:tplc="2E5AA52E">
      <w:start w:val="1"/>
      <w:numFmt w:val="bullet"/>
      <w:lvlText w:val=""/>
      <w:lvlJc w:val="left"/>
      <w:pPr>
        <w:ind w:left="1440" w:hanging="360"/>
      </w:pPr>
      <w:rPr>
        <w:rFonts w:ascii="Symbol" w:hAnsi="Symbol"/>
      </w:rPr>
    </w:lvl>
    <w:lvl w:ilvl="3" w:tplc="5B0C53A2">
      <w:start w:val="1"/>
      <w:numFmt w:val="bullet"/>
      <w:lvlText w:val=""/>
      <w:lvlJc w:val="left"/>
      <w:pPr>
        <w:ind w:left="1440" w:hanging="360"/>
      </w:pPr>
      <w:rPr>
        <w:rFonts w:ascii="Symbol" w:hAnsi="Symbol"/>
      </w:rPr>
    </w:lvl>
    <w:lvl w:ilvl="4" w:tplc="ED30097A">
      <w:start w:val="1"/>
      <w:numFmt w:val="bullet"/>
      <w:lvlText w:val=""/>
      <w:lvlJc w:val="left"/>
      <w:pPr>
        <w:ind w:left="1440" w:hanging="360"/>
      </w:pPr>
      <w:rPr>
        <w:rFonts w:ascii="Symbol" w:hAnsi="Symbol"/>
      </w:rPr>
    </w:lvl>
    <w:lvl w:ilvl="5" w:tplc="F75E9CBC">
      <w:start w:val="1"/>
      <w:numFmt w:val="bullet"/>
      <w:lvlText w:val=""/>
      <w:lvlJc w:val="left"/>
      <w:pPr>
        <w:ind w:left="1440" w:hanging="360"/>
      </w:pPr>
      <w:rPr>
        <w:rFonts w:ascii="Symbol" w:hAnsi="Symbol"/>
      </w:rPr>
    </w:lvl>
    <w:lvl w:ilvl="6" w:tplc="76842508">
      <w:start w:val="1"/>
      <w:numFmt w:val="bullet"/>
      <w:lvlText w:val=""/>
      <w:lvlJc w:val="left"/>
      <w:pPr>
        <w:ind w:left="1440" w:hanging="360"/>
      </w:pPr>
      <w:rPr>
        <w:rFonts w:ascii="Symbol" w:hAnsi="Symbol"/>
      </w:rPr>
    </w:lvl>
    <w:lvl w:ilvl="7" w:tplc="0A76B6F4">
      <w:start w:val="1"/>
      <w:numFmt w:val="bullet"/>
      <w:lvlText w:val=""/>
      <w:lvlJc w:val="left"/>
      <w:pPr>
        <w:ind w:left="1440" w:hanging="360"/>
      </w:pPr>
      <w:rPr>
        <w:rFonts w:ascii="Symbol" w:hAnsi="Symbol"/>
      </w:rPr>
    </w:lvl>
    <w:lvl w:ilvl="8" w:tplc="641E5A42">
      <w:start w:val="1"/>
      <w:numFmt w:val="bullet"/>
      <w:lvlText w:val=""/>
      <w:lvlJc w:val="left"/>
      <w:pPr>
        <w:ind w:left="1440" w:hanging="360"/>
      </w:pPr>
      <w:rPr>
        <w:rFonts w:ascii="Symbol" w:hAnsi="Symbol"/>
      </w:rPr>
    </w:lvl>
  </w:abstractNum>
  <w:abstractNum w:abstractNumId="77" w15:restartNumberingAfterBreak="0">
    <w:nsid w:val="64FC5F99"/>
    <w:multiLevelType w:val="hybridMultilevel"/>
    <w:tmpl w:val="9A041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06531A"/>
    <w:multiLevelType w:val="hybridMultilevel"/>
    <w:tmpl w:val="8A5A29DE"/>
    <w:lvl w:ilvl="0" w:tplc="6FFECA0A">
      <w:start w:val="1"/>
      <w:numFmt w:val="bullet"/>
      <w:lvlText w:val=""/>
      <w:lvlJc w:val="left"/>
      <w:pPr>
        <w:ind w:left="1440" w:hanging="360"/>
      </w:pPr>
      <w:rPr>
        <w:rFonts w:ascii="Symbol" w:hAnsi="Symbol"/>
      </w:rPr>
    </w:lvl>
    <w:lvl w:ilvl="1" w:tplc="8E8C2430">
      <w:start w:val="1"/>
      <w:numFmt w:val="bullet"/>
      <w:lvlText w:val=""/>
      <w:lvlJc w:val="left"/>
      <w:pPr>
        <w:ind w:left="1440" w:hanging="360"/>
      </w:pPr>
      <w:rPr>
        <w:rFonts w:ascii="Symbol" w:hAnsi="Symbol"/>
      </w:rPr>
    </w:lvl>
    <w:lvl w:ilvl="2" w:tplc="B1884BC6">
      <w:start w:val="1"/>
      <w:numFmt w:val="bullet"/>
      <w:lvlText w:val=""/>
      <w:lvlJc w:val="left"/>
      <w:pPr>
        <w:ind w:left="1440" w:hanging="360"/>
      </w:pPr>
      <w:rPr>
        <w:rFonts w:ascii="Symbol" w:hAnsi="Symbol"/>
      </w:rPr>
    </w:lvl>
    <w:lvl w:ilvl="3" w:tplc="5F42EA52">
      <w:start w:val="1"/>
      <w:numFmt w:val="bullet"/>
      <w:lvlText w:val=""/>
      <w:lvlJc w:val="left"/>
      <w:pPr>
        <w:ind w:left="1440" w:hanging="360"/>
      </w:pPr>
      <w:rPr>
        <w:rFonts w:ascii="Symbol" w:hAnsi="Symbol"/>
      </w:rPr>
    </w:lvl>
    <w:lvl w:ilvl="4" w:tplc="CA940428">
      <w:start w:val="1"/>
      <w:numFmt w:val="bullet"/>
      <w:lvlText w:val=""/>
      <w:lvlJc w:val="left"/>
      <w:pPr>
        <w:ind w:left="1440" w:hanging="360"/>
      </w:pPr>
      <w:rPr>
        <w:rFonts w:ascii="Symbol" w:hAnsi="Symbol"/>
      </w:rPr>
    </w:lvl>
    <w:lvl w:ilvl="5" w:tplc="EFAE74D6">
      <w:start w:val="1"/>
      <w:numFmt w:val="bullet"/>
      <w:lvlText w:val=""/>
      <w:lvlJc w:val="left"/>
      <w:pPr>
        <w:ind w:left="1440" w:hanging="360"/>
      </w:pPr>
      <w:rPr>
        <w:rFonts w:ascii="Symbol" w:hAnsi="Symbol"/>
      </w:rPr>
    </w:lvl>
    <w:lvl w:ilvl="6" w:tplc="95A8BE5E">
      <w:start w:val="1"/>
      <w:numFmt w:val="bullet"/>
      <w:lvlText w:val=""/>
      <w:lvlJc w:val="left"/>
      <w:pPr>
        <w:ind w:left="1440" w:hanging="360"/>
      </w:pPr>
      <w:rPr>
        <w:rFonts w:ascii="Symbol" w:hAnsi="Symbol"/>
      </w:rPr>
    </w:lvl>
    <w:lvl w:ilvl="7" w:tplc="B420AFE8">
      <w:start w:val="1"/>
      <w:numFmt w:val="bullet"/>
      <w:lvlText w:val=""/>
      <w:lvlJc w:val="left"/>
      <w:pPr>
        <w:ind w:left="1440" w:hanging="360"/>
      </w:pPr>
      <w:rPr>
        <w:rFonts w:ascii="Symbol" w:hAnsi="Symbol"/>
      </w:rPr>
    </w:lvl>
    <w:lvl w:ilvl="8" w:tplc="D452FC0E">
      <w:start w:val="1"/>
      <w:numFmt w:val="bullet"/>
      <w:lvlText w:val=""/>
      <w:lvlJc w:val="left"/>
      <w:pPr>
        <w:ind w:left="1440" w:hanging="360"/>
      </w:pPr>
      <w:rPr>
        <w:rFonts w:ascii="Symbol" w:hAnsi="Symbol"/>
      </w:rPr>
    </w:lvl>
  </w:abstractNum>
  <w:abstractNum w:abstractNumId="79" w15:restartNumberingAfterBreak="0">
    <w:nsid w:val="68484D4B"/>
    <w:multiLevelType w:val="hybridMultilevel"/>
    <w:tmpl w:val="F586B906"/>
    <w:lvl w:ilvl="0" w:tplc="A75CEDFC">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687A5FC6"/>
    <w:multiLevelType w:val="multilevel"/>
    <w:tmpl w:val="F1562B42"/>
    <w:lvl w:ilvl="0">
      <w:start w:val="1"/>
      <w:numFmt w:val="bullet"/>
      <w:lvlText w:val=""/>
      <w:lvlJc w:val="left"/>
      <w:pPr>
        <w:tabs>
          <w:tab w:val="num" w:pos="-351"/>
        </w:tabs>
        <w:ind w:left="-351" w:hanging="360"/>
      </w:pPr>
      <w:rPr>
        <w:rFonts w:ascii="Symbol" w:hAnsi="Symbol" w:hint="default"/>
        <w:sz w:val="20"/>
      </w:rPr>
    </w:lvl>
    <w:lvl w:ilvl="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81" w15:restartNumberingAfterBreak="0">
    <w:nsid w:val="6A9C23EE"/>
    <w:multiLevelType w:val="hybridMultilevel"/>
    <w:tmpl w:val="485A0A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2" w15:restartNumberingAfterBreak="0">
    <w:nsid w:val="6ABA42D0"/>
    <w:multiLevelType w:val="hybridMultilevel"/>
    <w:tmpl w:val="DCC638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3" w15:restartNumberingAfterBreak="0">
    <w:nsid w:val="6DDF48DF"/>
    <w:multiLevelType w:val="hybridMultilevel"/>
    <w:tmpl w:val="90885920"/>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6F170D0D"/>
    <w:multiLevelType w:val="hybridMultilevel"/>
    <w:tmpl w:val="C6B81AC4"/>
    <w:lvl w:ilvl="0" w:tplc="56988148">
      <w:start w:val="1"/>
      <w:numFmt w:val="bullet"/>
      <w:lvlText w:val=""/>
      <w:lvlJc w:val="left"/>
      <w:pPr>
        <w:ind w:left="1440" w:hanging="360"/>
      </w:pPr>
      <w:rPr>
        <w:rFonts w:ascii="Symbol" w:hAnsi="Symbol"/>
      </w:rPr>
    </w:lvl>
    <w:lvl w:ilvl="1" w:tplc="3670F85A">
      <w:start w:val="1"/>
      <w:numFmt w:val="bullet"/>
      <w:lvlText w:val=""/>
      <w:lvlJc w:val="left"/>
      <w:pPr>
        <w:ind w:left="1440" w:hanging="360"/>
      </w:pPr>
      <w:rPr>
        <w:rFonts w:ascii="Symbol" w:hAnsi="Symbol"/>
      </w:rPr>
    </w:lvl>
    <w:lvl w:ilvl="2" w:tplc="2FCCF246">
      <w:start w:val="1"/>
      <w:numFmt w:val="bullet"/>
      <w:lvlText w:val=""/>
      <w:lvlJc w:val="left"/>
      <w:pPr>
        <w:ind w:left="1440" w:hanging="360"/>
      </w:pPr>
      <w:rPr>
        <w:rFonts w:ascii="Symbol" w:hAnsi="Symbol"/>
      </w:rPr>
    </w:lvl>
    <w:lvl w:ilvl="3" w:tplc="F7CE51E2">
      <w:start w:val="1"/>
      <w:numFmt w:val="bullet"/>
      <w:lvlText w:val=""/>
      <w:lvlJc w:val="left"/>
      <w:pPr>
        <w:ind w:left="1440" w:hanging="360"/>
      </w:pPr>
      <w:rPr>
        <w:rFonts w:ascii="Symbol" w:hAnsi="Symbol"/>
      </w:rPr>
    </w:lvl>
    <w:lvl w:ilvl="4" w:tplc="B60A1C30">
      <w:start w:val="1"/>
      <w:numFmt w:val="bullet"/>
      <w:lvlText w:val=""/>
      <w:lvlJc w:val="left"/>
      <w:pPr>
        <w:ind w:left="1440" w:hanging="360"/>
      </w:pPr>
      <w:rPr>
        <w:rFonts w:ascii="Symbol" w:hAnsi="Symbol"/>
      </w:rPr>
    </w:lvl>
    <w:lvl w:ilvl="5" w:tplc="BFC6872C">
      <w:start w:val="1"/>
      <w:numFmt w:val="bullet"/>
      <w:lvlText w:val=""/>
      <w:lvlJc w:val="left"/>
      <w:pPr>
        <w:ind w:left="1440" w:hanging="360"/>
      </w:pPr>
      <w:rPr>
        <w:rFonts w:ascii="Symbol" w:hAnsi="Symbol"/>
      </w:rPr>
    </w:lvl>
    <w:lvl w:ilvl="6" w:tplc="15A6F88A">
      <w:start w:val="1"/>
      <w:numFmt w:val="bullet"/>
      <w:lvlText w:val=""/>
      <w:lvlJc w:val="left"/>
      <w:pPr>
        <w:ind w:left="1440" w:hanging="360"/>
      </w:pPr>
      <w:rPr>
        <w:rFonts w:ascii="Symbol" w:hAnsi="Symbol"/>
      </w:rPr>
    </w:lvl>
    <w:lvl w:ilvl="7" w:tplc="5ABE86A0">
      <w:start w:val="1"/>
      <w:numFmt w:val="bullet"/>
      <w:lvlText w:val=""/>
      <w:lvlJc w:val="left"/>
      <w:pPr>
        <w:ind w:left="1440" w:hanging="360"/>
      </w:pPr>
      <w:rPr>
        <w:rFonts w:ascii="Symbol" w:hAnsi="Symbol"/>
      </w:rPr>
    </w:lvl>
    <w:lvl w:ilvl="8" w:tplc="36C48732">
      <w:start w:val="1"/>
      <w:numFmt w:val="bullet"/>
      <w:lvlText w:val=""/>
      <w:lvlJc w:val="left"/>
      <w:pPr>
        <w:ind w:left="1440" w:hanging="360"/>
      </w:pPr>
      <w:rPr>
        <w:rFonts w:ascii="Symbol" w:hAnsi="Symbol"/>
      </w:rPr>
    </w:lvl>
  </w:abstractNum>
  <w:abstractNum w:abstractNumId="85" w15:restartNumberingAfterBreak="0">
    <w:nsid w:val="6FAD035A"/>
    <w:multiLevelType w:val="multilevel"/>
    <w:tmpl w:val="7B9C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3EA2BDA"/>
    <w:multiLevelType w:val="hybridMultilevel"/>
    <w:tmpl w:val="2E0035C0"/>
    <w:lvl w:ilvl="0" w:tplc="08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45532C2"/>
    <w:multiLevelType w:val="multilevel"/>
    <w:tmpl w:val="DB66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7B51E3"/>
    <w:multiLevelType w:val="hybridMultilevel"/>
    <w:tmpl w:val="951CCB4A"/>
    <w:lvl w:ilvl="0" w:tplc="4EBC0AEE">
      <w:start w:val="1"/>
      <w:numFmt w:val="bullet"/>
      <w:lvlText w:val=""/>
      <w:lvlJc w:val="left"/>
      <w:pPr>
        <w:ind w:left="1440" w:hanging="360"/>
      </w:pPr>
      <w:rPr>
        <w:rFonts w:ascii="Symbol" w:hAnsi="Symbol"/>
      </w:rPr>
    </w:lvl>
    <w:lvl w:ilvl="1" w:tplc="B0C2AE42">
      <w:start w:val="1"/>
      <w:numFmt w:val="bullet"/>
      <w:lvlText w:val=""/>
      <w:lvlJc w:val="left"/>
      <w:pPr>
        <w:ind w:left="1440" w:hanging="360"/>
      </w:pPr>
      <w:rPr>
        <w:rFonts w:ascii="Symbol" w:hAnsi="Symbol"/>
      </w:rPr>
    </w:lvl>
    <w:lvl w:ilvl="2" w:tplc="CF0EDF50">
      <w:start w:val="1"/>
      <w:numFmt w:val="bullet"/>
      <w:lvlText w:val=""/>
      <w:lvlJc w:val="left"/>
      <w:pPr>
        <w:ind w:left="1440" w:hanging="360"/>
      </w:pPr>
      <w:rPr>
        <w:rFonts w:ascii="Symbol" w:hAnsi="Symbol"/>
      </w:rPr>
    </w:lvl>
    <w:lvl w:ilvl="3" w:tplc="8F9E0566">
      <w:start w:val="1"/>
      <w:numFmt w:val="bullet"/>
      <w:lvlText w:val=""/>
      <w:lvlJc w:val="left"/>
      <w:pPr>
        <w:ind w:left="1440" w:hanging="360"/>
      </w:pPr>
      <w:rPr>
        <w:rFonts w:ascii="Symbol" w:hAnsi="Symbol"/>
      </w:rPr>
    </w:lvl>
    <w:lvl w:ilvl="4" w:tplc="9618B76C">
      <w:start w:val="1"/>
      <w:numFmt w:val="bullet"/>
      <w:lvlText w:val=""/>
      <w:lvlJc w:val="left"/>
      <w:pPr>
        <w:ind w:left="1440" w:hanging="360"/>
      </w:pPr>
      <w:rPr>
        <w:rFonts w:ascii="Symbol" w:hAnsi="Symbol"/>
      </w:rPr>
    </w:lvl>
    <w:lvl w:ilvl="5" w:tplc="3EACB27C">
      <w:start w:val="1"/>
      <w:numFmt w:val="bullet"/>
      <w:lvlText w:val=""/>
      <w:lvlJc w:val="left"/>
      <w:pPr>
        <w:ind w:left="1440" w:hanging="360"/>
      </w:pPr>
      <w:rPr>
        <w:rFonts w:ascii="Symbol" w:hAnsi="Symbol"/>
      </w:rPr>
    </w:lvl>
    <w:lvl w:ilvl="6" w:tplc="F318A200">
      <w:start w:val="1"/>
      <w:numFmt w:val="bullet"/>
      <w:lvlText w:val=""/>
      <w:lvlJc w:val="left"/>
      <w:pPr>
        <w:ind w:left="1440" w:hanging="360"/>
      </w:pPr>
      <w:rPr>
        <w:rFonts w:ascii="Symbol" w:hAnsi="Symbol"/>
      </w:rPr>
    </w:lvl>
    <w:lvl w:ilvl="7" w:tplc="58206008">
      <w:start w:val="1"/>
      <w:numFmt w:val="bullet"/>
      <w:lvlText w:val=""/>
      <w:lvlJc w:val="left"/>
      <w:pPr>
        <w:ind w:left="1440" w:hanging="360"/>
      </w:pPr>
      <w:rPr>
        <w:rFonts w:ascii="Symbol" w:hAnsi="Symbol"/>
      </w:rPr>
    </w:lvl>
    <w:lvl w:ilvl="8" w:tplc="B1627DF8">
      <w:start w:val="1"/>
      <w:numFmt w:val="bullet"/>
      <w:lvlText w:val=""/>
      <w:lvlJc w:val="left"/>
      <w:pPr>
        <w:ind w:left="1440" w:hanging="360"/>
      </w:pPr>
      <w:rPr>
        <w:rFonts w:ascii="Symbol" w:hAnsi="Symbol"/>
      </w:rPr>
    </w:lvl>
  </w:abstractNum>
  <w:abstractNum w:abstractNumId="89" w15:restartNumberingAfterBreak="0">
    <w:nsid w:val="74B217E0"/>
    <w:multiLevelType w:val="hybridMultilevel"/>
    <w:tmpl w:val="69A2E0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0" w15:restartNumberingAfterBreak="0">
    <w:nsid w:val="76031347"/>
    <w:multiLevelType w:val="hybridMultilevel"/>
    <w:tmpl w:val="63D2C7CA"/>
    <w:lvl w:ilvl="0" w:tplc="2592B1AC">
      <w:start w:val="1"/>
      <w:numFmt w:val="bullet"/>
      <w:lvlText w:val=""/>
      <w:lvlJc w:val="left"/>
      <w:pPr>
        <w:ind w:left="1440" w:hanging="360"/>
      </w:pPr>
      <w:rPr>
        <w:rFonts w:ascii="Symbol" w:hAnsi="Symbol"/>
      </w:rPr>
    </w:lvl>
    <w:lvl w:ilvl="1" w:tplc="B058B8A8">
      <w:start w:val="1"/>
      <w:numFmt w:val="bullet"/>
      <w:lvlText w:val=""/>
      <w:lvlJc w:val="left"/>
      <w:pPr>
        <w:ind w:left="1440" w:hanging="360"/>
      </w:pPr>
      <w:rPr>
        <w:rFonts w:ascii="Symbol" w:hAnsi="Symbol"/>
      </w:rPr>
    </w:lvl>
    <w:lvl w:ilvl="2" w:tplc="7E8AEE3E">
      <w:start w:val="1"/>
      <w:numFmt w:val="bullet"/>
      <w:lvlText w:val=""/>
      <w:lvlJc w:val="left"/>
      <w:pPr>
        <w:ind w:left="1440" w:hanging="360"/>
      </w:pPr>
      <w:rPr>
        <w:rFonts w:ascii="Symbol" w:hAnsi="Symbol"/>
      </w:rPr>
    </w:lvl>
    <w:lvl w:ilvl="3" w:tplc="658071FE">
      <w:start w:val="1"/>
      <w:numFmt w:val="bullet"/>
      <w:lvlText w:val=""/>
      <w:lvlJc w:val="left"/>
      <w:pPr>
        <w:ind w:left="1440" w:hanging="360"/>
      </w:pPr>
      <w:rPr>
        <w:rFonts w:ascii="Symbol" w:hAnsi="Symbol"/>
      </w:rPr>
    </w:lvl>
    <w:lvl w:ilvl="4" w:tplc="B022AA46">
      <w:start w:val="1"/>
      <w:numFmt w:val="bullet"/>
      <w:lvlText w:val=""/>
      <w:lvlJc w:val="left"/>
      <w:pPr>
        <w:ind w:left="1440" w:hanging="360"/>
      </w:pPr>
      <w:rPr>
        <w:rFonts w:ascii="Symbol" w:hAnsi="Symbol"/>
      </w:rPr>
    </w:lvl>
    <w:lvl w:ilvl="5" w:tplc="EDF6AE4A">
      <w:start w:val="1"/>
      <w:numFmt w:val="bullet"/>
      <w:lvlText w:val=""/>
      <w:lvlJc w:val="left"/>
      <w:pPr>
        <w:ind w:left="1440" w:hanging="360"/>
      </w:pPr>
      <w:rPr>
        <w:rFonts w:ascii="Symbol" w:hAnsi="Symbol"/>
      </w:rPr>
    </w:lvl>
    <w:lvl w:ilvl="6" w:tplc="EA846CFC">
      <w:start w:val="1"/>
      <w:numFmt w:val="bullet"/>
      <w:lvlText w:val=""/>
      <w:lvlJc w:val="left"/>
      <w:pPr>
        <w:ind w:left="1440" w:hanging="360"/>
      </w:pPr>
      <w:rPr>
        <w:rFonts w:ascii="Symbol" w:hAnsi="Symbol"/>
      </w:rPr>
    </w:lvl>
    <w:lvl w:ilvl="7" w:tplc="70E8EBCA">
      <w:start w:val="1"/>
      <w:numFmt w:val="bullet"/>
      <w:lvlText w:val=""/>
      <w:lvlJc w:val="left"/>
      <w:pPr>
        <w:ind w:left="1440" w:hanging="360"/>
      </w:pPr>
      <w:rPr>
        <w:rFonts w:ascii="Symbol" w:hAnsi="Symbol"/>
      </w:rPr>
    </w:lvl>
    <w:lvl w:ilvl="8" w:tplc="4B068EF0">
      <w:start w:val="1"/>
      <w:numFmt w:val="bullet"/>
      <w:lvlText w:val=""/>
      <w:lvlJc w:val="left"/>
      <w:pPr>
        <w:ind w:left="1440" w:hanging="360"/>
      </w:pPr>
      <w:rPr>
        <w:rFonts w:ascii="Symbol" w:hAnsi="Symbol"/>
      </w:rPr>
    </w:lvl>
  </w:abstractNum>
  <w:abstractNum w:abstractNumId="91" w15:restartNumberingAfterBreak="0">
    <w:nsid w:val="76A32F26"/>
    <w:multiLevelType w:val="hybridMultilevel"/>
    <w:tmpl w:val="047454D2"/>
    <w:lvl w:ilvl="0" w:tplc="AA668846">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2" w15:restartNumberingAfterBreak="0">
    <w:nsid w:val="78967468"/>
    <w:multiLevelType w:val="hybridMultilevel"/>
    <w:tmpl w:val="B5921CFA"/>
    <w:lvl w:ilvl="0" w:tplc="93440742">
      <w:start w:val="1"/>
      <w:numFmt w:val="decimal"/>
      <w:lvlText w:val="(%1)"/>
      <w:lvlJc w:val="left"/>
      <w:pPr>
        <w:ind w:left="420" w:hanging="360"/>
      </w:pPr>
      <w:rPr>
        <w:rFonts w:hint="default"/>
      </w:rPr>
    </w:lvl>
    <w:lvl w:ilvl="1" w:tplc="080C0019" w:tentative="1">
      <w:start w:val="1"/>
      <w:numFmt w:val="lowerLetter"/>
      <w:lvlText w:val="%2."/>
      <w:lvlJc w:val="left"/>
      <w:pPr>
        <w:ind w:left="1140" w:hanging="360"/>
      </w:pPr>
    </w:lvl>
    <w:lvl w:ilvl="2" w:tplc="080C001B" w:tentative="1">
      <w:start w:val="1"/>
      <w:numFmt w:val="lowerRoman"/>
      <w:lvlText w:val="%3."/>
      <w:lvlJc w:val="right"/>
      <w:pPr>
        <w:ind w:left="1860" w:hanging="180"/>
      </w:pPr>
    </w:lvl>
    <w:lvl w:ilvl="3" w:tplc="080C000F" w:tentative="1">
      <w:start w:val="1"/>
      <w:numFmt w:val="decimal"/>
      <w:lvlText w:val="%4."/>
      <w:lvlJc w:val="left"/>
      <w:pPr>
        <w:ind w:left="2580" w:hanging="360"/>
      </w:pPr>
    </w:lvl>
    <w:lvl w:ilvl="4" w:tplc="080C0019" w:tentative="1">
      <w:start w:val="1"/>
      <w:numFmt w:val="lowerLetter"/>
      <w:lvlText w:val="%5."/>
      <w:lvlJc w:val="left"/>
      <w:pPr>
        <w:ind w:left="3300" w:hanging="360"/>
      </w:pPr>
    </w:lvl>
    <w:lvl w:ilvl="5" w:tplc="080C001B" w:tentative="1">
      <w:start w:val="1"/>
      <w:numFmt w:val="lowerRoman"/>
      <w:lvlText w:val="%6."/>
      <w:lvlJc w:val="right"/>
      <w:pPr>
        <w:ind w:left="4020" w:hanging="180"/>
      </w:pPr>
    </w:lvl>
    <w:lvl w:ilvl="6" w:tplc="080C000F" w:tentative="1">
      <w:start w:val="1"/>
      <w:numFmt w:val="decimal"/>
      <w:lvlText w:val="%7."/>
      <w:lvlJc w:val="left"/>
      <w:pPr>
        <w:ind w:left="4740" w:hanging="360"/>
      </w:pPr>
    </w:lvl>
    <w:lvl w:ilvl="7" w:tplc="080C0019" w:tentative="1">
      <w:start w:val="1"/>
      <w:numFmt w:val="lowerLetter"/>
      <w:lvlText w:val="%8."/>
      <w:lvlJc w:val="left"/>
      <w:pPr>
        <w:ind w:left="5460" w:hanging="360"/>
      </w:pPr>
    </w:lvl>
    <w:lvl w:ilvl="8" w:tplc="080C001B" w:tentative="1">
      <w:start w:val="1"/>
      <w:numFmt w:val="lowerRoman"/>
      <w:lvlText w:val="%9."/>
      <w:lvlJc w:val="right"/>
      <w:pPr>
        <w:ind w:left="6180" w:hanging="180"/>
      </w:pPr>
    </w:lvl>
  </w:abstractNum>
  <w:abstractNum w:abstractNumId="93" w15:restartNumberingAfterBreak="0">
    <w:nsid w:val="78C448C1"/>
    <w:multiLevelType w:val="multilevel"/>
    <w:tmpl w:val="A15E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A667299"/>
    <w:multiLevelType w:val="hybridMultilevel"/>
    <w:tmpl w:val="659EE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C2158BF"/>
    <w:multiLevelType w:val="hybridMultilevel"/>
    <w:tmpl w:val="BA48004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6" w15:restartNumberingAfterBreak="0">
    <w:nsid w:val="7CDA153A"/>
    <w:multiLevelType w:val="multilevel"/>
    <w:tmpl w:val="4F9434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D253DAF"/>
    <w:multiLevelType w:val="hybridMultilevel"/>
    <w:tmpl w:val="511058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8"/>
  </w:num>
  <w:num w:numId="2">
    <w:abstractNumId w:val="4"/>
  </w:num>
  <w:num w:numId="3">
    <w:abstractNumId w:val="41"/>
  </w:num>
  <w:num w:numId="4">
    <w:abstractNumId w:val="58"/>
  </w:num>
  <w:num w:numId="5">
    <w:abstractNumId w:val="86"/>
  </w:num>
  <w:num w:numId="6">
    <w:abstractNumId w:val="12"/>
  </w:num>
  <w:num w:numId="7">
    <w:abstractNumId w:val="20"/>
  </w:num>
  <w:num w:numId="8">
    <w:abstractNumId w:val="95"/>
  </w:num>
  <w:num w:numId="9">
    <w:abstractNumId w:val="11"/>
  </w:num>
  <w:num w:numId="10">
    <w:abstractNumId w:val="97"/>
  </w:num>
  <w:num w:numId="11">
    <w:abstractNumId w:val="32"/>
  </w:num>
  <w:num w:numId="12">
    <w:abstractNumId w:val="73"/>
  </w:num>
  <w:num w:numId="13">
    <w:abstractNumId w:val="92"/>
  </w:num>
  <w:num w:numId="14">
    <w:abstractNumId w:val="47"/>
  </w:num>
  <w:num w:numId="15">
    <w:abstractNumId w:val="72"/>
  </w:num>
  <w:num w:numId="16">
    <w:abstractNumId w:val="26"/>
  </w:num>
  <w:num w:numId="17">
    <w:abstractNumId w:val="29"/>
  </w:num>
  <w:num w:numId="18">
    <w:abstractNumId w:val="23"/>
  </w:num>
  <w:num w:numId="19">
    <w:abstractNumId w:val="2"/>
  </w:num>
  <w:num w:numId="20">
    <w:abstractNumId w:val="31"/>
  </w:num>
  <w:num w:numId="21">
    <w:abstractNumId w:val="83"/>
  </w:num>
  <w:num w:numId="22">
    <w:abstractNumId w:val="38"/>
  </w:num>
  <w:num w:numId="23">
    <w:abstractNumId w:val="17"/>
  </w:num>
  <w:num w:numId="24">
    <w:abstractNumId w:val="61"/>
  </w:num>
  <w:num w:numId="25">
    <w:abstractNumId w:val="36"/>
  </w:num>
  <w:num w:numId="26">
    <w:abstractNumId w:val="71"/>
  </w:num>
  <w:num w:numId="27">
    <w:abstractNumId w:val="57"/>
  </w:num>
  <w:num w:numId="28">
    <w:abstractNumId w:val="64"/>
  </w:num>
  <w:num w:numId="29">
    <w:abstractNumId w:val="24"/>
  </w:num>
  <w:num w:numId="30">
    <w:abstractNumId w:val="15"/>
  </w:num>
  <w:num w:numId="31">
    <w:abstractNumId w:val="85"/>
  </w:num>
  <w:num w:numId="32">
    <w:abstractNumId w:val="1"/>
  </w:num>
  <w:num w:numId="33">
    <w:abstractNumId w:val="45"/>
  </w:num>
  <w:num w:numId="34">
    <w:abstractNumId w:val="55"/>
  </w:num>
  <w:num w:numId="35">
    <w:abstractNumId w:val="69"/>
  </w:num>
  <w:num w:numId="36">
    <w:abstractNumId w:val="34"/>
  </w:num>
  <w:num w:numId="37">
    <w:abstractNumId w:val="59"/>
  </w:num>
  <w:num w:numId="38">
    <w:abstractNumId w:val="94"/>
  </w:num>
  <w:num w:numId="39">
    <w:abstractNumId w:val="3"/>
  </w:num>
  <w:num w:numId="40">
    <w:abstractNumId w:val="37"/>
  </w:num>
  <w:num w:numId="41">
    <w:abstractNumId w:val="10"/>
  </w:num>
  <w:num w:numId="42">
    <w:abstractNumId w:val="21"/>
  </w:num>
  <w:num w:numId="43">
    <w:abstractNumId w:val="51"/>
  </w:num>
  <w:num w:numId="44">
    <w:abstractNumId w:val="70"/>
  </w:num>
  <w:num w:numId="45">
    <w:abstractNumId w:val="46"/>
  </w:num>
  <w:num w:numId="46">
    <w:abstractNumId w:val="6"/>
  </w:num>
  <w:num w:numId="47">
    <w:abstractNumId w:val="93"/>
  </w:num>
  <w:num w:numId="48">
    <w:abstractNumId w:val="28"/>
  </w:num>
  <w:num w:numId="49">
    <w:abstractNumId w:val="13"/>
  </w:num>
  <w:num w:numId="50">
    <w:abstractNumId w:val="43"/>
  </w:num>
  <w:num w:numId="51">
    <w:abstractNumId w:val="42"/>
  </w:num>
  <w:num w:numId="52">
    <w:abstractNumId w:val="5"/>
  </w:num>
  <w:num w:numId="53">
    <w:abstractNumId w:val="9"/>
  </w:num>
  <w:num w:numId="54">
    <w:abstractNumId w:val="77"/>
  </w:num>
  <w:num w:numId="55">
    <w:abstractNumId w:val="80"/>
  </w:num>
  <w:num w:numId="56">
    <w:abstractNumId w:val="53"/>
  </w:num>
  <w:num w:numId="57">
    <w:abstractNumId w:val="65"/>
  </w:num>
  <w:num w:numId="58">
    <w:abstractNumId w:val="63"/>
  </w:num>
  <w:num w:numId="59">
    <w:abstractNumId w:val="54"/>
  </w:num>
  <w:num w:numId="60">
    <w:abstractNumId w:val="18"/>
  </w:num>
  <w:num w:numId="61">
    <w:abstractNumId w:val="91"/>
  </w:num>
  <w:num w:numId="62">
    <w:abstractNumId w:val="60"/>
  </w:num>
  <w:num w:numId="63">
    <w:abstractNumId w:val="16"/>
  </w:num>
  <w:num w:numId="64">
    <w:abstractNumId w:val="67"/>
  </w:num>
  <w:num w:numId="65">
    <w:abstractNumId w:val="14"/>
  </w:num>
  <w:num w:numId="66">
    <w:abstractNumId w:val="76"/>
  </w:num>
  <w:num w:numId="67">
    <w:abstractNumId w:val="75"/>
  </w:num>
  <w:num w:numId="68">
    <w:abstractNumId w:val="7"/>
  </w:num>
  <w:num w:numId="69">
    <w:abstractNumId w:val="66"/>
  </w:num>
  <w:num w:numId="70">
    <w:abstractNumId w:val="89"/>
  </w:num>
  <w:num w:numId="71">
    <w:abstractNumId w:val="79"/>
  </w:num>
  <w:num w:numId="72">
    <w:abstractNumId w:val="96"/>
  </w:num>
  <w:num w:numId="73">
    <w:abstractNumId w:val="87"/>
  </w:num>
  <w:num w:numId="74">
    <w:abstractNumId w:val="74"/>
  </w:num>
  <w:num w:numId="75">
    <w:abstractNumId w:val="40"/>
  </w:num>
  <w:num w:numId="76">
    <w:abstractNumId w:val="49"/>
  </w:num>
  <w:num w:numId="77">
    <w:abstractNumId w:val="44"/>
  </w:num>
  <w:num w:numId="78">
    <w:abstractNumId w:val="88"/>
  </w:num>
  <w:num w:numId="79">
    <w:abstractNumId w:val="52"/>
  </w:num>
  <w:num w:numId="80">
    <w:abstractNumId w:val="0"/>
  </w:num>
  <w:num w:numId="81">
    <w:abstractNumId w:val="62"/>
  </w:num>
  <w:num w:numId="82">
    <w:abstractNumId w:val="78"/>
  </w:num>
  <w:num w:numId="83">
    <w:abstractNumId w:val="84"/>
  </w:num>
  <w:num w:numId="84">
    <w:abstractNumId w:val="27"/>
  </w:num>
  <w:num w:numId="85">
    <w:abstractNumId w:val="22"/>
  </w:num>
  <w:num w:numId="86">
    <w:abstractNumId w:val="48"/>
  </w:num>
  <w:num w:numId="87">
    <w:abstractNumId w:val="81"/>
  </w:num>
  <w:num w:numId="88">
    <w:abstractNumId w:val="25"/>
  </w:num>
  <w:num w:numId="89">
    <w:abstractNumId w:val="19"/>
  </w:num>
  <w:num w:numId="90">
    <w:abstractNumId w:val="35"/>
  </w:num>
  <w:num w:numId="91">
    <w:abstractNumId w:val="33"/>
  </w:num>
  <w:num w:numId="92">
    <w:abstractNumId w:val="8"/>
  </w:num>
  <w:num w:numId="93">
    <w:abstractNumId w:val="82"/>
  </w:num>
  <w:num w:numId="94">
    <w:abstractNumId w:val="56"/>
  </w:num>
  <w:num w:numId="95">
    <w:abstractNumId w:val="50"/>
  </w:num>
  <w:num w:numId="96">
    <w:abstractNumId w:val="39"/>
  </w:num>
  <w:num w:numId="97">
    <w:abstractNumId w:val="90"/>
  </w:num>
  <w:num w:numId="98">
    <w:abstractNumId w:val="3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E40ADB7-8038-4245-A0A3-5DC4EF27DC72"/>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ceanEye: o ini\u539?iativ\u259? a UE de observare a oceanelor&lt;/FMT&gt;_x000d__x000b_"/>
    <w:docVar w:name="LW_TYPE.DOC.CP" w:val="COMUNICARE A COMISIEI C\u258?TRE PARLAMENTUL EUROPEAN \u536?I CONSILIU"/>
    <w:docVar w:name="LW_TYPE.DOC.CP.USERTEXT" w:val="&lt;EMPTY&gt;"/>
    <w:docVar w:name="LwApiVersions" w:val="LW4CoDe 1.24.5.0; LW 9.2, Build 20251112"/>
  </w:docVars>
  <w:rsids>
    <w:rsidRoot w:val="006E6DE3"/>
    <w:rsid w:val="00044B10"/>
    <w:rsid w:val="000B450F"/>
    <w:rsid w:val="00253988"/>
    <w:rsid w:val="00393243"/>
    <w:rsid w:val="0045777F"/>
    <w:rsid w:val="005B7E3B"/>
    <w:rsid w:val="006E6DE3"/>
    <w:rsid w:val="008B0A65"/>
    <w:rsid w:val="00915507"/>
    <w:rsid w:val="00951F48"/>
    <w:rsid w:val="00A813D3"/>
    <w:rsid w:val="00AD1BE9"/>
    <w:rsid w:val="00BD6CEF"/>
    <w:rsid w:val="00C266F1"/>
    <w:rsid w:val="00E01B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0B00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Pr>
      <w:rFonts w:ascii="Times New Roman" w:hAnsi="Times New Roman" w:cs="Times New Roman"/>
      <w:sz w:val="24"/>
    </w:rPr>
  </w:style>
  <w:style w:type="character" w:customStyle="1" w:styleId="FooterCoverPageChar">
    <w:name w:val="Footer Cover Page Char"/>
    <w:basedOn w:val="PagedecouvertureChar"/>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Pr>
      <w:rFonts w:ascii="Times New Roman" w:hAnsi="Times New Roman" w:cs="Times New Roman"/>
      <w:sz w:val="2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n,Footnotes,Footnote ak,fn Char,footnote text Char,Footnotes Char,Footnote ak Char,ft,fn cafc,Footnotes Char Char,Footnote Text Char Char,fn Char Char,footnote text Char Char Char Ch,fn1,footnote text1,ft1,f,o,Fußnote, Char Char Car,9 pt"/>
    <w:basedOn w:val="Normal"/>
    <w:link w:val="FootnoteTextChar"/>
    <w:uiPriority w:val="99"/>
    <w:qFormat/>
    <w:pPr>
      <w:ind w:left="357" w:hanging="357"/>
    </w:pPr>
    <w:rPr>
      <w:rFonts w:eastAsiaTheme="minorEastAsia"/>
      <w:sz w:val="20"/>
      <w:lang w:eastAsia="en-GB"/>
    </w:rPr>
  </w:style>
  <w:style w:type="character" w:customStyle="1" w:styleId="FootnoteTextChar">
    <w:name w:val="Footnote Text Char"/>
    <w:aliases w:val="fn Char1,Footnotes Char1,Footnote ak Char1,fn Char Char1,footnote text Char Char,Footnotes Char Char1,Footnote ak Char Char,ft Char,fn cafc Char,Footnotes Char Char Char,Footnote Text Char Char Char,fn Char Char Char,fn1 Char,ft1 Char"/>
    <w:basedOn w:val="DefaultParagraphFont"/>
    <w:link w:val="FootnoteText"/>
    <w:uiPriority w:val="99"/>
    <w:qFormat/>
    <w:rPr>
      <w:rFonts w:eastAsiaTheme="minorEastAsia"/>
      <w:sz w:val="20"/>
      <w:lang w:eastAsia="en-GB"/>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Exposant 3 Point,no...,E"/>
    <w:link w:val="FootnotesymbolCarZchn"/>
    <w:uiPriority w:val="99"/>
    <w:qFormat/>
    <w:rPr>
      <w:vertAlign w:val="superscript"/>
    </w:rPr>
  </w:style>
  <w:style w:type="character" w:customStyle="1" w:styleId="normaltextrun">
    <w:name w:val="normaltextrun"/>
    <w:basedOn w:val="DefaultParagraphFont"/>
  </w:style>
  <w:style w:type="paragraph" w:styleId="TOCHeading">
    <w:name w:val="TOC Heading"/>
    <w:basedOn w:val="Heading1"/>
    <w:next w:val="Normal"/>
    <w:uiPriority w:val="39"/>
    <w:unhideWhenUsed/>
    <w:qFormat/>
    <w:pPr>
      <w:spacing w:before="240" w:after="0"/>
      <w:outlineLvl w:val="9"/>
    </w:pPr>
    <w:rPr>
      <w:sz w:val="32"/>
      <w:szCs w:val="32"/>
    </w:rPr>
  </w:style>
  <w:style w:type="paragraph" w:styleId="TOC1">
    <w:name w:val="toc 1"/>
    <w:basedOn w:val="Normal"/>
    <w:next w:val="Normal"/>
    <w:autoRedefine/>
    <w:uiPriority w:val="39"/>
    <w:unhideWhenUsed/>
    <w:pPr>
      <w:tabs>
        <w:tab w:val="left" w:pos="480"/>
        <w:tab w:val="right" w:leader="dot" w:pos="9016"/>
      </w:tabs>
      <w:spacing w:after="100"/>
    </w:pPr>
    <w:rPr>
      <w:b/>
      <w:bCs/>
      <w:noProof/>
    </w:rPr>
  </w:style>
  <w:style w:type="paragraph" w:styleId="TOC2">
    <w:name w:val="toc 2"/>
    <w:basedOn w:val="Normal"/>
    <w:next w:val="Normal"/>
    <w:autoRedefine/>
    <w:uiPriority w:val="39"/>
    <w:unhideWhenUsed/>
    <w:pPr>
      <w:tabs>
        <w:tab w:val="right" w:leader="dot" w:pos="9016"/>
      </w:tabs>
      <w:spacing w:after="240"/>
      <w:ind w:left="220"/>
    </w:pPr>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semiHidden/>
    <w:unhideWhenUsed/>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character" w:customStyle="1" w:styleId="Mention1">
    <w:name w:val="Mention1"/>
    <w:basedOn w:val="DefaultParagraphFont"/>
    <w:uiPriority w:val="99"/>
    <w:unhideWhenUsed/>
    <w:rPr>
      <w:color w:val="2B579A"/>
      <w:shd w:val="clear" w:color="auto" w:fill="E1DFDD"/>
    </w:rPr>
  </w:style>
  <w:style w:type="table" w:styleId="TableGridLight">
    <w:name w:val="Grid Table Light"/>
    <w:basedOn w:val="TableNormal"/>
    <w:uiPriority w:val="40"/>
    <w:pPr>
      <w:spacing w:after="0" w:line="240" w:lineRule="auto"/>
    </w:pPr>
    <w:rPr>
      <w:rFonts w:eastAsiaTheme="minorEastAsia"/>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8162">
      <w:bodyDiv w:val="1"/>
      <w:marLeft w:val="0"/>
      <w:marRight w:val="0"/>
      <w:marTop w:val="0"/>
      <w:marBottom w:val="0"/>
      <w:divBdr>
        <w:top w:val="none" w:sz="0" w:space="0" w:color="auto"/>
        <w:left w:val="none" w:sz="0" w:space="0" w:color="auto"/>
        <w:bottom w:val="none" w:sz="0" w:space="0" w:color="auto"/>
        <w:right w:val="none" w:sz="0" w:space="0" w:color="auto"/>
      </w:divBdr>
    </w:div>
    <w:div w:id="54670062">
      <w:bodyDiv w:val="1"/>
      <w:marLeft w:val="0"/>
      <w:marRight w:val="0"/>
      <w:marTop w:val="0"/>
      <w:marBottom w:val="0"/>
      <w:divBdr>
        <w:top w:val="none" w:sz="0" w:space="0" w:color="auto"/>
        <w:left w:val="none" w:sz="0" w:space="0" w:color="auto"/>
        <w:bottom w:val="none" w:sz="0" w:space="0" w:color="auto"/>
        <w:right w:val="none" w:sz="0" w:space="0" w:color="auto"/>
      </w:divBdr>
    </w:div>
    <w:div w:id="133791631">
      <w:bodyDiv w:val="1"/>
      <w:marLeft w:val="0"/>
      <w:marRight w:val="0"/>
      <w:marTop w:val="0"/>
      <w:marBottom w:val="0"/>
      <w:divBdr>
        <w:top w:val="none" w:sz="0" w:space="0" w:color="auto"/>
        <w:left w:val="none" w:sz="0" w:space="0" w:color="auto"/>
        <w:bottom w:val="none" w:sz="0" w:space="0" w:color="auto"/>
        <w:right w:val="none" w:sz="0" w:space="0" w:color="auto"/>
      </w:divBdr>
    </w:div>
    <w:div w:id="136847527">
      <w:bodyDiv w:val="1"/>
      <w:marLeft w:val="0"/>
      <w:marRight w:val="0"/>
      <w:marTop w:val="0"/>
      <w:marBottom w:val="0"/>
      <w:divBdr>
        <w:top w:val="none" w:sz="0" w:space="0" w:color="auto"/>
        <w:left w:val="none" w:sz="0" w:space="0" w:color="auto"/>
        <w:bottom w:val="none" w:sz="0" w:space="0" w:color="auto"/>
        <w:right w:val="none" w:sz="0" w:space="0" w:color="auto"/>
      </w:divBdr>
    </w:div>
    <w:div w:id="142088125">
      <w:bodyDiv w:val="1"/>
      <w:marLeft w:val="0"/>
      <w:marRight w:val="0"/>
      <w:marTop w:val="0"/>
      <w:marBottom w:val="0"/>
      <w:divBdr>
        <w:top w:val="none" w:sz="0" w:space="0" w:color="auto"/>
        <w:left w:val="none" w:sz="0" w:space="0" w:color="auto"/>
        <w:bottom w:val="none" w:sz="0" w:space="0" w:color="auto"/>
        <w:right w:val="none" w:sz="0" w:space="0" w:color="auto"/>
      </w:divBdr>
    </w:div>
    <w:div w:id="159153972">
      <w:bodyDiv w:val="1"/>
      <w:marLeft w:val="0"/>
      <w:marRight w:val="0"/>
      <w:marTop w:val="0"/>
      <w:marBottom w:val="0"/>
      <w:divBdr>
        <w:top w:val="none" w:sz="0" w:space="0" w:color="auto"/>
        <w:left w:val="none" w:sz="0" w:space="0" w:color="auto"/>
        <w:bottom w:val="none" w:sz="0" w:space="0" w:color="auto"/>
        <w:right w:val="none" w:sz="0" w:space="0" w:color="auto"/>
      </w:divBdr>
      <w:divsChild>
        <w:div w:id="878055939">
          <w:marLeft w:val="0"/>
          <w:marRight w:val="0"/>
          <w:marTop w:val="0"/>
          <w:marBottom w:val="0"/>
          <w:divBdr>
            <w:top w:val="none" w:sz="0" w:space="0" w:color="auto"/>
            <w:left w:val="none" w:sz="0" w:space="0" w:color="auto"/>
            <w:bottom w:val="none" w:sz="0" w:space="0" w:color="auto"/>
            <w:right w:val="none" w:sz="0" w:space="0" w:color="auto"/>
          </w:divBdr>
          <w:divsChild>
            <w:div w:id="109009647">
              <w:marLeft w:val="0"/>
              <w:marRight w:val="0"/>
              <w:marTop w:val="0"/>
              <w:marBottom w:val="0"/>
              <w:divBdr>
                <w:top w:val="none" w:sz="0" w:space="0" w:color="auto"/>
                <w:left w:val="none" w:sz="0" w:space="0" w:color="auto"/>
                <w:bottom w:val="none" w:sz="0" w:space="0" w:color="auto"/>
                <w:right w:val="none" w:sz="0" w:space="0" w:color="auto"/>
              </w:divBdr>
              <w:divsChild>
                <w:div w:id="1356274149">
                  <w:marLeft w:val="0"/>
                  <w:marRight w:val="0"/>
                  <w:marTop w:val="0"/>
                  <w:marBottom w:val="0"/>
                  <w:divBdr>
                    <w:top w:val="none" w:sz="0" w:space="0" w:color="auto"/>
                    <w:left w:val="none" w:sz="0" w:space="0" w:color="auto"/>
                    <w:bottom w:val="none" w:sz="0" w:space="0" w:color="auto"/>
                    <w:right w:val="none" w:sz="0" w:space="0" w:color="auto"/>
                  </w:divBdr>
                  <w:divsChild>
                    <w:div w:id="670983577">
                      <w:marLeft w:val="0"/>
                      <w:marRight w:val="0"/>
                      <w:marTop w:val="0"/>
                      <w:marBottom w:val="0"/>
                      <w:divBdr>
                        <w:top w:val="none" w:sz="0" w:space="0" w:color="auto"/>
                        <w:left w:val="none" w:sz="0" w:space="0" w:color="auto"/>
                        <w:bottom w:val="none" w:sz="0" w:space="0" w:color="auto"/>
                        <w:right w:val="none" w:sz="0" w:space="0" w:color="auto"/>
                      </w:divBdr>
                      <w:divsChild>
                        <w:div w:id="438137601">
                          <w:marLeft w:val="0"/>
                          <w:marRight w:val="0"/>
                          <w:marTop w:val="0"/>
                          <w:marBottom w:val="0"/>
                          <w:divBdr>
                            <w:top w:val="none" w:sz="0" w:space="0" w:color="auto"/>
                            <w:left w:val="none" w:sz="0" w:space="0" w:color="auto"/>
                            <w:bottom w:val="none" w:sz="0" w:space="0" w:color="auto"/>
                            <w:right w:val="none" w:sz="0" w:space="0" w:color="auto"/>
                          </w:divBdr>
                          <w:divsChild>
                            <w:div w:id="304357526">
                              <w:marLeft w:val="0"/>
                              <w:marRight w:val="0"/>
                              <w:marTop w:val="0"/>
                              <w:marBottom w:val="0"/>
                              <w:divBdr>
                                <w:top w:val="none" w:sz="0" w:space="0" w:color="auto"/>
                                <w:left w:val="none" w:sz="0" w:space="0" w:color="auto"/>
                                <w:bottom w:val="none" w:sz="0" w:space="0" w:color="auto"/>
                                <w:right w:val="none" w:sz="0" w:space="0" w:color="auto"/>
                              </w:divBdr>
                              <w:divsChild>
                                <w:div w:id="165074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96198">
      <w:bodyDiv w:val="1"/>
      <w:marLeft w:val="0"/>
      <w:marRight w:val="0"/>
      <w:marTop w:val="0"/>
      <w:marBottom w:val="0"/>
      <w:divBdr>
        <w:top w:val="none" w:sz="0" w:space="0" w:color="auto"/>
        <w:left w:val="none" w:sz="0" w:space="0" w:color="auto"/>
        <w:bottom w:val="none" w:sz="0" w:space="0" w:color="auto"/>
        <w:right w:val="none" w:sz="0" w:space="0" w:color="auto"/>
      </w:divBdr>
    </w:div>
    <w:div w:id="183635080">
      <w:bodyDiv w:val="1"/>
      <w:marLeft w:val="0"/>
      <w:marRight w:val="0"/>
      <w:marTop w:val="0"/>
      <w:marBottom w:val="0"/>
      <w:divBdr>
        <w:top w:val="none" w:sz="0" w:space="0" w:color="auto"/>
        <w:left w:val="none" w:sz="0" w:space="0" w:color="auto"/>
        <w:bottom w:val="none" w:sz="0" w:space="0" w:color="auto"/>
        <w:right w:val="none" w:sz="0" w:space="0" w:color="auto"/>
      </w:divBdr>
    </w:div>
    <w:div w:id="188298444">
      <w:bodyDiv w:val="1"/>
      <w:marLeft w:val="0"/>
      <w:marRight w:val="0"/>
      <w:marTop w:val="0"/>
      <w:marBottom w:val="0"/>
      <w:divBdr>
        <w:top w:val="none" w:sz="0" w:space="0" w:color="auto"/>
        <w:left w:val="none" w:sz="0" w:space="0" w:color="auto"/>
        <w:bottom w:val="none" w:sz="0" w:space="0" w:color="auto"/>
        <w:right w:val="none" w:sz="0" w:space="0" w:color="auto"/>
      </w:divBdr>
    </w:div>
    <w:div w:id="277293869">
      <w:bodyDiv w:val="1"/>
      <w:marLeft w:val="0"/>
      <w:marRight w:val="0"/>
      <w:marTop w:val="0"/>
      <w:marBottom w:val="0"/>
      <w:divBdr>
        <w:top w:val="none" w:sz="0" w:space="0" w:color="auto"/>
        <w:left w:val="none" w:sz="0" w:space="0" w:color="auto"/>
        <w:bottom w:val="none" w:sz="0" w:space="0" w:color="auto"/>
        <w:right w:val="none" w:sz="0" w:space="0" w:color="auto"/>
      </w:divBdr>
    </w:div>
    <w:div w:id="310646824">
      <w:bodyDiv w:val="1"/>
      <w:marLeft w:val="0"/>
      <w:marRight w:val="0"/>
      <w:marTop w:val="0"/>
      <w:marBottom w:val="0"/>
      <w:divBdr>
        <w:top w:val="none" w:sz="0" w:space="0" w:color="auto"/>
        <w:left w:val="none" w:sz="0" w:space="0" w:color="auto"/>
        <w:bottom w:val="none" w:sz="0" w:space="0" w:color="auto"/>
        <w:right w:val="none" w:sz="0" w:space="0" w:color="auto"/>
      </w:divBdr>
    </w:div>
    <w:div w:id="311367846">
      <w:bodyDiv w:val="1"/>
      <w:marLeft w:val="0"/>
      <w:marRight w:val="0"/>
      <w:marTop w:val="0"/>
      <w:marBottom w:val="0"/>
      <w:divBdr>
        <w:top w:val="none" w:sz="0" w:space="0" w:color="auto"/>
        <w:left w:val="none" w:sz="0" w:space="0" w:color="auto"/>
        <w:bottom w:val="none" w:sz="0" w:space="0" w:color="auto"/>
        <w:right w:val="none" w:sz="0" w:space="0" w:color="auto"/>
      </w:divBdr>
    </w:div>
    <w:div w:id="315500340">
      <w:bodyDiv w:val="1"/>
      <w:marLeft w:val="0"/>
      <w:marRight w:val="0"/>
      <w:marTop w:val="0"/>
      <w:marBottom w:val="0"/>
      <w:divBdr>
        <w:top w:val="none" w:sz="0" w:space="0" w:color="auto"/>
        <w:left w:val="none" w:sz="0" w:space="0" w:color="auto"/>
        <w:bottom w:val="none" w:sz="0" w:space="0" w:color="auto"/>
        <w:right w:val="none" w:sz="0" w:space="0" w:color="auto"/>
      </w:divBdr>
    </w:div>
    <w:div w:id="342972562">
      <w:bodyDiv w:val="1"/>
      <w:marLeft w:val="0"/>
      <w:marRight w:val="0"/>
      <w:marTop w:val="0"/>
      <w:marBottom w:val="0"/>
      <w:divBdr>
        <w:top w:val="none" w:sz="0" w:space="0" w:color="auto"/>
        <w:left w:val="none" w:sz="0" w:space="0" w:color="auto"/>
        <w:bottom w:val="none" w:sz="0" w:space="0" w:color="auto"/>
        <w:right w:val="none" w:sz="0" w:space="0" w:color="auto"/>
      </w:divBdr>
    </w:div>
    <w:div w:id="344212272">
      <w:bodyDiv w:val="1"/>
      <w:marLeft w:val="0"/>
      <w:marRight w:val="0"/>
      <w:marTop w:val="0"/>
      <w:marBottom w:val="0"/>
      <w:divBdr>
        <w:top w:val="none" w:sz="0" w:space="0" w:color="auto"/>
        <w:left w:val="none" w:sz="0" w:space="0" w:color="auto"/>
        <w:bottom w:val="none" w:sz="0" w:space="0" w:color="auto"/>
        <w:right w:val="none" w:sz="0" w:space="0" w:color="auto"/>
      </w:divBdr>
    </w:div>
    <w:div w:id="361397238">
      <w:bodyDiv w:val="1"/>
      <w:marLeft w:val="0"/>
      <w:marRight w:val="0"/>
      <w:marTop w:val="0"/>
      <w:marBottom w:val="0"/>
      <w:divBdr>
        <w:top w:val="none" w:sz="0" w:space="0" w:color="auto"/>
        <w:left w:val="none" w:sz="0" w:space="0" w:color="auto"/>
        <w:bottom w:val="none" w:sz="0" w:space="0" w:color="auto"/>
        <w:right w:val="none" w:sz="0" w:space="0" w:color="auto"/>
      </w:divBdr>
    </w:div>
    <w:div w:id="367683043">
      <w:bodyDiv w:val="1"/>
      <w:marLeft w:val="0"/>
      <w:marRight w:val="0"/>
      <w:marTop w:val="0"/>
      <w:marBottom w:val="0"/>
      <w:divBdr>
        <w:top w:val="none" w:sz="0" w:space="0" w:color="auto"/>
        <w:left w:val="none" w:sz="0" w:space="0" w:color="auto"/>
        <w:bottom w:val="none" w:sz="0" w:space="0" w:color="auto"/>
        <w:right w:val="none" w:sz="0" w:space="0" w:color="auto"/>
      </w:divBdr>
    </w:div>
    <w:div w:id="392388325">
      <w:bodyDiv w:val="1"/>
      <w:marLeft w:val="0"/>
      <w:marRight w:val="0"/>
      <w:marTop w:val="0"/>
      <w:marBottom w:val="0"/>
      <w:divBdr>
        <w:top w:val="none" w:sz="0" w:space="0" w:color="auto"/>
        <w:left w:val="none" w:sz="0" w:space="0" w:color="auto"/>
        <w:bottom w:val="none" w:sz="0" w:space="0" w:color="auto"/>
        <w:right w:val="none" w:sz="0" w:space="0" w:color="auto"/>
      </w:divBdr>
    </w:div>
    <w:div w:id="396635241">
      <w:bodyDiv w:val="1"/>
      <w:marLeft w:val="0"/>
      <w:marRight w:val="0"/>
      <w:marTop w:val="0"/>
      <w:marBottom w:val="0"/>
      <w:divBdr>
        <w:top w:val="none" w:sz="0" w:space="0" w:color="auto"/>
        <w:left w:val="none" w:sz="0" w:space="0" w:color="auto"/>
        <w:bottom w:val="none" w:sz="0" w:space="0" w:color="auto"/>
        <w:right w:val="none" w:sz="0" w:space="0" w:color="auto"/>
      </w:divBdr>
    </w:div>
    <w:div w:id="441843718">
      <w:bodyDiv w:val="1"/>
      <w:marLeft w:val="0"/>
      <w:marRight w:val="0"/>
      <w:marTop w:val="0"/>
      <w:marBottom w:val="0"/>
      <w:divBdr>
        <w:top w:val="none" w:sz="0" w:space="0" w:color="auto"/>
        <w:left w:val="none" w:sz="0" w:space="0" w:color="auto"/>
        <w:bottom w:val="none" w:sz="0" w:space="0" w:color="auto"/>
        <w:right w:val="none" w:sz="0" w:space="0" w:color="auto"/>
      </w:divBdr>
    </w:div>
    <w:div w:id="524176552">
      <w:bodyDiv w:val="1"/>
      <w:marLeft w:val="0"/>
      <w:marRight w:val="0"/>
      <w:marTop w:val="0"/>
      <w:marBottom w:val="0"/>
      <w:divBdr>
        <w:top w:val="none" w:sz="0" w:space="0" w:color="auto"/>
        <w:left w:val="none" w:sz="0" w:space="0" w:color="auto"/>
        <w:bottom w:val="none" w:sz="0" w:space="0" w:color="auto"/>
        <w:right w:val="none" w:sz="0" w:space="0" w:color="auto"/>
      </w:divBdr>
    </w:div>
    <w:div w:id="556402904">
      <w:bodyDiv w:val="1"/>
      <w:marLeft w:val="0"/>
      <w:marRight w:val="0"/>
      <w:marTop w:val="0"/>
      <w:marBottom w:val="0"/>
      <w:divBdr>
        <w:top w:val="none" w:sz="0" w:space="0" w:color="auto"/>
        <w:left w:val="none" w:sz="0" w:space="0" w:color="auto"/>
        <w:bottom w:val="none" w:sz="0" w:space="0" w:color="auto"/>
        <w:right w:val="none" w:sz="0" w:space="0" w:color="auto"/>
      </w:divBdr>
    </w:div>
    <w:div w:id="576013888">
      <w:bodyDiv w:val="1"/>
      <w:marLeft w:val="0"/>
      <w:marRight w:val="0"/>
      <w:marTop w:val="0"/>
      <w:marBottom w:val="0"/>
      <w:divBdr>
        <w:top w:val="none" w:sz="0" w:space="0" w:color="auto"/>
        <w:left w:val="none" w:sz="0" w:space="0" w:color="auto"/>
        <w:bottom w:val="none" w:sz="0" w:space="0" w:color="auto"/>
        <w:right w:val="none" w:sz="0" w:space="0" w:color="auto"/>
      </w:divBdr>
      <w:divsChild>
        <w:div w:id="1523520364">
          <w:marLeft w:val="0"/>
          <w:marRight w:val="0"/>
          <w:marTop w:val="0"/>
          <w:marBottom w:val="0"/>
          <w:divBdr>
            <w:top w:val="none" w:sz="0" w:space="0" w:color="auto"/>
            <w:left w:val="none" w:sz="0" w:space="0" w:color="auto"/>
            <w:bottom w:val="none" w:sz="0" w:space="0" w:color="auto"/>
            <w:right w:val="none" w:sz="0" w:space="0" w:color="auto"/>
          </w:divBdr>
          <w:divsChild>
            <w:div w:id="457065162">
              <w:marLeft w:val="0"/>
              <w:marRight w:val="0"/>
              <w:marTop w:val="0"/>
              <w:marBottom w:val="0"/>
              <w:divBdr>
                <w:top w:val="none" w:sz="0" w:space="0" w:color="auto"/>
                <w:left w:val="none" w:sz="0" w:space="0" w:color="auto"/>
                <w:bottom w:val="none" w:sz="0" w:space="0" w:color="auto"/>
                <w:right w:val="none" w:sz="0" w:space="0" w:color="auto"/>
              </w:divBdr>
              <w:divsChild>
                <w:div w:id="276183058">
                  <w:marLeft w:val="0"/>
                  <w:marRight w:val="0"/>
                  <w:marTop w:val="0"/>
                  <w:marBottom w:val="0"/>
                  <w:divBdr>
                    <w:top w:val="none" w:sz="0" w:space="0" w:color="auto"/>
                    <w:left w:val="none" w:sz="0" w:space="0" w:color="auto"/>
                    <w:bottom w:val="none" w:sz="0" w:space="0" w:color="auto"/>
                    <w:right w:val="none" w:sz="0" w:space="0" w:color="auto"/>
                  </w:divBdr>
                  <w:divsChild>
                    <w:div w:id="1619683916">
                      <w:marLeft w:val="0"/>
                      <w:marRight w:val="0"/>
                      <w:marTop w:val="0"/>
                      <w:marBottom w:val="0"/>
                      <w:divBdr>
                        <w:top w:val="none" w:sz="0" w:space="0" w:color="auto"/>
                        <w:left w:val="none" w:sz="0" w:space="0" w:color="auto"/>
                        <w:bottom w:val="none" w:sz="0" w:space="0" w:color="auto"/>
                        <w:right w:val="none" w:sz="0" w:space="0" w:color="auto"/>
                      </w:divBdr>
                      <w:divsChild>
                        <w:div w:id="875653180">
                          <w:marLeft w:val="0"/>
                          <w:marRight w:val="0"/>
                          <w:marTop w:val="0"/>
                          <w:marBottom w:val="0"/>
                          <w:divBdr>
                            <w:top w:val="none" w:sz="0" w:space="0" w:color="auto"/>
                            <w:left w:val="none" w:sz="0" w:space="0" w:color="auto"/>
                            <w:bottom w:val="none" w:sz="0" w:space="0" w:color="auto"/>
                            <w:right w:val="none" w:sz="0" w:space="0" w:color="auto"/>
                          </w:divBdr>
                          <w:divsChild>
                            <w:div w:id="222835030">
                              <w:marLeft w:val="0"/>
                              <w:marRight w:val="0"/>
                              <w:marTop w:val="0"/>
                              <w:marBottom w:val="0"/>
                              <w:divBdr>
                                <w:top w:val="none" w:sz="0" w:space="0" w:color="auto"/>
                                <w:left w:val="none" w:sz="0" w:space="0" w:color="auto"/>
                                <w:bottom w:val="none" w:sz="0" w:space="0" w:color="auto"/>
                                <w:right w:val="none" w:sz="0" w:space="0" w:color="auto"/>
                              </w:divBdr>
                              <w:divsChild>
                                <w:div w:id="115595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455269">
      <w:bodyDiv w:val="1"/>
      <w:marLeft w:val="0"/>
      <w:marRight w:val="0"/>
      <w:marTop w:val="0"/>
      <w:marBottom w:val="0"/>
      <w:divBdr>
        <w:top w:val="none" w:sz="0" w:space="0" w:color="auto"/>
        <w:left w:val="none" w:sz="0" w:space="0" w:color="auto"/>
        <w:bottom w:val="none" w:sz="0" w:space="0" w:color="auto"/>
        <w:right w:val="none" w:sz="0" w:space="0" w:color="auto"/>
      </w:divBdr>
    </w:div>
    <w:div w:id="776485017">
      <w:bodyDiv w:val="1"/>
      <w:marLeft w:val="0"/>
      <w:marRight w:val="0"/>
      <w:marTop w:val="0"/>
      <w:marBottom w:val="0"/>
      <w:divBdr>
        <w:top w:val="none" w:sz="0" w:space="0" w:color="auto"/>
        <w:left w:val="none" w:sz="0" w:space="0" w:color="auto"/>
        <w:bottom w:val="none" w:sz="0" w:space="0" w:color="auto"/>
        <w:right w:val="none" w:sz="0" w:space="0" w:color="auto"/>
      </w:divBdr>
    </w:div>
    <w:div w:id="836379816">
      <w:bodyDiv w:val="1"/>
      <w:marLeft w:val="0"/>
      <w:marRight w:val="0"/>
      <w:marTop w:val="0"/>
      <w:marBottom w:val="0"/>
      <w:divBdr>
        <w:top w:val="none" w:sz="0" w:space="0" w:color="auto"/>
        <w:left w:val="none" w:sz="0" w:space="0" w:color="auto"/>
        <w:bottom w:val="none" w:sz="0" w:space="0" w:color="auto"/>
        <w:right w:val="none" w:sz="0" w:space="0" w:color="auto"/>
      </w:divBdr>
    </w:div>
    <w:div w:id="887650487">
      <w:bodyDiv w:val="1"/>
      <w:marLeft w:val="0"/>
      <w:marRight w:val="0"/>
      <w:marTop w:val="0"/>
      <w:marBottom w:val="0"/>
      <w:divBdr>
        <w:top w:val="none" w:sz="0" w:space="0" w:color="auto"/>
        <w:left w:val="none" w:sz="0" w:space="0" w:color="auto"/>
        <w:bottom w:val="none" w:sz="0" w:space="0" w:color="auto"/>
        <w:right w:val="none" w:sz="0" w:space="0" w:color="auto"/>
      </w:divBdr>
    </w:div>
    <w:div w:id="920145439">
      <w:bodyDiv w:val="1"/>
      <w:marLeft w:val="0"/>
      <w:marRight w:val="0"/>
      <w:marTop w:val="0"/>
      <w:marBottom w:val="0"/>
      <w:divBdr>
        <w:top w:val="none" w:sz="0" w:space="0" w:color="auto"/>
        <w:left w:val="none" w:sz="0" w:space="0" w:color="auto"/>
        <w:bottom w:val="none" w:sz="0" w:space="0" w:color="auto"/>
        <w:right w:val="none" w:sz="0" w:space="0" w:color="auto"/>
      </w:divBdr>
    </w:div>
    <w:div w:id="1001006653">
      <w:bodyDiv w:val="1"/>
      <w:marLeft w:val="0"/>
      <w:marRight w:val="0"/>
      <w:marTop w:val="0"/>
      <w:marBottom w:val="0"/>
      <w:divBdr>
        <w:top w:val="none" w:sz="0" w:space="0" w:color="auto"/>
        <w:left w:val="none" w:sz="0" w:space="0" w:color="auto"/>
        <w:bottom w:val="none" w:sz="0" w:space="0" w:color="auto"/>
        <w:right w:val="none" w:sz="0" w:space="0" w:color="auto"/>
      </w:divBdr>
    </w:div>
    <w:div w:id="1037320429">
      <w:bodyDiv w:val="1"/>
      <w:marLeft w:val="0"/>
      <w:marRight w:val="0"/>
      <w:marTop w:val="0"/>
      <w:marBottom w:val="0"/>
      <w:divBdr>
        <w:top w:val="none" w:sz="0" w:space="0" w:color="auto"/>
        <w:left w:val="none" w:sz="0" w:space="0" w:color="auto"/>
        <w:bottom w:val="none" w:sz="0" w:space="0" w:color="auto"/>
        <w:right w:val="none" w:sz="0" w:space="0" w:color="auto"/>
      </w:divBdr>
    </w:div>
    <w:div w:id="1077216457">
      <w:bodyDiv w:val="1"/>
      <w:marLeft w:val="0"/>
      <w:marRight w:val="0"/>
      <w:marTop w:val="0"/>
      <w:marBottom w:val="0"/>
      <w:divBdr>
        <w:top w:val="none" w:sz="0" w:space="0" w:color="auto"/>
        <w:left w:val="none" w:sz="0" w:space="0" w:color="auto"/>
        <w:bottom w:val="none" w:sz="0" w:space="0" w:color="auto"/>
        <w:right w:val="none" w:sz="0" w:space="0" w:color="auto"/>
      </w:divBdr>
    </w:div>
    <w:div w:id="1139568285">
      <w:bodyDiv w:val="1"/>
      <w:marLeft w:val="0"/>
      <w:marRight w:val="0"/>
      <w:marTop w:val="0"/>
      <w:marBottom w:val="0"/>
      <w:divBdr>
        <w:top w:val="none" w:sz="0" w:space="0" w:color="auto"/>
        <w:left w:val="none" w:sz="0" w:space="0" w:color="auto"/>
        <w:bottom w:val="none" w:sz="0" w:space="0" w:color="auto"/>
        <w:right w:val="none" w:sz="0" w:space="0" w:color="auto"/>
      </w:divBdr>
    </w:div>
    <w:div w:id="1146319975">
      <w:bodyDiv w:val="1"/>
      <w:marLeft w:val="0"/>
      <w:marRight w:val="0"/>
      <w:marTop w:val="0"/>
      <w:marBottom w:val="0"/>
      <w:divBdr>
        <w:top w:val="none" w:sz="0" w:space="0" w:color="auto"/>
        <w:left w:val="none" w:sz="0" w:space="0" w:color="auto"/>
        <w:bottom w:val="none" w:sz="0" w:space="0" w:color="auto"/>
        <w:right w:val="none" w:sz="0" w:space="0" w:color="auto"/>
      </w:divBdr>
    </w:div>
    <w:div w:id="1237205626">
      <w:bodyDiv w:val="1"/>
      <w:marLeft w:val="0"/>
      <w:marRight w:val="0"/>
      <w:marTop w:val="0"/>
      <w:marBottom w:val="0"/>
      <w:divBdr>
        <w:top w:val="none" w:sz="0" w:space="0" w:color="auto"/>
        <w:left w:val="none" w:sz="0" w:space="0" w:color="auto"/>
        <w:bottom w:val="none" w:sz="0" w:space="0" w:color="auto"/>
        <w:right w:val="none" w:sz="0" w:space="0" w:color="auto"/>
      </w:divBdr>
    </w:div>
    <w:div w:id="1255211191">
      <w:bodyDiv w:val="1"/>
      <w:marLeft w:val="0"/>
      <w:marRight w:val="0"/>
      <w:marTop w:val="0"/>
      <w:marBottom w:val="0"/>
      <w:divBdr>
        <w:top w:val="none" w:sz="0" w:space="0" w:color="auto"/>
        <w:left w:val="none" w:sz="0" w:space="0" w:color="auto"/>
        <w:bottom w:val="none" w:sz="0" w:space="0" w:color="auto"/>
        <w:right w:val="none" w:sz="0" w:space="0" w:color="auto"/>
      </w:divBdr>
    </w:div>
    <w:div w:id="1309748288">
      <w:bodyDiv w:val="1"/>
      <w:marLeft w:val="0"/>
      <w:marRight w:val="0"/>
      <w:marTop w:val="0"/>
      <w:marBottom w:val="0"/>
      <w:divBdr>
        <w:top w:val="none" w:sz="0" w:space="0" w:color="auto"/>
        <w:left w:val="none" w:sz="0" w:space="0" w:color="auto"/>
        <w:bottom w:val="none" w:sz="0" w:space="0" w:color="auto"/>
        <w:right w:val="none" w:sz="0" w:space="0" w:color="auto"/>
      </w:divBdr>
    </w:div>
    <w:div w:id="1407344235">
      <w:bodyDiv w:val="1"/>
      <w:marLeft w:val="0"/>
      <w:marRight w:val="0"/>
      <w:marTop w:val="0"/>
      <w:marBottom w:val="0"/>
      <w:divBdr>
        <w:top w:val="none" w:sz="0" w:space="0" w:color="auto"/>
        <w:left w:val="none" w:sz="0" w:space="0" w:color="auto"/>
        <w:bottom w:val="none" w:sz="0" w:space="0" w:color="auto"/>
        <w:right w:val="none" w:sz="0" w:space="0" w:color="auto"/>
      </w:divBdr>
    </w:div>
    <w:div w:id="1417633154">
      <w:bodyDiv w:val="1"/>
      <w:marLeft w:val="0"/>
      <w:marRight w:val="0"/>
      <w:marTop w:val="0"/>
      <w:marBottom w:val="0"/>
      <w:divBdr>
        <w:top w:val="none" w:sz="0" w:space="0" w:color="auto"/>
        <w:left w:val="none" w:sz="0" w:space="0" w:color="auto"/>
        <w:bottom w:val="none" w:sz="0" w:space="0" w:color="auto"/>
        <w:right w:val="none" w:sz="0" w:space="0" w:color="auto"/>
      </w:divBdr>
    </w:div>
    <w:div w:id="1452162312">
      <w:bodyDiv w:val="1"/>
      <w:marLeft w:val="0"/>
      <w:marRight w:val="0"/>
      <w:marTop w:val="0"/>
      <w:marBottom w:val="0"/>
      <w:divBdr>
        <w:top w:val="none" w:sz="0" w:space="0" w:color="auto"/>
        <w:left w:val="none" w:sz="0" w:space="0" w:color="auto"/>
        <w:bottom w:val="none" w:sz="0" w:space="0" w:color="auto"/>
        <w:right w:val="none" w:sz="0" w:space="0" w:color="auto"/>
      </w:divBdr>
    </w:div>
    <w:div w:id="1476334702">
      <w:bodyDiv w:val="1"/>
      <w:marLeft w:val="0"/>
      <w:marRight w:val="0"/>
      <w:marTop w:val="0"/>
      <w:marBottom w:val="0"/>
      <w:divBdr>
        <w:top w:val="none" w:sz="0" w:space="0" w:color="auto"/>
        <w:left w:val="none" w:sz="0" w:space="0" w:color="auto"/>
        <w:bottom w:val="none" w:sz="0" w:space="0" w:color="auto"/>
        <w:right w:val="none" w:sz="0" w:space="0" w:color="auto"/>
      </w:divBdr>
      <w:divsChild>
        <w:div w:id="711925387">
          <w:marLeft w:val="0"/>
          <w:marRight w:val="0"/>
          <w:marTop w:val="0"/>
          <w:marBottom w:val="0"/>
          <w:divBdr>
            <w:top w:val="none" w:sz="0" w:space="0" w:color="auto"/>
            <w:left w:val="none" w:sz="0" w:space="0" w:color="auto"/>
            <w:bottom w:val="none" w:sz="0" w:space="0" w:color="auto"/>
            <w:right w:val="none" w:sz="0" w:space="0" w:color="auto"/>
          </w:divBdr>
          <w:divsChild>
            <w:div w:id="1417167998">
              <w:marLeft w:val="0"/>
              <w:marRight w:val="0"/>
              <w:marTop w:val="0"/>
              <w:marBottom w:val="0"/>
              <w:divBdr>
                <w:top w:val="none" w:sz="0" w:space="0" w:color="auto"/>
                <w:left w:val="none" w:sz="0" w:space="0" w:color="auto"/>
                <w:bottom w:val="none" w:sz="0" w:space="0" w:color="auto"/>
                <w:right w:val="none" w:sz="0" w:space="0" w:color="auto"/>
              </w:divBdr>
              <w:divsChild>
                <w:div w:id="1301572367">
                  <w:marLeft w:val="0"/>
                  <w:marRight w:val="0"/>
                  <w:marTop w:val="0"/>
                  <w:marBottom w:val="0"/>
                  <w:divBdr>
                    <w:top w:val="none" w:sz="0" w:space="0" w:color="auto"/>
                    <w:left w:val="none" w:sz="0" w:space="0" w:color="auto"/>
                    <w:bottom w:val="none" w:sz="0" w:space="0" w:color="auto"/>
                    <w:right w:val="none" w:sz="0" w:space="0" w:color="auto"/>
                  </w:divBdr>
                  <w:divsChild>
                    <w:div w:id="1675524894">
                      <w:marLeft w:val="0"/>
                      <w:marRight w:val="0"/>
                      <w:marTop w:val="0"/>
                      <w:marBottom w:val="0"/>
                      <w:divBdr>
                        <w:top w:val="none" w:sz="0" w:space="0" w:color="auto"/>
                        <w:left w:val="none" w:sz="0" w:space="0" w:color="auto"/>
                        <w:bottom w:val="none" w:sz="0" w:space="0" w:color="auto"/>
                        <w:right w:val="none" w:sz="0" w:space="0" w:color="auto"/>
                      </w:divBdr>
                      <w:divsChild>
                        <w:div w:id="1262762558">
                          <w:marLeft w:val="0"/>
                          <w:marRight w:val="0"/>
                          <w:marTop w:val="0"/>
                          <w:marBottom w:val="0"/>
                          <w:divBdr>
                            <w:top w:val="none" w:sz="0" w:space="0" w:color="auto"/>
                            <w:left w:val="none" w:sz="0" w:space="0" w:color="auto"/>
                            <w:bottom w:val="none" w:sz="0" w:space="0" w:color="auto"/>
                            <w:right w:val="none" w:sz="0" w:space="0" w:color="auto"/>
                          </w:divBdr>
                          <w:divsChild>
                            <w:div w:id="679432390">
                              <w:marLeft w:val="0"/>
                              <w:marRight w:val="0"/>
                              <w:marTop w:val="0"/>
                              <w:marBottom w:val="0"/>
                              <w:divBdr>
                                <w:top w:val="none" w:sz="0" w:space="0" w:color="auto"/>
                                <w:left w:val="none" w:sz="0" w:space="0" w:color="auto"/>
                                <w:bottom w:val="none" w:sz="0" w:space="0" w:color="auto"/>
                                <w:right w:val="none" w:sz="0" w:space="0" w:color="auto"/>
                              </w:divBdr>
                              <w:divsChild>
                                <w:div w:id="16138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828595">
      <w:bodyDiv w:val="1"/>
      <w:marLeft w:val="0"/>
      <w:marRight w:val="0"/>
      <w:marTop w:val="0"/>
      <w:marBottom w:val="0"/>
      <w:divBdr>
        <w:top w:val="none" w:sz="0" w:space="0" w:color="auto"/>
        <w:left w:val="none" w:sz="0" w:space="0" w:color="auto"/>
        <w:bottom w:val="none" w:sz="0" w:space="0" w:color="auto"/>
        <w:right w:val="none" w:sz="0" w:space="0" w:color="auto"/>
      </w:divBdr>
    </w:div>
    <w:div w:id="1584071334">
      <w:bodyDiv w:val="1"/>
      <w:marLeft w:val="0"/>
      <w:marRight w:val="0"/>
      <w:marTop w:val="0"/>
      <w:marBottom w:val="0"/>
      <w:divBdr>
        <w:top w:val="none" w:sz="0" w:space="0" w:color="auto"/>
        <w:left w:val="none" w:sz="0" w:space="0" w:color="auto"/>
        <w:bottom w:val="none" w:sz="0" w:space="0" w:color="auto"/>
        <w:right w:val="none" w:sz="0" w:space="0" w:color="auto"/>
      </w:divBdr>
    </w:div>
    <w:div w:id="1600137930">
      <w:bodyDiv w:val="1"/>
      <w:marLeft w:val="0"/>
      <w:marRight w:val="0"/>
      <w:marTop w:val="0"/>
      <w:marBottom w:val="0"/>
      <w:divBdr>
        <w:top w:val="none" w:sz="0" w:space="0" w:color="auto"/>
        <w:left w:val="none" w:sz="0" w:space="0" w:color="auto"/>
        <w:bottom w:val="none" w:sz="0" w:space="0" w:color="auto"/>
        <w:right w:val="none" w:sz="0" w:space="0" w:color="auto"/>
      </w:divBdr>
    </w:div>
    <w:div w:id="1650472718">
      <w:bodyDiv w:val="1"/>
      <w:marLeft w:val="0"/>
      <w:marRight w:val="0"/>
      <w:marTop w:val="0"/>
      <w:marBottom w:val="0"/>
      <w:divBdr>
        <w:top w:val="none" w:sz="0" w:space="0" w:color="auto"/>
        <w:left w:val="none" w:sz="0" w:space="0" w:color="auto"/>
        <w:bottom w:val="none" w:sz="0" w:space="0" w:color="auto"/>
        <w:right w:val="none" w:sz="0" w:space="0" w:color="auto"/>
      </w:divBdr>
    </w:div>
    <w:div w:id="1670592365">
      <w:bodyDiv w:val="1"/>
      <w:marLeft w:val="0"/>
      <w:marRight w:val="0"/>
      <w:marTop w:val="0"/>
      <w:marBottom w:val="0"/>
      <w:divBdr>
        <w:top w:val="none" w:sz="0" w:space="0" w:color="auto"/>
        <w:left w:val="none" w:sz="0" w:space="0" w:color="auto"/>
        <w:bottom w:val="none" w:sz="0" w:space="0" w:color="auto"/>
        <w:right w:val="none" w:sz="0" w:space="0" w:color="auto"/>
      </w:divBdr>
    </w:div>
    <w:div w:id="1704011736">
      <w:bodyDiv w:val="1"/>
      <w:marLeft w:val="0"/>
      <w:marRight w:val="0"/>
      <w:marTop w:val="0"/>
      <w:marBottom w:val="0"/>
      <w:divBdr>
        <w:top w:val="none" w:sz="0" w:space="0" w:color="auto"/>
        <w:left w:val="none" w:sz="0" w:space="0" w:color="auto"/>
        <w:bottom w:val="none" w:sz="0" w:space="0" w:color="auto"/>
        <w:right w:val="none" w:sz="0" w:space="0" w:color="auto"/>
      </w:divBdr>
    </w:div>
    <w:div w:id="1719281452">
      <w:bodyDiv w:val="1"/>
      <w:marLeft w:val="0"/>
      <w:marRight w:val="0"/>
      <w:marTop w:val="0"/>
      <w:marBottom w:val="0"/>
      <w:divBdr>
        <w:top w:val="none" w:sz="0" w:space="0" w:color="auto"/>
        <w:left w:val="none" w:sz="0" w:space="0" w:color="auto"/>
        <w:bottom w:val="none" w:sz="0" w:space="0" w:color="auto"/>
        <w:right w:val="none" w:sz="0" w:space="0" w:color="auto"/>
      </w:divBdr>
    </w:div>
    <w:div w:id="1723095741">
      <w:bodyDiv w:val="1"/>
      <w:marLeft w:val="0"/>
      <w:marRight w:val="0"/>
      <w:marTop w:val="0"/>
      <w:marBottom w:val="0"/>
      <w:divBdr>
        <w:top w:val="none" w:sz="0" w:space="0" w:color="auto"/>
        <w:left w:val="none" w:sz="0" w:space="0" w:color="auto"/>
        <w:bottom w:val="none" w:sz="0" w:space="0" w:color="auto"/>
        <w:right w:val="none" w:sz="0" w:space="0" w:color="auto"/>
      </w:divBdr>
    </w:div>
    <w:div w:id="1752697989">
      <w:bodyDiv w:val="1"/>
      <w:marLeft w:val="0"/>
      <w:marRight w:val="0"/>
      <w:marTop w:val="0"/>
      <w:marBottom w:val="0"/>
      <w:divBdr>
        <w:top w:val="none" w:sz="0" w:space="0" w:color="auto"/>
        <w:left w:val="none" w:sz="0" w:space="0" w:color="auto"/>
        <w:bottom w:val="none" w:sz="0" w:space="0" w:color="auto"/>
        <w:right w:val="none" w:sz="0" w:space="0" w:color="auto"/>
      </w:divBdr>
    </w:div>
    <w:div w:id="1798454949">
      <w:bodyDiv w:val="1"/>
      <w:marLeft w:val="0"/>
      <w:marRight w:val="0"/>
      <w:marTop w:val="0"/>
      <w:marBottom w:val="0"/>
      <w:divBdr>
        <w:top w:val="none" w:sz="0" w:space="0" w:color="auto"/>
        <w:left w:val="none" w:sz="0" w:space="0" w:color="auto"/>
        <w:bottom w:val="none" w:sz="0" w:space="0" w:color="auto"/>
        <w:right w:val="none" w:sz="0" w:space="0" w:color="auto"/>
      </w:divBdr>
    </w:div>
    <w:div w:id="1808737936">
      <w:bodyDiv w:val="1"/>
      <w:marLeft w:val="0"/>
      <w:marRight w:val="0"/>
      <w:marTop w:val="0"/>
      <w:marBottom w:val="0"/>
      <w:divBdr>
        <w:top w:val="none" w:sz="0" w:space="0" w:color="auto"/>
        <w:left w:val="none" w:sz="0" w:space="0" w:color="auto"/>
        <w:bottom w:val="none" w:sz="0" w:space="0" w:color="auto"/>
        <w:right w:val="none" w:sz="0" w:space="0" w:color="auto"/>
      </w:divBdr>
    </w:div>
    <w:div w:id="1831214288">
      <w:bodyDiv w:val="1"/>
      <w:marLeft w:val="0"/>
      <w:marRight w:val="0"/>
      <w:marTop w:val="0"/>
      <w:marBottom w:val="0"/>
      <w:divBdr>
        <w:top w:val="none" w:sz="0" w:space="0" w:color="auto"/>
        <w:left w:val="none" w:sz="0" w:space="0" w:color="auto"/>
        <w:bottom w:val="none" w:sz="0" w:space="0" w:color="auto"/>
        <w:right w:val="none" w:sz="0" w:space="0" w:color="auto"/>
      </w:divBdr>
    </w:div>
    <w:div w:id="1846360137">
      <w:bodyDiv w:val="1"/>
      <w:marLeft w:val="0"/>
      <w:marRight w:val="0"/>
      <w:marTop w:val="0"/>
      <w:marBottom w:val="0"/>
      <w:divBdr>
        <w:top w:val="none" w:sz="0" w:space="0" w:color="auto"/>
        <w:left w:val="none" w:sz="0" w:space="0" w:color="auto"/>
        <w:bottom w:val="none" w:sz="0" w:space="0" w:color="auto"/>
        <w:right w:val="none" w:sz="0" w:space="0" w:color="auto"/>
      </w:divBdr>
    </w:div>
    <w:div w:id="1935358546">
      <w:bodyDiv w:val="1"/>
      <w:marLeft w:val="0"/>
      <w:marRight w:val="0"/>
      <w:marTop w:val="0"/>
      <w:marBottom w:val="0"/>
      <w:divBdr>
        <w:top w:val="none" w:sz="0" w:space="0" w:color="auto"/>
        <w:left w:val="none" w:sz="0" w:space="0" w:color="auto"/>
        <w:bottom w:val="none" w:sz="0" w:space="0" w:color="auto"/>
        <w:right w:val="none" w:sz="0" w:space="0" w:color="auto"/>
      </w:divBdr>
      <w:divsChild>
        <w:div w:id="135414698">
          <w:marLeft w:val="0"/>
          <w:marRight w:val="0"/>
          <w:marTop w:val="0"/>
          <w:marBottom w:val="0"/>
          <w:divBdr>
            <w:top w:val="none" w:sz="0" w:space="0" w:color="auto"/>
            <w:left w:val="none" w:sz="0" w:space="0" w:color="auto"/>
            <w:bottom w:val="none" w:sz="0" w:space="0" w:color="auto"/>
            <w:right w:val="none" w:sz="0" w:space="0" w:color="auto"/>
          </w:divBdr>
          <w:divsChild>
            <w:div w:id="1778864017">
              <w:marLeft w:val="0"/>
              <w:marRight w:val="0"/>
              <w:marTop w:val="0"/>
              <w:marBottom w:val="0"/>
              <w:divBdr>
                <w:top w:val="none" w:sz="0" w:space="0" w:color="auto"/>
                <w:left w:val="none" w:sz="0" w:space="0" w:color="auto"/>
                <w:bottom w:val="none" w:sz="0" w:space="0" w:color="auto"/>
                <w:right w:val="none" w:sz="0" w:space="0" w:color="auto"/>
              </w:divBdr>
              <w:divsChild>
                <w:div w:id="663432201">
                  <w:marLeft w:val="0"/>
                  <w:marRight w:val="0"/>
                  <w:marTop w:val="0"/>
                  <w:marBottom w:val="0"/>
                  <w:divBdr>
                    <w:top w:val="none" w:sz="0" w:space="0" w:color="auto"/>
                    <w:left w:val="none" w:sz="0" w:space="0" w:color="auto"/>
                    <w:bottom w:val="none" w:sz="0" w:space="0" w:color="auto"/>
                    <w:right w:val="none" w:sz="0" w:space="0" w:color="auto"/>
                  </w:divBdr>
                  <w:divsChild>
                    <w:div w:id="615719776">
                      <w:marLeft w:val="0"/>
                      <w:marRight w:val="0"/>
                      <w:marTop w:val="0"/>
                      <w:marBottom w:val="0"/>
                      <w:divBdr>
                        <w:top w:val="none" w:sz="0" w:space="0" w:color="auto"/>
                        <w:left w:val="none" w:sz="0" w:space="0" w:color="auto"/>
                        <w:bottom w:val="none" w:sz="0" w:space="0" w:color="auto"/>
                        <w:right w:val="none" w:sz="0" w:space="0" w:color="auto"/>
                      </w:divBdr>
                      <w:divsChild>
                        <w:div w:id="1846817683">
                          <w:marLeft w:val="0"/>
                          <w:marRight w:val="0"/>
                          <w:marTop w:val="0"/>
                          <w:marBottom w:val="0"/>
                          <w:divBdr>
                            <w:top w:val="none" w:sz="0" w:space="0" w:color="auto"/>
                            <w:left w:val="none" w:sz="0" w:space="0" w:color="auto"/>
                            <w:bottom w:val="none" w:sz="0" w:space="0" w:color="auto"/>
                            <w:right w:val="none" w:sz="0" w:space="0" w:color="auto"/>
                          </w:divBdr>
                          <w:divsChild>
                            <w:div w:id="1681736985">
                              <w:marLeft w:val="0"/>
                              <w:marRight w:val="0"/>
                              <w:marTop w:val="0"/>
                              <w:marBottom w:val="0"/>
                              <w:divBdr>
                                <w:top w:val="none" w:sz="0" w:space="0" w:color="auto"/>
                                <w:left w:val="none" w:sz="0" w:space="0" w:color="auto"/>
                                <w:bottom w:val="none" w:sz="0" w:space="0" w:color="auto"/>
                                <w:right w:val="none" w:sz="0" w:space="0" w:color="auto"/>
                              </w:divBdr>
                              <w:divsChild>
                                <w:div w:id="178850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227218">
      <w:bodyDiv w:val="1"/>
      <w:marLeft w:val="0"/>
      <w:marRight w:val="0"/>
      <w:marTop w:val="0"/>
      <w:marBottom w:val="0"/>
      <w:divBdr>
        <w:top w:val="none" w:sz="0" w:space="0" w:color="auto"/>
        <w:left w:val="none" w:sz="0" w:space="0" w:color="auto"/>
        <w:bottom w:val="none" w:sz="0" w:space="0" w:color="auto"/>
        <w:right w:val="none" w:sz="0" w:space="0" w:color="auto"/>
      </w:divBdr>
    </w:div>
    <w:div w:id="2005425625">
      <w:bodyDiv w:val="1"/>
      <w:marLeft w:val="0"/>
      <w:marRight w:val="0"/>
      <w:marTop w:val="0"/>
      <w:marBottom w:val="0"/>
      <w:divBdr>
        <w:top w:val="none" w:sz="0" w:space="0" w:color="auto"/>
        <w:left w:val="none" w:sz="0" w:space="0" w:color="auto"/>
        <w:bottom w:val="none" w:sz="0" w:space="0" w:color="auto"/>
        <w:right w:val="none" w:sz="0" w:space="0" w:color="auto"/>
      </w:divBdr>
    </w:div>
    <w:div w:id="2092461219">
      <w:bodyDiv w:val="1"/>
      <w:marLeft w:val="0"/>
      <w:marRight w:val="0"/>
      <w:marTop w:val="0"/>
      <w:marBottom w:val="0"/>
      <w:divBdr>
        <w:top w:val="none" w:sz="0" w:space="0" w:color="auto"/>
        <w:left w:val="none" w:sz="0" w:space="0" w:color="auto"/>
        <w:bottom w:val="none" w:sz="0" w:space="0" w:color="auto"/>
        <w:right w:val="none" w:sz="0" w:space="0" w:color="auto"/>
      </w:divBdr>
    </w:div>
    <w:div w:id="214252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marine.copernicus.eu/ro" TargetMode="External"/><Relationship Id="rId13" Type="http://schemas.openxmlformats.org/officeDocument/2006/relationships/hyperlink" Target="https://eurogoos.eu/" TargetMode="External"/><Relationship Id="rId18" Type="http://schemas.openxmlformats.org/officeDocument/2006/relationships/hyperlink" Target="https://ec.europa.eu/info/funding-tenders/opportunities/docs/2021-2027/horizon/wp-call/2026-2027/wp-9-food-bioeconomy-natural-resources-agriculture-and-environment_horizon-2026-2027_en.pdf" TargetMode="External"/><Relationship Id="rId3" Type="http://schemas.openxmlformats.org/officeDocument/2006/relationships/hyperlink" Target="https://www.un.org/en/climatechange/science/climate-issues/ocean" TargetMode="External"/><Relationship Id="rId21" Type="http://schemas.openxmlformats.org/officeDocument/2006/relationships/hyperlink" Target="https://joint-research-centre.ec.europa.eu/strategic-foresight-eu_en" TargetMode="External"/><Relationship Id="rId7" Type="http://schemas.openxmlformats.org/officeDocument/2006/relationships/hyperlink" Target="https://www.unesco.org/sites/default/files/medias/files/2022/02/en-ocean-presskit.pdf" TargetMode="External"/><Relationship Id="rId12" Type="http://schemas.openxmlformats.org/officeDocument/2006/relationships/hyperlink" Target="https://goosocean.org/who-we-are/" TargetMode="External"/><Relationship Id="rId17" Type="http://schemas.openxmlformats.org/officeDocument/2006/relationships/hyperlink" Target="https://www.un.org/bbnjagreement/en" TargetMode="External"/><Relationship Id="rId2" Type="http://schemas.openxmlformats.org/officeDocument/2006/relationships/hyperlink" Target="https://www.un.org/en/climatechange/science/climate-issues/ocean" TargetMode="External"/><Relationship Id="rId16" Type="http://schemas.openxmlformats.org/officeDocument/2006/relationships/hyperlink" Target="https://www.ocean-ops.org/goosreport/goosreport2025.pdf" TargetMode="External"/><Relationship Id="rId20" Type="http://schemas.openxmlformats.org/officeDocument/2006/relationships/hyperlink" Target="https://research-and-innovation.ec.europa.eu/strategy/strategy-research-and-innovation/our-digital-future/open-science/european-open-science-cloud-eosc_en" TargetMode="External"/><Relationship Id="rId1" Type="http://schemas.openxmlformats.org/officeDocument/2006/relationships/hyperlink" Target="https://commission.europa.eu/topics/research-and-innovation/choose-europe_en?prefLang=ro" TargetMode="External"/><Relationship Id="rId6" Type="http://schemas.openxmlformats.org/officeDocument/2006/relationships/hyperlink" Target="https://www.oecd.org/content/dam/oecd/en/publications/reports/2021/07/value-chains-in-public-marine-data_ec9a528e/d8bbdcfa-en.pdf" TargetMode="External"/><Relationship Id="rId11" Type="http://schemas.openxmlformats.org/officeDocument/2006/relationships/hyperlink" Target="https://www.edito.eu/european-digital-twin-ocean-about/" TargetMode="External"/><Relationship Id="rId24" Type="http://schemas.openxmlformats.org/officeDocument/2006/relationships/hyperlink" Target="https://investeu.europa.eu/investeu-programme/investeu-advisory-hub_en" TargetMode="External"/><Relationship Id="rId5" Type="http://schemas.openxmlformats.org/officeDocument/2006/relationships/hyperlink" Target="https://cdn.ioos.noaa.gov/media/2017/12/ioos_devplan.pdf" TargetMode="External"/><Relationship Id="rId15" Type="http://schemas.openxmlformats.org/officeDocument/2006/relationships/hyperlink" Target="https://defence-industry-space.ec.europa.eu/developing-reconnaissance-capabilities-eu-level-2024-01-23_en" TargetMode="External"/><Relationship Id="rId23" Type="http://schemas.openxmlformats.org/officeDocument/2006/relationships/hyperlink" Target="https://maritime-forum.ec.europa.eu/theme/investments/blueinvest_en" TargetMode="External"/><Relationship Id="rId10" Type="http://schemas.openxmlformats.org/officeDocument/2006/relationships/hyperlink" Target="https://water.europa.eu" TargetMode="External"/><Relationship Id="rId19" Type="http://schemas.openxmlformats.org/officeDocument/2006/relationships/hyperlink" Target="https://www.edito.eu/" TargetMode="External"/><Relationship Id="rId4" Type="http://schemas.openxmlformats.org/officeDocument/2006/relationships/hyperlink" Target="https://www.eeas.europa.eu/eeas/eu-security-and-defence-partnerships_en?etrans=ro" TargetMode="External"/><Relationship Id="rId9" Type="http://schemas.openxmlformats.org/officeDocument/2006/relationships/hyperlink" Target="https://emodnet.ec.europa.eu" TargetMode="External"/><Relationship Id="rId14" Type="http://schemas.openxmlformats.org/officeDocument/2006/relationships/hyperlink" Target="https://www.eurofleets.eu/" TargetMode="External"/><Relationship Id="rId22" Type="http://schemas.openxmlformats.org/officeDocument/2006/relationships/hyperlink" Target="https://maritime-forum.ec.europa.eu/theme/ocean-literacy-and-blue-skills/ocean-literacy/eu4ocean-coali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33896-31DE-45D5-9ADE-21059143C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7412</Words>
  <Characters>42250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2026-05-31T09:56:00Z</dcterms:created>
  <dcterms:modified xsi:type="dcterms:W3CDTF">2026-06-17T07:30:00Z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2026-05-31T09:57:16Z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f8b69c49-ad5d-415d-911a-6c4463861fd8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