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E9277" w14:textId="16C86814" w:rsidR="001879D6" w:rsidRPr="004003D3" w:rsidRDefault="00900EDC" w:rsidP="00900EDC">
      <w:pPr>
        <w:pStyle w:val="Pagedecouverture"/>
        <w:rPr>
          <w:noProof/>
        </w:rPr>
      </w:pPr>
      <w:bookmarkStart w:id="0" w:name="LW_BM_COVERPAGE"/>
      <w:r>
        <w:rPr>
          <w:noProof/>
        </w:rPr>
        <w:pict w14:anchorId="77A82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FE7D9A-F007-4A38-B091-0B4A9611A0F1" style="width:455.25pt;height:313.5pt">
            <v:imagedata r:id="rId8" o:title=""/>
          </v:shape>
        </w:pict>
      </w:r>
    </w:p>
    <w:bookmarkEnd w:id="0"/>
    <w:p w14:paraId="7528E618" w14:textId="5F664AE8" w:rsidR="009E14FF" w:rsidRPr="004003D3" w:rsidRDefault="009E14FF" w:rsidP="009E14FF">
      <w:pPr>
        <w:pStyle w:val="Pagedecouverture"/>
        <w:rPr>
          <w:noProof/>
        </w:rPr>
        <w:sectPr w:rsidR="009E14FF" w:rsidRPr="004003D3" w:rsidSect="00900ED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CFD4E9E" w14:textId="44BE715A" w:rsidR="00FF6AD2" w:rsidRPr="004003D3" w:rsidRDefault="00FF6AD2" w:rsidP="005546D8">
      <w:pPr>
        <w:autoSpaceDE w:val="0"/>
        <w:autoSpaceDN w:val="0"/>
        <w:adjustRightInd w:val="0"/>
        <w:spacing w:after="120" w:line="259" w:lineRule="auto"/>
        <w:jc w:val="center"/>
        <w:rPr>
          <w:rFonts w:ascii="Times New Roman" w:eastAsia="Calibri" w:hAnsi="Times New Roman" w:cs="Times New Roman"/>
          <w:b/>
          <w:bCs/>
          <w:noProof/>
          <w:kern w:val="0"/>
          <w:sz w:val="24"/>
          <w:szCs w:val="24"/>
          <w14:ligatures w14:val="none"/>
        </w:rPr>
      </w:pPr>
      <w:bookmarkStart w:id="1" w:name="_GoBack"/>
      <w:bookmarkEnd w:id="1"/>
      <w:r w:rsidRPr="004003D3">
        <w:rPr>
          <w:rFonts w:ascii="Times New Roman" w:hAnsi="Times New Roman"/>
          <w:b/>
          <w:noProof/>
          <w:sz w:val="24"/>
        </w:rPr>
        <w:lastRenderedPageBreak/>
        <w:t>RAPORT AL COMISIEI CĂTRE PARLAMENTUL EUROPEAN ȘI CONSILIU</w:t>
      </w:r>
    </w:p>
    <w:p w14:paraId="0CBDDD3E" w14:textId="77777777" w:rsidR="00FF6AD2" w:rsidRPr="004003D3" w:rsidRDefault="00FF6AD2" w:rsidP="005546D8">
      <w:pPr>
        <w:spacing w:after="120" w:line="259" w:lineRule="auto"/>
        <w:jc w:val="center"/>
        <w:rPr>
          <w:rFonts w:ascii="Times New Roman" w:eastAsia="Calibri" w:hAnsi="Times New Roman" w:cs="Times New Roman"/>
          <w:noProof/>
          <w:kern w:val="0"/>
          <w:sz w:val="24"/>
          <w:szCs w:val="24"/>
          <w14:ligatures w14:val="none"/>
        </w:rPr>
      </w:pPr>
      <w:r w:rsidRPr="004003D3">
        <w:rPr>
          <w:rFonts w:ascii="Times New Roman" w:hAnsi="Times New Roman"/>
          <w:b/>
          <w:noProof/>
          <w:sz w:val="24"/>
        </w:rPr>
        <w:t>referitor la „angajamentele privind asigurarea încrederii în statistici” asumate de statele membre în conformitate cu Regulamentul (CE) nr. 223/2009 al Parlamentului European și al Consiliului din 11 martie 2009</w:t>
      </w:r>
    </w:p>
    <w:p w14:paraId="6ADD3ED4" w14:textId="77777777" w:rsidR="00FF6AD2" w:rsidRPr="004003D3" w:rsidRDefault="00FF6AD2" w:rsidP="005546D8">
      <w:pPr>
        <w:pStyle w:val="ListParagraph"/>
        <w:keepNext/>
        <w:numPr>
          <w:ilvl w:val="0"/>
          <w:numId w:val="2"/>
        </w:numPr>
        <w:tabs>
          <w:tab w:val="num" w:pos="850"/>
        </w:tabs>
        <w:spacing w:after="120" w:line="259" w:lineRule="auto"/>
        <w:ind w:left="360"/>
        <w:jc w:val="both"/>
        <w:outlineLvl w:val="0"/>
        <w:rPr>
          <w:rFonts w:ascii="Times New Roman" w:eastAsia="Times New Roman" w:hAnsi="Times New Roman" w:cs="Times New Roman"/>
          <w:b/>
          <w:bCs/>
          <w:smallCaps/>
          <w:noProof/>
          <w:kern w:val="0"/>
          <w:sz w:val="24"/>
          <w:szCs w:val="24"/>
          <w14:ligatures w14:val="none"/>
        </w:rPr>
      </w:pPr>
      <w:r w:rsidRPr="004003D3">
        <w:rPr>
          <w:rFonts w:ascii="Times New Roman" w:hAnsi="Times New Roman"/>
          <w:b/>
          <w:smallCaps/>
          <w:noProof/>
          <w:sz w:val="24"/>
        </w:rPr>
        <w:t>Introducere</w:t>
      </w:r>
    </w:p>
    <w:p w14:paraId="44C04AC5" w14:textId="77777777" w:rsidR="00FF6AD2" w:rsidRPr="004003D3" w:rsidRDefault="00FF6AD2" w:rsidP="005546D8">
      <w:pPr>
        <w:keepNext/>
        <w:numPr>
          <w:ilvl w:val="1"/>
          <w:numId w:val="1"/>
        </w:numPr>
        <w:spacing w:after="120" w:line="259" w:lineRule="auto"/>
        <w:jc w:val="both"/>
        <w:outlineLvl w:val="1"/>
        <w:rPr>
          <w:rFonts w:ascii="Times New Roman" w:eastAsia="Times New Roman" w:hAnsi="Times New Roman" w:cs="Times New Roman"/>
          <w:b/>
          <w:bCs/>
          <w:noProof/>
          <w:kern w:val="0"/>
          <w:sz w:val="24"/>
          <w:szCs w:val="24"/>
          <w14:ligatures w14:val="none"/>
        </w:rPr>
      </w:pPr>
      <w:r w:rsidRPr="004003D3">
        <w:rPr>
          <w:rFonts w:ascii="Times New Roman" w:hAnsi="Times New Roman"/>
          <w:b/>
          <w:noProof/>
          <w:sz w:val="24"/>
        </w:rPr>
        <w:t>Regulamentul (CE) nr. 223/2009 privind statisticile europene</w:t>
      </w:r>
    </w:p>
    <w:p w14:paraId="200135DE" w14:textId="705A632C" w:rsidR="00FF6AD2" w:rsidRPr="004003D3" w:rsidRDefault="00FF6AD2" w:rsidP="005546D8">
      <w:pPr>
        <w:spacing w:after="120" w:line="259" w:lineRule="auto"/>
        <w:jc w:val="both"/>
        <w:rPr>
          <w:rFonts w:ascii="Times New Roman" w:eastAsia="Calibri" w:hAnsi="Times New Roman" w:cs="Times New Roman"/>
          <w:noProof/>
          <w:kern w:val="0"/>
          <w:sz w:val="24"/>
          <w:szCs w:val="24"/>
          <w14:ligatures w14:val="none"/>
        </w:rPr>
      </w:pPr>
      <w:r w:rsidRPr="004003D3">
        <w:rPr>
          <w:rFonts w:ascii="Times New Roman" w:hAnsi="Times New Roman"/>
          <w:noProof/>
          <w:sz w:val="24"/>
        </w:rPr>
        <w:t xml:space="preserve">Prezentul raport a fost elaborat în conformitate cu </w:t>
      </w:r>
      <w:r w:rsidRPr="004003D3">
        <w:rPr>
          <w:rFonts w:ascii="Times New Roman" w:hAnsi="Times New Roman"/>
          <w:noProof/>
          <w:color w:val="000000"/>
          <w:sz w:val="24"/>
        </w:rPr>
        <w:t xml:space="preserve">Regulamentul (CE) </w:t>
      </w:r>
      <w:r w:rsidRPr="004003D3">
        <w:rPr>
          <w:rFonts w:ascii="Times New Roman" w:hAnsi="Times New Roman"/>
          <w:noProof/>
          <w:sz w:val="24"/>
        </w:rPr>
        <w:t>nr. 223/2009 privind statisticile europene, astfel cum a fost modificat cel mai recent prin Regulamentul (UE) 2024/3018</w:t>
      </w:r>
      <w:r w:rsidRPr="004003D3">
        <w:rPr>
          <w:rFonts w:ascii="Times New Roman" w:eastAsia="Calibri" w:hAnsi="Times New Roman" w:cs="Times New Roman"/>
          <w:noProof/>
          <w:kern w:val="0"/>
          <w:sz w:val="24"/>
          <w:szCs w:val="24"/>
          <w:vertAlign w:val="superscript"/>
        </w:rPr>
        <w:footnoteReference w:id="1"/>
      </w:r>
      <w:r w:rsidRPr="004003D3">
        <w:rPr>
          <w:rFonts w:ascii="Times New Roman" w:hAnsi="Times New Roman"/>
          <w:noProof/>
          <w:sz w:val="24"/>
        </w:rPr>
        <w:t>, în special articolul 11 alineatul (4), care prevede că:</w:t>
      </w:r>
    </w:p>
    <w:p w14:paraId="3E1C8368" w14:textId="1CC55F15" w:rsidR="00FF6AD2" w:rsidRPr="004003D3" w:rsidRDefault="00500E3A" w:rsidP="005546D8">
      <w:pPr>
        <w:spacing w:after="120" w:line="259" w:lineRule="auto"/>
        <w:jc w:val="both"/>
        <w:rPr>
          <w:rFonts w:ascii="Times New Roman" w:eastAsia="Calibri" w:hAnsi="Times New Roman" w:cs="Times New Roman"/>
          <w:i/>
          <w:noProof/>
          <w:kern w:val="0"/>
          <w:sz w:val="24"/>
          <w:szCs w:val="24"/>
          <w14:ligatures w14:val="none"/>
        </w:rPr>
      </w:pPr>
      <w:r w:rsidRPr="004003D3">
        <w:rPr>
          <w:rFonts w:ascii="Times New Roman" w:hAnsi="Times New Roman"/>
          <w:i/>
          <w:noProof/>
          <w:sz w:val="24"/>
        </w:rPr>
        <w:t>„Respectivele angajamente ale statelor membre sunt monitorizate periodic de către Comisie pe baza rapoartelor anuale trimise de statele membre și sunt actualizate atunci când este necesar. [...] Comisia prezintă Parlamentului European și Consiliului un raport cu privire la angajamentele publicate și, după caz, rapoarte privind progresele înregistrate, până la 9 iunie 2018 și ulterior o dată la doi ani.”</w:t>
      </w:r>
    </w:p>
    <w:p w14:paraId="130FC4F4" w14:textId="30FB53F5" w:rsidR="3EEE9BDF" w:rsidRPr="004003D3" w:rsidRDefault="438BBC4F" w:rsidP="005546D8">
      <w:pPr>
        <w:spacing w:after="120" w:line="259" w:lineRule="auto"/>
        <w:jc w:val="both"/>
        <w:rPr>
          <w:rFonts w:ascii="Times New Roman" w:eastAsia="Calibri" w:hAnsi="Times New Roman" w:cs="Times New Roman"/>
          <w:noProof/>
          <w:sz w:val="24"/>
          <w:szCs w:val="24"/>
        </w:rPr>
      </w:pPr>
      <w:r w:rsidRPr="004003D3">
        <w:rPr>
          <w:rFonts w:ascii="Times New Roman" w:hAnsi="Times New Roman"/>
          <w:noProof/>
          <w:sz w:val="24"/>
        </w:rPr>
        <w:t>Prezentul raport se referă la perioada ianuarie 2024-decembrie 2025 (denumită în continuare „această perioadă de raportare”). Rapoartele anterioare au fost publicate în 2018</w:t>
      </w:r>
      <w:r w:rsidRPr="004003D3">
        <w:rPr>
          <w:rFonts w:ascii="Times New Roman" w:eastAsia="Calibri" w:hAnsi="Times New Roman" w:cs="Times New Roman"/>
          <w:noProof/>
          <w:kern w:val="0"/>
          <w:sz w:val="24"/>
          <w:szCs w:val="24"/>
          <w:vertAlign w:val="superscript"/>
        </w:rPr>
        <w:footnoteReference w:id="2"/>
      </w:r>
      <w:r w:rsidRPr="004003D3">
        <w:rPr>
          <w:rFonts w:ascii="Times New Roman" w:hAnsi="Times New Roman"/>
          <w:noProof/>
          <w:sz w:val="24"/>
        </w:rPr>
        <w:t>, 2020</w:t>
      </w:r>
      <w:r w:rsidRPr="004003D3">
        <w:rPr>
          <w:rFonts w:ascii="Times New Roman" w:eastAsia="Calibri" w:hAnsi="Times New Roman" w:cs="Times New Roman"/>
          <w:noProof/>
          <w:kern w:val="0"/>
          <w:sz w:val="24"/>
          <w:szCs w:val="24"/>
          <w:vertAlign w:val="superscript"/>
        </w:rPr>
        <w:footnoteReference w:id="3"/>
      </w:r>
      <w:r w:rsidRPr="004003D3">
        <w:rPr>
          <w:rFonts w:ascii="Times New Roman" w:hAnsi="Times New Roman"/>
          <w:noProof/>
          <w:sz w:val="24"/>
        </w:rPr>
        <w:t>, 2022</w:t>
      </w:r>
      <w:r w:rsidRPr="004003D3">
        <w:rPr>
          <w:rFonts w:ascii="Times New Roman" w:eastAsia="Calibri" w:hAnsi="Times New Roman" w:cs="Times New Roman"/>
          <w:noProof/>
          <w:kern w:val="0"/>
          <w:sz w:val="24"/>
          <w:szCs w:val="24"/>
          <w:vertAlign w:val="superscript"/>
        </w:rPr>
        <w:footnoteReference w:id="4"/>
      </w:r>
      <w:r w:rsidRPr="004003D3">
        <w:rPr>
          <w:rFonts w:ascii="Times New Roman" w:hAnsi="Times New Roman"/>
          <w:noProof/>
          <w:sz w:val="24"/>
        </w:rPr>
        <w:t xml:space="preserve"> și 2024</w:t>
      </w:r>
      <w:r w:rsidRPr="004003D3">
        <w:rPr>
          <w:rStyle w:val="FootnoteReference"/>
          <w:rFonts w:ascii="Times New Roman" w:eastAsia="Calibri" w:hAnsi="Times New Roman" w:cs="Times New Roman"/>
          <w:noProof/>
          <w:sz w:val="24"/>
          <w:szCs w:val="24"/>
        </w:rPr>
        <w:footnoteReference w:id="5"/>
      </w:r>
      <w:r w:rsidRPr="004003D3">
        <w:rPr>
          <w:noProof/>
        </w:rPr>
        <w:t>.</w:t>
      </w:r>
    </w:p>
    <w:p w14:paraId="39B9A2B2" w14:textId="5F9DCA57" w:rsidR="00FF6AD2" w:rsidRPr="004003D3" w:rsidRDefault="56D11572" w:rsidP="005546D8">
      <w:pPr>
        <w:keepNext/>
        <w:tabs>
          <w:tab w:val="num" w:pos="850"/>
        </w:tabs>
        <w:spacing w:after="120" w:line="259" w:lineRule="auto"/>
        <w:ind w:left="850" w:hanging="850"/>
        <w:jc w:val="both"/>
        <w:outlineLvl w:val="1"/>
        <w:rPr>
          <w:rFonts w:ascii="Times New Roman" w:eastAsia="Times New Roman" w:hAnsi="Times New Roman" w:cs="Times New Roman"/>
          <w:b/>
          <w:bCs/>
          <w:noProof/>
          <w:kern w:val="0"/>
          <w:sz w:val="24"/>
          <w:szCs w:val="24"/>
          <w14:ligatures w14:val="none"/>
        </w:rPr>
      </w:pPr>
      <w:r w:rsidRPr="004003D3">
        <w:rPr>
          <w:rFonts w:ascii="Times New Roman" w:hAnsi="Times New Roman"/>
          <w:b/>
          <w:noProof/>
          <w:sz w:val="24"/>
        </w:rPr>
        <w:t>1.2.</w:t>
      </w:r>
      <w:r w:rsidRPr="004003D3">
        <w:rPr>
          <w:noProof/>
        </w:rPr>
        <w:tab/>
      </w:r>
      <w:r w:rsidRPr="004003D3">
        <w:rPr>
          <w:rFonts w:ascii="Times New Roman" w:hAnsi="Times New Roman"/>
          <w:b/>
          <w:noProof/>
          <w:sz w:val="24"/>
        </w:rPr>
        <w:t>Angajamentul privind asigurarea încrederii în statistici</w:t>
      </w:r>
    </w:p>
    <w:p w14:paraId="3E7557D3" w14:textId="65035467" w:rsidR="00FF6AD2" w:rsidRPr="004003D3" w:rsidRDefault="0CEB1D0C" w:rsidP="005546D8">
      <w:pPr>
        <w:spacing w:after="120" w:line="259" w:lineRule="auto"/>
        <w:jc w:val="both"/>
        <w:rPr>
          <w:rFonts w:ascii="Times New Roman" w:eastAsia="Calibri" w:hAnsi="Times New Roman" w:cs="Times New Roman"/>
          <w:noProof/>
          <w:color w:val="000000" w:themeColor="text1"/>
          <w:sz w:val="24"/>
          <w:szCs w:val="24"/>
        </w:rPr>
      </w:pPr>
      <w:r w:rsidRPr="004003D3">
        <w:rPr>
          <w:rFonts w:ascii="Times New Roman" w:hAnsi="Times New Roman"/>
          <w:noProof/>
          <w:color w:val="000000" w:themeColor="text1"/>
          <w:sz w:val="24"/>
        </w:rPr>
        <w:t xml:space="preserve">În conformitate cu articolul 11 alineatul (3) din Regulamentul (CE) </w:t>
      </w:r>
      <w:r w:rsidRPr="004003D3">
        <w:rPr>
          <w:rFonts w:ascii="Times New Roman" w:hAnsi="Times New Roman"/>
          <w:noProof/>
          <w:sz w:val="24"/>
        </w:rPr>
        <w:t>nr. 223/2009, „</w:t>
      </w:r>
      <w:r w:rsidR="000B764E" w:rsidRPr="004003D3">
        <w:rPr>
          <w:rFonts w:ascii="Times New Roman" w:hAnsi="Times New Roman"/>
          <w:i/>
          <w:noProof/>
          <w:sz w:val="24"/>
        </w:rPr>
        <w:t>S</w:t>
      </w:r>
      <w:r w:rsidRPr="004003D3">
        <w:rPr>
          <w:rFonts w:ascii="Times New Roman" w:hAnsi="Times New Roman"/>
          <w:i/>
          <w:noProof/>
          <w:sz w:val="24"/>
        </w:rPr>
        <w:t>tatele membre și Comisia iau toate măsurile necesare pentru a menține încrederea în statisticile europene. În acest scop, «</w:t>
      </w:r>
      <w:r w:rsidR="000B764E" w:rsidRPr="004003D3">
        <w:rPr>
          <w:rFonts w:ascii="Times New Roman" w:hAnsi="Times New Roman"/>
          <w:i/>
          <w:noProof/>
          <w:sz w:val="24"/>
        </w:rPr>
        <w:t>a</w:t>
      </w:r>
      <w:r w:rsidRPr="004003D3">
        <w:rPr>
          <w:rFonts w:ascii="Times New Roman" w:hAnsi="Times New Roman"/>
          <w:i/>
          <w:noProof/>
          <w:sz w:val="24"/>
        </w:rPr>
        <w:t>ngajamentele privind asigurarea încrederii în statistici» vizează, în continuare, asigurarea încrederii publice în statisticile europene și realizarea de progrese în punerea în aplicare a principiilor statistice cuprinse în Codul de bune practici</w:t>
      </w:r>
      <w:r w:rsidRPr="004003D3">
        <w:rPr>
          <w:rFonts w:ascii="Times New Roman" w:hAnsi="Times New Roman"/>
          <w:noProof/>
          <w:sz w:val="24"/>
        </w:rPr>
        <w:t>”</w:t>
      </w:r>
      <w:r w:rsidR="000B764E" w:rsidRPr="004003D3">
        <w:rPr>
          <w:rFonts w:ascii="Times New Roman" w:hAnsi="Times New Roman"/>
          <w:noProof/>
          <w:sz w:val="24"/>
        </w:rPr>
        <w:t>.</w:t>
      </w:r>
    </w:p>
    <w:p w14:paraId="21A3539E" w14:textId="3C338EAC" w:rsidR="00FF6AD2" w:rsidRPr="004003D3" w:rsidRDefault="00FF6AD2" w:rsidP="005546D8">
      <w:pPr>
        <w:spacing w:after="120" w:line="259" w:lineRule="auto"/>
        <w:jc w:val="both"/>
        <w:rPr>
          <w:rFonts w:ascii="Times New Roman" w:eastAsia="Calibri" w:hAnsi="Times New Roman" w:cs="Times New Roman"/>
          <w:noProof/>
          <w:color w:val="000000"/>
          <w:kern w:val="0"/>
          <w:sz w:val="24"/>
          <w:szCs w:val="24"/>
          <w14:ligatures w14:val="none"/>
        </w:rPr>
      </w:pPr>
      <w:r w:rsidRPr="004003D3">
        <w:rPr>
          <w:rFonts w:ascii="Times New Roman" w:hAnsi="Times New Roman"/>
          <w:noProof/>
          <w:sz w:val="24"/>
        </w:rPr>
        <w:t xml:space="preserve">Angajamentele privind asigurarea încrederii în statistici (denumite în continuare „angajamentele”) au fost instituite ca parte a </w:t>
      </w:r>
      <w:r w:rsidRPr="004003D3">
        <w:rPr>
          <w:rFonts w:ascii="Times New Roman" w:hAnsi="Times New Roman"/>
          <w:noProof/>
          <w:color w:val="000000"/>
          <w:sz w:val="24"/>
        </w:rPr>
        <w:t>obiectivului de consolidare a cadrului pentru managementul calității în domeniul statisticii</w:t>
      </w:r>
      <w:r w:rsidRPr="004003D3">
        <w:rPr>
          <w:rFonts w:ascii="Times New Roman" w:eastAsia="Calibri" w:hAnsi="Times New Roman" w:cs="Times New Roman"/>
          <w:noProof/>
          <w:color w:val="000000"/>
          <w:kern w:val="0"/>
          <w:sz w:val="24"/>
          <w:szCs w:val="24"/>
          <w:vertAlign w:val="superscript"/>
        </w:rPr>
        <w:footnoteReference w:id="6"/>
      </w:r>
      <w:r w:rsidRPr="004003D3">
        <w:rPr>
          <w:rFonts w:ascii="Times New Roman" w:hAnsi="Times New Roman"/>
          <w:noProof/>
          <w:sz w:val="24"/>
        </w:rPr>
        <w:t>.</w:t>
      </w:r>
      <w:r w:rsidRPr="004003D3">
        <w:rPr>
          <w:rFonts w:ascii="Times New Roman" w:hAnsi="Times New Roman"/>
          <w:noProof/>
          <w:color w:val="000000"/>
          <w:sz w:val="24"/>
        </w:rPr>
        <w:t xml:space="preserve"> Acestea servesc drept mecanism de implicare continuă a guvernelor în asumarea responsabilității pentru respectarea de către țara lor a Codului de bune practici al statisticilor europene (denumit în continuare „Codul de bune practici”)</w:t>
      </w:r>
      <w:r w:rsidRPr="004003D3">
        <w:rPr>
          <w:rFonts w:ascii="Times New Roman" w:eastAsia="Calibri" w:hAnsi="Times New Roman" w:cs="Times New Roman"/>
          <w:noProof/>
          <w:color w:val="000000"/>
          <w:kern w:val="0"/>
          <w:sz w:val="24"/>
          <w:szCs w:val="24"/>
          <w:vertAlign w:val="superscript"/>
        </w:rPr>
        <w:footnoteReference w:id="7"/>
      </w:r>
      <w:r w:rsidRPr="004003D3">
        <w:rPr>
          <w:rFonts w:ascii="Times New Roman" w:hAnsi="Times New Roman"/>
          <w:noProof/>
          <w:color w:val="000000"/>
          <w:sz w:val="24"/>
        </w:rPr>
        <w:t>.</w:t>
      </w:r>
    </w:p>
    <w:p w14:paraId="11CB9CC8" w14:textId="1FCB94AC" w:rsidR="00FF6AD2" w:rsidRPr="004003D3" w:rsidRDefault="00FF6AD2" w:rsidP="005546D8">
      <w:pPr>
        <w:spacing w:after="120" w:line="259" w:lineRule="auto"/>
        <w:jc w:val="both"/>
        <w:rPr>
          <w:rFonts w:ascii="Times New Roman" w:eastAsia="Calibri" w:hAnsi="Times New Roman" w:cs="Times New Roman"/>
          <w:noProof/>
          <w:color w:val="000000"/>
          <w:kern w:val="0"/>
          <w:sz w:val="24"/>
          <w:szCs w:val="24"/>
          <w14:ligatures w14:val="none"/>
        </w:rPr>
      </w:pPr>
      <w:r w:rsidRPr="004003D3">
        <w:rPr>
          <w:rFonts w:ascii="Times New Roman" w:hAnsi="Times New Roman"/>
          <w:noProof/>
          <w:sz w:val="24"/>
        </w:rPr>
        <w:t>Codul de bune practici a creat criteriul de referință pentru dezvoltarea, elaborarea și difuzarea statisticilor europene.</w:t>
      </w:r>
      <w:r w:rsidRPr="004003D3">
        <w:rPr>
          <w:rFonts w:ascii="Times New Roman" w:hAnsi="Times New Roman"/>
          <w:noProof/>
          <w:color w:val="000000"/>
          <w:sz w:val="24"/>
        </w:rPr>
        <w:t xml:space="preserve"> </w:t>
      </w:r>
      <w:r w:rsidRPr="004003D3">
        <w:rPr>
          <w:rFonts w:ascii="Times New Roman" w:hAnsi="Times New Roman"/>
          <w:noProof/>
          <w:sz w:val="24"/>
        </w:rPr>
        <w:t>Acesta cuprinde 16 principii care acoperă mediul instituțional, procesele statistice și rezultatele statistice.</w:t>
      </w:r>
      <w:r w:rsidRPr="004003D3">
        <w:rPr>
          <w:rFonts w:ascii="Times New Roman" w:hAnsi="Times New Roman"/>
          <w:noProof/>
          <w:color w:val="000000"/>
          <w:sz w:val="24"/>
        </w:rPr>
        <w:t xml:space="preserve"> </w:t>
      </w:r>
      <w:r w:rsidRPr="004003D3">
        <w:rPr>
          <w:rFonts w:ascii="Times New Roman" w:hAnsi="Times New Roman"/>
          <w:noProof/>
          <w:sz w:val="24"/>
        </w:rPr>
        <w:t>Obiectivul său principal este de a se asigura că statisticile elaborate în cadrul Sistemului Statistic European (SSE) îndeplinesc nu numai criterii de calitate, ci și alte principii, cum ar fi independența profesională, imparțialitatea și obiectivitatea.</w:t>
      </w:r>
    </w:p>
    <w:p w14:paraId="73E6A0CE" w14:textId="2CCADC5B" w:rsidR="00FF6AD2" w:rsidRPr="004003D3" w:rsidRDefault="00FF6AD2" w:rsidP="005546D8">
      <w:pPr>
        <w:spacing w:after="120" w:line="259" w:lineRule="auto"/>
        <w:jc w:val="both"/>
        <w:rPr>
          <w:rFonts w:ascii="Times New Roman" w:eastAsia="Calibri" w:hAnsi="Times New Roman" w:cs="Times New Roman"/>
          <w:noProof/>
          <w:kern w:val="0"/>
          <w:sz w:val="24"/>
          <w:szCs w:val="24"/>
          <w:shd w:val="clear" w:color="auto" w:fill="FFFFFF"/>
          <w14:ligatures w14:val="none"/>
        </w:rPr>
      </w:pPr>
      <w:r w:rsidRPr="004003D3">
        <w:rPr>
          <w:rFonts w:ascii="Times New Roman" w:hAnsi="Times New Roman"/>
          <w:noProof/>
          <w:sz w:val="24"/>
        </w:rPr>
        <w:t>Considerentul 17 din Regulamentul de modificare (UE) 2015/759</w:t>
      </w:r>
      <w:r w:rsidRPr="004003D3">
        <w:rPr>
          <w:rFonts w:ascii="Times New Roman" w:eastAsia="Calibri" w:hAnsi="Times New Roman" w:cs="Times New Roman"/>
          <w:noProof/>
          <w:kern w:val="0"/>
          <w:sz w:val="24"/>
          <w:szCs w:val="24"/>
          <w:vertAlign w:val="superscript"/>
        </w:rPr>
        <w:footnoteReference w:id="8"/>
      </w:r>
      <w:r w:rsidRPr="004003D3">
        <w:rPr>
          <w:rFonts w:ascii="Times New Roman" w:hAnsi="Times New Roman"/>
          <w:noProof/>
          <w:sz w:val="24"/>
        </w:rPr>
        <w:t xml:space="preserve"> prevede că „</w:t>
      </w:r>
      <w:r w:rsidRPr="004003D3">
        <w:rPr>
          <w:rFonts w:ascii="Times New Roman" w:hAnsi="Times New Roman"/>
          <w:i/>
          <w:noProof/>
          <w:sz w:val="24"/>
        </w:rPr>
        <w:t>[c]alitatea statisticilor europene ar putea fi consolidată și încrederea utilizatorilor ar putea fi sporită prin implicarea guvernelor naționale în responsabilitatea aplicării Codului de bune practici al statisticilor europene («Codul de bune practici»)</w:t>
      </w:r>
      <w:r w:rsidRPr="004003D3">
        <w:rPr>
          <w:rFonts w:ascii="Times New Roman" w:hAnsi="Times New Roman"/>
          <w:noProof/>
          <w:sz w:val="24"/>
        </w:rPr>
        <w:t>.</w:t>
      </w:r>
      <w:r w:rsidRPr="004003D3">
        <w:rPr>
          <w:rFonts w:ascii="Times New Roman" w:hAnsi="Times New Roman"/>
          <w:i/>
          <w:noProof/>
          <w:sz w:val="24"/>
        </w:rPr>
        <w:t xml:space="preserve"> În acest scop, un «angajament privind asigurarea încrederii în statistici» («angajamentul») al unui stat membru, ținând cont de specificul național, ar trebui să conțină angajamente specifice ale guvernului statului membru respectiv privind îmbunătățirea sau menținerea condițiilor pentru punerea în aplicare a Codului de bune practici. Angajamentul respectiv, care ar trebui actualizat în funcție de necesități, ar putea include cadre naționale de asigurare a calității înalte, inclusiv autoevaluări, acțiuni de îmbunătățire și mecanisme de monitorizare”</w:t>
      </w:r>
      <w:r w:rsidR="00A83EE5" w:rsidRPr="004003D3">
        <w:rPr>
          <w:rFonts w:ascii="Times New Roman" w:hAnsi="Times New Roman"/>
          <w:i/>
          <w:noProof/>
          <w:sz w:val="24"/>
        </w:rPr>
        <w:t>.</w:t>
      </w:r>
    </w:p>
    <w:p w14:paraId="3C6D78CA" w14:textId="77777777" w:rsidR="00FF6AD2" w:rsidRPr="004003D3" w:rsidRDefault="00FF6AD2" w:rsidP="005546D8">
      <w:pPr>
        <w:keepNext/>
        <w:numPr>
          <w:ilvl w:val="0"/>
          <w:numId w:val="1"/>
        </w:numPr>
        <w:spacing w:after="120" w:line="259" w:lineRule="auto"/>
        <w:ind w:left="851" w:hanging="851"/>
        <w:jc w:val="both"/>
        <w:outlineLvl w:val="0"/>
        <w:rPr>
          <w:rFonts w:ascii="Times New Roman" w:eastAsia="Times New Roman" w:hAnsi="Times New Roman" w:cs="Times New Roman"/>
          <w:b/>
          <w:bCs/>
          <w:smallCaps/>
          <w:noProof/>
          <w:kern w:val="0"/>
          <w:sz w:val="24"/>
          <w:szCs w:val="24"/>
          <w14:ligatures w14:val="none"/>
        </w:rPr>
      </w:pPr>
      <w:r w:rsidRPr="004003D3">
        <w:rPr>
          <w:rFonts w:ascii="Times New Roman" w:hAnsi="Times New Roman"/>
          <w:b/>
          <w:smallCaps/>
          <w:noProof/>
          <w:sz w:val="24"/>
        </w:rPr>
        <w:t>Prezentare generală a angajamentelor privind asigurarea încrederii și rapoartele statelor membre</w:t>
      </w:r>
    </w:p>
    <w:p w14:paraId="264110EF" w14:textId="7D067B7E" w:rsidR="1FA9B4C1" w:rsidRPr="004003D3" w:rsidRDefault="1FA9B4C1" w:rsidP="005546D8">
      <w:pPr>
        <w:keepNext/>
        <w:spacing w:after="120" w:line="259" w:lineRule="auto"/>
        <w:jc w:val="both"/>
        <w:rPr>
          <w:rFonts w:ascii="Times New Roman" w:eastAsia="Calibri" w:hAnsi="Times New Roman" w:cs="Times New Roman"/>
          <w:noProof/>
          <w:sz w:val="24"/>
          <w:szCs w:val="24"/>
        </w:rPr>
      </w:pPr>
      <w:r w:rsidRPr="004003D3">
        <w:rPr>
          <w:rFonts w:ascii="Times New Roman" w:hAnsi="Times New Roman"/>
          <w:noProof/>
          <w:sz w:val="24"/>
        </w:rPr>
        <w:t>Prezentul raport oferă o prezentare generală a acțiunilor specifice întreprinse de statele membre în cursul acestei perioade de raportare pentru a menține încrederea în statisticile europene și pentru a îmbunătăți condițiile de punere în aplicare a Codului de bune practici.</w:t>
      </w:r>
    </w:p>
    <w:p w14:paraId="0EA7ABEB" w14:textId="0D6E630F" w:rsidR="00FF6AD2" w:rsidRPr="004003D3" w:rsidRDefault="00FF6AD2" w:rsidP="005546D8">
      <w:pPr>
        <w:keepNext/>
        <w:numPr>
          <w:ilvl w:val="1"/>
          <w:numId w:val="1"/>
        </w:numPr>
        <w:spacing w:after="120" w:line="259" w:lineRule="auto"/>
        <w:jc w:val="both"/>
        <w:outlineLvl w:val="1"/>
        <w:rPr>
          <w:rFonts w:ascii="Times New Roman" w:eastAsia="Times New Roman" w:hAnsi="Times New Roman" w:cs="Times New Roman"/>
          <w:b/>
          <w:bCs/>
          <w:noProof/>
          <w:kern w:val="0"/>
          <w:sz w:val="24"/>
          <w:szCs w:val="24"/>
          <w14:ligatures w14:val="none"/>
        </w:rPr>
      </w:pPr>
      <w:r w:rsidRPr="004003D3">
        <w:rPr>
          <w:rFonts w:ascii="Times New Roman" w:hAnsi="Times New Roman"/>
          <w:b/>
          <w:noProof/>
          <w:sz w:val="24"/>
        </w:rPr>
        <w:t>Forma angajamentului</w:t>
      </w:r>
    </w:p>
    <w:p w14:paraId="517B1B87" w14:textId="65B43F5D" w:rsidR="00FF6AD2" w:rsidRPr="004003D3" w:rsidRDefault="00FF6AD2" w:rsidP="005546D8">
      <w:pPr>
        <w:spacing w:after="120" w:line="259" w:lineRule="auto"/>
        <w:jc w:val="both"/>
        <w:rPr>
          <w:rFonts w:ascii="Times New Roman" w:eastAsia="Calibri" w:hAnsi="Times New Roman" w:cs="Times New Roman"/>
          <w:noProof/>
          <w:kern w:val="0"/>
          <w:sz w:val="24"/>
          <w:szCs w:val="24"/>
          <w14:ligatures w14:val="none"/>
        </w:rPr>
      </w:pPr>
      <w:r w:rsidRPr="004003D3">
        <w:rPr>
          <w:rFonts w:ascii="Times New Roman" w:hAnsi="Times New Roman"/>
          <w:noProof/>
          <w:sz w:val="24"/>
        </w:rPr>
        <w:t>Regulamentul (CE) nr. 223/2009 nu stabilește norme privind forma pe care ar trebui să o ia angajamentul. Cu toate acestea, trebuie îndeplinit obiectivul de a menține încrederea publicului printr-un angajament al guvernului de a crea condițiile pentru elaborarea unor statistici de înaltă calitate.</w:t>
      </w:r>
    </w:p>
    <w:p w14:paraId="5E304E5D" w14:textId="5FDC19FA" w:rsidR="6572C418" w:rsidRPr="004003D3" w:rsidRDefault="00FF6AD2" w:rsidP="043964AA">
      <w:pPr>
        <w:spacing w:after="120" w:line="259" w:lineRule="auto"/>
        <w:jc w:val="both"/>
        <w:rPr>
          <w:rFonts w:ascii="Times New Roman" w:eastAsia="Calibri" w:hAnsi="Times New Roman" w:cs="Times New Roman"/>
          <w:noProof/>
          <w:sz w:val="24"/>
          <w:szCs w:val="24"/>
        </w:rPr>
      </w:pPr>
      <w:r w:rsidRPr="004003D3">
        <w:rPr>
          <w:rFonts w:ascii="Times New Roman" w:hAnsi="Times New Roman"/>
          <w:noProof/>
          <w:sz w:val="24"/>
        </w:rPr>
        <w:t>Astfel cum se arată în rapoartele anterioare ale Comisiei referitoare la angajamentele privind asigurarea încrederii asumate de statele membre, cel mai recent din 2024</w:t>
      </w:r>
      <w:r w:rsidRPr="004003D3">
        <w:rPr>
          <w:rStyle w:val="FootnoteReference"/>
          <w:rFonts w:ascii="Times New Roman" w:eastAsia="Calibri" w:hAnsi="Times New Roman" w:cs="Times New Roman"/>
          <w:noProof/>
          <w:kern w:val="0"/>
          <w:sz w:val="24"/>
          <w:szCs w:val="24"/>
        </w:rPr>
        <w:footnoteReference w:id="9"/>
      </w:r>
      <w:r w:rsidRPr="004003D3">
        <w:rPr>
          <w:rFonts w:ascii="Times New Roman" w:hAnsi="Times New Roman"/>
          <w:noProof/>
          <w:sz w:val="24"/>
        </w:rPr>
        <w:t xml:space="preserve">, majoritatea statelor membre consideră că unele dintre </w:t>
      </w:r>
      <w:r w:rsidRPr="004003D3">
        <w:rPr>
          <w:rFonts w:ascii="Times New Roman" w:hAnsi="Times New Roman"/>
          <w:noProof/>
          <w:color w:val="000000"/>
          <w:sz w:val="24"/>
        </w:rPr>
        <w:t>elementele lor legislative</w:t>
      </w:r>
      <w:r w:rsidRPr="004003D3">
        <w:rPr>
          <w:rFonts w:ascii="Times New Roman" w:hAnsi="Times New Roman"/>
          <w:noProof/>
          <w:sz w:val="24"/>
        </w:rPr>
        <w:t xml:space="preserve"> constituie angajamentul lor. Modificările ocazionale aduse acestei legislații în cursul acestei perioade de raportare, astfel cum au fost raportate Comisiei, ilustrează faptul că statele membre continuă să fie conștiente de importanța încrederii publicului în statistici. În ansamblu, Comisia constată că numărul statelor membre care au elaborat angajamente de sine stătătoare a crescut ușor de-a lungul anilor, în cursul acestei perioade de raportare fiind instituit un nou angajament de sine stătător de către o țară din cadrul SSE și fiind reînnoit un angajament de sine stătător existent de către o altă țară.</w:t>
      </w:r>
    </w:p>
    <w:p w14:paraId="64851B73" w14:textId="66E3F251" w:rsidR="00FF6AD2" w:rsidRPr="004003D3" w:rsidRDefault="00FF6AD2" w:rsidP="005546D8">
      <w:pPr>
        <w:pStyle w:val="Heading21"/>
        <w:spacing w:before="0" w:line="259" w:lineRule="auto"/>
        <w:rPr>
          <w:rFonts w:eastAsia="Calibri"/>
          <w:noProof/>
          <w:szCs w:val="24"/>
        </w:rPr>
      </w:pPr>
      <w:r w:rsidRPr="004003D3">
        <w:rPr>
          <w:noProof/>
        </w:rPr>
        <w:t xml:space="preserve">Rolul evaluărilor </w:t>
      </w:r>
      <w:r w:rsidRPr="004003D3">
        <w:rPr>
          <w:i/>
          <w:noProof/>
        </w:rPr>
        <w:t>inter pares</w:t>
      </w:r>
      <w:r w:rsidRPr="004003D3">
        <w:rPr>
          <w:noProof/>
        </w:rPr>
        <w:t xml:space="preserve"> ale SSE și al rapoartelor de calitate</w:t>
      </w:r>
    </w:p>
    <w:p w14:paraId="617AE4C4" w14:textId="4A224474" w:rsidR="00FF6AD2" w:rsidRPr="004003D3" w:rsidRDefault="00352F36" w:rsidP="005546D8">
      <w:pPr>
        <w:spacing w:after="120" w:line="259" w:lineRule="auto"/>
        <w:jc w:val="both"/>
        <w:rPr>
          <w:rFonts w:ascii="Times New Roman" w:eastAsia="Calibri" w:hAnsi="Times New Roman" w:cs="Times New Roman"/>
          <w:noProof/>
          <w:kern w:val="0"/>
          <w:sz w:val="24"/>
          <w:szCs w:val="24"/>
          <w14:ligatures w14:val="none"/>
        </w:rPr>
      </w:pPr>
      <w:r w:rsidRPr="004003D3">
        <w:rPr>
          <w:rFonts w:ascii="Times New Roman" w:hAnsi="Times New Roman"/>
          <w:noProof/>
          <w:sz w:val="24"/>
        </w:rPr>
        <w:t xml:space="preserve">Evaluările </w:t>
      </w:r>
      <w:r w:rsidRPr="004003D3">
        <w:rPr>
          <w:rFonts w:ascii="Times New Roman" w:hAnsi="Times New Roman"/>
          <w:i/>
          <w:noProof/>
          <w:sz w:val="24"/>
        </w:rPr>
        <w:t>inter pares</w:t>
      </w:r>
      <w:r w:rsidRPr="004003D3">
        <w:rPr>
          <w:rFonts w:ascii="Times New Roman" w:hAnsi="Times New Roman"/>
          <w:noProof/>
          <w:sz w:val="24"/>
        </w:rPr>
        <w:t xml:space="preserve"> ale SSE și rapoartele referitoare la calitate ale SSE reprezintă un element recurent în rapoartele statelor membre referitoare la angajamentele privind asigurarea încrederii în statistici.</w:t>
      </w:r>
    </w:p>
    <w:p w14:paraId="34F057B2" w14:textId="2C9B7DEC" w:rsidR="00FF6AD2" w:rsidRPr="004003D3" w:rsidRDefault="00352F36" w:rsidP="043964AA">
      <w:pPr>
        <w:pStyle w:val="Heading31"/>
        <w:spacing w:before="0" w:line="259" w:lineRule="auto"/>
        <w:rPr>
          <w:b/>
          <w:i w:val="0"/>
          <w:noProof/>
        </w:rPr>
      </w:pPr>
      <w:r w:rsidRPr="004003D3">
        <w:rPr>
          <w:b/>
          <w:i w:val="0"/>
          <w:noProof/>
        </w:rPr>
        <w:t xml:space="preserve">Evaluările </w:t>
      </w:r>
      <w:r w:rsidRPr="004003D3">
        <w:rPr>
          <w:b/>
          <w:noProof/>
        </w:rPr>
        <w:t>inter pares</w:t>
      </w:r>
      <w:r w:rsidRPr="004003D3">
        <w:rPr>
          <w:b/>
          <w:i w:val="0"/>
          <w:noProof/>
        </w:rPr>
        <w:t xml:space="preserve"> ale SSE – respectarea Codului de bune practici</w:t>
      </w:r>
    </w:p>
    <w:p w14:paraId="52B99E8F" w14:textId="78A251CC" w:rsidR="21F6DD74" w:rsidRPr="004003D3" w:rsidRDefault="21F6DD74" w:rsidP="005546D8">
      <w:pPr>
        <w:spacing w:after="120" w:line="259" w:lineRule="auto"/>
        <w:jc w:val="both"/>
        <w:rPr>
          <w:rFonts w:ascii="Times New Roman" w:eastAsia="Calibri" w:hAnsi="Times New Roman" w:cs="Times New Roman"/>
          <w:noProof/>
          <w:sz w:val="24"/>
          <w:szCs w:val="24"/>
        </w:rPr>
      </w:pPr>
      <w:r w:rsidRPr="004003D3">
        <w:rPr>
          <w:rFonts w:ascii="Times New Roman" w:hAnsi="Times New Roman"/>
          <w:noProof/>
          <w:sz w:val="24"/>
        </w:rPr>
        <w:t>SSE, în cadrul căruia cooperează Eurostat și autoritățile statistice naționale din statele membre ale UE și din țările care fac parte din Asociația Europeană a Liberului Schimb (AELS), are ca scop elaborarea de statistici europene de înaltă calitate. Pentru a garanta un nivel înalt de calitate a statisticilor, SSE a creat un cadru comun în materie de calitate</w:t>
      </w:r>
      <w:r w:rsidRPr="004003D3">
        <w:rPr>
          <w:rStyle w:val="FootnoteReference"/>
          <w:rFonts w:ascii="Times New Roman" w:eastAsia="Calibri" w:hAnsi="Times New Roman" w:cs="Times New Roman"/>
          <w:noProof/>
          <w:sz w:val="24"/>
          <w:szCs w:val="24"/>
        </w:rPr>
        <w:footnoteReference w:id="10"/>
      </w:r>
      <w:r w:rsidRPr="004003D3">
        <w:rPr>
          <w:rFonts w:ascii="Times New Roman" w:hAnsi="Times New Roman"/>
          <w:noProof/>
          <w:sz w:val="24"/>
        </w:rPr>
        <w:t xml:space="preserve">, Codul de bune practici fiind piatra de temelie a acestuia. Respectarea de către autoritățile statistice naționale a întregului set de principii și indicatori din Codul de bune practici este evaluată periodic prin intermediul evaluărilor </w:t>
      </w:r>
      <w:r w:rsidRPr="004003D3">
        <w:rPr>
          <w:rFonts w:ascii="Times New Roman" w:hAnsi="Times New Roman"/>
          <w:i/>
          <w:noProof/>
          <w:sz w:val="24"/>
        </w:rPr>
        <w:t>inter pares</w:t>
      </w:r>
      <w:r w:rsidRPr="004003D3">
        <w:rPr>
          <w:rFonts w:ascii="Times New Roman" w:hAnsi="Times New Roman"/>
          <w:noProof/>
          <w:sz w:val="24"/>
        </w:rPr>
        <w:t xml:space="preserve"> ale SSE. Runde anterioare de evaluări </w:t>
      </w:r>
      <w:r w:rsidRPr="004003D3">
        <w:rPr>
          <w:rFonts w:ascii="Times New Roman" w:hAnsi="Times New Roman"/>
          <w:i/>
          <w:noProof/>
          <w:sz w:val="24"/>
        </w:rPr>
        <w:t>inter pares</w:t>
      </w:r>
      <w:r w:rsidRPr="004003D3">
        <w:rPr>
          <w:rFonts w:ascii="Times New Roman" w:hAnsi="Times New Roman"/>
          <w:noProof/>
          <w:sz w:val="24"/>
        </w:rPr>
        <w:t xml:space="preserve"> efectuate în cadrul SSE au avut loc în perioadele 2006-2008 și 2013-2015. În mai 2024, Comisia a publicat rezultatele celei de a treia runde de evaluări </w:t>
      </w:r>
      <w:r w:rsidRPr="004003D3">
        <w:rPr>
          <w:rFonts w:ascii="Times New Roman" w:hAnsi="Times New Roman"/>
          <w:i/>
          <w:noProof/>
          <w:sz w:val="24"/>
        </w:rPr>
        <w:t>inter pares</w:t>
      </w:r>
      <w:r w:rsidRPr="004003D3">
        <w:rPr>
          <w:rFonts w:ascii="Times New Roman" w:hAnsi="Times New Roman"/>
          <w:noProof/>
          <w:sz w:val="24"/>
        </w:rPr>
        <w:t xml:space="preserve"> efectuate în cadrul SSE, care vizează perioada 2021-2023</w:t>
      </w:r>
      <w:r w:rsidRPr="004003D3">
        <w:rPr>
          <w:rFonts w:ascii="Times New Roman" w:eastAsia="Calibri" w:hAnsi="Times New Roman" w:cs="Times New Roman"/>
          <w:noProof/>
          <w:sz w:val="24"/>
          <w:szCs w:val="24"/>
          <w:vertAlign w:val="superscript"/>
        </w:rPr>
        <w:footnoteReference w:id="11"/>
      </w:r>
      <w:r w:rsidRPr="004003D3">
        <w:rPr>
          <w:rFonts w:ascii="Times New Roman" w:hAnsi="Times New Roman"/>
          <w:noProof/>
          <w:sz w:val="24"/>
        </w:rPr>
        <w:t xml:space="preserve">. Rapoartele individuale de evaluare </w:t>
      </w:r>
      <w:r w:rsidRPr="004003D3">
        <w:rPr>
          <w:rFonts w:ascii="Times New Roman" w:hAnsi="Times New Roman"/>
          <w:i/>
          <w:noProof/>
          <w:sz w:val="24"/>
        </w:rPr>
        <w:t>inter pares</w:t>
      </w:r>
      <w:r w:rsidRPr="004003D3">
        <w:rPr>
          <w:rFonts w:ascii="Times New Roman" w:hAnsi="Times New Roman"/>
          <w:noProof/>
          <w:sz w:val="24"/>
        </w:rPr>
        <w:t xml:space="preserve"> sunt disponibile pe site-ul web al Eurostat</w:t>
      </w:r>
      <w:r w:rsidRPr="004003D3">
        <w:rPr>
          <w:rFonts w:ascii="Times New Roman" w:eastAsia="Calibri" w:hAnsi="Times New Roman" w:cs="Times New Roman"/>
          <w:noProof/>
          <w:sz w:val="24"/>
          <w:szCs w:val="24"/>
          <w:vertAlign w:val="superscript"/>
        </w:rPr>
        <w:footnoteReference w:id="12"/>
      </w:r>
      <w:r w:rsidRPr="004003D3">
        <w:rPr>
          <w:rFonts w:ascii="Times New Roman" w:hAnsi="Times New Roman"/>
          <w:noProof/>
          <w:sz w:val="24"/>
        </w:rPr>
        <w:t>.</w:t>
      </w:r>
    </w:p>
    <w:p w14:paraId="7D913B1C" w14:textId="4E356522" w:rsidR="00B704C0" w:rsidRPr="004003D3" w:rsidRDefault="00156BBA" w:rsidP="00B704C0">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 xml:space="preserve">Evaluările </w:t>
      </w:r>
      <w:r w:rsidRPr="004003D3">
        <w:rPr>
          <w:rFonts w:ascii="Times New Roman" w:hAnsi="Times New Roman"/>
          <w:i/>
          <w:noProof/>
          <w:sz w:val="24"/>
        </w:rPr>
        <w:t>inter pares</w:t>
      </w:r>
      <w:r w:rsidRPr="004003D3">
        <w:rPr>
          <w:rFonts w:ascii="Times New Roman" w:hAnsi="Times New Roman"/>
          <w:noProof/>
          <w:sz w:val="24"/>
        </w:rPr>
        <w:t xml:space="preserve"> ale SSE reprezintă un mecanism esențial pentru consolidarea credibilității și fiabilității sistemelor statistice din statele membre. Acestea oferă o abordare structurată pentru evaluarea respectării standardelor stabilite și pentru identificarea domeniilor în care sunt necesare îmbunătățiri. Cea mai recentă rundă de evaluări </w:t>
      </w:r>
      <w:r w:rsidRPr="004003D3">
        <w:rPr>
          <w:rFonts w:ascii="Times New Roman" w:hAnsi="Times New Roman"/>
          <w:i/>
          <w:noProof/>
          <w:sz w:val="24"/>
        </w:rPr>
        <w:t>inter pares</w:t>
      </w:r>
      <w:r w:rsidRPr="004003D3">
        <w:rPr>
          <w:rFonts w:ascii="Times New Roman" w:hAnsi="Times New Roman"/>
          <w:noProof/>
          <w:sz w:val="24"/>
        </w:rPr>
        <w:t xml:space="preserve"> a avut două obiective:</w:t>
      </w:r>
    </w:p>
    <w:p w14:paraId="4795A7BE" w14:textId="7175AFDA" w:rsidR="00B704C0" w:rsidRPr="004003D3" w:rsidRDefault="00AB6F83" w:rsidP="00AB6F83">
      <w:pPr>
        <w:pStyle w:val="ListParagraph"/>
        <w:numPr>
          <w:ilvl w:val="0"/>
          <w:numId w:val="3"/>
        </w:num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să revizuiască alinierea SSE la</w:t>
      </w:r>
      <w:r w:rsidRPr="004003D3">
        <w:rPr>
          <w:rFonts w:ascii="Times New Roman" w:hAnsi="Times New Roman"/>
          <w:noProof/>
          <w:color w:val="000000" w:themeColor="text1"/>
          <w:sz w:val="24"/>
        </w:rPr>
        <w:t xml:space="preserve"> Codul de bune practici</w:t>
      </w:r>
      <w:r w:rsidRPr="004003D3">
        <w:rPr>
          <w:rFonts w:ascii="Times New Roman" w:hAnsi="Times New Roman"/>
          <w:noProof/>
          <w:sz w:val="24"/>
        </w:rPr>
        <w:t xml:space="preserve"> pentru a demonstra că acesta este un sistem bazat pe principiile </w:t>
      </w:r>
      <w:r w:rsidRPr="004003D3">
        <w:rPr>
          <w:rFonts w:ascii="Times New Roman" w:hAnsi="Times New Roman"/>
          <w:noProof/>
          <w:color w:val="000000" w:themeColor="text1"/>
          <w:sz w:val="24"/>
        </w:rPr>
        <w:t>Codului de bune practici</w:t>
      </w:r>
      <w:r w:rsidRPr="004003D3">
        <w:rPr>
          <w:rFonts w:ascii="Times New Roman" w:hAnsi="Times New Roman"/>
          <w:noProof/>
          <w:sz w:val="24"/>
        </w:rPr>
        <w:t>;</w:t>
      </w:r>
    </w:p>
    <w:p w14:paraId="5351068E" w14:textId="37BECC45" w:rsidR="00B704C0" w:rsidRPr="004003D3" w:rsidRDefault="00AB6F83" w:rsidP="00AB6F83">
      <w:pPr>
        <w:pStyle w:val="ListParagraph"/>
        <w:numPr>
          <w:ilvl w:val="0"/>
          <w:numId w:val="3"/>
        </w:num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să ajute institutele naționale de statistică (INS) și alte autorități naționale (AAN) să îmbunătățească și să dezvolte în continuare sistemele naționale de statistică (SNS) prin formularea de recomandări orientate spre viitor; în același timp, acestea ar trebui să încurajeze autoritățile guvernamentale să sprijine punerea în aplicare a acestor recomandări.</w:t>
      </w:r>
    </w:p>
    <w:p w14:paraId="20E6246A" w14:textId="7682489B" w:rsidR="00FF6AD2" w:rsidRPr="004003D3" w:rsidRDefault="002D15E4"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 xml:space="preserve">Având în vedere cel de al doilea obiectiv, evaluările </w:t>
      </w:r>
      <w:r w:rsidRPr="004003D3">
        <w:rPr>
          <w:rFonts w:ascii="Times New Roman" w:hAnsi="Times New Roman"/>
          <w:i/>
          <w:noProof/>
          <w:sz w:val="24"/>
        </w:rPr>
        <w:t>inter pares</w:t>
      </w:r>
      <w:r w:rsidRPr="004003D3">
        <w:rPr>
          <w:rFonts w:ascii="Times New Roman" w:hAnsi="Times New Roman"/>
          <w:noProof/>
          <w:sz w:val="24"/>
        </w:rPr>
        <w:t xml:space="preserve"> ale SSE au implicat părți interesate din afara SNS, cum ar fi organismele guvernamentale, inclusiv prin posibilitatea formulării unor recomandări adresate acestora, în scopul de a le încuraja să sprijine constatările formulate în cursul evaluărilor.</w:t>
      </w:r>
    </w:p>
    <w:p w14:paraId="1E8986B6" w14:textId="5D78366A" w:rsidR="00FF6AD2" w:rsidRPr="004003D3" w:rsidRDefault="761DAF0A"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În rapoartele lor către Comisie pentru această perioadă de raportare, toate statele membre au subliniat rolul semnificativ al evaluărilor</w:t>
      </w:r>
      <w:r w:rsidRPr="004003D3">
        <w:rPr>
          <w:rFonts w:ascii="Times New Roman" w:hAnsi="Times New Roman"/>
          <w:i/>
          <w:noProof/>
          <w:sz w:val="24"/>
        </w:rPr>
        <w:t xml:space="preserve"> inter pares</w:t>
      </w:r>
      <w:r w:rsidRPr="004003D3">
        <w:rPr>
          <w:rFonts w:ascii="Times New Roman" w:hAnsi="Times New Roman"/>
          <w:noProof/>
          <w:sz w:val="24"/>
        </w:rPr>
        <w:t xml:space="preserve"> ale SSE în identificarea lacunelor și a potențialului de consolidare a cadrelor lor statistice. Acestea au remarcat că acțiunile subsecvente de îmbunătățire constituie o parte esențială a procesului de evaluare </w:t>
      </w:r>
      <w:r w:rsidRPr="004003D3">
        <w:rPr>
          <w:rFonts w:ascii="Times New Roman" w:hAnsi="Times New Roman"/>
          <w:i/>
          <w:noProof/>
          <w:sz w:val="24"/>
        </w:rPr>
        <w:t>inter pares</w:t>
      </w:r>
      <w:r w:rsidRPr="004003D3">
        <w:rPr>
          <w:rFonts w:ascii="Times New Roman" w:hAnsi="Times New Roman"/>
          <w:noProof/>
          <w:sz w:val="24"/>
        </w:rPr>
        <w:t>, asigurându-se că recomandările rezultate în urma evaluărilor sunt puse în aplicare în mod eficace.</w:t>
      </w:r>
    </w:p>
    <w:p w14:paraId="67A6346D" w14:textId="67CC7B03" w:rsidR="00FF6AD2" w:rsidRPr="004003D3" w:rsidRDefault="00FF6AD2" w:rsidP="005546D8">
      <w:pPr>
        <w:pStyle w:val="Heading31"/>
        <w:spacing w:before="0" w:line="259" w:lineRule="auto"/>
        <w:rPr>
          <w:b/>
          <w:bCs w:val="0"/>
          <w:i w:val="0"/>
          <w:iCs/>
          <w:noProof/>
          <w:szCs w:val="24"/>
        </w:rPr>
      </w:pPr>
      <w:r w:rsidRPr="004003D3">
        <w:rPr>
          <w:b/>
          <w:i w:val="0"/>
          <w:noProof/>
        </w:rPr>
        <w:t>Rapoartele de calitate</w:t>
      </w:r>
    </w:p>
    <w:p w14:paraId="6E362917" w14:textId="294E8A15" w:rsidR="00FF6AD2" w:rsidRPr="004003D3" w:rsidRDefault="00FF6AD2"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Rapoartele de calitate privind produsele statistice joacă un rol esențial în îmbunătățirea proceselor statistice și în asigurarea integrității statisticilor. În rapoartele lor către Comisie pentru această perioadă de raportare, mai multe state membre au subliniat importanța rapoartelor de calitate pentru evaluarea și îmbunătățirea sistematică a calității.</w:t>
      </w:r>
    </w:p>
    <w:p w14:paraId="2ED33BFC" w14:textId="3A76896A" w:rsidR="00FF6AD2" w:rsidRPr="004003D3" w:rsidRDefault="09CBD811"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Mai multe state membre au raportat că au integrat standarde și indicatori de calitate uniformi în sistemele de prelucrare statistică în ultimii ani, extinzând cunoștințele privind aspectele legate de calitate prin cursuri de formare. Aceste eforturi subliniază rolul esențial pe care îl joacă rapoartele de calitate în consolidarea încrederii în statisticile oficiale și în integrarea aspectelor tehnologice și metodologice emergente.</w:t>
      </w:r>
    </w:p>
    <w:p w14:paraId="3AE48742" w14:textId="56193F62" w:rsidR="00FF6AD2" w:rsidRPr="004003D3" w:rsidRDefault="503312D8" w:rsidP="31F3A2D3">
      <w:pPr>
        <w:pStyle w:val="Heading21"/>
        <w:spacing w:before="0" w:line="259" w:lineRule="auto"/>
        <w:rPr>
          <w:rFonts w:eastAsia="Calibri"/>
          <w:noProof/>
        </w:rPr>
      </w:pPr>
      <w:r w:rsidRPr="004003D3">
        <w:rPr>
          <w:noProof/>
        </w:rPr>
        <w:t>Acțiuni specifice întreprinse la nivel național pentru menținerea încrederii în statisticile europene și îmbunătățirea condițiilor de punere în aplicare a Codului de bune practici</w:t>
      </w:r>
    </w:p>
    <w:p w14:paraId="0DB08620" w14:textId="24D6AA4B" w:rsidR="00FF6AD2" w:rsidRPr="004003D3" w:rsidRDefault="00FF6AD2"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În rapoartele trimise de statele membre către Eurostat au fost prezentate în detaliu diverse acțiuni strategice întreprinse la nivel național pentru îmbunătățirea sistemelor statistice. Rapoartele evidențiază o gamă largă de eforturi menite să asigure adaptarea la provocările emergente, să perfecționeze metodologiile, să utilizeze în mod optim tehnologia și să garanteze că rezultatele statistice răspund în mod eficace cerințelor utilizatorilor.</w:t>
      </w:r>
    </w:p>
    <w:p w14:paraId="5FBA7246" w14:textId="068FE3C8" w:rsidR="46B13D1D" w:rsidRPr="004003D3" w:rsidRDefault="46B13D1D" w:rsidP="005546D8">
      <w:pPr>
        <w:pStyle w:val="Heading31"/>
        <w:spacing w:before="0" w:line="259" w:lineRule="auto"/>
        <w:rPr>
          <w:b/>
          <w:bCs w:val="0"/>
          <w:i w:val="0"/>
          <w:iCs/>
          <w:noProof/>
          <w:szCs w:val="24"/>
        </w:rPr>
      </w:pPr>
      <w:r w:rsidRPr="004003D3">
        <w:rPr>
          <w:b/>
          <w:i w:val="0"/>
          <w:noProof/>
        </w:rPr>
        <w:t>Activități de comunicare</w:t>
      </w:r>
    </w:p>
    <w:p w14:paraId="71731101" w14:textId="27BB7F79" w:rsidR="46B13D1D" w:rsidRPr="004003D3" w:rsidRDefault="0F76A6E6"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În rapoartele lor către Comisie pentru această perioadă de raportare, statele membre au enumerat diverse activități de comunicare menite să sporească alfabetizarea statistică și utilizarea datelor oficiale. Inițiativele din acest domeniu au inclus programe educaționale și ateliere menite să ajute diferitele categorii de public să înțeleagă mai bine metodele statistice și să interpreteze datele.</w:t>
      </w:r>
    </w:p>
    <w:p w14:paraId="34AB1196" w14:textId="6C3766C7" w:rsidR="46B13D1D" w:rsidRPr="004003D3" w:rsidRDefault="003671ED"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Totodată, accentul s-a pus pe valorificarea la maximum a platformelor de comunicare socială pentru a disemina informații statistice pe scară largă și în mod eficace. Aceste platforme sunt utilizate pentru a ajunge la un public mai larg prin actualizări prompte și conținut atractiv, care facilitează interacțiunea și discuțiile.</w:t>
      </w:r>
    </w:p>
    <w:p w14:paraId="28A21705" w14:textId="246EE332" w:rsidR="46B13D1D" w:rsidRPr="004003D3" w:rsidRDefault="46B13D1D"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Mai multe state membre au acordat prioritate comunicării cu jurnaliștii, recunoscând astfel importanța diseminării de informații exacte. Inițiativele statelor membre au inclus informări și ateliere specifice pentru jurnaliști, în scopul de a se asigura că aceștia dispun de înțelegerea și resursele necesare pentru a relata cu exactitate și în mod cuprinzător despre datele statistice.</w:t>
      </w:r>
    </w:p>
    <w:p w14:paraId="749F7BCE" w14:textId="037567C6" w:rsidR="0067173C" w:rsidRPr="004003D3" w:rsidRDefault="28E3D459"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Acțiunile întreprinse de statele membre în cursul acestei perioade de raportare arată că o modalitate bună de a pune la dispoziție informații relevante cu privire la aspecte esențiale ale elaborării statisticilor, inclusiv informații privind aspectele metodologice și confidențialitatea, ar putea fi crearea unui spațiu dedicat încrederii și transparenței pe site-urile web ale autorităților de statistică.</w:t>
      </w:r>
    </w:p>
    <w:p w14:paraId="60C03026" w14:textId="652396A9" w:rsidR="46B13D1D" w:rsidRPr="004003D3" w:rsidRDefault="6617F2AC"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În cursul acestei perioade de raportare, statele membre au depus, de asemenea, eforturi considerabile pentru a sprijini întreprinderile mici și mijlocii (IMM</w:t>
      </w:r>
      <w:r w:rsidRPr="004003D3">
        <w:rPr>
          <w:rFonts w:ascii="Times New Roman" w:hAnsi="Times New Roman"/>
          <w:noProof/>
          <w:sz w:val="24"/>
        </w:rPr>
        <w:noBreakHyphen/>
        <w:t>urile) în vederea utilizării optime a statisticilor. Prin furnizarea de informații statistice adaptate și de asistență, statele membre au urmărit să faciliteze utilizarea datelor de către IMM-uri în luarea deciziilor de afaceri. Acest lucru a contribuit, la rândul său, la creșterea rezilienței economice a IMM-urilor și la dezvoltarea acestora.</w:t>
      </w:r>
    </w:p>
    <w:p w14:paraId="7CA446EA" w14:textId="0C76A2E0" w:rsidR="46B13D1D" w:rsidRPr="004003D3" w:rsidRDefault="46B13D1D"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Pentru a sprijini în continuare interpretarea și utilizarea rezultatelor statistice publicate, statele membre s-au axat pe furnizarea de metadate cuprinzătoare. Aceste metadate au însoțit publicațiile statistice și au avut rolul de a clarifica metodologiile, sursele și limitările datelor, sporind astfel transparența și ajutând părțile interesate să înțeleagă și să utilizeze datele în mod eficace.</w:t>
      </w:r>
    </w:p>
    <w:p w14:paraId="59B2BEBC" w14:textId="16D8E44B" w:rsidR="00815949" w:rsidRPr="004003D3" w:rsidRDefault="00815949"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Astfel de inițiative sau potențialul de a consolida încrederea publicului în activitățile autorităților individuale și în statisticile oficiale în general.</w:t>
      </w:r>
    </w:p>
    <w:p w14:paraId="16A35825" w14:textId="43AC0CA1" w:rsidR="00D94F47" w:rsidRPr="004003D3" w:rsidRDefault="00D94F47" w:rsidP="005546D8">
      <w:pPr>
        <w:pStyle w:val="Heading31"/>
        <w:spacing w:before="0" w:line="259" w:lineRule="auto"/>
        <w:rPr>
          <w:b/>
          <w:bCs w:val="0"/>
          <w:i w:val="0"/>
          <w:iCs/>
          <w:noProof/>
          <w:szCs w:val="24"/>
        </w:rPr>
      </w:pPr>
      <w:r w:rsidRPr="004003D3">
        <w:rPr>
          <w:b/>
          <w:i w:val="0"/>
          <w:noProof/>
        </w:rPr>
        <w:t>Acțiuni legate de satisfacția utilizatorilor și de comunicarea cu aceștia</w:t>
      </w:r>
    </w:p>
    <w:p w14:paraId="1379503F" w14:textId="5CA1D483" w:rsidR="00D94F47" w:rsidRPr="004003D3" w:rsidRDefault="00D94F47"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Statele membre s-au axat pe creșterea satisfacției utilizatorilor și pe îmbunătățirea comunicării cu aceștia prin metode inovatoare de sondare și prin eforturi specifice adresate diferitelor grupuri de utilizatori. Comisia observă o tendință de creștere a utilizării sondajelor privind satisfacția utilizatorilor la nivel național, fiind puse în aplicare practici inovatoare, cum ar fi microsondajele. Aceste sondaje mai restrânse și mai frecvente permit statelor membre să colecteze în timp util informații relevante despre opiniile utilizatorilor, facilitând ajustări și răspunsuri flexibile la nevoile și preocupările utilizatorilor.</w:t>
      </w:r>
    </w:p>
    <w:p w14:paraId="0D5AED96" w14:textId="7280AF2C" w:rsidR="00B562A8" w:rsidRPr="004003D3" w:rsidRDefault="621AB327" w:rsidP="00B562A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Totodată, statele membre au raportat extinderea activităților de comunicare cu utilizatorii, astfel încât acestea să includă o gamă largă de grupuri de utilizatori, ținând seama de diversele nevoi și așteptări în cadrul diverselor sectoare. Au fost implicate grupuri specifice, cum ar fi cercetătorii, cadrele didactice, întreprinderile și factorii de decizie, acestora fiindu-le furnizate informații statistice adaptate intereselor și cerințelor lor specifice.</w:t>
      </w:r>
    </w:p>
    <w:p w14:paraId="7AADF07A" w14:textId="79717E63" w:rsidR="00EE3F12" w:rsidRPr="004003D3" w:rsidRDefault="53917D7D"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De asemenea, statele membre au raportat abordări proactive de interacțiune directă cu utilizatorii prin ateliere, forumuri și grupuri consultative.</w:t>
      </w:r>
    </w:p>
    <w:p w14:paraId="0CE5CABA" w14:textId="120A8431" w:rsidR="00D94F47" w:rsidRPr="004003D3" w:rsidRDefault="00EE3F12"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Toate aceste activități au vizat crearea unor platforme pentru dialog și feedback, oferind utilizatorilor posibilitatea de a-și exprima nevoile și preferințele legate de datele și serviciile statistice, sporind astfel încrederea în statistici.</w:t>
      </w:r>
    </w:p>
    <w:p w14:paraId="2A99F003" w14:textId="62B505BD" w:rsidR="68336C5B" w:rsidRPr="004003D3" w:rsidRDefault="68336C5B" w:rsidP="005546D8">
      <w:pPr>
        <w:pStyle w:val="Heading31"/>
        <w:spacing w:before="0" w:line="259" w:lineRule="auto"/>
        <w:rPr>
          <w:b/>
          <w:bCs w:val="0"/>
          <w:i w:val="0"/>
          <w:iCs/>
          <w:noProof/>
          <w:szCs w:val="24"/>
        </w:rPr>
      </w:pPr>
      <w:r w:rsidRPr="004003D3">
        <w:rPr>
          <w:b/>
          <w:i w:val="0"/>
          <w:noProof/>
        </w:rPr>
        <w:t>Acțiuni legate de transparență și de organismele consultative</w:t>
      </w:r>
    </w:p>
    <w:p w14:paraId="26352A40" w14:textId="7CF234ED" w:rsidR="68336C5B" w:rsidRPr="004003D3" w:rsidRDefault="19D15C08"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Inițiativele statelor membre menite să sporească transparența au inclus o comunicare mai clară către părțile interesate cu privire la metodologii, sursele de date și limitări, astfel încât acestea să poată înțelege și interpreta cu ușurință rezultatele statistice.</w:t>
      </w:r>
    </w:p>
    <w:p w14:paraId="0F9DB8B6" w14:textId="3AFFBAA4" w:rsidR="0067173C" w:rsidRPr="004003D3" w:rsidRDefault="4D3897E3"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Comisia observă că, la nivel național, au fost create și/sau consolidate organisme consultative pentru a consolida și mai mult transparența și interacțiunea cu părțile interesate. Aceste organisme, formate din experți și reprezentanți din diferite sectoare, au oferit orientări și feedback cu privire la programele și prioritățile autorităților de statistică.</w:t>
      </w:r>
    </w:p>
    <w:p w14:paraId="66D7FF86" w14:textId="795BDBA0" w:rsidR="123C657D" w:rsidRPr="004003D3" w:rsidRDefault="68336C5B"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Prin facilitarea dialogului dintre autoritățile de statistică și părțile interesate, organismele consultative contribuie la luarea unor decizii în cunoștință de cauză și la alinierea la nevoile utilizatorilor, consolidând astfel încrederea în statisticile europene, precum și relevanța și impactul global al activităților statistice.</w:t>
      </w:r>
    </w:p>
    <w:p w14:paraId="60DD2021" w14:textId="25DA84C6" w:rsidR="15B47D46" w:rsidRPr="004003D3" w:rsidRDefault="15B47D46" w:rsidP="0067173C">
      <w:pPr>
        <w:pStyle w:val="Heading31"/>
        <w:spacing w:before="0" w:line="259" w:lineRule="auto"/>
        <w:ind w:left="851" w:hanging="851"/>
        <w:rPr>
          <w:b/>
          <w:bCs w:val="0"/>
          <w:i w:val="0"/>
          <w:iCs/>
          <w:noProof/>
          <w:szCs w:val="24"/>
        </w:rPr>
      </w:pPr>
      <w:r w:rsidRPr="004003D3">
        <w:rPr>
          <w:b/>
          <w:i w:val="0"/>
          <w:noProof/>
        </w:rPr>
        <w:t>Acțiuni legate de cooperarea cu mediul academic</w:t>
      </w:r>
    </w:p>
    <w:p w14:paraId="3C8071E4" w14:textId="26344E17" w:rsidR="15B47D46" w:rsidRPr="004003D3" w:rsidRDefault="1D043369"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În această perioadă de raportare, statele membre au cooperat cu mediul academic, inclusiv cu universități și institute de cercetare, pentru a îmbunătăți metodologiile statistice și pentru a facilita accesul la resurse valoroase de date. Aceste parteneriate au urmărit să valorifice expertiza mediului academic în materie de inovare metodologică, astfel încât abordările statistice să rămână solide, actuale și aliniate la cele mai bune practici.</w:t>
      </w:r>
    </w:p>
    <w:p w14:paraId="2E0FD2E1" w14:textId="2606D6D8" w:rsidR="15B47D46" w:rsidRPr="004003D3" w:rsidRDefault="15B47D46"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Îmbunătățirea metodologiilor statistice a constituit o prioritate importantă, inițiativele implicând adesea proiecte comune de cercetare și studii metodologice. Această cooperare a contribuit la dezvoltarea unor tehnici și instrumente avansate, îmbunătățind astfel calitatea și fiabilitatea generală a datelor statistice.</w:t>
      </w:r>
    </w:p>
    <w:p w14:paraId="67FA5709" w14:textId="722FD844" w:rsidR="15B47D46" w:rsidRPr="004003D3" w:rsidRDefault="15B47D46"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În contextul acestei cooperări, statele membre au considerat prioritar accesul la microdate. Statele membre au depus eforturi pentru a simplifica procedurile, acordând cercetătorilor un acces mai larg la seturi de date detaliate în scopuri științifice. Un astfel de acces sprijină capacitatea mediului academic de a efectua analize cuprinzătoare și de a dobândi o înțelegere mai amplă a fenomenelor sociale și economice.</w:t>
      </w:r>
    </w:p>
    <w:p w14:paraId="21E5B737" w14:textId="6ABFC177" w:rsidR="0067173C" w:rsidRPr="004003D3" w:rsidRDefault="001A7944"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Interacțiunea activă cu instituțiile academice reflectă un angajament comun față de îmbunătățirea continuă a practicilor statistice, prin sprijinirea unui mediu favorabil valorificării informațiilor rezultate din cercetare.</w:t>
      </w:r>
    </w:p>
    <w:p w14:paraId="5C3ECE10" w14:textId="1FF82011" w:rsidR="15B47D46" w:rsidRPr="004003D3" w:rsidRDefault="00C54E4E"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Cooperarea cu instituțiile academice contribuie la consolidarea încrederii în statisticile oficiale.</w:t>
      </w:r>
    </w:p>
    <w:p w14:paraId="3EFA1E3D" w14:textId="69BD8E4A" w:rsidR="2ABE73FE" w:rsidRPr="004003D3" w:rsidRDefault="0067173C" w:rsidP="0067173C">
      <w:pPr>
        <w:pStyle w:val="Heading31"/>
        <w:spacing w:before="0" w:line="259" w:lineRule="auto"/>
        <w:ind w:left="851" w:hanging="851"/>
        <w:jc w:val="left"/>
        <w:rPr>
          <w:b/>
          <w:bCs w:val="0"/>
          <w:i w:val="0"/>
          <w:iCs/>
          <w:noProof/>
          <w:szCs w:val="24"/>
        </w:rPr>
      </w:pPr>
      <w:r w:rsidRPr="004003D3">
        <w:rPr>
          <w:b/>
          <w:i w:val="0"/>
          <w:noProof/>
        </w:rPr>
        <w:t>Acțiuni legate de comunicarea cu elevii și studenții</w:t>
      </w:r>
    </w:p>
    <w:p w14:paraId="067FE4A7" w14:textId="4BBE0086" w:rsidR="2ABE73FE" w:rsidRPr="004003D3" w:rsidRDefault="2ABE73FE"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Statele membre au raportat acțiuni menite să sporească implicarea și interesul elevilor și studenților față de statisticile oficiale. Concursurile statistice reprezintă un instrument esențial de comunicare, având ca scop stimularea interesului și a inovării în rândul tinerilor. Aceste concursuri îi provoacă adesea pe elevi și studenți să analizeze date sau să propună soluții la provocări statistice, oferindu-le astfel o perspectivă practică asupra statisticilor.</w:t>
      </w:r>
    </w:p>
    <w:p w14:paraId="621C159C" w14:textId="2BE0215B" w:rsidR="78ADBC7B" w:rsidRPr="004003D3" w:rsidRDefault="00C017C8"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De exemplu, un stat membru a raportat organizarea periodică a unei conferințe internaționale care, pentru prima dată, a inclus o sesiune privind programul de masterat european în statistici oficiale, o inițiativă condusă de Eurostat. Acest tip de activitate îi ajută pe studenți să își dezvolte cunoștințe și competențe solide în domeniul statisticilor oficiale, îmbunătățindu-le astfel perspectivele de carieră și contribuind la formarea viitorilor experți în statistică.</w:t>
      </w:r>
    </w:p>
    <w:p w14:paraId="34964F5E" w14:textId="7B83FD18" w:rsidR="123C657D" w:rsidRPr="004003D3" w:rsidRDefault="700F20CE"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 xml:space="preserve">Eforturile de comunicare ale statelor membre au fost concepute pentru a-i sensibiliza pe elevi și studenți cu privire la statisticile oficiale și pentru a-i ajuta să înțeleagă importanța și utilitatea acestora, favorizând astfel formarea unei noi generații de persoane cu competențe statistice, pregătite să participe la activitatea comunității statistice și nu numai. </w:t>
      </w:r>
    </w:p>
    <w:p w14:paraId="190F2F38" w14:textId="181D5371" w:rsidR="5C1B17AD" w:rsidRPr="004003D3" w:rsidRDefault="5C1B17AD" w:rsidP="005546D8">
      <w:pPr>
        <w:pStyle w:val="Heading31"/>
        <w:spacing w:before="0" w:line="259" w:lineRule="auto"/>
        <w:rPr>
          <w:b/>
          <w:bCs w:val="0"/>
          <w:i w:val="0"/>
          <w:iCs/>
          <w:noProof/>
          <w:szCs w:val="24"/>
        </w:rPr>
      </w:pPr>
      <w:r w:rsidRPr="004003D3">
        <w:rPr>
          <w:b/>
          <w:i w:val="0"/>
          <w:noProof/>
        </w:rPr>
        <w:t>Acțiuni legate de modernizarea și inovarea, reducerea sarcinii administrative și simplificarea în cadrul sistemelor naționale de statistică</w:t>
      </w:r>
    </w:p>
    <w:p w14:paraId="6D183ABB" w14:textId="4457853D" w:rsidR="5C1B17AD" w:rsidRPr="004003D3" w:rsidRDefault="5C1B17AD"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Statele membre au raportat reforme semnificative pentru modernizarea organizării și funcționării autorităților lor naționale de statistică. Digitalizarea s-a aflat în prim-planul acestor reforme, care au urmărit să simplifice procesele și să îmbunătățească eficiența. Adoptarea la nivel național a instrumentelor și platformelor digitale a contribuit la îmbunătățirea colectării, prelucrării și diseminării datelor, facilitând obținerea unor rezultate statistice mai rapide și mai precise.</w:t>
      </w:r>
    </w:p>
    <w:p w14:paraId="07A5302E" w14:textId="34CF19E2" w:rsidR="5C1B17AD" w:rsidRPr="004003D3" w:rsidRDefault="253E7D55"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Statele membre au consolidat cooperarea cu organismele responsabile de sursele de date administrative, în scopul unei integrări și utilizări mai cuprinzătoare a datelor. Aceste eforturi creează posibilitatea de a reduce suprapunerile și de a îmbunătăți calitatea statisticilor.</w:t>
      </w:r>
    </w:p>
    <w:p w14:paraId="1FFE1568" w14:textId="17C3FACC" w:rsidR="5C1B17AD" w:rsidRPr="004003D3" w:rsidRDefault="2108183A" w:rsidP="005546D8">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Statele membre au subliniat importanța formării personalului ca element esențial al îmbunătățirii instituționale. În această perioadă de raportare, acestea au investit în programe de dezvoltare profesională pentru a consolida competențele în domeniul științei datelor, al analizei și al gestionării digitale, asigurându-se că personalul poate gestiona în mod adecvat sistemele și metodologiile modernizate.</w:t>
      </w:r>
    </w:p>
    <w:p w14:paraId="23421870" w14:textId="263D09BC" w:rsidR="5C1B17AD" w:rsidRPr="004003D3" w:rsidRDefault="5C1B17AD" w:rsidP="005546D8">
      <w:pPr>
        <w:spacing w:after="120" w:line="259" w:lineRule="auto"/>
        <w:jc w:val="both"/>
        <w:rPr>
          <w:rFonts w:ascii="Times New Roman" w:eastAsia="Times New Roman" w:hAnsi="Times New Roman" w:cs="Times New Roman"/>
          <w:noProof/>
          <w:sz w:val="24"/>
          <w:szCs w:val="24"/>
        </w:rPr>
      </w:pPr>
      <w:r w:rsidRPr="004003D3">
        <w:rPr>
          <w:rFonts w:ascii="Times New Roman" w:hAnsi="Times New Roman"/>
          <w:noProof/>
          <w:sz w:val="24"/>
        </w:rPr>
        <w:t>Măsurile vizând asigurarea confidențialității și protecția datelor cu caracter personal au rămas priorități majore pentru statele membre. Acestea au aplicat măsuri riguroase și au utilizat tehnologii adecvate pentru protejarea informațiilor confidențiale, asigurând respectarea normelor privind protecția vieții private și menținerea încrederii publicului în integritatea practicilor statistice.</w:t>
      </w:r>
    </w:p>
    <w:p w14:paraId="329F1A1F" w14:textId="0C1A0B71" w:rsidR="00BA23F5" w:rsidRPr="004003D3" w:rsidRDefault="00BA23F5" w:rsidP="008E374C">
      <w:pPr>
        <w:spacing w:after="120" w:line="259" w:lineRule="auto"/>
        <w:jc w:val="both"/>
        <w:rPr>
          <w:rFonts w:ascii="Times New Roman" w:hAnsi="Times New Roman" w:cs="Times New Roman"/>
          <w:noProof/>
          <w:sz w:val="24"/>
          <w:szCs w:val="24"/>
        </w:rPr>
      </w:pPr>
      <w:r w:rsidRPr="004003D3">
        <w:rPr>
          <w:rFonts w:ascii="Times New Roman" w:hAnsi="Times New Roman"/>
          <w:noProof/>
          <w:sz w:val="24"/>
        </w:rPr>
        <w:t>Acțiunile de reducere a sarcinii respondenților și de simplificare a proceselor au vizat eficientizarea colectării datelor, creșterea gradului de reutilizare a datelor existente, accesarea datelor administrative și îmbunătățirea instrumentelor de raportare. Măsurile au urmărit să faciliteze accesul la date administrative prin stabilirea unui dialog cu deținătorii de date și prin încurajarea colaborării. Alte exemple includ dezvoltarea unor canale de raportare cu punct unic de intrare sau de tip ghișeu unic și facilitarea unor transferuri de date mai automatizate (de exemplu schimburile între sisteme), precum și măsuri mai ample, cum ar fi furnizarea de feedback practic respondenților, pentru a simplifica respectarea cerințelor și a reduce timpul necesar în acest scop.</w:t>
      </w:r>
    </w:p>
    <w:p w14:paraId="529EA29C" w14:textId="77777777" w:rsidR="008E374C" w:rsidRPr="004003D3" w:rsidRDefault="008E374C" w:rsidP="005546D8">
      <w:pPr>
        <w:spacing w:after="120" w:line="259" w:lineRule="auto"/>
        <w:jc w:val="both"/>
        <w:rPr>
          <w:rFonts w:ascii="Times New Roman" w:hAnsi="Times New Roman" w:cs="Times New Roman"/>
          <w:noProof/>
          <w:sz w:val="24"/>
          <w:szCs w:val="24"/>
        </w:rPr>
      </w:pPr>
    </w:p>
    <w:p w14:paraId="74795360" w14:textId="20C52E6B" w:rsidR="00FF6AD2" w:rsidRPr="004003D3" w:rsidRDefault="00FF6AD2" w:rsidP="005546D8">
      <w:pPr>
        <w:pStyle w:val="Heading11"/>
        <w:spacing w:before="0" w:line="259" w:lineRule="auto"/>
        <w:ind w:left="851" w:hanging="851"/>
        <w:rPr>
          <w:noProof/>
          <w:szCs w:val="24"/>
        </w:rPr>
      </w:pPr>
      <w:r w:rsidRPr="004003D3">
        <w:rPr>
          <w:noProof/>
        </w:rPr>
        <w:t>Concluzii</w:t>
      </w:r>
    </w:p>
    <w:p w14:paraId="6D808415" w14:textId="734934E1" w:rsidR="00FF6AD2" w:rsidRPr="004003D3" w:rsidRDefault="00FF6AD2" w:rsidP="005546D8">
      <w:pPr>
        <w:spacing w:after="120" w:line="259" w:lineRule="auto"/>
        <w:jc w:val="both"/>
        <w:rPr>
          <w:rFonts w:ascii="Times New Roman" w:eastAsia="Calibri" w:hAnsi="Times New Roman" w:cs="Times New Roman"/>
          <w:noProof/>
          <w:color w:val="333333"/>
          <w:kern w:val="0"/>
          <w:sz w:val="24"/>
          <w:szCs w:val="24"/>
          <w:shd w:val="clear" w:color="auto" w:fill="FFFFFF"/>
          <w14:ligatures w14:val="none"/>
        </w:rPr>
      </w:pPr>
      <w:r w:rsidRPr="004003D3">
        <w:rPr>
          <w:rFonts w:ascii="Times New Roman" w:hAnsi="Times New Roman"/>
          <w:noProof/>
          <w:sz w:val="24"/>
        </w:rPr>
        <w:t xml:space="preserve">Astfel cum se prevede în </w:t>
      </w:r>
      <w:r w:rsidRPr="004003D3">
        <w:rPr>
          <w:rFonts w:ascii="Times New Roman" w:hAnsi="Times New Roman"/>
          <w:noProof/>
          <w:color w:val="000000"/>
          <w:sz w:val="24"/>
        </w:rPr>
        <w:t xml:space="preserve">Regulamentul (CE) </w:t>
      </w:r>
      <w:r w:rsidRPr="004003D3">
        <w:rPr>
          <w:rFonts w:ascii="Times New Roman" w:hAnsi="Times New Roman"/>
          <w:noProof/>
          <w:sz w:val="24"/>
        </w:rPr>
        <w:t>nr. 223/2009 privind statisticile europene, angajamentele privind asigurarea încrederii în statistici asumate de statele membre contribuie la asigurarea încrederii publicului în statisticile oficiale europene și la realizarea de progrese în punerea în aplicare a principiilor statistice ale Codului de bune practici.</w:t>
      </w:r>
    </w:p>
    <w:p w14:paraId="289F8345" w14:textId="0EAE4F7D" w:rsidR="00FF6AD2" w:rsidRPr="004003D3" w:rsidRDefault="00C017C8" w:rsidP="005546D8">
      <w:pPr>
        <w:spacing w:after="120" w:line="259" w:lineRule="auto"/>
        <w:jc w:val="both"/>
        <w:rPr>
          <w:rFonts w:ascii="Times New Roman" w:eastAsia="Calibri" w:hAnsi="Times New Roman" w:cs="Times New Roman"/>
          <w:noProof/>
          <w:kern w:val="0"/>
          <w:sz w:val="24"/>
          <w:szCs w:val="24"/>
          <w14:ligatures w14:val="none"/>
        </w:rPr>
      </w:pPr>
      <w:r w:rsidRPr="004003D3">
        <w:rPr>
          <w:rFonts w:ascii="Times New Roman" w:hAnsi="Times New Roman"/>
          <w:noProof/>
          <w:sz w:val="24"/>
        </w:rPr>
        <w:t>Acțiunile descrise în prezentul raport evidențiază angajamentul statelor membre de a asigura fiabilitatea și credibilitatea statisticilor oficiale europene.</w:t>
      </w:r>
    </w:p>
    <w:p w14:paraId="3861E448" w14:textId="0088CD56" w:rsidR="609DF9A8" w:rsidRPr="004003D3" w:rsidRDefault="1501237F" w:rsidP="005546D8">
      <w:pPr>
        <w:spacing w:after="120" w:line="259" w:lineRule="auto"/>
        <w:jc w:val="both"/>
        <w:rPr>
          <w:rFonts w:ascii="Times New Roman" w:eastAsia="Calibri" w:hAnsi="Times New Roman" w:cs="Times New Roman"/>
          <w:noProof/>
          <w:sz w:val="24"/>
          <w:szCs w:val="24"/>
        </w:rPr>
      </w:pPr>
      <w:r w:rsidRPr="004003D3">
        <w:rPr>
          <w:rFonts w:ascii="Times New Roman" w:hAnsi="Times New Roman"/>
          <w:noProof/>
          <w:sz w:val="24"/>
        </w:rPr>
        <w:t>Menținerea încrederii publicului în statisticile oficiale europene – consolidată prin angajamentele susținute ale statelor membre de a păstra și spori această încredere – este esențială pentru asigurarea relevanței, credibilității și integrității pe termen lung a Sistemului Statistic European în ansamblu. Acest lucru este la fel de important pentru capacitatea Uniunii Europene și a statelor sale membre de a aborda provocările prezente și viitoare prin decizii fundamentate pe date obiective și dovezi solide, consolidând astfel legitimitatea democratică și responsabilitatea în materie de politici publice.</w:t>
      </w:r>
    </w:p>
    <w:sectPr w:rsidR="609DF9A8" w:rsidRPr="004003D3" w:rsidSect="001879D6">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94B8C" w14:textId="77777777" w:rsidR="00905C84" w:rsidRPr="004003D3" w:rsidRDefault="00905C84" w:rsidP="00FF6AD2">
      <w:pPr>
        <w:spacing w:after="0" w:line="240" w:lineRule="auto"/>
      </w:pPr>
      <w:r w:rsidRPr="004003D3">
        <w:separator/>
      </w:r>
    </w:p>
  </w:endnote>
  <w:endnote w:type="continuationSeparator" w:id="0">
    <w:p w14:paraId="1CFE91CC" w14:textId="77777777" w:rsidR="00905C84" w:rsidRPr="004003D3" w:rsidRDefault="00905C84" w:rsidP="00FF6AD2">
      <w:pPr>
        <w:spacing w:after="0" w:line="240" w:lineRule="auto"/>
      </w:pPr>
      <w:r w:rsidRPr="004003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05E08" w14:textId="342DDF30" w:rsidR="00900EDC" w:rsidRPr="00900EDC" w:rsidRDefault="00900EDC" w:rsidP="00900EDC">
    <w:pPr>
      <w:pStyle w:val="FooterCoverPage"/>
      <w:rPr>
        <w:rFonts w:ascii="Arial" w:hAnsi="Arial" w:cs="Arial"/>
        <w:b/>
        <w:sz w:val="48"/>
      </w:rPr>
    </w:pPr>
    <w:r w:rsidRPr="00900EDC">
      <w:rPr>
        <w:rFonts w:ascii="Arial" w:hAnsi="Arial" w:cs="Arial"/>
        <w:b/>
        <w:sz w:val="48"/>
      </w:rPr>
      <w:t>RO</w:t>
    </w:r>
    <w:r w:rsidRPr="00900EDC">
      <w:rPr>
        <w:rFonts w:ascii="Arial" w:hAnsi="Arial" w:cs="Arial"/>
        <w:b/>
        <w:sz w:val="48"/>
      </w:rPr>
      <w:tab/>
    </w:r>
    <w:r w:rsidRPr="00900EDC">
      <w:rPr>
        <w:rFonts w:ascii="Arial" w:hAnsi="Arial" w:cs="Arial"/>
        <w:b/>
        <w:sz w:val="48"/>
      </w:rPr>
      <w:tab/>
    </w:r>
    <w:r w:rsidRPr="00900EDC">
      <w:tab/>
    </w:r>
    <w:r w:rsidRPr="00900ED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0C99F" w14:textId="68DEB75D" w:rsidR="00900EDC" w:rsidRPr="00900EDC" w:rsidRDefault="00900EDC" w:rsidP="00900EDC">
    <w:pPr>
      <w:pStyle w:val="FooterCoverPage"/>
      <w:rPr>
        <w:rFonts w:ascii="Arial" w:hAnsi="Arial" w:cs="Arial"/>
        <w:b/>
        <w:sz w:val="48"/>
      </w:rPr>
    </w:pPr>
    <w:r w:rsidRPr="00900EDC">
      <w:rPr>
        <w:rFonts w:ascii="Arial" w:hAnsi="Arial" w:cs="Arial"/>
        <w:b/>
        <w:sz w:val="48"/>
      </w:rPr>
      <w:t>RO</w:t>
    </w:r>
    <w:r w:rsidRPr="00900EDC">
      <w:rPr>
        <w:rFonts w:ascii="Arial" w:hAnsi="Arial" w:cs="Arial"/>
        <w:b/>
        <w:sz w:val="48"/>
      </w:rPr>
      <w:tab/>
    </w:r>
    <w:r w:rsidRPr="00900EDC">
      <w:rPr>
        <w:rFonts w:ascii="Arial" w:hAnsi="Arial" w:cs="Arial"/>
        <w:b/>
        <w:sz w:val="48"/>
      </w:rPr>
      <w:tab/>
    </w:r>
    <w:r w:rsidRPr="00900EDC">
      <w:tab/>
    </w:r>
    <w:r w:rsidRPr="00900ED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71D82" w14:textId="77777777" w:rsidR="00900EDC" w:rsidRPr="00900EDC" w:rsidRDefault="00900EDC" w:rsidP="00900ED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FBC2" w14:textId="77777777" w:rsidR="001879D6" w:rsidRPr="004003D3" w:rsidRDefault="001879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429429"/>
      <w:docPartObj>
        <w:docPartGallery w:val="Page Numbers (Bottom of Page)"/>
        <w:docPartUnique/>
      </w:docPartObj>
    </w:sdtPr>
    <w:sdtEndPr/>
    <w:sdtContent>
      <w:p w14:paraId="6D190487" w14:textId="1B4062AF" w:rsidR="001879D6" w:rsidRPr="004003D3" w:rsidRDefault="001879D6">
        <w:pPr>
          <w:pStyle w:val="Footer1"/>
          <w:jc w:val="center"/>
        </w:pPr>
        <w:r w:rsidRPr="004003D3">
          <w:fldChar w:fldCharType="begin"/>
        </w:r>
        <w:r w:rsidRPr="004003D3">
          <w:instrText xml:space="preserve"> PAGE   \* MERGEFORMAT </w:instrText>
        </w:r>
        <w:r w:rsidRPr="004003D3">
          <w:fldChar w:fldCharType="separate"/>
        </w:r>
        <w:r w:rsidR="00900EDC">
          <w:rPr>
            <w:noProof/>
          </w:rPr>
          <w:t>1</w:t>
        </w:r>
        <w:r w:rsidRPr="004003D3">
          <w:fldChar w:fldCharType="end"/>
        </w:r>
      </w:p>
    </w:sdtContent>
  </w:sdt>
  <w:p w14:paraId="73CF922C" w14:textId="77777777" w:rsidR="001879D6" w:rsidRPr="004003D3" w:rsidRDefault="001879D6" w:rsidP="008A3C6A">
    <w:pPr>
      <w:pStyle w:val="Footer1"/>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8566" w14:textId="77777777" w:rsidR="001879D6" w:rsidRPr="004003D3" w:rsidRDefault="00187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7B0F7" w14:textId="77777777" w:rsidR="00905C84" w:rsidRPr="004003D3" w:rsidRDefault="00905C84" w:rsidP="00FF6AD2">
      <w:pPr>
        <w:spacing w:after="0" w:line="240" w:lineRule="auto"/>
      </w:pPr>
      <w:r w:rsidRPr="004003D3">
        <w:separator/>
      </w:r>
    </w:p>
  </w:footnote>
  <w:footnote w:type="continuationSeparator" w:id="0">
    <w:p w14:paraId="4C2DD58E" w14:textId="77777777" w:rsidR="00905C84" w:rsidRPr="004003D3" w:rsidRDefault="00905C84" w:rsidP="00FF6AD2">
      <w:pPr>
        <w:spacing w:after="0" w:line="240" w:lineRule="auto"/>
      </w:pPr>
      <w:r w:rsidRPr="004003D3">
        <w:continuationSeparator/>
      </w:r>
    </w:p>
  </w:footnote>
  <w:footnote w:id="1">
    <w:p w14:paraId="68992277" w14:textId="1B3A139E" w:rsidR="00FF6AD2" w:rsidRPr="004003D3" w:rsidRDefault="00FF6AD2" w:rsidP="00B01E0A">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color w:val="000000"/>
        </w:rPr>
        <w:t xml:space="preserve"> </w:t>
      </w:r>
      <w:hyperlink r:id="rId1" w:history="1">
        <w:r w:rsidRPr="004003D3">
          <w:rPr>
            <w:rStyle w:val="Hyperlink"/>
            <w:rFonts w:ascii="Times New Roman" w:hAnsi="Times New Roman"/>
          </w:rPr>
          <w:t>Regulamentul (CE) nr. 223/2009</w:t>
        </w:r>
      </w:hyperlink>
      <w:r w:rsidRPr="004003D3">
        <w:rPr>
          <w:rFonts w:ascii="Times New Roman" w:hAnsi="Times New Roman"/>
        </w:rPr>
        <w:t xml:space="preserve">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footnote>
  <w:footnote w:id="2">
    <w:p w14:paraId="55CC2252" w14:textId="7C9793AA" w:rsidR="00FF6AD2" w:rsidRPr="004003D3" w:rsidRDefault="00FF6AD2" w:rsidP="00B01E0A">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bookmarkStart w:id="2" w:name="_Hlk163740106"/>
      <w:r w:rsidRPr="004003D3">
        <w:fldChar w:fldCharType="begin"/>
      </w:r>
      <w:r w:rsidRPr="004003D3">
        <w:rPr>
          <w:rFonts w:ascii="Times New Roman" w:hAnsi="Times New Roman" w:cs="Times New Roman"/>
        </w:rPr>
        <w:instrText>HYPERLINK "https://eur-lex.europa.eu/legal-content/RO/TXT/?qid=1574866259293&amp;uri=CELEX:52018DC0516"</w:instrText>
      </w:r>
      <w:r w:rsidRPr="004003D3">
        <w:fldChar w:fldCharType="separate"/>
      </w:r>
      <w:r w:rsidRPr="004003D3">
        <w:rPr>
          <w:rStyle w:val="Hyperlink"/>
          <w:rFonts w:ascii="Times New Roman" w:hAnsi="Times New Roman"/>
        </w:rPr>
        <w:t>COM(2018) 516 final</w:t>
      </w:r>
      <w:r w:rsidRPr="004003D3">
        <w:rPr>
          <w:rStyle w:val="Hyperlink"/>
          <w:rFonts w:ascii="Times New Roman" w:hAnsi="Times New Roman" w:cs="Times New Roman"/>
        </w:rPr>
        <w:fldChar w:fldCharType="end"/>
      </w:r>
      <w:bookmarkEnd w:id="2"/>
      <w:r w:rsidR="00A83EE5" w:rsidRPr="004003D3">
        <w:rPr>
          <w:rStyle w:val="Hyperlink"/>
          <w:rFonts w:ascii="Times New Roman" w:hAnsi="Times New Roman" w:cs="Times New Roman"/>
          <w:color w:val="auto"/>
          <w:u w:val="none"/>
        </w:rPr>
        <w:t>.</w:t>
      </w:r>
    </w:p>
  </w:footnote>
  <w:footnote w:id="3">
    <w:p w14:paraId="134D7DA2" w14:textId="46988BCB" w:rsidR="00FF6AD2" w:rsidRPr="004003D3" w:rsidRDefault="00FF6AD2" w:rsidP="00B01E0A">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hyperlink r:id="rId2" w:history="1">
        <w:r w:rsidRPr="004003D3">
          <w:rPr>
            <w:rStyle w:val="Hyperlink"/>
            <w:rFonts w:ascii="Times New Roman" w:hAnsi="Times New Roman"/>
            <w:shd w:val="clear" w:color="auto" w:fill="FFFFFF"/>
          </w:rPr>
          <w:t>COM/2020/278 final</w:t>
        </w:r>
        <w:r w:rsidR="00A83EE5" w:rsidRPr="004003D3">
          <w:rPr>
            <w:rStyle w:val="Hyperlink"/>
            <w:rFonts w:ascii="Times New Roman" w:hAnsi="Times New Roman"/>
            <w:color w:val="auto"/>
            <w:u w:val="none"/>
            <w:shd w:val="clear" w:color="auto" w:fill="FFFFFF"/>
          </w:rPr>
          <w:t>.</w:t>
        </w:r>
        <w:r w:rsidRPr="004003D3">
          <w:rPr>
            <w:rStyle w:val="Hyperlink"/>
            <w:rFonts w:ascii="Times New Roman" w:hAnsi="Times New Roman"/>
            <w:shd w:val="clear" w:color="auto" w:fill="FFFFFF"/>
          </w:rPr>
          <w:t xml:space="preserve"> </w:t>
        </w:r>
      </w:hyperlink>
    </w:p>
  </w:footnote>
  <w:footnote w:id="4">
    <w:p w14:paraId="1ED95B2A" w14:textId="6537B90B" w:rsidR="00FF6AD2" w:rsidRPr="004003D3" w:rsidRDefault="00FF6AD2" w:rsidP="00B01E0A">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hyperlink r:id="rId3" w:history="1">
        <w:r w:rsidRPr="004003D3">
          <w:rPr>
            <w:rStyle w:val="Hyperlink"/>
            <w:rFonts w:ascii="Times New Roman" w:hAnsi="Times New Roman"/>
            <w:shd w:val="clear" w:color="auto" w:fill="FFFFFF"/>
          </w:rPr>
          <w:t>COM/2022/333 final</w:t>
        </w:r>
      </w:hyperlink>
      <w:r w:rsidR="00A83EE5" w:rsidRPr="004003D3">
        <w:t>.</w:t>
      </w:r>
    </w:p>
  </w:footnote>
  <w:footnote w:id="5">
    <w:p w14:paraId="138B0D49" w14:textId="25C2D415" w:rsidR="00FF6AD2" w:rsidRPr="004003D3" w:rsidRDefault="00FF6AD2" w:rsidP="00B01E0A">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hyperlink r:id="rId4" w:history="1">
        <w:r w:rsidRPr="004003D3">
          <w:rPr>
            <w:rStyle w:val="Hyperlink"/>
            <w:rFonts w:ascii="Times New Roman" w:hAnsi="Times New Roman"/>
          </w:rPr>
          <w:t>COM(2024) 390 final</w:t>
        </w:r>
      </w:hyperlink>
      <w:r w:rsidR="00A83EE5" w:rsidRPr="004003D3">
        <w:t>.</w:t>
      </w:r>
    </w:p>
  </w:footnote>
  <w:footnote w:id="6">
    <w:p w14:paraId="588977BE" w14:textId="3E4EF17C" w:rsidR="00FF6AD2" w:rsidRPr="004003D3" w:rsidRDefault="00FF6AD2" w:rsidP="00B01E0A">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hyperlink r:id="rId5" w:history="1">
        <w:r w:rsidRPr="004003D3">
          <w:rPr>
            <w:rStyle w:val="Hyperlink"/>
            <w:rFonts w:ascii="Times New Roman" w:hAnsi="Times New Roman"/>
          </w:rPr>
          <w:t>COM (2011) 211 final</w:t>
        </w:r>
      </w:hyperlink>
      <w:r w:rsidR="00A83EE5" w:rsidRPr="004003D3">
        <w:t>.</w:t>
      </w:r>
    </w:p>
  </w:footnote>
  <w:footnote w:id="7">
    <w:p w14:paraId="2CC3A624" w14:textId="7593034D" w:rsidR="00FF6AD2" w:rsidRPr="004003D3" w:rsidRDefault="00FF6AD2" w:rsidP="00B01E0A">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hyperlink r:id="rId6" w:history="1">
        <w:r w:rsidRPr="004003D3">
          <w:rPr>
            <w:rStyle w:val="Hyperlink"/>
            <w:rFonts w:ascii="Times New Roman" w:hAnsi="Times New Roman"/>
          </w:rPr>
          <w:t>Codul de bune practici al statisticilor europene – ediția revizuită 2017 - Cataloage de produse - Eurostat (europa.eu)</w:t>
        </w:r>
      </w:hyperlink>
      <w:r w:rsidR="00A83EE5" w:rsidRPr="004003D3">
        <w:t>.</w:t>
      </w:r>
    </w:p>
  </w:footnote>
  <w:footnote w:id="8">
    <w:p w14:paraId="68C97F0E" w14:textId="77777777" w:rsidR="00FF6AD2" w:rsidRPr="004003D3" w:rsidRDefault="00FF6AD2" w:rsidP="00C52DEE">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hyperlink r:id="rId7" w:history="1">
        <w:r w:rsidRPr="004003D3">
          <w:rPr>
            <w:rStyle w:val="Hyperlink"/>
            <w:rFonts w:ascii="Times New Roman" w:hAnsi="Times New Roman"/>
          </w:rPr>
          <w:t>Regulamentul (UE) 2015/759</w:t>
        </w:r>
      </w:hyperlink>
      <w:r w:rsidRPr="004003D3">
        <w:rPr>
          <w:rFonts w:ascii="Times New Roman" w:hAnsi="Times New Roman"/>
        </w:rPr>
        <w:t xml:space="preserve"> al Parlamentului European și al Consiliului din 29 aprilie 2015 de modificare a Regulamentului (CE) nr. 223/2009 privind statisticile europene (JO L 123, 19.5.2015, p. 90).</w:t>
      </w:r>
    </w:p>
  </w:footnote>
  <w:footnote w:id="9">
    <w:p w14:paraId="1537445E" w14:textId="3C73D509" w:rsidR="00FF6AD2" w:rsidRPr="004003D3" w:rsidRDefault="00FF6AD2" w:rsidP="00C52DEE">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hyperlink r:id="rId8" w:history="1">
        <w:r w:rsidRPr="004003D3">
          <w:rPr>
            <w:rStyle w:val="Hyperlink"/>
            <w:rFonts w:ascii="Times New Roman" w:hAnsi="Times New Roman"/>
          </w:rPr>
          <w:t>COM(2024) 390 final</w:t>
        </w:r>
      </w:hyperlink>
      <w:r w:rsidRPr="004003D3">
        <w:t xml:space="preserve">. </w:t>
      </w:r>
    </w:p>
  </w:footnote>
  <w:footnote w:id="10">
    <w:p w14:paraId="03E705DB" w14:textId="70524F9A" w:rsidR="00742E84" w:rsidRPr="004003D3" w:rsidRDefault="00742E84">
      <w:pPr>
        <w:pStyle w:val="FootnoteText"/>
      </w:pPr>
      <w:r w:rsidRPr="004003D3">
        <w:rPr>
          <w:rStyle w:val="FootnoteReference"/>
          <w:rFonts w:ascii="Times New Roman" w:hAnsi="Times New Roman" w:cs="Times New Roman"/>
        </w:rPr>
        <w:footnoteRef/>
      </w:r>
      <w:r w:rsidRPr="004003D3">
        <w:rPr>
          <w:rFonts w:ascii="Times New Roman" w:hAnsi="Times New Roman"/>
        </w:rPr>
        <w:t xml:space="preserve"> </w:t>
      </w:r>
      <w:hyperlink r:id="rId9" w:history="1">
        <w:r w:rsidRPr="004003D3">
          <w:rPr>
            <w:rStyle w:val="Hyperlink"/>
            <w:rFonts w:ascii="Times New Roman" w:hAnsi="Times New Roman"/>
          </w:rPr>
          <w:t>Cadrul de asigurare a calității – Calitate – Eurostat</w:t>
        </w:r>
      </w:hyperlink>
      <w:r w:rsidRPr="004003D3">
        <w:t xml:space="preserve">. </w:t>
      </w:r>
    </w:p>
  </w:footnote>
  <w:footnote w:id="11">
    <w:p w14:paraId="2CC3B500" w14:textId="34D7340F" w:rsidR="123C657D" w:rsidRPr="004003D3" w:rsidRDefault="123C657D" w:rsidP="00C52DEE">
      <w:pPr>
        <w:pStyle w:val="FootnoteText"/>
        <w:jc w:val="both"/>
        <w:rPr>
          <w:rFonts w:ascii="Times New Roman" w:hAnsi="Times New Roman" w:cs="Times New Roman"/>
        </w:rPr>
      </w:pPr>
      <w:r w:rsidRPr="004003D3">
        <w:rPr>
          <w:rStyle w:val="FootnoteReference"/>
          <w:rFonts w:ascii="Times New Roman" w:hAnsi="Times New Roman" w:cs="Times New Roman"/>
        </w:rPr>
        <w:footnoteRef/>
      </w:r>
      <w:r w:rsidRPr="004003D3">
        <w:rPr>
          <w:rFonts w:ascii="Times New Roman" w:hAnsi="Times New Roman"/>
        </w:rPr>
        <w:t xml:space="preserve"> </w:t>
      </w:r>
      <w:hyperlink r:id="rId10">
        <w:r w:rsidRPr="004003D3">
          <w:rPr>
            <w:rStyle w:val="Hyperlink"/>
            <w:rFonts w:ascii="Times New Roman" w:hAnsi="Times New Roman"/>
          </w:rPr>
          <w:t>Registrul documentelor Comisiei - SWD(2024) 136 (europa.eu)</w:t>
        </w:r>
      </w:hyperlink>
      <w:r w:rsidRPr="004003D3">
        <w:t xml:space="preserve">. </w:t>
      </w:r>
    </w:p>
  </w:footnote>
  <w:footnote w:id="12">
    <w:p w14:paraId="4EBA49BF" w14:textId="53C05E6E" w:rsidR="123C657D" w:rsidRPr="004003D3" w:rsidRDefault="123C657D" w:rsidP="00C52DEE">
      <w:pPr>
        <w:jc w:val="both"/>
        <w:rPr>
          <w:rFonts w:ascii="Times New Roman" w:hAnsi="Times New Roman" w:cs="Times New Roman"/>
          <w:sz w:val="20"/>
          <w:szCs w:val="20"/>
        </w:rPr>
      </w:pPr>
      <w:r w:rsidRPr="004003D3">
        <w:rPr>
          <w:rStyle w:val="FootnoteReference"/>
          <w:rFonts w:ascii="Times New Roman" w:hAnsi="Times New Roman" w:cs="Times New Roman"/>
          <w:sz w:val="20"/>
          <w:szCs w:val="20"/>
        </w:rPr>
        <w:footnoteRef/>
      </w:r>
      <w:r w:rsidRPr="004003D3">
        <w:rPr>
          <w:rFonts w:ascii="Times New Roman" w:hAnsi="Times New Roman"/>
          <w:sz w:val="20"/>
        </w:rPr>
        <w:t xml:space="preserve"> </w:t>
      </w:r>
      <w:hyperlink r:id="rId11">
        <w:r w:rsidRPr="004003D3">
          <w:rPr>
            <w:rStyle w:val="Hyperlink"/>
            <w:rFonts w:ascii="Times New Roman" w:hAnsi="Times New Roman"/>
            <w:sz w:val="20"/>
          </w:rPr>
          <w:t>A treia rundă (2021-2023) - Eurostat (europa.eu)</w:t>
        </w:r>
      </w:hyperlink>
      <w:r w:rsidRPr="004003D3">
        <w:t xml:space="preserve">. </w:t>
      </w:r>
    </w:p>
    <w:p w14:paraId="63CAFEBB" w14:textId="77777777" w:rsidR="123C657D" w:rsidRPr="00FB3E90" w:rsidRDefault="123C657D" w:rsidP="123C657D">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F3205" w14:textId="77777777" w:rsidR="00900EDC" w:rsidRPr="00900EDC" w:rsidRDefault="00900EDC" w:rsidP="00900ED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E7439" w14:textId="77777777" w:rsidR="00900EDC" w:rsidRPr="00900EDC" w:rsidRDefault="00900EDC" w:rsidP="00900ED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3A856" w14:textId="77777777" w:rsidR="00900EDC" w:rsidRPr="00900EDC" w:rsidRDefault="00900EDC" w:rsidP="00900ED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4B278" w14:textId="77777777" w:rsidR="001879D6" w:rsidRPr="004003D3" w:rsidRDefault="001879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E0574" w14:textId="77777777" w:rsidR="001879D6" w:rsidRPr="004003D3" w:rsidRDefault="001879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F6688" w14:textId="77777777" w:rsidR="001879D6" w:rsidRPr="004003D3" w:rsidRDefault="00187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6F903AFE"/>
    <w:multiLevelType w:val="hybridMultilevel"/>
    <w:tmpl w:val="DF08CA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7472F14"/>
    <w:multiLevelType w:val="hybridMultilevel"/>
    <w:tmpl w:val="9322E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EFE7D9A-F007-4A38-B091-0B4A9611A0F1"/>
    <w:docVar w:name="LW_COVERPAGE_TYPE" w:val="1"/>
    <w:docVar w:name="LW_CROSSREFERENCE" w:val="&lt;UNUSED&gt;"/>
    <w:docVar w:name="LW_DocType" w:val="NORMAL"/>
    <w:docVar w:name="LW_EMISSION" w:val="8.6.2026"/>
    <w:docVar w:name="LW_EMISSION_ISODATE" w:val="2026-06-0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feritor la \u8222?angajamentele privind asigurarea încrederii în statistici\u8221? asumate de statele membre în conformitate cu Regulamentul (CE) nr. 223/2009 al Parlamentului European \u537?i al Consiliului din 11 martie 2009&lt;/FMT&gt;_x000b_"/>
    <w:docVar w:name="LW_TYPE.DOC.CP" w:val="RAPORT AL COMISIEI C\u258?TRE PARLAMENTUL EUROPEAN \u536?I CONSILIU"/>
    <w:docVar w:name="LwApiVersions" w:val="LW4CoDe 1.24.5.0; LW 9.2, Build 20251112"/>
    <w:docVar w:name="Stamp" w:val="\\dossiers.dgt.cec.eu.int\dossiers\ESTAT\ESTAT-2026-00109\ESTAT-2026-00109-00-00-EN-EDT-00.202604301402091007322.DOCX"/>
  </w:docVars>
  <w:rsids>
    <w:rsidRoot w:val="00FF6AD2"/>
    <w:rsid w:val="00011703"/>
    <w:rsid w:val="000132FF"/>
    <w:rsid w:val="00014AC8"/>
    <w:rsid w:val="00037700"/>
    <w:rsid w:val="000423C1"/>
    <w:rsid w:val="00075654"/>
    <w:rsid w:val="00075959"/>
    <w:rsid w:val="000B111A"/>
    <w:rsid w:val="000B764E"/>
    <w:rsid w:val="000C3290"/>
    <w:rsid w:val="000C3651"/>
    <w:rsid w:val="000C6498"/>
    <w:rsid w:val="000C7EC0"/>
    <w:rsid w:val="000D5878"/>
    <w:rsid w:val="000D780C"/>
    <w:rsid w:val="000E3E25"/>
    <w:rsid w:val="001076A0"/>
    <w:rsid w:val="00116A38"/>
    <w:rsid w:val="00123E7A"/>
    <w:rsid w:val="00142B4A"/>
    <w:rsid w:val="00143322"/>
    <w:rsid w:val="001446E4"/>
    <w:rsid w:val="0014525D"/>
    <w:rsid w:val="00147C73"/>
    <w:rsid w:val="001553B5"/>
    <w:rsid w:val="00156BBA"/>
    <w:rsid w:val="00156F63"/>
    <w:rsid w:val="00165501"/>
    <w:rsid w:val="00166ACC"/>
    <w:rsid w:val="001744EC"/>
    <w:rsid w:val="00174AFE"/>
    <w:rsid w:val="00175255"/>
    <w:rsid w:val="00185397"/>
    <w:rsid w:val="001879D6"/>
    <w:rsid w:val="00196E75"/>
    <w:rsid w:val="001A7944"/>
    <w:rsid w:val="001B4671"/>
    <w:rsid w:val="001C623F"/>
    <w:rsid w:val="00201A0A"/>
    <w:rsid w:val="00207FC9"/>
    <w:rsid w:val="00245966"/>
    <w:rsid w:val="00247832"/>
    <w:rsid w:val="00247FF1"/>
    <w:rsid w:val="002621A3"/>
    <w:rsid w:val="00273744"/>
    <w:rsid w:val="00281648"/>
    <w:rsid w:val="00283D91"/>
    <w:rsid w:val="00296C89"/>
    <w:rsid w:val="002A3C99"/>
    <w:rsid w:val="002D15E4"/>
    <w:rsid w:val="002F6F5C"/>
    <w:rsid w:val="00306054"/>
    <w:rsid w:val="0031707C"/>
    <w:rsid w:val="00325362"/>
    <w:rsid w:val="0032776A"/>
    <w:rsid w:val="003401F7"/>
    <w:rsid w:val="003456B0"/>
    <w:rsid w:val="0034756A"/>
    <w:rsid w:val="00352F36"/>
    <w:rsid w:val="003671ED"/>
    <w:rsid w:val="0037383E"/>
    <w:rsid w:val="00385039"/>
    <w:rsid w:val="00390D7B"/>
    <w:rsid w:val="00393FFC"/>
    <w:rsid w:val="003956F3"/>
    <w:rsid w:val="003B77CA"/>
    <w:rsid w:val="003C398A"/>
    <w:rsid w:val="003C727D"/>
    <w:rsid w:val="003D2808"/>
    <w:rsid w:val="003D7A94"/>
    <w:rsid w:val="003E41E0"/>
    <w:rsid w:val="003F0DF8"/>
    <w:rsid w:val="004003D3"/>
    <w:rsid w:val="004026B6"/>
    <w:rsid w:val="00404377"/>
    <w:rsid w:val="0041239C"/>
    <w:rsid w:val="004336EF"/>
    <w:rsid w:val="004463AC"/>
    <w:rsid w:val="00464789"/>
    <w:rsid w:val="0048289A"/>
    <w:rsid w:val="004A2077"/>
    <w:rsid w:val="004A48AB"/>
    <w:rsid w:val="004B294C"/>
    <w:rsid w:val="004C220D"/>
    <w:rsid w:val="004C5812"/>
    <w:rsid w:val="004D0B81"/>
    <w:rsid w:val="004E391C"/>
    <w:rsid w:val="004F190F"/>
    <w:rsid w:val="00500E3A"/>
    <w:rsid w:val="005145DE"/>
    <w:rsid w:val="005315CA"/>
    <w:rsid w:val="005546D8"/>
    <w:rsid w:val="00560B90"/>
    <w:rsid w:val="00562074"/>
    <w:rsid w:val="00581959"/>
    <w:rsid w:val="00597F5D"/>
    <w:rsid w:val="005A49DD"/>
    <w:rsid w:val="005B27ED"/>
    <w:rsid w:val="005C32DB"/>
    <w:rsid w:val="005D02CC"/>
    <w:rsid w:val="005D20D7"/>
    <w:rsid w:val="005D5183"/>
    <w:rsid w:val="005E3D5C"/>
    <w:rsid w:val="005E4D7B"/>
    <w:rsid w:val="00614395"/>
    <w:rsid w:val="00620A33"/>
    <w:rsid w:val="00643327"/>
    <w:rsid w:val="006473B0"/>
    <w:rsid w:val="00651161"/>
    <w:rsid w:val="006551D9"/>
    <w:rsid w:val="006605B3"/>
    <w:rsid w:val="00670D77"/>
    <w:rsid w:val="0067173C"/>
    <w:rsid w:val="006944B6"/>
    <w:rsid w:val="006954B2"/>
    <w:rsid w:val="006E1564"/>
    <w:rsid w:val="006E309C"/>
    <w:rsid w:val="006F1838"/>
    <w:rsid w:val="006F4E7C"/>
    <w:rsid w:val="0070337F"/>
    <w:rsid w:val="00707927"/>
    <w:rsid w:val="00720CCF"/>
    <w:rsid w:val="00721993"/>
    <w:rsid w:val="0072555B"/>
    <w:rsid w:val="00736CE1"/>
    <w:rsid w:val="00742E84"/>
    <w:rsid w:val="00743DEB"/>
    <w:rsid w:val="0075475B"/>
    <w:rsid w:val="00765FFE"/>
    <w:rsid w:val="00770430"/>
    <w:rsid w:val="00772296"/>
    <w:rsid w:val="007745BF"/>
    <w:rsid w:val="00783979"/>
    <w:rsid w:val="007A2B55"/>
    <w:rsid w:val="007B5990"/>
    <w:rsid w:val="007F1040"/>
    <w:rsid w:val="00800043"/>
    <w:rsid w:val="00815949"/>
    <w:rsid w:val="008210C5"/>
    <w:rsid w:val="00862F91"/>
    <w:rsid w:val="00866024"/>
    <w:rsid w:val="00871312"/>
    <w:rsid w:val="008771B1"/>
    <w:rsid w:val="00877BBA"/>
    <w:rsid w:val="008908B3"/>
    <w:rsid w:val="00892570"/>
    <w:rsid w:val="008C17A1"/>
    <w:rsid w:val="008E0EE3"/>
    <w:rsid w:val="008E374C"/>
    <w:rsid w:val="008E676F"/>
    <w:rsid w:val="008F131B"/>
    <w:rsid w:val="008F26B8"/>
    <w:rsid w:val="00900EDC"/>
    <w:rsid w:val="00903AEC"/>
    <w:rsid w:val="00905C84"/>
    <w:rsid w:val="009135DA"/>
    <w:rsid w:val="009253B8"/>
    <w:rsid w:val="009307C0"/>
    <w:rsid w:val="00951E2C"/>
    <w:rsid w:val="00960800"/>
    <w:rsid w:val="00962A30"/>
    <w:rsid w:val="009A1F2B"/>
    <w:rsid w:val="009A6E8F"/>
    <w:rsid w:val="009B00F8"/>
    <w:rsid w:val="009B6044"/>
    <w:rsid w:val="009C3795"/>
    <w:rsid w:val="009D36A8"/>
    <w:rsid w:val="009D4971"/>
    <w:rsid w:val="009E1102"/>
    <w:rsid w:val="009E14FF"/>
    <w:rsid w:val="009F6CEE"/>
    <w:rsid w:val="00A035CD"/>
    <w:rsid w:val="00A03E15"/>
    <w:rsid w:val="00A12300"/>
    <w:rsid w:val="00A263CB"/>
    <w:rsid w:val="00A3214F"/>
    <w:rsid w:val="00A34C78"/>
    <w:rsid w:val="00A37121"/>
    <w:rsid w:val="00A83849"/>
    <w:rsid w:val="00A83EE5"/>
    <w:rsid w:val="00A86836"/>
    <w:rsid w:val="00AB54A7"/>
    <w:rsid w:val="00AB6F83"/>
    <w:rsid w:val="00AE1046"/>
    <w:rsid w:val="00AE43F6"/>
    <w:rsid w:val="00AE6ABE"/>
    <w:rsid w:val="00AF0747"/>
    <w:rsid w:val="00B01A81"/>
    <w:rsid w:val="00B01E0A"/>
    <w:rsid w:val="00B1724C"/>
    <w:rsid w:val="00B45429"/>
    <w:rsid w:val="00B562A8"/>
    <w:rsid w:val="00B62444"/>
    <w:rsid w:val="00B64BDB"/>
    <w:rsid w:val="00B704C0"/>
    <w:rsid w:val="00B710E6"/>
    <w:rsid w:val="00B7771B"/>
    <w:rsid w:val="00B804ED"/>
    <w:rsid w:val="00B92693"/>
    <w:rsid w:val="00B94523"/>
    <w:rsid w:val="00BA23F5"/>
    <w:rsid w:val="00BA330C"/>
    <w:rsid w:val="00C017C8"/>
    <w:rsid w:val="00C452B7"/>
    <w:rsid w:val="00C52DEE"/>
    <w:rsid w:val="00C54E4E"/>
    <w:rsid w:val="00C646B2"/>
    <w:rsid w:val="00C66E4D"/>
    <w:rsid w:val="00C86455"/>
    <w:rsid w:val="00C87446"/>
    <w:rsid w:val="00CA0982"/>
    <w:rsid w:val="00CC38CA"/>
    <w:rsid w:val="00CD3ABB"/>
    <w:rsid w:val="00CF27EB"/>
    <w:rsid w:val="00D02FC3"/>
    <w:rsid w:val="00D21DB7"/>
    <w:rsid w:val="00D259B2"/>
    <w:rsid w:val="00D36F91"/>
    <w:rsid w:val="00D62DB2"/>
    <w:rsid w:val="00D648A4"/>
    <w:rsid w:val="00D80EA6"/>
    <w:rsid w:val="00D8260D"/>
    <w:rsid w:val="00D87531"/>
    <w:rsid w:val="00D94F47"/>
    <w:rsid w:val="00DA7242"/>
    <w:rsid w:val="00DB4DB2"/>
    <w:rsid w:val="00DD2BD1"/>
    <w:rsid w:val="00DE29A8"/>
    <w:rsid w:val="00DE7F8C"/>
    <w:rsid w:val="00DF564D"/>
    <w:rsid w:val="00E16F1E"/>
    <w:rsid w:val="00E40C26"/>
    <w:rsid w:val="00E4119E"/>
    <w:rsid w:val="00E413F0"/>
    <w:rsid w:val="00E44C52"/>
    <w:rsid w:val="00E44DAF"/>
    <w:rsid w:val="00E52902"/>
    <w:rsid w:val="00E63D36"/>
    <w:rsid w:val="00E711F2"/>
    <w:rsid w:val="00E815D8"/>
    <w:rsid w:val="00E85828"/>
    <w:rsid w:val="00E864E4"/>
    <w:rsid w:val="00E96F09"/>
    <w:rsid w:val="00EA35FC"/>
    <w:rsid w:val="00EA6F36"/>
    <w:rsid w:val="00EC5E8F"/>
    <w:rsid w:val="00ED6B6D"/>
    <w:rsid w:val="00EE0480"/>
    <w:rsid w:val="00EE3F12"/>
    <w:rsid w:val="00EF0E05"/>
    <w:rsid w:val="00EF4647"/>
    <w:rsid w:val="00F04E9D"/>
    <w:rsid w:val="00F04F21"/>
    <w:rsid w:val="00F0749C"/>
    <w:rsid w:val="00F16522"/>
    <w:rsid w:val="00F23884"/>
    <w:rsid w:val="00F2441C"/>
    <w:rsid w:val="00F307A8"/>
    <w:rsid w:val="00F32BAD"/>
    <w:rsid w:val="00F35601"/>
    <w:rsid w:val="00F43E76"/>
    <w:rsid w:val="00F61CAD"/>
    <w:rsid w:val="00F85459"/>
    <w:rsid w:val="00F875F0"/>
    <w:rsid w:val="00F94A14"/>
    <w:rsid w:val="00FA0B99"/>
    <w:rsid w:val="00FA6963"/>
    <w:rsid w:val="00FA6C07"/>
    <w:rsid w:val="00FA748A"/>
    <w:rsid w:val="00FB118A"/>
    <w:rsid w:val="00FB3E90"/>
    <w:rsid w:val="00FB5C74"/>
    <w:rsid w:val="00FC3FA0"/>
    <w:rsid w:val="00FF4B14"/>
    <w:rsid w:val="00FF6AD2"/>
    <w:rsid w:val="014A3A72"/>
    <w:rsid w:val="018EA0AE"/>
    <w:rsid w:val="026A8FC2"/>
    <w:rsid w:val="027A10AC"/>
    <w:rsid w:val="02A6583F"/>
    <w:rsid w:val="02B6C6B2"/>
    <w:rsid w:val="02C282AB"/>
    <w:rsid w:val="0374C7D8"/>
    <w:rsid w:val="037A0395"/>
    <w:rsid w:val="043964AA"/>
    <w:rsid w:val="049F44D5"/>
    <w:rsid w:val="04A7D543"/>
    <w:rsid w:val="04A9B39F"/>
    <w:rsid w:val="04BA3479"/>
    <w:rsid w:val="04D3840B"/>
    <w:rsid w:val="04E354E6"/>
    <w:rsid w:val="05544C5F"/>
    <w:rsid w:val="05611E57"/>
    <w:rsid w:val="0594FC19"/>
    <w:rsid w:val="05A076EF"/>
    <w:rsid w:val="05DA4BF8"/>
    <w:rsid w:val="06048EEC"/>
    <w:rsid w:val="06994CCA"/>
    <w:rsid w:val="0775FB66"/>
    <w:rsid w:val="077A87F0"/>
    <w:rsid w:val="082E51EC"/>
    <w:rsid w:val="083E04BC"/>
    <w:rsid w:val="0877127B"/>
    <w:rsid w:val="0891EAA5"/>
    <w:rsid w:val="0899E31E"/>
    <w:rsid w:val="08B4624E"/>
    <w:rsid w:val="090633CB"/>
    <w:rsid w:val="090C8EEB"/>
    <w:rsid w:val="0932BA6A"/>
    <w:rsid w:val="093D225B"/>
    <w:rsid w:val="0961F6CA"/>
    <w:rsid w:val="09930A3A"/>
    <w:rsid w:val="09CBD811"/>
    <w:rsid w:val="09DF456A"/>
    <w:rsid w:val="0A0C9A95"/>
    <w:rsid w:val="0A586114"/>
    <w:rsid w:val="0A79AB07"/>
    <w:rsid w:val="0A8E4467"/>
    <w:rsid w:val="0A96A761"/>
    <w:rsid w:val="0ACBBBB9"/>
    <w:rsid w:val="0B30AFBD"/>
    <w:rsid w:val="0B40458F"/>
    <w:rsid w:val="0B8985FF"/>
    <w:rsid w:val="0B9BC8C5"/>
    <w:rsid w:val="0B9BF833"/>
    <w:rsid w:val="0BCEC033"/>
    <w:rsid w:val="0BD6ED58"/>
    <w:rsid w:val="0C000D38"/>
    <w:rsid w:val="0C08E802"/>
    <w:rsid w:val="0CA3751C"/>
    <w:rsid w:val="0CC76824"/>
    <w:rsid w:val="0CEB1D0C"/>
    <w:rsid w:val="0D0E6BFD"/>
    <w:rsid w:val="0D3C4BEB"/>
    <w:rsid w:val="0D5FE7E0"/>
    <w:rsid w:val="0DADF9D4"/>
    <w:rsid w:val="0E0C0981"/>
    <w:rsid w:val="0E96D94F"/>
    <w:rsid w:val="0ECBDB4B"/>
    <w:rsid w:val="0F006B48"/>
    <w:rsid w:val="0F197D66"/>
    <w:rsid w:val="0F2760EA"/>
    <w:rsid w:val="0F5974F5"/>
    <w:rsid w:val="0F743194"/>
    <w:rsid w:val="0F76A6E6"/>
    <w:rsid w:val="0FDF74B3"/>
    <w:rsid w:val="10A91B6D"/>
    <w:rsid w:val="10FB0C54"/>
    <w:rsid w:val="111B3210"/>
    <w:rsid w:val="113337B9"/>
    <w:rsid w:val="11A3C7EB"/>
    <w:rsid w:val="11FE2473"/>
    <w:rsid w:val="1229674B"/>
    <w:rsid w:val="123C657D"/>
    <w:rsid w:val="124741EB"/>
    <w:rsid w:val="129044A5"/>
    <w:rsid w:val="12A6682D"/>
    <w:rsid w:val="12BB37E1"/>
    <w:rsid w:val="12C7E207"/>
    <w:rsid w:val="12D16AB6"/>
    <w:rsid w:val="12F2A15F"/>
    <w:rsid w:val="1300B205"/>
    <w:rsid w:val="134E1672"/>
    <w:rsid w:val="138B74D2"/>
    <w:rsid w:val="13C8BC9E"/>
    <w:rsid w:val="14041824"/>
    <w:rsid w:val="144449CF"/>
    <w:rsid w:val="144943CA"/>
    <w:rsid w:val="145E6224"/>
    <w:rsid w:val="1501237F"/>
    <w:rsid w:val="154F44BD"/>
    <w:rsid w:val="1597722F"/>
    <w:rsid w:val="15B47D46"/>
    <w:rsid w:val="15C20C04"/>
    <w:rsid w:val="15E51475"/>
    <w:rsid w:val="1624052D"/>
    <w:rsid w:val="162FCE64"/>
    <w:rsid w:val="163B653F"/>
    <w:rsid w:val="16CA5082"/>
    <w:rsid w:val="16CDF8F4"/>
    <w:rsid w:val="17297B22"/>
    <w:rsid w:val="172DF7D9"/>
    <w:rsid w:val="173F39D2"/>
    <w:rsid w:val="174139AD"/>
    <w:rsid w:val="17B157B1"/>
    <w:rsid w:val="17BA6B4D"/>
    <w:rsid w:val="17EB0626"/>
    <w:rsid w:val="180A3BA0"/>
    <w:rsid w:val="18912D6E"/>
    <w:rsid w:val="18E9FA1C"/>
    <w:rsid w:val="19286F10"/>
    <w:rsid w:val="1961984C"/>
    <w:rsid w:val="196983F6"/>
    <w:rsid w:val="19709A61"/>
    <w:rsid w:val="19B40894"/>
    <w:rsid w:val="19D15C08"/>
    <w:rsid w:val="1A2F0FBB"/>
    <w:rsid w:val="1A50AAC0"/>
    <w:rsid w:val="1AB7A9EA"/>
    <w:rsid w:val="1AB86418"/>
    <w:rsid w:val="1B21D57A"/>
    <w:rsid w:val="1B2C90B1"/>
    <w:rsid w:val="1B4AB5EF"/>
    <w:rsid w:val="1B560629"/>
    <w:rsid w:val="1BB8BDEA"/>
    <w:rsid w:val="1BF430AB"/>
    <w:rsid w:val="1C12AB51"/>
    <w:rsid w:val="1C9373B0"/>
    <w:rsid w:val="1CA6853C"/>
    <w:rsid w:val="1CF03875"/>
    <w:rsid w:val="1D043369"/>
    <w:rsid w:val="1D53ABCB"/>
    <w:rsid w:val="1D594D30"/>
    <w:rsid w:val="1D7E0498"/>
    <w:rsid w:val="1DA5541E"/>
    <w:rsid w:val="1EDC340F"/>
    <w:rsid w:val="1F69F612"/>
    <w:rsid w:val="1FA9B4C1"/>
    <w:rsid w:val="1FAA7332"/>
    <w:rsid w:val="1FAEEBC9"/>
    <w:rsid w:val="20470709"/>
    <w:rsid w:val="206AB23A"/>
    <w:rsid w:val="206F2285"/>
    <w:rsid w:val="209045F3"/>
    <w:rsid w:val="20918D77"/>
    <w:rsid w:val="20BC6B9B"/>
    <w:rsid w:val="20CD0DF3"/>
    <w:rsid w:val="20D8F43D"/>
    <w:rsid w:val="2108183A"/>
    <w:rsid w:val="211F45B0"/>
    <w:rsid w:val="2129049D"/>
    <w:rsid w:val="212D8D54"/>
    <w:rsid w:val="215C5C22"/>
    <w:rsid w:val="21F6DD74"/>
    <w:rsid w:val="2245BD8F"/>
    <w:rsid w:val="225490D4"/>
    <w:rsid w:val="23C3D1F1"/>
    <w:rsid w:val="23EC32A6"/>
    <w:rsid w:val="240C5445"/>
    <w:rsid w:val="2481C3C5"/>
    <w:rsid w:val="24EAFCD0"/>
    <w:rsid w:val="250C8AB5"/>
    <w:rsid w:val="25253956"/>
    <w:rsid w:val="253E7D55"/>
    <w:rsid w:val="256BA96F"/>
    <w:rsid w:val="2597C541"/>
    <w:rsid w:val="25FEABF6"/>
    <w:rsid w:val="261D574C"/>
    <w:rsid w:val="2653C90E"/>
    <w:rsid w:val="2669F470"/>
    <w:rsid w:val="269045C3"/>
    <w:rsid w:val="27105DB7"/>
    <w:rsid w:val="27F59751"/>
    <w:rsid w:val="2821CEB5"/>
    <w:rsid w:val="28B45309"/>
    <w:rsid w:val="28E12623"/>
    <w:rsid w:val="28E3D459"/>
    <w:rsid w:val="28EEB084"/>
    <w:rsid w:val="2954FA0F"/>
    <w:rsid w:val="2967FDD7"/>
    <w:rsid w:val="29A73CA1"/>
    <w:rsid w:val="2A8DCF88"/>
    <w:rsid w:val="2ABE73FE"/>
    <w:rsid w:val="2B5F8907"/>
    <w:rsid w:val="2B7EE26B"/>
    <w:rsid w:val="2B86EDD5"/>
    <w:rsid w:val="2B95E854"/>
    <w:rsid w:val="2BA665D4"/>
    <w:rsid w:val="2BD0B0AF"/>
    <w:rsid w:val="2BE09779"/>
    <w:rsid w:val="2C795BF0"/>
    <w:rsid w:val="2C98EDD5"/>
    <w:rsid w:val="2CA298A4"/>
    <w:rsid w:val="2CDDE9C9"/>
    <w:rsid w:val="2CFCE8EB"/>
    <w:rsid w:val="2D23A869"/>
    <w:rsid w:val="2D40FF36"/>
    <w:rsid w:val="2D82B1AF"/>
    <w:rsid w:val="2DB83DB4"/>
    <w:rsid w:val="2DBC7D7B"/>
    <w:rsid w:val="2E04A765"/>
    <w:rsid w:val="2E66E08D"/>
    <w:rsid w:val="2E6D89B3"/>
    <w:rsid w:val="2E6E2FA9"/>
    <w:rsid w:val="2E8A3BDC"/>
    <w:rsid w:val="2EA58462"/>
    <w:rsid w:val="3002FA5D"/>
    <w:rsid w:val="31191A83"/>
    <w:rsid w:val="312AA3F3"/>
    <w:rsid w:val="313E384C"/>
    <w:rsid w:val="315F87B2"/>
    <w:rsid w:val="316467C9"/>
    <w:rsid w:val="31CA188E"/>
    <w:rsid w:val="31F3A2D3"/>
    <w:rsid w:val="32216882"/>
    <w:rsid w:val="323119B1"/>
    <w:rsid w:val="327E3DCE"/>
    <w:rsid w:val="329BA4FD"/>
    <w:rsid w:val="32BF5162"/>
    <w:rsid w:val="32C37750"/>
    <w:rsid w:val="32DCE736"/>
    <w:rsid w:val="32F5A930"/>
    <w:rsid w:val="332347B8"/>
    <w:rsid w:val="3373BAE2"/>
    <w:rsid w:val="34579E81"/>
    <w:rsid w:val="34850977"/>
    <w:rsid w:val="349250FF"/>
    <w:rsid w:val="34D959DF"/>
    <w:rsid w:val="34E68039"/>
    <w:rsid w:val="34F7ECD3"/>
    <w:rsid w:val="350C6748"/>
    <w:rsid w:val="35CCB02C"/>
    <w:rsid w:val="35E73DF7"/>
    <w:rsid w:val="35ECA644"/>
    <w:rsid w:val="3634849C"/>
    <w:rsid w:val="367ACDE0"/>
    <w:rsid w:val="369E8D87"/>
    <w:rsid w:val="36CB22C5"/>
    <w:rsid w:val="36E34D01"/>
    <w:rsid w:val="372E2678"/>
    <w:rsid w:val="37B4C7EB"/>
    <w:rsid w:val="380300EF"/>
    <w:rsid w:val="3808EE71"/>
    <w:rsid w:val="380DDEED"/>
    <w:rsid w:val="383DAF52"/>
    <w:rsid w:val="3872C3FB"/>
    <w:rsid w:val="39245375"/>
    <w:rsid w:val="3A18C816"/>
    <w:rsid w:val="3A265C1C"/>
    <w:rsid w:val="3A48B6A5"/>
    <w:rsid w:val="3B66166F"/>
    <w:rsid w:val="3B682E16"/>
    <w:rsid w:val="3B9BF11D"/>
    <w:rsid w:val="3BBB6ADA"/>
    <w:rsid w:val="3BEB32C2"/>
    <w:rsid w:val="3C264719"/>
    <w:rsid w:val="3C4647D6"/>
    <w:rsid w:val="3C4BB752"/>
    <w:rsid w:val="3C8A8A2F"/>
    <w:rsid w:val="3CAFC26A"/>
    <w:rsid w:val="3CBEFF3E"/>
    <w:rsid w:val="3CE51A2B"/>
    <w:rsid w:val="3CF10E09"/>
    <w:rsid w:val="3D098F8A"/>
    <w:rsid w:val="3D1FA4FF"/>
    <w:rsid w:val="3D7ABDBB"/>
    <w:rsid w:val="3DCAE773"/>
    <w:rsid w:val="3E5EDC96"/>
    <w:rsid w:val="3E608400"/>
    <w:rsid w:val="3E8B902F"/>
    <w:rsid w:val="3E8BA9A3"/>
    <w:rsid w:val="3EACB835"/>
    <w:rsid w:val="3EEE9BDF"/>
    <w:rsid w:val="3EF859E9"/>
    <w:rsid w:val="3F2FC787"/>
    <w:rsid w:val="3F496ACE"/>
    <w:rsid w:val="3F57B81D"/>
    <w:rsid w:val="3F83C109"/>
    <w:rsid w:val="40228E7D"/>
    <w:rsid w:val="40283244"/>
    <w:rsid w:val="405ADE72"/>
    <w:rsid w:val="406FABBE"/>
    <w:rsid w:val="408D5C0C"/>
    <w:rsid w:val="40FF0961"/>
    <w:rsid w:val="410BE873"/>
    <w:rsid w:val="41780537"/>
    <w:rsid w:val="418D26EA"/>
    <w:rsid w:val="41ACE3EE"/>
    <w:rsid w:val="41D2E1D7"/>
    <w:rsid w:val="41F4A26D"/>
    <w:rsid w:val="424F7262"/>
    <w:rsid w:val="4266ABEA"/>
    <w:rsid w:val="4269134D"/>
    <w:rsid w:val="42DA98C2"/>
    <w:rsid w:val="42FBF432"/>
    <w:rsid w:val="43197F03"/>
    <w:rsid w:val="433FE1B3"/>
    <w:rsid w:val="438BBC4F"/>
    <w:rsid w:val="43EAAFBA"/>
    <w:rsid w:val="44454288"/>
    <w:rsid w:val="4452775B"/>
    <w:rsid w:val="4461612E"/>
    <w:rsid w:val="44EB58F5"/>
    <w:rsid w:val="44EFB22E"/>
    <w:rsid w:val="45AAA1B7"/>
    <w:rsid w:val="45B3CDFA"/>
    <w:rsid w:val="460CBD88"/>
    <w:rsid w:val="46128726"/>
    <w:rsid w:val="46142024"/>
    <w:rsid w:val="463DEA43"/>
    <w:rsid w:val="4669B4FF"/>
    <w:rsid w:val="4687E933"/>
    <w:rsid w:val="46B13D1D"/>
    <w:rsid w:val="46B25B9F"/>
    <w:rsid w:val="477E9C19"/>
    <w:rsid w:val="47919B8D"/>
    <w:rsid w:val="4792104B"/>
    <w:rsid w:val="47AF1AAE"/>
    <w:rsid w:val="47C86525"/>
    <w:rsid w:val="47D93F02"/>
    <w:rsid w:val="48076556"/>
    <w:rsid w:val="486B6AC0"/>
    <w:rsid w:val="489F89D1"/>
    <w:rsid w:val="48C9430D"/>
    <w:rsid w:val="494C22AD"/>
    <w:rsid w:val="497D323C"/>
    <w:rsid w:val="497E7BAD"/>
    <w:rsid w:val="4982FF47"/>
    <w:rsid w:val="49E638D8"/>
    <w:rsid w:val="49F9C888"/>
    <w:rsid w:val="4A4A2CD0"/>
    <w:rsid w:val="4A5C22AB"/>
    <w:rsid w:val="4A60DDB5"/>
    <w:rsid w:val="4A710F9A"/>
    <w:rsid w:val="4A761B40"/>
    <w:rsid w:val="4A763BEE"/>
    <w:rsid w:val="4A9A4A78"/>
    <w:rsid w:val="4AAA6E43"/>
    <w:rsid w:val="4ABEC331"/>
    <w:rsid w:val="4AD681B5"/>
    <w:rsid w:val="4B57F167"/>
    <w:rsid w:val="4B9A7183"/>
    <w:rsid w:val="4B9AC4E3"/>
    <w:rsid w:val="4BCA841E"/>
    <w:rsid w:val="4C2B4883"/>
    <w:rsid w:val="4D00D210"/>
    <w:rsid w:val="4D0C8F21"/>
    <w:rsid w:val="4D3897E3"/>
    <w:rsid w:val="4D651C8B"/>
    <w:rsid w:val="4DC28998"/>
    <w:rsid w:val="4DF23EAF"/>
    <w:rsid w:val="4DF5D4F0"/>
    <w:rsid w:val="4E28C605"/>
    <w:rsid w:val="4E4E7D8C"/>
    <w:rsid w:val="4E6C330D"/>
    <w:rsid w:val="4E921E9C"/>
    <w:rsid w:val="4EFCF2B4"/>
    <w:rsid w:val="4F0A8C9D"/>
    <w:rsid w:val="4FBB2C7F"/>
    <w:rsid w:val="4FD51E81"/>
    <w:rsid w:val="4FE6E131"/>
    <w:rsid w:val="4FEA170B"/>
    <w:rsid w:val="503312D8"/>
    <w:rsid w:val="5093099D"/>
    <w:rsid w:val="50935087"/>
    <w:rsid w:val="50A69068"/>
    <w:rsid w:val="50B1E72B"/>
    <w:rsid w:val="50DB8F7D"/>
    <w:rsid w:val="50DF18B2"/>
    <w:rsid w:val="512CF8E4"/>
    <w:rsid w:val="51E92122"/>
    <w:rsid w:val="51F067A8"/>
    <w:rsid w:val="51F39D81"/>
    <w:rsid w:val="522259D6"/>
    <w:rsid w:val="523F997B"/>
    <w:rsid w:val="524BB6C7"/>
    <w:rsid w:val="52CEA6E4"/>
    <w:rsid w:val="53154E8F"/>
    <w:rsid w:val="532526EA"/>
    <w:rsid w:val="534B1473"/>
    <w:rsid w:val="5357AAE5"/>
    <w:rsid w:val="538F7DC1"/>
    <w:rsid w:val="53917D7D"/>
    <w:rsid w:val="53B6ACC3"/>
    <w:rsid w:val="540895B0"/>
    <w:rsid w:val="54247EAE"/>
    <w:rsid w:val="5428FA77"/>
    <w:rsid w:val="54EB0EC1"/>
    <w:rsid w:val="54F15CA2"/>
    <w:rsid w:val="555AFE27"/>
    <w:rsid w:val="55616D1A"/>
    <w:rsid w:val="55A0256C"/>
    <w:rsid w:val="55B42670"/>
    <w:rsid w:val="55C50DCA"/>
    <w:rsid w:val="55D242EA"/>
    <w:rsid w:val="55EFA7CF"/>
    <w:rsid w:val="56063CD8"/>
    <w:rsid w:val="56C4A0B6"/>
    <w:rsid w:val="56D11572"/>
    <w:rsid w:val="5712D821"/>
    <w:rsid w:val="572A0ABB"/>
    <w:rsid w:val="5731719C"/>
    <w:rsid w:val="57325051"/>
    <w:rsid w:val="5733D650"/>
    <w:rsid w:val="575FC9E5"/>
    <w:rsid w:val="57867BCA"/>
    <w:rsid w:val="585B0FFA"/>
    <w:rsid w:val="58C8876B"/>
    <w:rsid w:val="594EF410"/>
    <w:rsid w:val="595EE3DD"/>
    <w:rsid w:val="59B702D8"/>
    <w:rsid w:val="5A227ADF"/>
    <w:rsid w:val="5AC60F8B"/>
    <w:rsid w:val="5AD357B1"/>
    <w:rsid w:val="5B45CEC9"/>
    <w:rsid w:val="5BC0E19A"/>
    <w:rsid w:val="5BFD134F"/>
    <w:rsid w:val="5C08B9D0"/>
    <w:rsid w:val="5C1B17AD"/>
    <w:rsid w:val="5C3FC2FA"/>
    <w:rsid w:val="5C86F722"/>
    <w:rsid w:val="5CC87DA7"/>
    <w:rsid w:val="5D16AF4B"/>
    <w:rsid w:val="5D1A81D9"/>
    <w:rsid w:val="5D25215E"/>
    <w:rsid w:val="5D9E790B"/>
    <w:rsid w:val="5DB79EC1"/>
    <w:rsid w:val="5DDA5881"/>
    <w:rsid w:val="5E1C1CA7"/>
    <w:rsid w:val="5E44030C"/>
    <w:rsid w:val="5E5091DC"/>
    <w:rsid w:val="5E6C2759"/>
    <w:rsid w:val="5E82D55D"/>
    <w:rsid w:val="5ED4CC9D"/>
    <w:rsid w:val="5EE735DA"/>
    <w:rsid w:val="5F719C44"/>
    <w:rsid w:val="5FB04973"/>
    <w:rsid w:val="5FCF523F"/>
    <w:rsid w:val="6017E812"/>
    <w:rsid w:val="605E89C7"/>
    <w:rsid w:val="607FA2C8"/>
    <w:rsid w:val="609DF9A8"/>
    <w:rsid w:val="60A9B301"/>
    <w:rsid w:val="60BF4F9C"/>
    <w:rsid w:val="61457A6D"/>
    <w:rsid w:val="616BB4A2"/>
    <w:rsid w:val="616E185E"/>
    <w:rsid w:val="61D47D60"/>
    <w:rsid w:val="620C97B8"/>
    <w:rsid w:val="621AB327"/>
    <w:rsid w:val="62577CB1"/>
    <w:rsid w:val="62613502"/>
    <w:rsid w:val="62E5B954"/>
    <w:rsid w:val="62ED9C02"/>
    <w:rsid w:val="6381509E"/>
    <w:rsid w:val="63EB72A7"/>
    <w:rsid w:val="641230C8"/>
    <w:rsid w:val="648C7D9A"/>
    <w:rsid w:val="651101BF"/>
    <w:rsid w:val="652C1A4D"/>
    <w:rsid w:val="6572C418"/>
    <w:rsid w:val="65AABFE8"/>
    <w:rsid w:val="65B547E3"/>
    <w:rsid w:val="65CA012B"/>
    <w:rsid w:val="6617F2AC"/>
    <w:rsid w:val="66B41AA1"/>
    <w:rsid w:val="66CA4990"/>
    <w:rsid w:val="66CE88C9"/>
    <w:rsid w:val="670715DD"/>
    <w:rsid w:val="67455B69"/>
    <w:rsid w:val="67C7D538"/>
    <w:rsid w:val="67D0A4A4"/>
    <w:rsid w:val="68336C5B"/>
    <w:rsid w:val="68BDBF44"/>
    <w:rsid w:val="68DA7081"/>
    <w:rsid w:val="693EA4F2"/>
    <w:rsid w:val="6A02E682"/>
    <w:rsid w:val="6A114A04"/>
    <w:rsid w:val="6A480F74"/>
    <w:rsid w:val="6A7D2778"/>
    <w:rsid w:val="6A85F8C8"/>
    <w:rsid w:val="6AA0D8C0"/>
    <w:rsid w:val="6B3D629E"/>
    <w:rsid w:val="6B7314A8"/>
    <w:rsid w:val="6BC98ABB"/>
    <w:rsid w:val="6BCB9A27"/>
    <w:rsid w:val="6BDBAEC9"/>
    <w:rsid w:val="6BE6BC27"/>
    <w:rsid w:val="6C45BBD3"/>
    <w:rsid w:val="6C6CAF72"/>
    <w:rsid w:val="6C6E8B29"/>
    <w:rsid w:val="6CC049E5"/>
    <w:rsid w:val="6CCCE306"/>
    <w:rsid w:val="6CE566D8"/>
    <w:rsid w:val="6D131E4D"/>
    <w:rsid w:val="6DD7CA1A"/>
    <w:rsid w:val="6DE7DF18"/>
    <w:rsid w:val="6E15890E"/>
    <w:rsid w:val="6E2B67D6"/>
    <w:rsid w:val="6E4F6B0A"/>
    <w:rsid w:val="6E521EEF"/>
    <w:rsid w:val="6E867555"/>
    <w:rsid w:val="6E86AE1F"/>
    <w:rsid w:val="6E938DD1"/>
    <w:rsid w:val="6EBBF7AD"/>
    <w:rsid w:val="6EBF16A2"/>
    <w:rsid w:val="6F14ACE1"/>
    <w:rsid w:val="6F3AB21B"/>
    <w:rsid w:val="6F3FF8C9"/>
    <w:rsid w:val="700F20CE"/>
    <w:rsid w:val="7064D662"/>
    <w:rsid w:val="70B1634D"/>
    <w:rsid w:val="70CF882B"/>
    <w:rsid w:val="7107F14B"/>
    <w:rsid w:val="713035AC"/>
    <w:rsid w:val="71862679"/>
    <w:rsid w:val="718649AE"/>
    <w:rsid w:val="726EEEC4"/>
    <w:rsid w:val="728C4D44"/>
    <w:rsid w:val="72E2E68E"/>
    <w:rsid w:val="72F57442"/>
    <w:rsid w:val="73089976"/>
    <w:rsid w:val="739DBB0D"/>
    <w:rsid w:val="73FC043D"/>
    <w:rsid w:val="73FDB867"/>
    <w:rsid w:val="7416CF89"/>
    <w:rsid w:val="7488D5F8"/>
    <w:rsid w:val="74C56E8C"/>
    <w:rsid w:val="74FBF047"/>
    <w:rsid w:val="7539A09B"/>
    <w:rsid w:val="75891412"/>
    <w:rsid w:val="761AE838"/>
    <w:rsid w:val="761DAF0A"/>
    <w:rsid w:val="7638BF8E"/>
    <w:rsid w:val="765A4E85"/>
    <w:rsid w:val="766F9603"/>
    <w:rsid w:val="7690CFDE"/>
    <w:rsid w:val="77303EFB"/>
    <w:rsid w:val="773DBFE8"/>
    <w:rsid w:val="773E0E64"/>
    <w:rsid w:val="77535692"/>
    <w:rsid w:val="778B0C16"/>
    <w:rsid w:val="778FD9CB"/>
    <w:rsid w:val="779F70EF"/>
    <w:rsid w:val="77CD1700"/>
    <w:rsid w:val="77FB23F7"/>
    <w:rsid w:val="781C6F47"/>
    <w:rsid w:val="78207F85"/>
    <w:rsid w:val="7848C80F"/>
    <w:rsid w:val="7856C111"/>
    <w:rsid w:val="78834A2C"/>
    <w:rsid w:val="78A5AE61"/>
    <w:rsid w:val="78ADBC7B"/>
    <w:rsid w:val="78FD7739"/>
    <w:rsid w:val="790CEF61"/>
    <w:rsid w:val="790FC6C3"/>
    <w:rsid w:val="7994850F"/>
    <w:rsid w:val="7996F0A4"/>
    <w:rsid w:val="79AF3DD7"/>
    <w:rsid w:val="79B96263"/>
    <w:rsid w:val="79EFE42A"/>
    <w:rsid w:val="7A57ED1B"/>
    <w:rsid w:val="7A670C96"/>
    <w:rsid w:val="7A8B201B"/>
    <w:rsid w:val="7B6333B3"/>
    <w:rsid w:val="7BEFEB3A"/>
    <w:rsid w:val="7C3B669F"/>
    <w:rsid w:val="7C98223C"/>
    <w:rsid w:val="7CBFAFB5"/>
    <w:rsid w:val="7CC034B3"/>
    <w:rsid w:val="7D1322A4"/>
    <w:rsid w:val="7D512AD4"/>
    <w:rsid w:val="7D527CD0"/>
    <w:rsid w:val="7D6F0DF8"/>
    <w:rsid w:val="7D6F77C4"/>
    <w:rsid w:val="7DC2D2AE"/>
    <w:rsid w:val="7E024F4D"/>
    <w:rsid w:val="7E36C60F"/>
    <w:rsid w:val="7E45340F"/>
    <w:rsid w:val="7EA07089"/>
    <w:rsid w:val="7EAF61B9"/>
    <w:rsid w:val="7EC2B1FA"/>
    <w:rsid w:val="7F09ED10"/>
    <w:rsid w:val="7F0E1591"/>
    <w:rsid w:val="7F2C57E6"/>
    <w:rsid w:val="7F619724"/>
    <w:rsid w:val="7F9FD2A9"/>
    <w:rsid w:val="7FB2B5E9"/>
    <w:rsid w:val="7FF9B17D"/>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AABDAA"/>
  <w15:chartTrackingRefBased/>
  <w15:docId w15:val="{9E7FAA2B-C9DE-4363-9BFC-E710CA102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AD2"/>
    <w:pPr>
      <w:spacing w:after="200" w:line="276" w:lineRule="auto"/>
    </w:pPr>
    <w:rPr>
      <w:kern w:val="2"/>
      <w14:ligatures w14:val="standardContextual"/>
    </w:rPr>
  </w:style>
  <w:style w:type="paragraph" w:styleId="Heading1">
    <w:name w:val="heading 1"/>
    <w:basedOn w:val="Normal"/>
    <w:next w:val="Normal"/>
    <w:link w:val="Heading1Char"/>
    <w:uiPriority w:val="9"/>
    <w:qFormat/>
    <w:rsid w:val="00FF6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AD2"/>
    <w:rPr>
      <w:rFonts w:eastAsiaTheme="majorEastAsia" w:cstheme="majorBidi"/>
      <w:color w:val="272727" w:themeColor="text1" w:themeTint="D8"/>
    </w:rPr>
  </w:style>
  <w:style w:type="paragraph" w:styleId="Title">
    <w:name w:val="Title"/>
    <w:basedOn w:val="Normal"/>
    <w:next w:val="Normal"/>
    <w:link w:val="TitleChar"/>
    <w:uiPriority w:val="10"/>
    <w:qFormat/>
    <w:rsid w:val="00FF6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AD2"/>
    <w:pPr>
      <w:spacing w:before="160"/>
      <w:jc w:val="center"/>
    </w:pPr>
    <w:rPr>
      <w:i/>
      <w:iCs/>
      <w:color w:val="404040" w:themeColor="text1" w:themeTint="BF"/>
    </w:rPr>
  </w:style>
  <w:style w:type="character" w:customStyle="1" w:styleId="QuoteChar">
    <w:name w:val="Quote Char"/>
    <w:basedOn w:val="DefaultParagraphFont"/>
    <w:link w:val="Quote"/>
    <w:uiPriority w:val="29"/>
    <w:rsid w:val="00FF6AD2"/>
    <w:rPr>
      <w:i/>
      <w:iCs/>
      <w:color w:val="404040" w:themeColor="text1" w:themeTint="BF"/>
    </w:rPr>
  </w:style>
  <w:style w:type="paragraph" w:styleId="ListParagraph">
    <w:name w:val="List Paragraph"/>
    <w:basedOn w:val="Normal"/>
    <w:uiPriority w:val="34"/>
    <w:qFormat/>
    <w:rsid w:val="00FF6AD2"/>
    <w:pPr>
      <w:ind w:left="720"/>
      <w:contextualSpacing/>
    </w:pPr>
  </w:style>
  <w:style w:type="character" w:styleId="IntenseEmphasis">
    <w:name w:val="Intense Emphasis"/>
    <w:basedOn w:val="DefaultParagraphFont"/>
    <w:uiPriority w:val="21"/>
    <w:qFormat/>
    <w:rsid w:val="00FF6AD2"/>
    <w:rPr>
      <w:i/>
      <w:iCs/>
      <w:color w:val="0F4761" w:themeColor="accent1" w:themeShade="BF"/>
    </w:rPr>
  </w:style>
  <w:style w:type="paragraph" w:styleId="IntenseQuote">
    <w:name w:val="Intense Quote"/>
    <w:basedOn w:val="Normal"/>
    <w:next w:val="Normal"/>
    <w:link w:val="IntenseQuoteChar"/>
    <w:uiPriority w:val="30"/>
    <w:qFormat/>
    <w:rsid w:val="00FF6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AD2"/>
    <w:rPr>
      <w:i/>
      <w:iCs/>
      <w:color w:val="0F4761" w:themeColor="accent1" w:themeShade="BF"/>
    </w:rPr>
  </w:style>
  <w:style w:type="character" w:styleId="IntenseReference">
    <w:name w:val="Intense Reference"/>
    <w:basedOn w:val="DefaultParagraphFont"/>
    <w:uiPriority w:val="32"/>
    <w:qFormat/>
    <w:rsid w:val="00FF6AD2"/>
    <w:rPr>
      <w:b/>
      <w:bCs/>
      <w:smallCaps/>
      <w:color w:val="0F4761" w:themeColor="accent1" w:themeShade="BF"/>
      <w:spacing w:val="5"/>
    </w:rPr>
  </w:style>
  <w:style w:type="paragraph" w:styleId="FootnoteText">
    <w:name w:val="footnote text"/>
    <w:basedOn w:val="Normal"/>
    <w:uiPriority w:val="99"/>
    <w:semiHidden/>
    <w:unhideWhenUsed/>
    <w:rsid w:val="00FF6AD2"/>
    <w:pPr>
      <w:spacing w:after="0" w:line="240" w:lineRule="auto"/>
    </w:pPr>
    <w:rPr>
      <w:sz w:val="20"/>
      <w:szCs w:val="20"/>
    </w:rPr>
  </w:style>
  <w:style w:type="character" w:customStyle="1" w:styleId="FootnoteTextChar">
    <w:name w:val="Footnote Text Char"/>
    <w:basedOn w:val="DefaultParagraphFont"/>
    <w:uiPriority w:val="99"/>
    <w:semiHidden/>
    <w:rsid w:val="00FF6AD2"/>
    <w:rPr>
      <w:kern w:val="2"/>
      <w:sz w:val="20"/>
      <w:szCs w:val="20"/>
      <w:lang w:val="ro-RO"/>
      <w14:ligatures w14:val="standardContextual"/>
    </w:rPr>
  </w:style>
  <w:style w:type="paragraph" w:customStyle="1" w:styleId="Heading11">
    <w:name w:val="Heading 11"/>
    <w:basedOn w:val="Normal"/>
    <w:next w:val="Normal"/>
    <w:uiPriority w:val="9"/>
    <w:qFormat/>
    <w:rsid w:val="00FF6AD2"/>
    <w:pPr>
      <w:keepNext/>
      <w:numPr>
        <w:numId w:val="1"/>
      </w:numPr>
      <w:spacing w:before="360" w:after="120" w:line="240" w:lineRule="auto"/>
      <w:jc w:val="both"/>
      <w:outlineLvl w:val="0"/>
    </w:pPr>
    <w:rPr>
      <w:rFonts w:ascii="Times New Roman" w:eastAsia="Times New Roman" w:hAnsi="Times New Roman" w:cs="Times New Roman"/>
      <w:b/>
      <w:bCs/>
      <w:smallCaps/>
      <w:kern w:val="0"/>
      <w:sz w:val="24"/>
      <w:szCs w:val="28"/>
      <w:lang w:eastAsia="en-GB"/>
      <w14:ligatures w14:val="none"/>
    </w:rPr>
  </w:style>
  <w:style w:type="paragraph" w:customStyle="1" w:styleId="Heading21">
    <w:name w:val="Heading 21"/>
    <w:basedOn w:val="Normal"/>
    <w:next w:val="Normal"/>
    <w:uiPriority w:val="9"/>
    <w:unhideWhenUsed/>
    <w:qFormat/>
    <w:rsid w:val="00FF6AD2"/>
    <w:pPr>
      <w:keepNext/>
      <w:numPr>
        <w:ilvl w:val="1"/>
        <w:numId w:val="1"/>
      </w:numPr>
      <w:spacing w:before="120" w:after="120" w:line="240" w:lineRule="auto"/>
      <w:jc w:val="both"/>
      <w:outlineLvl w:val="1"/>
    </w:pPr>
    <w:rPr>
      <w:rFonts w:ascii="Times New Roman" w:eastAsia="Times New Roman" w:hAnsi="Times New Roman" w:cs="Times New Roman"/>
      <w:b/>
      <w:bCs/>
      <w:kern w:val="0"/>
      <w:sz w:val="24"/>
      <w:szCs w:val="26"/>
      <w:lang w:eastAsia="en-GB"/>
      <w14:ligatures w14:val="none"/>
    </w:rPr>
  </w:style>
  <w:style w:type="paragraph" w:customStyle="1" w:styleId="Heading31">
    <w:name w:val="Heading 31"/>
    <w:basedOn w:val="Normal"/>
    <w:next w:val="Normal"/>
    <w:uiPriority w:val="9"/>
    <w:unhideWhenUsed/>
    <w:qFormat/>
    <w:rsid w:val="00FF6AD2"/>
    <w:pPr>
      <w:keepNext/>
      <w:numPr>
        <w:ilvl w:val="2"/>
        <w:numId w:val="1"/>
      </w:numPr>
      <w:spacing w:before="120" w:after="120" w:line="240" w:lineRule="auto"/>
      <w:jc w:val="both"/>
      <w:outlineLvl w:val="2"/>
    </w:pPr>
    <w:rPr>
      <w:rFonts w:ascii="Times New Roman" w:eastAsia="Times New Roman" w:hAnsi="Times New Roman" w:cs="Times New Roman"/>
      <w:bCs/>
      <w:i/>
      <w:kern w:val="0"/>
      <w:sz w:val="24"/>
      <w:lang w:eastAsia="en-GB"/>
      <w14:ligatures w14:val="none"/>
    </w:rPr>
  </w:style>
  <w:style w:type="paragraph" w:customStyle="1" w:styleId="Heading41">
    <w:name w:val="Heading 41"/>
    <w:basedOn w:val="Normal"/>
    <w:next w:val="Normal"/>
    <w:uiPriority w:val="9"/>
    <w:semiHidden/>
    <w:unhideWhenUsed/>
    <w:qFormat/>
    <w:rsid w:val="00FF6AD2"/>
    <w:pPr>
      <w:keepNext/>
      <w:numPr>
        <w:ilvl w:val="3"/>
        <w:numId w:val="1"/>
      </w:numPr>
      <w:spacing w:before="120" w:after="120" w:line="240" w:lineRule="auto"/>
      <w:jc w:val="both"/>
      <w:outlineLvl w:val="3"/>
    </w:pPr>
    <w:rPr>
      <w:rFonts w:ascii="Times New Roman" w:eastAsia="Times New Roman" w:hAnsi="Times New Roman" w:cs="Times New Roman"/>
      <w:bCs/>
      <w:iCs/>
      <w:kern w:val="0"/>
      <w:sz w:val="24"/>
      <w:lang w:eastAsia="en-GB"/>
      <w14:ligatures w14:val="none"/>
    </w:rPr>
  </w:style>
  <w:style w:type="paragraph" w:customStyle="1" w:styleId="Header1">
    <w:name w:val="Header1"/>
    <w:basedOn w:val="Normal"/>
    <w:next w:val="Header"/>
    <w:link w:val="HeaderChar"/>
    <w:uiPriority w:val="99"/>
    <w:unhideWhenUsed/>
    <w:rsid w:val="00FF6AD2"/>
    <w:pPr>
      <w:tabs>
        <w:tab w:val="center" w:pos="4513"/>
        <w:tab w:val="right" w:pos="9026"/>
      </w:tabs>
      <w:spacing w:after="0" w:line="240" w:lineRule="auto"/>
    </w:pPr>
  </w:style>
  <w:style w:type="character" w:customStyle="1" w:styleId="HeaderChar">
    <w:name w:val="Header Char"/>
    <w:basedOn w:val="DefaultParagraphFont"/>
    <w:link w:val="Header1"/>
    <w:uiPriority w:val="99"/>
    <w:rsid w:val="00FF6AD2"/>
    <w:rPr>
      <w:kern w:val="2"/>
      <w:lang w:val="ro-RO"/>
      <w14:ligatures w14:val="standardContextual"/>
    </w:rPr>
  </w:style>
  <w:style w:type="paragraph" w:customStyle="1" w:styleId="Footer1">
    <w:name w:val="Footer1"/>
    <w:basedOn w:val="Normal"/>
    <w:next w:val="Footer"/>
    <w:link w:val="FooterChar"/>
    <w:uiPriority w:val="99"/>
    <w:unhideWhenUsed/>
    <w:rsid w:val="00FF6AD2"/>
    <w:pPr>
      <w:tabs>
        <w:tab w:val="center" w:pos="4513"/>
        <w:tab w:val="right" w:pos="9026"/>
      </w:tabs>
      <w:spacing w:after="0" w:line="240" w:lineRule="auto"/>
    </w:pPr>
  </w:style>
  <w:style w:type="character" w:customStyle="1" w:styleId="FooterChar">
    <w:name w:val="Footer Char"/>
    <w:basedOn w:val="DefaultParagraphFont"/>
    <w:link w:val="Footer1"/>
    <w:uiPriority w:val="99"/>
    <w:rsid w:val="00FF6AD2"/>
    <w:rPr>
      <w:kern w:val="2"/>
      <w:lang w:val="ro-RO"/>
      <w14:ligatures w14:val="standardContextual"/>
    </w:rPr>
  </w:style>
  <w:style w:type="character" w:styleId="Hyperlink">
    <w:name w:val="Hyperlink"/>
    <w:rsid w:val="00FF6AD2"/>
    <w:rPr>
      <w:color w:val="0000FF"/>
      <w:u w:val="single"/>
    </w:rPr>
  </w:style>
  <w:style w:type="character" w:styleId="FootnoteReference">
    <w:name w:val="footnote reference"/>
    <w:basedOn w:val="DefaultParagraphFont"/>
    <w:uiPriority w:val="99"/>
    <w:semiHidden/>
    <w:unhideWhenUsed/>
    <w:rsid w:val="00FF6AD2"/>
    <w:rPr>
      <w:shd w:val="clear" w:color="auto" w:fill="auto"/>
      <w:vertAlign w:val="superscript"/>
    </w:rPr>
  </w:style>
  <w:style w:type="paragraph" w:styleId="Header">
    <w:name w:val="header"/>
    <w:basedOn w:val="Normal"/>
    <w:link w:val="HeaderChar1"/>
    <w:uiPriority w:val="99"/>
    <w:unhideWhenUsed/>
    <w:rsid w:val="00FF6AD2"/>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FF6AD2"/>
    <w:rPr>
      <w:kern w:val="2"/>
      <w:lang w:val="ro-RO"/>
      <w14:ligatures w14:val="standardContextual"/>
    </w:rPr>
  </w:style>
  <w:style w:type="paragraph" w:styleId="Footer">
    <w:name w:val="footer"/>
    <w:basedOn w:val="Normal"/>
    <w:link w:val="FooterChar1"/>
    <w:uiPriority w:val="99"/>
    <w:unhideWhenUsed/>
    <w:rsid w:val="00FF6AD2"/>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FF6AD2"/>
    <w:rPr>
      <w:kern w:val="2"/>
      <w:lang w:val="ro-RO"/>
      <w14:ligatures w14:val="standardContextual"/>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2"/>
      <w:sz w:val="20"/>
      <w:szCs w:val="20"/>
      <w:lang w:val="ro-RO"/>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16522"/>
    <w:pPr>
      <w:spacing w:after="0" w:line="240" w:lineRule="auto"/>
    </w:pPr>
    <w:rPr>
      <w:kern w:val="2"/>
      <w14:ligatures w14:val="standardContextual"/>
    </w:rPr>
  </w:style>
  <w:style w:type="character" w:styleId="FollowedHyperlink">
    <w:name w:val="FollowedHyperlink"/>
    <w:basedOn w:val="DefaultParagraphFont"/>
    <w:uiPriority w:val="99"/>
    <w:semiHidden/>
    <w:unhideWhenUsed/>
    <w:rsid w:val="00B01E0A"/>
    <w:rPr>
      <w:color w:val="96607D" w:themeColor="followedHyperlink"/>
      <w:u w:val="single"/>
    </w:rPr>
  </w:style>
  <w:style w:type="character" w:customStyle="1" w:styleId="UnresolvedMention">
    <w:name w:val="Unresolved Mention"/>
    <w:basedOn w:val="DefaultParagraphFont"/>
    <w:uiPriority w:val="99"/>
    <w:semiHidden/>
    <w:unhideWhenUsed/>
    <w:rsid w:val="00B01E0A"/>
    <w:rPr>
      <w:color w:val="605E5C"/>
      <w:shd w:val="clear" w:color="auto" w:fill="E1DFDD"/>
    </w:rPr>
  </w:style>
  <w:style w:type="character" w:customStyle="1" w:styleId="Marker">
    <w:name w:val="Marker"/>
    <w:basedOn w:val="DefaultParagraphFont"/>
    <w:rsid w:val="001879D6"/>
    <w:rPr>
      <w:color w:val="0000FF"/>
      <w:shd w:val="clear" w:color="auto" w:fill="auto"/>
    </w:rPr>
  </w:style>
  <w:style w:type="paragraph" w:customStyle="1" w:styleId="Pagedecouverture">
    <w:name w:val="Page de couverture"/>
    <w:basedOn w:val="Normal"/>
    <w:next w:val="Normal"/>
    <w:rsid w:val="001879D6"/>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1879D6"/>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879D6"/>
    <w:rPr>
      <w:rFonts w:ascii="Times New Roman" w:hAnsi="Times New Roman" w:cs="Times New Roman"/>
      <w:kern w:val="2"/>
      <w:sz w:val="24"/>
      <w14:ligatures w14:val="standardContextual"/>
    </w:rPr>
  </w:style>
  <w:style w:type="paragraph" w:customStyle="1" w:styleId="FooterSensitivity">
    <w:name w:val="Footer Sensitivity"/>
    <w:basedOn w:val="Normal"/>
    <w:link w:val="FooterSensitivityChar"/>
    <w:rsid w:val="001879D6"/>
    <w:pPr>
      <w:pBdr>
        <w:top w:val="single" w:sz="4" w:space="1" w:color="auto"/>
        <w:left w:val="single" w:sz="4" w:space="4" w:color="auto"/>
        <w:bottom w:val="single" w:sz="4" w:space="1" w:color="auto"/>
        <w:right w:val="single" w:sz="4" w:space="4" w:color="auto"/>
      </w:pBdr>
      <w:autoSpaceDE w:val="0"/>
      <w:autoSpaceDN w:val="0"/>
      <w:adjustRightInd w:val="0"/>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879D6"/>
    <w:rPr>
      <w:rFonts w:ascii="Times New Roman" w:hAnsi="Times New Roman" w:cs="Times New Roman"/>
      <w:b/>
      <w:kern w:val="2"/>
      <w:sz w:val="32"/>
      <w14:ligatures w14:val="standardContextual"/>
    </w:rPr>
  </w:style>
  <w:style w:type="paragraph" w:customStyle="1" w:styleId="HeaderCoverPage">
    <w:name w:val="Header Cover Page"/>
    <w:basedOn w:val="Normal"/>
    <w:link w:val="HeaderCoverPageChar"/>
    <w:rsid w:val="001879D6"/>
    <w:pPr>
      <w:tabs>
        <w:tab w:val="center" w:pos="4535"/>
        <w:tab w:val="right" w:pos="9071"/>
      </w:tabs>
      <w:autoSpaceDE w:val="0"/>
      <w:autoSpaceDN w:val="0"/>
      <w:adjustRightInd w:val="0"/>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879D6"/>
    <w:rPr>
      <w:rFonts w:ascii="Times New Roman" w:hAnsi="Times New Roman" w:cs="Times New Roman"/>
      <w:kern w:val="2"/>
      <w:sz w:val="24"/>
      <w14:ligatures w14:val="standardContextual"/>
    </w:rPr>
  </w:style>
  <w:style w:type="paragraph" w:customStyle="1" w:styleId="HeaderSensitivity">
    <w:name w:val="Header Sensitivity"/>
    <w:basedOn w:val="Normal"/>
    <w:link w:val="HeaderSensitivityChar"/>
    <w:rsid w:val="001879D6"/>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879D6"/>
    <w:rPr>
      <w:rFonts w:ascii="Times New Roman" w:hAnsi="Times New Roman" w:cs="Times New Roman"/>
      <w:b/>
      <w:kern w:val="2"/>
      <w:sz w:val="32"/>
      <w14:ligatures w14:val="standardContextual"/>
    </w:rPr>
  </w:style>
  <w:style w:type="paragraph" w:customStyle="1" w:styleId="HeaderSensitivityRight">
    <w:name w:val="Header Sensitivity Right"/>
    <w:basedOn w:val="Normal"/>
    <w:link w:val="HeaderSensitivityRightChar"/>
    <w:rsid w:val="002A3C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879D6"/>
    <w:rPr>
      <w:rFonts w:ascii="Times New Roman" w:hAnsi="Times New Roman" w:cs="Times New Roman"/>
      <w:kern w:val="2"/>
      <w:sz w:val="28"/>
      <w14:ligatures w14:val="standardContextual"/>
    </w:rPr>
  </w:style>
  <w:style w:type="paragraph" w:styleId="CommentSubject">
    <w:name w:val="annotation subject"/>
    <w:basedOn w:val="CommentText"/>
    <w:next w:val="CommentText"/>
    <w:link w:val="CommentSubjectChar"/>
    <w:uiPriority w:val="99"/>
    <w:semiHidden/>
    <w:unhideWhenUsed/>
    <w:rsid w:val="00352F36"/>
    <w:rPr>
      <w:b/>
      <w:bCs/>
    </w:rPr>
  </w:style>
  <w:style w:type="character" w:customStyle="1" w:styleId="CommentSubjectChar">
    <w:name w:val="Comment Subject Char"/>
    <w:basedOn w:val="CommentTextChar"/>
    <w:link w:val="CommentSubject"/>
    <w:uiPriority w:val="99"/>
    <w:semiHidden/>
    <w:rsid w:val="00352F36"/>
    <w:rPr>
      <w:b/>
      <w:bCs/>
      <w:kern w:val="2"/>
      <w:sz w:val="20"/>
      <w:szCs w:val="20"/>
      <w:lang w:val="ro-RO"/>
      <w14:ligatures w14:val="standardContextual"/>
    </w:rPr>
  </w:style>
  <w:style w:type="paragraph" w:customStyle="1" w:styleId="Disclaimer">
    <w:name w:val="Disclaimer"/>
    <w:basedOn w:val="Normal"/>
    <w:rsid w:val="002A3C9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2A3C99"/>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2A3C99"/>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2A3C99"/>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92665">
      <w:bodyDiv w:val="1"/>
      <w:marLeft w:val="0"/>
      <w:marRight w:val="0"/>
      <w:marTop w:val="0"/>
      <w:marBottom w:val="0"/>
      <w:divBdr>
        <w:top w:val="none" w:sz="0" w:space="0" w:color="auto"/>
        <w:left w:val="none" w:sz="0" w:space="0" w:color="auto"/>
        <w:bottom w:val="none" w:sz="0" w:space="0" w:color="auto"/>
        <w:right w:val="none" w:sz="0" w:space="0" w:color="auto"/>
      </w:divBdr>
    </w:div>
    <w:div w:id="591662926">
      <w:bodyDiv w:val="1"/>
      <w:marLeft w:val="0"/>
      <w:marRight w:val="0"/>
      <w:marTop w:val="0"/>
      <w:marBottom w:val="0"/>
      <w:divBdr>
        <w:top w:val="none" w:sz="0" w:space="0" w:color="auto"/>
        <w:left w:val="none" w:sz="0" w:space="0" w:color="auto"/>
        <w:bottom w:val="none" w:sz="0" w:space="0" w:color="auto"/>
        <w:right w:val="none" w:sz="0" w:space="0" w:color="auto"/>
      </w:divBdr>
    </w:div>
    <w:div w:id="972058240">
      <w:bodyDiv w:val="1"/>
      <w:marLeft w:val="0"/>
      <w:marRight w:val="0"/>
      <w:marTop w:val="0"/>
      <w:marBottom w:val="0"/>
      <w:divBdr>
        <w:top w:val="none" w:sz="0" w:space="0" w:color="auto"/>
        <w:left w:val="none" w:sz="0" w:space="0" w:color="auto"/>
        <w:bottom w:val="none" w:sz="0" w:space="0" w:color="auto"/>
        <w:right w:val="none" w:sz="0" w:space="0" w:color="auto"/>
      </w:divBdr>
    </w:div>
    <w:div w:id="1028141434">
      <w:bodyDiv w:val="1"/>
      <w:marLeft w:val="0"/>
      <w:marRight w:val="0"/>
      <w:marTop w:val="0"/>
      <w:marBottom w:val="0"/>
      <w:divBdr>
        <w:top w:val="none" w:sz="0" w:space="0" w:color="auto"/>
        <w:left w:val="none" w:sz="0" w:space="0" w:color="auto"/>
        <w:bottom w:val="none" w:sz="0" w:space="0" w:color="auto"/>
        <w:right w:val="none" w:sz="0" w:space="0" w:color="auto"/>
      </w:divBdr>
    </w:div>
    <w:div w:id="1318150733">
      <w:bodyDiv w:val="1"/>
      <w:marLeft w:val="0"/>
      <w:marRight w:val="0"/>
      <w:marTop w:val="0"/>
      <w:marBottom w:val="0"/>
      <w:divBdr>
        <w:top w:val="none" w:sz="0" w:space="0" w:color="auto"/>
        <w:left w:val="none" w:sz="0" w:space="0" w:color="auto"/>
        <w:bottom w:val="none" w:sz="0" w:space="0" w:color="auto"/>
        <w:right w:val="none" w:sz="0" w:space="0" w:color="auto"/>
      </w:divBdr>
    </w:div>
    <w:div w:id="1489395672">
      <w:bodyDiv w:val="1"/>
      <w:marLeft w:val="0"/>
      <w:marRight w:val="0"/>
      <w:marTop w:val="0"/>
      <w:marBottom w:val="0"/>
      <w:divBdr>
        <w:top w:val="none" w:sz="0" w:space="0" w:color="auto"/>
        <w:left w:val="none" w:sz="0" w:space="0" w:color="auto"/>
        <w:bottom w:val="none" w:sz="0" w:space="0" w:color="auto"/>
        <w:right w:val="none" w:sz="0" w:space="0" w:color="auto"/>
      </w:divBdr>
    </w:div>
    <w:div w:id="1550216397">
      <w:bodyDiv w:val="1"/>
      <w:marLeft w:val="0"/>
      <w:marRight w:val="0"/>
      <w:marTop w:val="0"/>
      <w:marBottom w:val="0"/>
      <w:divBdr>
        <w:top w:val="none" w:sz="0" w:space="0" w:color="auto"/>
        <w:left w:val="none" w:sz="0" w:space="0" w:color="auto"/>
        <w:bottom w:val="none" w:sz="0" w:space="0" w:color="auto"/>
        <w:right w:val="none" w:sz="0" w:space="0" w:color="auto"/>
      </w:divBdr>
    </w:div>
    <w:div w:id="1580290669">
      <w:bodyDiv w:val="1"/>
      <w:marLeft w:val="0"/>
      <w:marRight w:val="0"/>
      <w:marTop w:val="0"/>
      <w:marBottom w:val="0"/>
      <w:divBdr>
        <w:top w:val="none" w:sz="0" w:space="0" w:color="auto"/>
        <w:left w:val="none" w:sz="0" w:space="0" w:color="auto"/>
        <w:bottom w:val="none" w:sz="0" w:space="0" w:color="auto"/>
        <w:right w:val="none" w:sz="0" w:space="0" w:color="auto"/>
      </w:divBdr>
    </w:div>
    <w:div w:id="1638488284">
      <w:bodyDiv w:val="1"/>
      <w:marLeft w:val="0"/>
      <w:marRight w:val="0"/>
      <w:marTop w:val="0"/>
      <w:marBottom w:val="0"/>
      <w:divBdr>
        <w:top w:val="none" w:sz="0" w:space="0" w:color="auto"/>
        <w:left w:val="none" w:sz="0" w:space="0" w:color="auto"/>
        <w:bottom w:val="none" w:sz="0" w:space="0" w:color="auto"/>
        <w:right w:val="none" w:sz="0" w:space="0" w:color="auto"/>
      </w:divBdr>
    </w:div>
    <w:div w:id="1779908158">
      <w:bodyDiv w:val="1"/>
      <w:marLeft w:val="0"/>
      <w:marRight w:val="0"/>
      <w:marTop w:val="0"/>
      <w:marBottom w:val="0"/>
      <w:divBdr>
        <w:top w:val="none" w:sz="0" w:space="0" w:color="auto"/>
        <w:left w:val="none" w:sz="0" w:space="0" w:color="auto"/>
        <w:bottom w:val="none" w:sz="0" w:space="0" w:color="auto"/>
        <w:right w:val="none" w:sz="0" w:space="0" w:color="auto"/>
      </w:divBdr>
    </w:div>
    <w:div w:id="1822194870">
      <w:bodyDiv w:val="1"/>
      <w:marLeft w:val="0"/>
      <w:marRight w:val="0"/>
      <w:marTop w:val="0"/>
      <w:marBottom w:val="0"/>
      <w:divBdr>
        <w:top w:val="none" w:sz="0" w:space="0" w:color="auto"/>
        <w:left w:val="none" w:sz="0" w:space="0" w:color="auto"/>
        <w:bottom w:val="none" w:sz="0" w:space="0" w:color="auto"/>
        <w:right w:val="none" w:sz="0" w:space="0" w:color="auto"/>
      </w:divBdr>
    </w:div>
    <w:div w:id="1913854145">
      <w:bodyDiv w:val="1"/>
      <w:marLeft w:val="0"/>
      <w:marRight w:val="0"/>
      <w:marTop w:val="0"/>
      <w:marBottom w:val="0"/>
      <w:divBdr>
        <w:top w:val="none" w:sz="0" w:space="0" w:color="auto"/>
        <w:left w:val="none" w:sz="0" w:space="0" w:color="auto"/>
        <w:bottom w:val="none" w:sz="0" w:space="0" w:color="auto"/>
        <w:right w:val="none" w:sz="0" w:space="0" w:color="auto"/>
      </w:divBdr>
    </w:div>
    <w:div w:id="1973974242">
      <w:bodyDiv w:val="1"/>
      <w:marLeft w:val="0"/>
      <w:marRight w:val="0"/>
      <w:marTop w:val="0"/>
      <w:marBottom w:val="0"/>
      <w:divBdr>
        <w:top w:val="none" w:sz="0" w:space="0" w:color="auto"/>
        <w:left w:val="none" w:sz="0" w:space="0" w:color="auto"/>
        <w:bottom w:val="none" w:sz="0" w:space="0" w:color="auto"/>
        <w:right w:val="none" w:sz="0" w:space="0" w:color="auto"/>
      </w:divBdr>
    </w:div>
    <w:div w:id="208656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52024DC0390" TargetMode="External"/><Relationship Id="rId3" Type="http://schemas.openxmlformats.org/officeDocument/2006/relationships/hyperlink" Target="https://eur-lex.europa.eu/legal-content/RO/TXT/?uri=CELEX%3A52022DC0333&amp;qid=1700034618525" TargetMode="External"/><Relationship Id="rId7" Type="http://schemas.openxmlformats.org/officeDocument/2006/relationships/hyperlink" Target="https://eur-lex.europa.eu/legal-content/RO/ALL/?uri=CELEX%3A32015R0759" TargetMode="External"/><Relationship Id="rId2" Type="http://schemas.openxmlformats.org/officeDocument/2006/relationships/hyperlink" Target="https://eur-lex.europa.eu/legal-content/RO/TXT/?uri=CELEX:52020DC0278&amp;qid=1632383683347" TargetMode="External"/><Relationship Id="rId1" Type="http://schemas.openxmlformats.org/officeDocument/2006/relationships/hyperlink" Target="https://eur-lex.europa.eu/legal-content/RO/ALL/?uri=CELEX:32009R0223" TargetMode="External"/><Relationship Id="rId6" Type="http://schemas.openxmlformats.org/officeDocument/2006/relationships/hyperlink" Target="https://ec.europa.eu/eurostat/web/products-catalogues/-/ks-02-18-142" TargetMode="External"/><Relationship Id="rId11" Type="http://schemas.openxmlformats.org/officeDocument/2006/relationships/hyperlink" Target="https://ec.europa.eu/eurostat/web/quality/peer-reviews/current-round-2021-2023" TargetMode="External"/><Relationship Id="rId5" Type="http://schemas.openxmlformats.org/officeDocument/2006/relationships/hyperlink" Target="https://eur-lex.europa.eu/LexUriServ/LexUriServ.do?uri=COM:2011:0211:FIN:RO:PDF" TargetMode="External"/><Relationship Id="rId10" Type="http://schemas.openxmlformats.org/officeDocument/2006/relationships/hyperlink" Target="https://ec.europa.eu/transparency/documents-register/detail?ref=SWD(2024)136&amp;lang=ro" TargetMode="External"/><Relationship Id="rId4" Type="http://schemas.openxmlformats.org/officeDocument/2006/relationships/hyperlink" Target="https://eur-lex.europa.eu/legal-content/RO/TXT/?uri=celex:52024DC0390" TargetMode="External"/><Relationship Id="rId9" Type="http://schemas.openxmlformats.org/officeDocument/2006/relationships/hyperlink" Target="https://ec.europa.eu/eurostat/web/quality/european-quality-standards/quality-assurance-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AD723-8C58-4A9A-99FD-BF85D79F1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3180</Words>
  <Characters>18131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2026-05-12T15:32:00Z</dcterms:created>
  <dcterms:modified xsi:type="dcterms:W3CDTF">2026-06-01T07:05:00Z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2026-05-08T13:04:00Z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ee15c05e-a117-4a09-94b2-cd2d67cf1afc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