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74929" w14:textId="1F64F5E7" w:rsidR="000C56CE" w:rsidRPr="00FB4E2D" w:rsidRDefault="00CC7F72" w:rsidP="00CC7F72">
      <w:pPr>
        <w:pStyle w:val="Pagedecouverture"/>
        <w:rPr>
          <w:noProof/>
        </w:rPr>
      </w:pPr>
      <w:bookmarkStart w:id="0" w:name="LW_BM_COVERPAGE"/>
      <w:r>
        <w:rPr>
          <w:noProof/>
        </w:rPr>
        <w:pict w14:anchorId="663787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E2B4DD-2A2C-4624-9D5C-16F07E1A7F0C" style="width:455.25pt;height:327.75pt">
            <v:imagedata r:id="rId11" o:title=""/>
          </v:shape>
        </w:pict>
      </w:r>
    </w:p>
    <w:bookmarkEnd w:id="0"/>
    <w:p w14:paraId="0E7F77BC" w14:textId="77777777" w:rsidR="000C56CE" w:rsidRPr="00FB4E2D" w:rsidRDefault="000C56CE" w:rsidP="000C56CE">
      <w:pPr>
        <w:rPr>
          <w:noProof/>
        </w:rPr>
        <w:sectPr w:rsidR="000C56CE" w:rsidRPr="00FB4E2D" w:rsidSect="00CC7F72">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14:paraId="34C0FF8A" w14:textId="59CFFFF5" w:rsidR="00A02C07" w:rsidRPr="00FB4E2D" w:rsidRDefault="00A02C07" w:rsidP="00A02C07">
      <w:pPr>
        <w:keepNext/>
        <w:tabs>
          <w:tab w:val="left" w:pos="850"/>
        </w:tabs>
        <w:spacing w:before="120" w:after="120" w:line="240" w:lineRule="auto"/>
        <w:ind w:left="850" w:hanging="850"/>
        <w:jc w:val="both"/>
        <w:outlineLvl w:val="0"/>
        <w:rPr>
          <w:rFonts w:ascii="Times New Roman" w:eastAsia="Times New Roman" w:hAnsi="Times New Roman" w:cs="Times New Roman"/>
          <w:b/>
          <w:smallCaps/>
          <w:noProof/>
          <w:kern w:val="0"/>
          <w14:ligatures w14:val="none"/>
        </w:rPr>
      </w:pPr>
      <w:bookmarkStart w:id="1" w:name="_GoBack"/>
      <w:bookmarkEnd w:id="1"/>
      <w:r w:rsidRPr="00FB4E2D">
        <w:rPr>
          <w:rFonts w:ascii="Times New Roman" w:eastAsia="Times New Roman" w:hAnsi="Times New Roman" w:cs="Times New Roman"/>
          <w:b/>
          <w:smallCaps/>
          <w:noProof/>
          <w:kern w:val="0"/>
          <w14:ligatures w14:val="none"/>
        </w:rPr>
        <w:lastRenderedPageBreak/>
        <w:tab/>
        <w:t>1.</w:t>
      </w:r>
      <w:r w:rsidRPr="00FB4E2D">
        <w:rPr>
          <w:rFonts w:ascii="Times New Roman" w:eastAsia="Times New Roman" w:hAnsi="Times New Roman" w:cs="Times New Roman"/>
          <w:b/>
          <w:smallCaps/>
          <w:noProof/>
          <w:kern w:val="0"/>
          <w14:ligatures w14:val="none"/>
        </w:rPr>
        <w:tab/>
        <w:t xml:space="preserve">Introduction </w:t>
      </w:r>
    </w:p>
    <w:p w14:paraId="6B182D71" w14:textId="4D207F0F"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Effective justice systems are essential for the application and enforcement of EU law and upholding the rule of law and other values the EU is founded </w:t>
      </w:r>
      <w:r w:rsidR="00067E4B" w:rsidRPr="00FB4E2D">
        <w:rPr>
          <w:rFonts w:ascii="Times New Roman" w:eastAsia="Calibri" w:hAnsi="Times New Roman" w:cs="Times New Roman"/>
          <w:noProof/>
          <w:kern w:val="0"/>
          <w14:ligatures w14:val="none"/>
        </w:rPr>
        <w:t>on</w:t>
      </w:r>
      <w:r w:rsidRPr="00FB4E2D">
        <w:rPr>
          <w:rFonts w:ascii="Times New Roman" w:eastAsia="Calibri" w:hAnsi="Times New Roman" w:cs="Times New Roman"/>
          <w:noProof/>
          <w:kern w:val="0"/>
          <w14:ligatures w14:val="none"/>
        </w:rPr>
        <w:t xml:space="preserve"> and which are common to the Member States. National courts act as EU courts when applying EU law. It is national courts in the first place that ensure that the rights and obligations set in EU law are enforced </w:t>
      </w:r>
      <w:r w:rsidR="00067E4B" w:rsidRPr="00FB4E2D">
        <w:rPr>
          <w:rFonts w:ascii="Times New Roman" w:eastAsia="Calibri" w:hAnsi="Times New Roman" w:cs="Times New Roman"/>
          <w:noProof/>
          <w:kern w:val="0"/>
          <w14:ligatures w14:val="none"/>
        </w:rPr>
        <w:t xml:space="preserve">effectively </w:t>
      </w:r>
      <w:r w:rsidR="00067E4B" w:rsidRPr="00FB4E2D">
        <w:rPr>
          <w:rFonts w:ascii="Times New Roman" w:eastAsia="Calibri" w:hAnsi="Times New Roman" w:cs="Times New Roman"/>
          <w:noProof/>
        </w:rPr>
        <w:t>(</w:t>
      </w:r>
      <w:r w:rsidR="005041EE" w:rsidRPr="00FB4E2D">
        <w:rPr>
          <w:rFonts w:ascii="Times New Roman" w:eastAsia="Calibri" w:hAnsi="Times New Roman" w:cs="Times New Roman"/>
          <w:noProof/>
        </w:rPr>
        <w:t>see the obligation of Member States to ensure effective legal protection in the fields covered by Union law under</w:t>
      </w:r>
      <w:r w:rsidR="009410F2" w:rsidRPr="00FB4E2D">
        <w:rPr>
          <w:rFonts w:ascii="Times New Roman" w:eastAsia="Calibri" w:hAnsi="Times New Roman" w:cs="Times New Roman"/>
          <w:noProof/>
        </w:rPr>
        <w:t xml:space="preserve"> </w:t>
      </w:r>
      <w:r w:rsidRPr="00FB4E2D">
        <w:rPr>
          <w:rFonts w:ascii="Times New Roman" w:eastAsia="Calibri" w:hAnsi="Times New Roman" w:cs="Times New Roman"/>
          <w:noProof/>
        </w:rPr>
        <w:t>Article 19 of the Treaty on European Union (TEU)).</w:t>
      </w:r>
    </w:p>
    <w:p w14:paraId="4B6A5B51" w14:textId="282C88FE" w:rsidR="00B86132"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In addition, effective justice systems are also essential for mutual trust and for improving the investment climate and the sustainability of long-term growth. This is why improving the efficiency, quality and independence of national justice systems features among the priorities of the European Semester – the EU’s annual cycle of economic policy coordination. The EU Competitiveness Compass (</w:t>
      </w:r>
      <w:r w:rsidRPr="00FB4E2D">
        <w:rPr>
          <w:rFonts w:ascii="Times New Roman" w:eastAsia="Calibri" w:hAnsi="Times New Roman" w:cs="Times New Roman"/>
          <w:noProof/>
          <w:kern w:val="0"/>
          <w:vertAlign w:val="superscript"/>
          <w14:ligatures w14:val="none"/>
        </w:rPr>
        <w:footnoteReference w:id="1"/>
      </w:r>
      <w:r w:rsidRPr="00FB4E2D">
        <w:rPr>
          <w:rFonts w:ascii="Times New Roman" w:eastAsia="Calibri" w:hAnsi="Times New Roman" w:cs="Times New Roman"/>
          <w:noProof/>
          <w:kern w:val="0"/>
          <w14:ligatures w14:val="none"/>
        </w:rPr>
        <w:t>) and the 2026 Annual Single Market and Competitiveness Report (</w:t>
      </w:r>
      <w:r w:rsidRPr="00FB4E2D">
        <w:rPr>
          <w:rFonts w:ascii="Times New Roman" w:eastAsia="Calibri" w:hAnsi="Times New Roman" w:cs="Times New Roman"/>
          <w:noProof/>
          <w:kern w:val="0"/>
          <w:vertAlign w:val="superscript"/>
          <w14:ligatures w14:val="none"/>
        </w:rPr>
        <w:footnoteReference w:id="2"/>
      </w:r>
      <w:r w:rsidRPr="00FB4E2D">
        <w:rPr>
          <w:rFonts w:ascii="Times New Roman" w:eastAsia="Calibri" w:hAnsi="Times New Roman" w:cs="Times New Roman"/>
          <w:noProof/>
          <w:kern w:val="0"/>
          <w14:ligatures w14:val="none"/>
        </w:rPr>
        <w:t>)</w:t>
      </w:r>
      <w:r w:rsidRPr="00FB4E2D" w:rsidDel="00DC6ECE">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 xml:space="preserve">recall that respect for the rule of law is central for the functioning of the Single Market, as it provides a stable operating environment that gives the EU and its Member States a global competitive edge. The respect for the rule of law ensures a business environment in which laws apply effectively and uniformly, businesses can work in another Member State on an equal footing with local companies, and budgets are spent on a transparent and objective basis. </w:t>
      </w:r>
    </w:p>
    <w:p w14:paraId="19943FDD" w14:textId="6941728A"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Well-functioning and fully independent justice systems can have a positive impact on investment and are key for investment protection. They are associated with greater productivity and competitiveness. They are also important for ensuring the effective cross-border enforcement of contracts, administrative decisions and dispute resolution, essential for a well-functioning </w:t>
      </w:r>
      <w:r w:rsidR="005E147A" w:rsidRPr="00FB4E2D">
        <w:rPr>
          <w:rFonts w:ascii="Times New Roman" w:eastAsia="Calibri" w:hAnsi="Times New Roman" w:cs="Times New Roman"/>
          <w:noProof/>
          <w:kern w:val="0"/>
          <w14:ligatures w14:val="none"/>
        </w:rPr>
        <w:t>s</w:t>
      </w:r>
      <w:r w:rsidRPr="00FB4E2D">
        <w:rPr>
          <w:rFonts w:ascii="Times New Roman" w:eastAsia="Calibri" w:hAnsi="Times New Roman" w:cs="Times New Roman"/>
          <w:noProof/>
          <w:kern w:val="0"/>
          <w14:ligatures w14:val="none"/>
        </w:rPr>
        <w:t xml:space="preserve">ingle </w:t>
      </w:r>
      <w:r w:rsidR="005E147A" w:rsidRPr="00FB4E2D">
        <w:rPr>
          <w:rFonts w:ascii="Times New Roman" w:eastAsia="Calibri" w:hAnsi="Times New Roman" w:cs="Times New Roman"/>
          <w:noProof/>
          <w:kern w:val="0"/>
          <w14:ligatures w14:val="none"/>
        </w:rPr>
        <w:t>m</w:t>
      </w:r>
      <w:r w:rsidRPr="00FB4E2D">
        <w:rPr>
          <w:rFonts w:ascii="Times New Roman" w:eastAsia="Calibri" w:hAnsi="Times New Roman" w:cs="Times New Roman"/>
          <w:noProof/>
          <w:kern w:val="0"/>
          <w14:ligatures w14:val="none"/>
        </w:rPr>
        <w:t>arket (</w:t>
      </w:r>
      <w:r w:rsidRPr="00FB4E2D">
        <w:rPr>
          <w:rFonts w:ascii="Times New Roman" w:eastAsia="Calibri" w:hAnsi="Times New Roman" w:cs="Times New Roman"/>
          <w:noProof/>
          <w:kern w:val="0"/>
          <w:vertAlign w:val="superscript"/>
          <w14:ligatures w14:val="none"/>
        </w:rPr>
        <w:footnoteReference w:id="3"/>
      </w:r>
      <w:r w:rsidRPr="00FB4E2D">
        <w:rPr>
          <w:rFonts w:ascii="Times New Roman" w:eastAsia="Calibri" w:hAnsi="Times New Roman" w:cs="Times New Roman"/>
          <w:noProof/>
          <w:kern w:val="0"/>
          <w14:ligatures w14:val="none"/>
        </w:rPr>
        <w:t xml:space="preserve">). </w:t>
      </w:r>
    </w:p>
    <w:p w14:paraId="6762C5D8" w14:textId="56391560"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In </w:t>
      </w:r>
      <w:r w:rsidR="004E5905" w:rsidRPr="00FB4E2D">
        <w:rPr>
          <w:rFonts w:ascii="Times New Roman" w:eastAsia="Calibri" w:hAnsi="Times New Roman" w:cs="Times New Roman"/>
          <w:noProof/>
          <w:kern w:val="0"/>
          <w14:ligatures w14:val="none"/>
        </w:rPr>
        <w:t>this</w:t>
      </w:r>
      <w:r w:rsidRPr="00FB4E2D">
        <w:rPr>
          <w:rFonts w:ascii="Times New Roman" w:eastAsia="Calibri" w:hAnsi="Times New Roman" w:cs="Times New Roman"/>
          <w:noProof/>
          <w:kern w:val="0"/>
          <w14:ligatures w14:val="none"/>
        </w:rPr>
        <w:t xml:space="preserve"> context, the EU Justice Scoreboard provides an annual overview of indicators measuring the three essential parameters of effective justice systems: </w:t>
      </w:r>
    </w:p>
    <w:p w14:paraId="534CD106" w14:textId="77777777" w:rsidR="00A02C07" w:rsidRPr="00FB4E2D" w:rsidRDefault="00A02C07" w:rsidP="00A02C07">
      <w:pPr>
        <w:numPr>
          <w:ilvl w:val="0"/>
          <w:numId w:val="5"/>
        </w:numPr>
        <w:spacing w:after="120" w:line="259" w:lineRule="auto"/>
        <w:contextualSpacing/>
        <w:rPr>
          <w:rFonts w:ascii="Calibri" w:eastAsia="Calibri" w:hAnsi="Calibri" w:cs="Arial"/>
          <w:noProof/>
          <w:kern w:val="0"/>
          <w:sz w:val="22"/>
          <w:szCs w:val="22"/>
          <w14:ligatures w14:val="none"/>
        </w:rPr>
      </w:pPr>
      <w:r w:rsidRPr="00FB4E2D">
        <w:rPr>
          <w:rFonts w:ascii="Times New Roman" w:eastAsia="Calibri" w:hAnsi="Times New Roman" w:cs="Times New Roman"/>
          <w:noProof/>
          <w:kern w:val="0"/>
          <w14:ligatures w14:val="none"/>
        </w:rPr>
        <w:t>efficiency;</w:t>
      </w:r>
      <w:r w:rsidRPr="00FB4E2D">
        <w:rPr>
          <w:rFonts w:ascii="Calibri" w:eastAsia="Calibri" w:hAnsi="Calibri" w:cs="Arial"/>
          <w:noProof/>
          <w:kern w:val="0"/>
          <w:sz w:val="22"/>
          <w:szCs w:val="22"/>
          <w14:ligatures w14:val="none"/>
        </w:rPr>
        <w:t xml:space="preserve"> </w:t>
      </w:r>
    </w:p>
    <w:p w14:paraId="44FBC00D" w14:textId="77777777" w:rsidR="00A02C07" w:rsidRPr="00FB4E2D" w:rsidRDefault="00A02C07" w:rsidP="00A02C07">
      <w:pPr>
        <w:numPr>
          <w:ilvl w:val="0"/>
          <w:numId w:val="5"/>
        </w:numPr>
        <w:spacing w:after="120" w:line="259" w:lineRule="auto"/>
        <w:contextualSpacing/>
        <w:rPr>
          <w:rFonts w:ascii="Calibri" w:eastAsia="Calibri" w:hAnsi="Calibri" w:cs="Arial"/>
          <w:noProof/>
          <w:kern w:val="0"/>
          <w:sz w:val="22"/>
          <w:szCs w:val="22"/>
          <w14:ligatures w14:val="none"/>
        </w:rPr>
      </w:pPr>
      <w:r w:rsidRPr="00FB4E2D">
        <w:rPr>
          <w:rFonts w:ascii="Times New Roman" w:eastAsia="Calibri" w:hAnsi="Times New Roman" w:cs="Times New Roman"/>
          <w:noProof/>
          <w:kern w:val="0"/>
          <w14:ligatures w14:val="none"/>
        </w:rPr>
        <w:t>quality;</w:t>
      </w:r>
      <w:r w:rsidRPr="00FB4E2D">
        <w:rPr>
          <w:rFonts w:ascii="Calibri" w:eastAsia="Calibri" w:hAnsi="Calibri" w:cs="Arial"/>
          <w:noProof/>
          <w:kern w:val="0"/>
          <w:sz w:val="22"/>
          <w:szCs w:val="22"/>
          <w14:ligatures w14:val="none"/>
        </w:rPr>
        <w:t xml:space="preserve"> </w:t>
      </w:r>
    </w:p>
    <w:p w14:paraId="090389A5" w14:textId="77777777" w:rsidR="00A02C07" w:rsidRPr="00FB4E2D" w:rsidRDefault="00A02C07" w:rsidP="00A02C07">
      <w:pPr>
        <w:numPr>
          <w:ilvl w:val="0"/>
          <w:numId w:val="5"/>
        </w:numPr>
        <w:spacing w:after="120" w:line="259" w:lineRule="auto"/>
        <w:contextualSpacing/>
        <w:rPr>
          <w:rFonts w:ascii="Calibri" w:eastAsia="Calibri" w:hAnsi="Calibri" w:cs="Arial"/>
          <w:noProof/>
          <w:kern w:val="0"/>
          <w:sz w:val="22"/>
          <w:szCs w:val="22"/>
          <w14:ligatures w14:val="none"/>
        </w:rPr>
      </w:pPr>
      <w:r w:rsidRPr="00FB4E2D">
        <w:rPr>
          <w:rFonts w:ascii="Times New Roman" w:eastAsia="Calibri" w:hAnsi="Times New Roman" w:cs="Times New Roman"/>
          <w:noProof/>
          <w:kern w:val="0"/>
          <w14:ligatures w14:val="none"/>
        </w:rPr>
        <w:t>independence.</w:t>
      </w:r>
      <w:r w:rsidRPr="00FB4E2D">
        <w:rPr>
          <w:rFonts w:ascii="Calibri" w:eastAsia="Calibri" w:hAnsi="Calibri" w:cs="Arial"/>
          <w:noProof/>
          <w:kern w:val="0"/>
          <w:sz w:val="22"/>
          <w:szCs w:val="22"/>
          <w14:ligatures w14:val="none"/>
        </w:rPr>
        <w:t xml:space="preserve"> </w:t>
      </w:r>
    </w:p>
    <w:p w14:paraId="36F2BA94" w14:textId="77777777" w:rsidR="005E147A" w:rsidRPr="00FB4E2D" w:rsidRDefault="005E147A" w:rsidP="00511A29">
      <w:pPr>
        <w:spacing w:after="120" w:line="259" w:lineRule="auto"/>
        <w:ind w:left="720"/>
        <w:contextualSpacing/>
        <w:rPr>
          <w:rFonts w:ascii="Calibri" w:eastAsia="Calibri" w:hAnsi="Calibri" w:cs="Arial"/>
          <w:noProof/>
          <w:kern w:val="0"/>
          <w:sz w:val="22"/>
          <w:szCs w:val="22"/>
          <w14:ligatures w14:val="none"/>
        </w:rPr>
      </w:pPr>
    </w:p>
    <w:p w14:paraId="67C42707" w14:textId="49249540" w:rsidR="00A02C07" w:rsidRPr="00FB4E2D" w:rsidRDefault="00A02C07" w:rsidP="00A02C07">
      <w:pPr>
        <w:spacing w:after="120" w:line="259"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The 2026 Scoreboard also </w:t>
      </w:r>
      <w:r w:rsidR="001E6514" w:rsidRPr="00FB4E2D">
        <w:rPr>
          <w:rFonts w:ascii="Times New Roman" w:eastAsia="Calibri" w:hAnsi="Times New Roman" w:cs="Times New Roman"/>
          <w:noProof/>
          <w:kern w:val="0"/>
          <w14:ligatures w14:val="none"/>
        </w:rPr>
        <w:t>contains</w:t>
      </w:r>
      <w:r w:rsidR="006132FF"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 xml:space="preserve">new and updated figures </w:t>
      </w:r>
      <w:r w:rsidR="00067E4B" w:rsidRPr="00FB4E2D">
        <w:rPr>
          <w:rFonts w:ascii="Times New Roman" w:eastAsia="Calibri" w:hAnsi="Times New Roman" w:cs="Times New Roman"/>
          <w:noProof/>
          <w:kern w:val="0"/>
          <w14:ligatures w14:val="none"/>
        </w:rPr>
        <w:t>on accessibility</w:t>
      </w:r>
      <w:r w:rsidRPr="00FB4E2D">
        <w:rPr>
          <w:rFonts w:ascii="Times New Roman" w:eastAsia="Calibri" w:hAnsi="Times New Roman" w:cs="Times New Roman"/>
          <w:noProof/>
          <w:kern w:val="0"/>
          <w14:ligatures w14:val="none"/>
        </w:rPr>
        <w:t xml:space="preserve"> to justice for people with disabilities, selected powers of equality bodies</w:t>
      </w:r>
      <w:r w:rsidR="00097D37"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 xml:space="preserve">specific arrangements for child-friendly justice/proceedings, </w:t>
      </w:r>
      <w:r w:rsidR="000B4870" w:rsidRPr="00FB4E2D">
        <w:rPr>
          <w:rFonts w:ascii="Times New Roman" w:eastAsia="Calibri" w:hAnsi="Times New Roman" w:cs="Times New Roman"/>
          <w:noProof/>
          <w:kern w:val="0"/>
          <w14:ligatures w14:val="none"/>
        </w:rPr>
        <w:t xml:space="preserve">prevention of </w:t>
      </w:r>
      <w:r w:rsidR="00097D37" w:rsidRPr="00FB4E2D">
        <w:rPr>
          <w:rFonts w:ascii="Times New Roman" w:eastAsia="Calibri" w:hAnsi="Times New Roman" w:cs="Times New Roman"/>
          <w:noProof/>
          <w:kern w:val="0"/>
          <w14:ligatures w14:val="none"/>
        </w:rPr>
        <w:t xml:space="preserve">corruption </w:t>
      </w:r>
      <w:r w:rsidR="005E147A" w:rsidRPr="00FB4E2D">
        <w:rPr>
          <w:rFonts w:ascii="Times New Roman" w:eastAsia="Calibri" w:hAnsi="Times New Roman" w:cs="Times New Roman"/>
          <w:noProof/>
          <w:kern w:val="0"/>
          <w14:ligatures w14:val="none"/>
        </w:rPr>
        <w:t xml:space="preserve">and </w:t>
      </w:r>
      <w:r w:rsidRPr="00FB4E2D">
        <w:rPr>
          <w:rFonts w:ascii="Times New Roman" w:eastAsia="Calibri" w:hAnsi="Times New Roman" w:cs="Times New Roman"/>
          <w:noProof/>
          <w:kern w:val="0"/>
          <w14:ligatures w14:val="none"/>
        </w:rPr>
        <w:t>the digitalisation of justice (</w:t>
      </w:r>
      <w:r w:rsidRPr="00FB4E2D">
        <w:rPr>
          <w:rFonts w:ascii="Times New Roman" w:eastAsia="Yu Mincho" w:hAnsi="Times New Roman" w:cs="Times New Roman"/>
          <w:noProof/>
          <w:kern w:val="0"/>
          <w:vertAlign w:val="superscript"/>
          <w14:ligatures w14:val="none"/>
        </w:rPr>
        <w:footnoteReference w:id="4"/>
      </w:r>
      <w:r w:rsidRPr="00FB4E2D">
        <w:rPr>
          <w:rFonts w:ascii="Times New Roman" w:eastAsia="Calibri" w:hAnsi="Times New Roman" w:cs="Times New Roman"/>
          <w:noProof/>
          <w:kern w:val="0"/>
          <w14:ligatures w14:val="none"/>
        </w:rPr>
        <w:t xml:space="preserve">). As </w:t>
      </w:r>
      <w:r w:rsidR="005E147A" w:rsidRPr="00FB4E2D">
        <w:rPr>
          <w:rFonts w:ascii="Times New Roman" w:eastAsia="Calibri" w:hAnsi="Times New Roman" w:cs="Times New Roman"/>
          <w:noProof/>
          <w:kern w:val="0"/>
          <w14:ligatures w14:val="none"/>
        </w:rPr>
        <w:t>started</w:t>
      </w:r>
      <w:r w:rsidRPr="00FB4E2D">
        <w:rPr>
          <w:rFonts w:ascii="Times New Roman" w:eastAsia="Calibri" w:hAnsi="Times New Roman" w:cs="Times New Roman"/>
          <w:noProof/>
          <w:kern w:val="0"/>
          <w14:ligatures w14:val="none"/>
        </w:rPr>
        <w:t xml:space="preserve"> in the 2025 edition, the 2026 Scoreboard also continues to develop indicators of specific relevance for the functioning of the single market for which effective justice systems and respect for the rule of law are central. It solidifies the business and single market dimension by presenting new indicators on first instance public procurement review bodies, supreme audit institutions and national competition authorities. </w:t>
      </w:r>
    </w:p>
    <w:p w14:paraId="7E0073D1" w14:textId="77777777" w:rsidR="007F4D3F" w:rsidRPr="00FB4E2D" w:rsidRDefault="007F4D3F">
      <w:pPr>
        <w:rPr>
          <w:rFonts w:ascii="Symbol" w:eastAsia="Symbol" w:hAnsi="Symbol" w:cs="Symbol"/>
          <w:i/>
          <w:noProof/>
          <w:kern w:val="0"/>
          <w14:ligatures w14:val="none"/>
        </w:rPr>
      </w:pPr>
      <w:r w:rsidRPr="00FB4E2D">
        <w:rPr>
          <w:rFonts w:ascii="Symbol" w:eastAsia="Symbol" w:hAnsi="Symbol" w:cs="Symbol"/>
          <w:i/>
          <w:noProof/>
          <w:kern w:val="0"/>
          <w14:ligatures w14:val="none"/>
        </w:rPr>
        <w:br w:type="page"/>
      </w:r>
    </w:p>
    <w:p w14:paraId="6B1A1833" w14:textId="12811B49" w:rsidR="00A02C07" w:rsidRPr="00FB4E2D" w:rsidRDefault="00A02C07" w:rsidP="00A02C07">
      <w:pPr>
        <w:spacing w:line="259" w:lineRule="auto"/>
        <w:rPr>
          <w:rFonts w:ascii="Times New Roman" w:eastAsia="Calibri" w:hAnsi="Times New Roman" w:cs="Times New Roman"/>
          <w:i/>
          <w:noProof/>
          <w:kern w:val="0"/>
          <w14:ligatures w14:val="none"/>
        </w:rPr>
      </w:pPr>
      <w:r w:rsidRPr="00FB4E2D">
        <w:rPr>
          <w:rFonts w:ascii="Symbol" w:eastAsia="Symbol" w:hAnsi="Symbol" w:cs="Symbol"/>
          <w:i/>
          <w:noProof/>
          <w:kern w:val="0"/>
          <w14:ligatures w14:val="none"/>
        </w:rPr>
        <w:t></w:t>
      </w:r>
      <w:r w:rsidRPr="00FB4E2D">
        <w:rPr>
          <w:rFonts w:ascii="Times New Roman" w:eastAsia="Calibri" w:hAnsi="Times New Roman" w:cs="Times New Roman"/>
          <w:i/>
          <w:noProof/>
          <w:kern w:val="0"/>
          <w14:ligatures w14:val="none"/>
        </w:rPr>
        <w:t xml:space="preserve"> The Annual Rule of Law Cycle </w:t>
      </w:r>
      <w:r w:rsidRPr="00FB4E2D">
        <w:rPr>
          <w:rFonts w:ascii="Times New Roman" w:eastAsia="Calibri" w:hAnsi="Times New Roman" w:cs="Times New Roman"/>
          <w:i/>
          <w:noProof/>
          <w:kern w:val="0"/>
          <w:sz w:val="22"/>
          <w:szCs w:val="22"/>
          <w14:ligatures w14:val="none"/>
        </w:rPr>
        <w:t>–</w:t>
      </w:r>
    </w:p>
    <w:p w14:paraId="631F4281" w14:textId="549D33D3" w:rsidR="00A02C07" w:rsidRPr="00FB4E2D" w:rsidRDefault="00A02C07" w:rsidP="00A02C07">
      <w:pPr>
        <w:spacing w:after="240" w:line="259"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In 2020, the Commission set up the comprehensive Annual Rule of Law Cycle to deepen its monitoring of the rule of law situation in Member States. The Rule of Law Cycle acts as a preventive tool, promoting dialogue and joint awareness of rule of law issues. At the centre of the cycle is the annual Rule of Law Report, which provides a synthesis of significant developments – both positive and negative – in all Member States and in the EU as a whole. The report, whose latest edition was published on 8 July 2025, draws on a variety of sources, including the EU Justice Scoreboard (</w:t>
      </w:r>
      <w:r w:rsidRPr="00FB4E2D">
        <w:rPr>
          <w:rFonts w:ascii="Times New Roman" w:eastAsia="Yu Mincho" w:hAnsi="Times New Roman" w:cs="Times New Roman"/>
          <w:noProof/>
          <w:kern w:val="0"/>
          <w:vertAlign w:val="superscript"/>
          <w14:ligatures w14:val="none"/>
        </w:rPr>
        <w:footnoteReference w:id="5"/>
      </w:r>
      <w:r w:rsidRPr="00FB4E2D">
        <w:rPr>
          <w:rFonts w:ascii="Times New Roman" w:eastAsia="Calibri" w:hAnsi="Times New Roman" w:cs="Times New Roman"/>
          <w:noProof/>
          <w:kern w:val="0"/>
          <w14:ligatures w14:val="none"/>
        </w:rPr>
        <w:t>). The 2026 EU Justice Scoreboard has also been further developed to reflect the need for additional comparative information identified during the preparation of the 2025 Rule of Law Report.</w:t>
      </w:r>
    </w:p>
    <w:p w14:paraId="414730F2" w14:textId="77777777" w:rsidR="00A02C07" w:rsidRPr="00FB4E2D" w:rsidRDefault="00A02C07" w:rsidP="00A02C07">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kern w:val="0"/>
          <w:sz w:val="22"/>
          <w:szCs w:val="22"/>
          <w14:ligatures w14:val="none"/>
        </w:rPr>
      </w:pPr>
      <w:r w:rsidRPr="00FB4E2D">
        <w:rPr>
          <w:rFonts w:ascii="Times New Roman" w:eastAsia="Calibri" w:hAnsi="Times New Roman" w:cs="Times New Roman"/>
          <w:b/>
          <w:i/>
          <w:noProof/>
          <w:kern w:val="0"/>
          <w:sz w:val="22"/>
          <w:szCs w:val="22"/>
          <w14:ligatures w14:val="none"/>
        </w:rPr>
        <w:t xml:space="preserve">What is the EU Justice Scoreboard? </w:t>
      </w:r>
    </w:p>
    <w:p w14:paraId="632D84D6" w14:textId="77777777"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The EU Justice Scoreboard is an annual comparative information tool. Its purpose is to assist Member States in improving the effectiveness of their national justice systems by providing objective, reliable and comparable data on a number of indicators relevant for the assessment of the (i) efficiency, (ii) quality and (iii) independence of justice systems in all Member States. It does not present an overall single ranking. Rather, it gives an overview of how all Member States’ justice systems function, based on indicators that are of common interest and relevance for all Member States.</w:t>
      </w:r>
    </w:p>
    <w:p w14:paraId="644DE62C" w14:textId="77777777"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The Scoreboard does not promote any particular type of justice system and treats all Member States on an equal footing. </w:t>
      </w:r>
    </w:p>
    <w:p w14:paraId="1B841D6C" w14:textId="77777777"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Efficiency, quality and independence are the essential parameters of an effective justice system, irrespective of the model or the legal tradition on which the national justice system is based. Data for these three parameters should be read together, as the three are often interlinked (initiatives aimed at improving one may affect another). </w:t>
      </w:r>
    </w:p>
    <w:p w14:paraId="3669803E" w14:textId="1B7E89A0"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The Scoreboard presents indicators </w:t>
      </w:r>
      <w:r w:rsidR="005E147A" w:rsidRPr="00FB4E2D">
        <w:rPr>
          <w:rFonts w:ascii="Times New Roman" w:eastAsia="Calibri" w:hAnsi="Times New Roman" w:cs="Times New Roman"/>
          <w:noProof/>
          <w:kern w:val="0"/>
          <w:sz w:val="22"/>
          <w:szCs w:val="22"/>
          <w14:ligatures w14:val="none"/>
        </w:rPr>
        <w:t xml:space="preserve">covering </w:t>
      </w:r>
      <w:r w:rsidRPr="00FB4E2D">
        <w:rPr>
          <w:rFonts w:ascii="Times New Roman" w:eastAsia="Calibri" w:hAnsi="Times New Roman" w:cs="Times New Roman"/>
          <w:noProof/>
          <w:kern w:val="0"/>
          <w:sz w:val="22"/>
          <w:szCs w:val="22"/>
          <w14:ligatures w14:val="none"/>
        </w:rPr>
        <w:t>mainly civil, commercial and administrative cases, and, subject to the availability of data, certain criminal cases (i.e. cases concerning money laundering and bribery at first instance courts). Its aim is to assist Member States in their efforts to create an efficient, investment-friendly environment which works in the interest of both</w:t>
      </w:r>
      <w:r w:rsidRPr="00FB4E2D" w:rsidDel="00F243E4">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 xml:space="preserve">business and the public. The Scoreboard is a comparative tool which evolves in the course of </w:t>
      </w:r>
      <w:r w:rsidR="00DA7BFA" w:rsidRPr="00FB4E2D">
        <w:rPr>
          <w:rFonts w:ascii="Times New Roman" w:eastAsia="Calibri" w:hAnsi="Times New Roman" w:cs="Times New Roman"/>
          <w:noProof/>
          <w:kern w:val="0"/>
          <w:sz w:val="22"/>
          <w:szCs w:val="22"/>
          <w14:ligatures w14:val="none"/>
        </w:rPr>
        <w:t xml:space="preserve">a </w:t>
      </w:r>
      <w:r w:rsidRPr="00FB4E2D">
        <w:rPr>
          <w:rFonts w:ascii="Times New Roman" w:eastAsia="Calibri" w:hAnsi="Times New Roman" w:cs="Times New Roman"/>
          <w:noProof/>
          <w:kern w:val="0"/>
          <w:sz w:val="22"/>
          <w:szCs w:val="22"/>
          <w14:ligatures w14:val="none"/>
        </w:rPr>
        <w:t>dialogue with Member States and the European Parliament (</w:t>
      </w:r>
      <w:r w:rsidRPr="00FB4E2D">
        <w:rPr>
          <w:rFonts w:ascii="Calibri" w:eastAsia="Yu Mincho" w:hAnsi="Calibri" w:cs="Arial"/>
          <w:noProof/>
          <w:kern w:val="0"/>
          <w:sz w:val="22"/>
          <w:szCs w:val="22"/>
          <w:vertAlign w:val="superscript"/>
          <w14:ligatures w14:val="none"/>
        </w:rPr>
        <w:footnoteReference w:id="6"/>
      </w:r>
      <w:r w:rsidRPr="00FB4E2D">
        <w:rPr>
          <w:rFonts w:ascii="Times New Roman" w:eastAsia="Calibri" w:hAnsi="Times New Roman" w:cs="Times New Roman"/>
          <w:noProof/>
          <w:kern w:val="0"/>
          <w:sz w:val="22"/>
          <w:szCs w:val="22"/>
          <w14:ligatures w14:val="none"/>
        </w:rPr>
        <w:t>). Its objective is to</w:t>
      </w:r>
      <w:r w:rsidRPr="00FB4E2D" w:rsidDel="00150FDD">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assess the essential parameters of an effective justice system and to provide relevant annual data.</w:t>
      </w:r>
    </w:p>
    <w:p w14:paraId="0869935C" w14:textId="77777777" w:rsidR="00A02C07" w:rsidRPr="00FB4E2D" w:rsidRDefault="00A02C07" w:rsidP="00A02C07">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Calibri" w:hAnsi="Times New Roman" w:cs="Times New Roman"/>
          <w:b/>
          <w:i/>
          <w:noProof/>
          <w:kern w:val="0"/>
          <w:sz w:val="22"/>
          <w:szCs w:val="22"/>
          <w14:ligatures w14:val="none"/>
        </w:rPr>
      </w:pPr>
      <w:r w:rsidRPr="00FB4E2D">
        <w:rPr>
          <w:rFonts w:ascii="Times New Roman" w:eastAsia="Calibri" w:hAnsi="Times New Roman" w:cs="Times New Roman"/>
          <w:b/>
          <w:i/>
          <w:noProof/>
          <w:kern w:val="0"/>
          <w:sz w:val="22"/>
          <w:szCs w:val="22"/>
          <w14:ligatures w14:val="none"/>
        </w:rPr>
        <w:t>What is the methodology of the EU Justice Scoreboard?</w:t>
      </w:r>
    </w:p>
    <w:p w14:paraId="5546D2D0" w14:textId="1F8F6079"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The Scoreboard uses a range of information sources. The Council of Europe’s European Commission for the Efficiency of Justice (CEPEJ), with which the Commission has concluded a contract to carry out a specific annual study, provides much of the quantitative data. The data cover 2014 </w:t>
      </w:r>
      <w:r w:rsidRPr="00FB4E2D">
        <w:rPr>
          <w:rFonts w:ascii="Calibri" w:eastAsia="Yu Mincho" w:hAnsi="Calibri" w:cs="Arial"/>
          <w:noProof/>
          <w:kern w:val="0"/>
          <w:sz w:val="22"/>
          <w:szCs w:val="22"/>
          <w14:ligatures w14:val="none"/>
        </w:rPr>
        <w:t xml:space="preserve">to </w:t>
      </w:r>
      <w:r w:rsidR="00067E4B" w:rsidRPr="00FB4E2D">
        <w:rPr>
          <w:rFonts w:ascii="Times New Roman" w:eastAsia="Calibri" w:hAnsi="Times New Roman" w:cs="Times New Roman"/>
          <w:noProof/>
          <w:kern w:val="0"/>
          <w:sz w:val="22"/>
          <w:szCs w:val="22"/>
          <w14:ligatures w14:val="none"/>
        </w:rPr>
        <w:t>202</w:t>
      </w:r>
      <w:r w:rsidR="00F00734">
        <w:rPr>
          <w:rFonts w:ascii="Times New Roman" w:eastAsia="Calibri" w:hAnsi="Times New Roman" w:cs="Times New Roman"/>
          <w:noProof/>
          <w:kern w:val="0"/>
          <w:sz w:val="22"/>
          <w:szCs w:val="22"/>
          <w:lang w:val="bg-BG"/>
          <w14:ligatures w14:val="none"/>
        </w:rPr>
        <w:t>4</w:t>
      </w:r>
      <w:r w:rsidR="00067E4B" w:rsidRPr="00FB4E2D">
        <w:rPr>
          <w:rFonts w:ascii="Times New Roman" w:eastAsia="Calibri" w:hAnsi="Times New Roman" w:cs="Times New Roman"/>
          <w:noProof/>
          <w:kern w:val="0"/>
          <w:sz w:val="22"/>
          <w:szCs w:val="22"/>
          <w14:ligatures w14:val="none"/>
        </w:rPr>
        <w:t xml:space="preserve"> and</w:t>
      </w:r>
      <w:r w:rsidRPr="00FB4E2D">
        <w:rPr>
          <w:rFonts w:ascii="Times New Roman" w:eastAsia="Calibri" w:hAnsi="Times New Roman" w:cs="Times New Roman"/>
          <w:noProof/>
          <w:kern w:val="0"/>
          <w:sz w:val="22"/>
          <w:szCs w:val="22"/>
          <w14:ligatures w14:val="none"/>
        </w:rPr>
        <w:t xml:space="preserve"> have been provided by Member States in line with the CEPEJ’s methodology. The study also provides detailed comments and country-specific factsheets that give more context. They should be read together with the figures (</w:t>
      </w:r>
      <w:r w:rsidRPr="00FB4E2D">
        <w:rPr>
          <w:rFonts w:ascii="Times New Roman" w:eastAsia="Calibri" w:hAnsi="Times New Roman" w:cs="Times New Roman"/>
          <w:noProof/>
          <w:kern w:val="0"/>
          <w:sz w:val="22"/>
          <w:szCs w:val="22"/>
          <w:vertAlign w:val="superscript"/>
          <w14:ligatures w14:val="none"/>
        </w:rPr>
        <w:footnoteReference w:id="7"/>
      </w:r>
      <w:r w:rsidRPr="00FB4E2D">
        <w:rPr>
          <w:rFonts w:ascii="Times New Roman" w:eastAsia="Calibri" w:hAnsi="Times New Roman" w:cs="Times New Roman"/>
          <w:noProof/>
          <w:kern w:val="0"/>
          <w:sz w:val="22"/>
          <w:szCs w:val="22"/>
          <w14:ligatures w14:val="none"/>
        </w:rPr>
        <w:t>).</w:t>
      </w:r>
    </w:p>
    <w:p w14:paraId="19125DB7" w14:textId="08D1C3C8"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Data on the length of proceedings collected by the CEPEJ show the ‘disposition time’ – the estimated length of court proceedings (calculated as the ratio between pending and resolved cases over the course of a year). Data on </w:t>
      </w:r>
      <w:r w:rsidR="005E147A" w:rsidRPr="00FB4E2D">
        <w:rPr>
          <w:rFonts w:ascii="Times New Roman" w:eastAsia="Calibri" w:hAnsi="Times New Roman" w:cs="Times New Roman"/>
          <w:noProof/>
          <w:kern w:val="0"/>
          <w:sz w:val="22"/>
          <w:szCs w:val="22"/>
          <w14:ligatures w14:val="none"/>
        </w:rPr>
        <w:t xml:space="preserve">the efficiency of </w:t>
      </w:r>
      <w:r w:rsidRPr="00FB4E2D">
        <w:rPr>
          <w:rFonts w:ascii="Times New Roman" w:eastAsia="Calibri" w:hAnsi="Times New Roman" w:cs="Times New Roman"/>
          <w:noProof/>
          <w:kern w:val="0"/>
          <w:sz w:val="22"/>
          <w:szCs w:val="22"/>
          <w14:ligatures w14:val="none"/>
        </w:rPr>
        <w:t>courts</w:t>
      </w:r>
      <w:r w:rsidR="005E147A" w:rsidRPr="00FB4E2D">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and administrative authorities</w:t>
      </w:r>
      <w:r w:rsidR="005E147A" w:rsidRPr="00FB4E2D">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in applying EU law in specific areas show the average length of proceedings derived from the actual length of court cases. Note that the length of court proceedings may vary substantially between different regions in a Member State</w:t>
      </w:r>
      <w:r w:rsidR="009D089E" w:rsidRPr="00FB4E2D">
        <w:rPr>
          <w:rFonts w:ascii="Times New Roman" w:eastAsia="Calibri" w:hAnsi="Times New Roman" w:cs="Times New Roman"/>
          <w:noProof/>
          <w:kern w:val="0"/>
          <w:sz w:val="22"/>
          <w:szCs w:val="22"/>
          <w14:ligatures w14:val="none"/>
        </w:rPr>
        <w:t>. C</w:t>
      </w:r>
      <w:r w:rsidRPr="00FB4E2D">
        <w:rPr>
          <w:rFonts w:ascii="Times New Roman" w:eastAsia="Calibri" w:hAnsi="Times New Roman" w:cs="Times New Roman"/>
          <w:noProof/>
          <w:kern w:val="0"/>
          <w:sz w:val="22"/>
          <w:szCs w:val="22"/>
          <w14:ligatures w14:val="none"/>
        </w:rPr>
        <w:t>ases may take particularly long in urban centres where the concentration of commercial activities may lead to a higher caseload.</w:t>
      </w:r>
    </w:p>
    <w:p w14:paraId="70A1FB63" w14:textId="77777777"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Other data sources, covering the period from 2014 to 2025, are: </w:t>
      </w:r>
    </w:p>
    <w:p w14:paraId="1135F0DD"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group of contact persons on national justice systems (</w:t>
      </w:r>
      <w:r w:rsidRPr="00FB4E2D">
        <w:rPr>
          <w:rFonts w:ascii="Times New Roman" w:eastAsia="Calibri" w:hAnsi="Times New Roman" w:cs="Times New Roman"/>
          <w:noProof/>
          <w:kern w:val="0"/>
          <w:sz w:val="22"/>
          <w:szCs w:val="22"/>
          <w:vertAlign w:val="superscript"/>
          <w14:ligatures w14:val="none"/>
        </w:rPr>
        <w:footnoteReference w:id="8"/>
      </w:r>
      <w:r w:rsidRPr="00FB4E2D">
        <w:rPr>
          <w:rFonts w:ascii="Times New Roman" w:eastAsia="Calibri" w:hAnsi="Times New Roman" w:cs="Times New Roman"/>
          <w:noProof/>
          <w:kern w:val="0"/>
          <w:sz w:val="22"/>
          <w:szCs w:val="22"/>
          <w14:ligatures w14:val="none"/>
        </w:rPr>
        <w:t>);</w:t>
      </w:r>
    </w:p>
    <w:p w14:paraId="5D661757"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Cs/>
          <w:noProof/>
          <w:kern w:val="0"/>
          <w:sz w:val="22"/>
          <w:szCs w:val="22"/>
          <w14:ligatures w14:val="none"/>
        </w:rPr>
      </w:pPr>
      <w:r w:rsidRPr="00FB4E2D">
        <w:rPr>
          <w:rFonts w:ascii="Times New Roman" w:eastAsia="Calibri" w:hAnsi="Times New Roman" w:cs="Times New Roman"/>
          <w:bCs/>
          <w:noProof/>
          <w:kern w:val="0"/>
          <w:sz w:val="22"/>
          <w:szCs w:val="22"/>
          <w14:ligatures w14:val="none"/>
        </w:rPr>
        <w:t>the national contact points in the fight against corruption (</w:t>
      </w:r>
      <w:r w:rsidRPr="00FB4E2D">
        <w:rPr>
          <w:rFonts w:ascii="Times New Roman" w:eastAsia="Calibri" w:hAnsi="Times New Roman" w:cs="Times New Roman"/>
          <w:bCs/>
          <w:noProof/>
          <w:kern w:val="0"/>
          <w:sz w:val="22"/>
          <w:szCs w:val="22"/>
          <w:vertAlign w:val="superscript"/>
          <w14:ligatures w14:val="none"/>
        </w:rPr>
        <w:footnoteReference w:id="9"/>
      </w:r>
      <w:r w:rsidRPr="00FB4E2D">
        <w:rPr>
          <w:rFonts w:ascii="Times New Roman" w:eastAsia="Calibri" w:hAnsi="Times New Roman" w:cs="Times New Roman"/>
          <w:bCs/>
          <w:noProof/>
          <w:kern w:val="0"/>
          <w:sz w:val="22"/>
          <w:szCs w:val="22"/>
          <w14:ligatures w14:val="none"/>
        </w:rPr>
        <w:t>);</w:t>
      </w:r>
    </w:p>
    <w:p w14:paraId="309A4244"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European Network of Councils for the Judiciary (ENCJ) (</w:t>
      </w:r>
      <w:r w:rsidRPr="00FB4E2D">
        <w:rPr>
          <w:rFonts w:ascii="Times New Roman" w:eastAsia="Calibri" w:hAnsi="Times New Roman" w:cs="Times New Roman"/>
          <w:noProof/>
          <w:kern w:val="0"/>
          <w:sz w:val="22"/>
          <w:szCs w:val="22"/>
          <w:vertAlign w:val="superscript"/>
          <w14:ligatures w14:val="none"/>
        </w:rPr>
        <w:footnoteReference w:id="10"/>
      </w:r>
      <w:r w:rsidRPr="00FB4E2D">
        <w:rPr>
          <w:rFonts w:ascii="Times New Roman" w:eastAsia="Calibri" w:hAnsi="Times New Roman" w:cs="Times New Roman"/>
          <w:noProof/>
          <w:kern w:val="0"/>
          <w:sz w:val="22"/>
          <w:szCs w:val="22"/>
          <w14:ligatures w14:val="none"/>
        </w:rPr>
        <w:t xml:space="preserve">); </w:t>
      </w:r>
    </w:p>
    <w:p w14:paraId="28ED067E"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Network of the Presidents of the Supreme Judicial Courts of the EU (NPSJC) (</w:t>
      </w:r>
      <w:r w:rsidRPr="00FB4E2D">
        <w:rPr>
          <w:rFonts w:ascii="Times New Roman" w:eastAsia="Calibri" w:hAnsi="Times New Roman" w:cs="Times New Roman"/>
          <w:noProof/>
          <w:kern w:val="0"/>
          <w:sz w:val="22"/>
          <w:szCs w:val="22"/>
          <w:vertAlign w:val="superscript"/>
          <w14:ligatures w14:val="none"/>
        </w:rPr>
        <w:footnoteReference w:id="11"/>
      </w:r>
      <w:r w:rsidRPr="00FB4E2D">
        <w:rPr>
          <w:rFonts w:ascii="Times New Roman" w:eastAsia="Calibri" w:hAnsi="Times New Roman" w:cs="Times New Roman"/>
          <w:noProof/>
          <w:kern w:val="0"/>
          <w:sz w:val="22"/>
          <w:szCs w:val="22"/>
          <w14:ligatures w14:val="none"/>
        </w:rPr>
        <w:t xml:space="preserve">); </w:t>
      </w:r>
    </w:p>
    <w:p w14:paraId="281ED6CF"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Association of the Councils of State and Supreme Administrative Jurisdictions of the EU (ACA-Europe) (</w:t>
      </w:r>
      <w:r w:rsidRPr="00FB4E2D">
        <w:rPr>
          <w:rFonts w:ascii="Times New Roman" w:eastAsia="Calibri" w:hAnsi="Times New Roman" w:cs="Times New Roman"/>
          <w:noProof/>
          <w:kern w:val="0"/>
          <w:sz w:val="22"/>
          <w:szCs w:val="22"/>
          <w:vertAlign w:val="superscript"/>
          <w14:ligatures w14:val="none"/>
        </w:rPr>
        <w:footnoteReference w:id="12"/>
      </w:r>
      <w:r w:rsidRPr="00FB4E2D">
        <w:rPr>
          <w:rFonts w:ascii="Times New Roman" w:eastAsia="Calibri" w:hAnsi="Times New Roman" w:cs="Times New Roman"/>
          <w:noProof/>
          <w:kern w:val="0"/>
          <w:sz w:val="22"/>
          <w:szCs w:val="22"/>
          <w14:ligatures w14:val="none"/>
        </w:rPr>
        <w:t xml:space="preserve">); </w:t>
      </w:r>
    </w:p>
    <w:p w14:paraId="42237E2B"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Council of Bar and Law Societies in Europe (CCBE) (</w:t>
      </w:r>
      <w:r w:rsidRPr="00FB4E2D">
        <w:rPr>
          <w:rFonts w:ascii="Times New Roman" w:eastAsia="Calibri" w:hAnsi="Times New Roman" w:cs="Times New Roman"/>
          <w:noProof/>
          <w:kern w:val="0"/>
          <w:sz w:val="22"/>
          <w:szCs w:val="22"/>
          <w:vertAlign w:val="superscript"/>
          <w14:ligatures w14:val="none"/>
        </w:rPr>
        <w:footnoteReference w:id="13"/>
      </w:r>
      <w:r w:rsidRPr="00FB4E2D">
        <w:rPr>
          <w:rFonts w:ascii="Times New Roman" w:eastAsia="Calibri" w:hAnsi="Times New Roman" w:cs="Times New Roman"/>
          <w:noProof/>
          <w:kern w:val="0"/>
          <w:sz w:val="22"/>
          <w:szCs w:val="22"/>
          <w14:ligatures w14:val="none"/>
        </w:rPr>
        <w:t xml:space="preserve">); </w:t>
      </w:r>
    </w:p>
    <w:p w14:paraId="66AC0F96"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European Competition Network (ECN) (</w:t>
      </w:r>
      <w:r w:rsidRPr="00FB4E2D">
        <w:rPr>
          <w:rFonts w:ascii="Times New Roman" w:eastAsia="Calibri" w:hAnsi="Times New Roman" w:cs="Times New Roman"/>
          <w:noProof/>
          <w:kern w:val="0"/>
          <w:sz w:val="22"/>
          <w:szCs w:val="22"/>
          <w:vertAlign w:val="superscript"/>
          <w14:ligatures w14:val="none"/>
        </w:rPr>
        <w:footnoteReference w:id="14"/>
      </w:r>
      <w:r w:rsidRPr="00FB4E2D">
        <w:rPr>
          <w:rFonts w:ascii="Times New Roman" w:eastAsia="Calibri" w:hAnsi="Times New Roman" w:cs="Times New Roman"/>
          <w:noProof/>
          <w:kern w:val="0"/>
          <w:sz w:val="22"/>
          <w:szCs w:val="22"/>
          <w14:ligatures w14:val="none"/>
        </w:rPr>
        <w:t xml:space="preserve">); </w:t>
      </w:r>
    </w:p>
    <w:p w14:paraId="71DED0C5"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Network of First Instance Review Bodies on Public Procurement (</w:t>
      </w:r>
      <w:r w:rsidRPr="00FB4E2D">
        <w:rPr>
          <w:rFonts w:ascii="Times New Roman" w:eastAsia="Calibri" w:hAnsi="Times New Roman" w:cs="Times New Roman"/>
          <w:noProof/>
          <w:kern w:val="0"/>
          <w:sz w:val="22"/>
          <w:szCs w:val="22"/>
          <w:vertAlign w:val="superscript"/>
          <w14:ligatures w14:val="none"/>
        </w:rPr>
        <w:footnoteReference w:id="15"/>
      </w:r>
      <w:r w:rsidRPr="00FB4E2D">
        <w:rPr>
          <w:rFonts w:ascii="Times New Roman" w:eastAsia="Calibri" w:hAnsi="Times New Roman" w:cs="Times New Roman"/>
          <w:noProof/>
          <w:kern w:val="0"/>
          <w:sz w:val="22"/>
          <w:szCs w:val="22"/>
          <w14:ligatures w14:val="none"/>
        </w:rPr>
        <w:t xml:space="preserve">); </w:t>
      </w:r>
    </w:p>
    <w:p w14:paraId="0BFC0942"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Communications Committee (COCOM) (</w:t>
      </w:r>
      <w:r w:rsidRPr="00FB4E2D">
        <w:rPr>
          <w:rFonts w:ascii="Times New Roman" w:eastAsia="Calibri" w:hAnsi="Times New Roman" w:cs="Times New Roman"/>
          <w:noProof/>
          <w:kern w:val="0"/>
          <w:sz w:val="22"/>
          <w:szCs w:val="22"/>
          <w:vertAlign w:val="superscript"/>
          <w14:ligatures w14:val="none"/>
        </w:rPr>
        <w:footnoteReference w:id="16"/>
      </w:r>
      <w:r w:rsidRPr="00FB4E2D">
        <w:rPr>
          <w:rFonts w:ascii="Times New Roman" w:eastAsia="Calibri" w:hAnsi="Times New Roman" w:cs="Times New Roman"/>
          <w:noProof/>
          <w:kern w:val="0"/>
          <w:sz w:val="22"/>
          <w:szCs w:val="22"/>
          <w14:ligatures w14:val="none"/>
        </w:rPr>
        <w:t xml:space="preserve">); </w:t>
      </w:r>
    </w:p>
    <w:p w14:paraId="5EFBEDD6"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European Observatory on infringements of intellectual property rights (</w:t>
      </w:r>
      <w:r w:rsidRPr="00FB4E2D">
        <w:rPr>
          <w:rFonts w:ascii="Times New Roman" w:eastAsia="Calibri" w:hAnsi="Times New Roman" w:cs="Times New Roman"/>
          <w:noProof/>
          <w:kern w:val="0"/>
          <w:sz w:val="22"/>
          <w:szCs w:val="22"/>
          <w:vertAlign w:val="superscript"/>
          <w14:ligatures w14:val="none"/>
        </w:rPr>
        <w:footnoteReference w:id="17"/>
      </w:r>
      <w:r w:rsidRPr="00FB4E2D">
        <w:rPr>
          <w:rFonts w:ascii="Times New Roman" w:eastAsia="Calibri" w:hAnsi="Times New Roman" w:cs="Times New Roman"/>
          <w:noProof/>
          <w:kern w:val="0"/>
          <w:sz w:val="22"/>
          <w:szCs w:val="22"/>
          <w14:ligatures w14:val="none"/>
        </w:rPr>
        <w:t>);</w:t>
      </w:r>
    </w:p>
    <w:p w14:paraId="01E001D0"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Consumer Protection Cooperation Network (CPC) (</w:t>
      </w:r>
      <w:r w:rsidRPr="00FB4E2D">
        <w:rPr>
          <w:rFonts w:ascii="Times New Roman" w:eastAsia="Calibri" w:hAnsi="Times New Roman" w:cs="Times New Roman"/>
          <w:noProof/>
          <w:kern w:val="0"/>
          <w:sz w:val="22"/>
          <w:szCs w:val="22"/>
          <w:vertAlign w:val="superscript"/>
          <w14:ligatures w14:val="none"/>
        </w:rPr>
        <w:footnoteReference w:id="18"/>
      </w:r>
      <w:r w:rsidRPr="00FB4E2D">
        <w:rPr>
          <w:rFonts w:ascii="Times New Roman" w:eastAsia="Calibri" w:hAnsi="Times New Roman" w:cs="Times New Roman"/>
          <w:noProof/>
          <w:kern w:val="0"/>
          <w:sz w:val="22"/>
          <w:szCs w:val="22"/>
          <w14:ligatures w14:val="none"/>
        </w:rPr>
        <w:t xml:space="preserve">); </w:t>
      </w:r>
    </w:p>
    <w:p w14:paraId="09B23E97"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Expert Group on Money Laundering and Terrorist Financing (EGMLTF) (</w:t>
      </w:r>
      <w:r w:rsidRPr="00FB4E2D">
        <w:rPr>
          <w:rFonts w:ascii="Times New Roman" w:eastAsia="Calibri" w:hAnsi="Times New Roman" w:cs="Times New Roman"/>
          <w:noProof/>
          <w:kern w:val="0"/>
          <w:sz w:val="22"/>
          <w:szCs w:val="22"/>
          <w:vertAlign w:val="superscript"/>
          <w14:ligatures w14:val="none"/>
        </w:rPr>
        <w:footnoteReference w:id="19"/>
      </w:r>
      <w:r w:rsidRPr="00FB4E2D">
        <w:rPr>
          <w:rFonts w:ascii="Times New Roman" w:eastAsia="Calibri" w:hAnsi="Times New Roman" w:cs="Times New Roman"/>
          <w:noProof/>
          <w:kern w:val="0"/>
          <w:sz w:val="22"/>
          <w:szCs w:val="22"/>
          <w14:ligatures w14:val="none"/>
        </w:rPr>
        <w:t>);</w:t>
      </w:r>
    </w:p>
    <w:p w14:paraId="1617D8EA"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Eurostat (</w:t>
      </w:r>
      <w:r w:rsidRPr="00FB4E2D">
        <w:rPr>
          <w:rFonts w:ascii="Times New Roman" w:eastAsia="Calibri" w:hAnsi="Times New Roman" w:cs="Times New Roman"/>
          <w:noProof/>
          <w:kern w:val="0"/>
          <w:sz w:val="22"/>
          <w:szCs w:val="22"/>
          <w:vertAlign w:val="superscript"/>
          <w14:ligatures w14:val="none"/>
        </w:rPr>
        <w:footnoteReference w:id="20"/>
      </w:r>
      <w:r w:rsidRPr="00FB4E2D">
        <w:rPr>
          <w:rFonts w:ascii="Times New Roman" w:eastAsia="Calibri" w:hAnsi="Times New Roman" w:cs="Times New Roman"/>
          <w:noProof/>
          <w:kern w:val="0"/>
          <w:sz w:val="22"/>
          <w:szCs w:val="22"/>
          <w14:ligatures w14:val="none"/>
        </w:rPr>
        <w:t>);</w:t>
      </w:r>
    </w:p>
    <w:p w14:paraId="2BE93A01"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national contact points in the fight against corruption (</w:t>
      </w:r>
      <w:r w:rsidRPr="00FB4E2D">
        <w:rPr>
          <w:rFonts w:ascii="Times New Roman" w:eastAsia="Calibri" w:hAnsi="Times New Roman" w:cs="Times New Roman"/>
          <w:noProof/>
          <w:kern w:val="0"/>
          <w:sz w:val="22"/>
          <w:szCs w:val="22"/>
          <w:vertAlign w:val="superscript"/>
          <w14:ligatures w14:val="none"/>
        </w:rPr>
        <w:footnoteReference w:id="21"/>
      </w:r>
      <w:r w:rsidRPr="00FB4E2D">
        <w:rPr>
          <w:rFonts w:ascii="Times New Roman" w:eastAsia="Calibri" w:hAnsi="Times New Roman" w:cs="Times New Roman"/>
          <w:noProof/>
          <w:kern w:val="0"/>
          <w:sz w:val="22"/>
          <w:szCs w:val="22"/>
          <w14:ligatures w14:val="none"/>
        </w:rPr>
        <w:t>);</w:t>
      </w:r>
    </w:p>
    <w:p w14:paraId="2D62FB03"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noProof/>
          <w:kern w:val="0"/>
          <w:sz w:val="22"/>
          <w:szCs w:val="22"/>
          <w14:ligatures w14:val="none"/>
        </w:rPr>
        <w:t>the Network of Public Prosecutors or equivalent institutions at the Supreme Judicial Courts of the Member States of the European Union (NADAL Network) (</w:t>
      </w:r>
      <w:r w:rsidRPr="00FB4E2D">
        <w:rPr>
          <w:rFonts w:ascii="Times New Roman" w:eastAsia="Calibri" w:hAnsi="Times New Roman" w:cs="Times New Roman"/>
          <w:noProof/>
          <w:kern w:val="0"/>
          <w:sz w:val="22"/>
          <w:szCs w:val="22"/>
          <w:vertAlign w:val="superscript"/>
          <w14:ligatures w14:val="none"/>
        </w:rPr>
        <w:footnoteReference w:id="22"/>
      </w:r>
      <w:r w:rsidRPr="00FB4E2D">
        <w:rPr>
          <w:rFonts w:ascii="Times New Roman" w:eastAsia="Calibri" w:hAnsi="Times New Roman" w:cs="Times New Roman"/>
          <w:noProof/>
          <w:kern w:val="0"/>
          <w:sz w:val="22"/>
          <w:szCs w:val="22"/>
          <w14:ligatures w14:val="none"/>
        </w:rPr>
        <w:t xml:space="preserve">); </w:t>
      </w:r>
    </w:p>
    <w:p w14:paraId="49447E97"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the Contact Committee </w:t>
      </w:r>
      <w:bookmarkStart w:id="2" w:name="_Hlk198299292"/>
      <w:r w:rsidRPr="00FB4E2D">
        <w:rPr>
          <w:rFonts w:ascii="Times New Roman" w:eastAsia="Calibri" w:hAnsi="Times New Roman" w:cs="Times New Roman"/>
          <w:noProof/>
          <w:kern w:val="0"/>
          <w:sz w:val="22"/>
          <w:szCs w:val="22"/>
          <w14:ligatures w14:val="none"/>
        </w:rPr>
        <w:t xml:space="preserve">on Supreme Audit Institutions </w:t>
      </w:r>
      <w:bookmarkEnd w:id="2"/>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noProof/>
          <w:kern w:val="0"/>
          <w:sz w:val="22"/>
          <w:szCs w:val="22"/>
          <w:vertAlign w:val="superscript"/>
          <w14:ligatures w14:val="none"/>
        </w:rPr>
        <w:footnoteReference w:id="23"/>
      </w:r>
      <w:r w:rsidRPr="00FB4E2D">
        <w:rPr>
          <w:rFonts w:ascii="Times New Roman" w:eastAsia="Calibri" w:hAnsi="Times New Roman" w:cs="Times New Roman"/>
          <w:noProof/>
          <w:kern w:val="0"/>
          <w:sz w:val="22"/>
          <w:szCs w:val="22"/>
          <w14:ligatures w14:val="none"/>
        </w:rPr>
        <w:t>), and</w:t>
      </w:r>
    </w:p>
    <w:p w14:paraId="63B9368A" w14:textId="77777777" w:rsidR="00A02C07" w:rsidRPr="00FB4E2D" w:rsidRDefault="00A02C07" w:rsidP="00A02C07">
      <w:pPr>
        <w:numPr>
          <w:ilvl w:val="0"/>
          <w:numId w:val="10"/>
        </w:numPr>
        <w:pBdr>
          <w:top w:val="single" w:sz="4" w:space="1" w:color="auto"/>
          <w:left w:val="single" w:sz="4" w:space="4" w:color="auto"/>
          <w:bottom w:val="single" w:sz="4" w:space="1" w:color="auto"/>
          <w:right w:val="single" w:sz="4" w:space="4" w:color="auto"/>
        </w:pBdr>
        <w:spacing w:after="60" w:line="259" w:lineRule="auto"/>
        <w:contextualSpacing/>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the Council of the Notariats of the European Union (CNUE) (</w:t>
      </w:r>
      <w:r w:rsidRPr="00FB4E2D">
        <w:rPr>
          <w:rFonts w:ascii="Times New Roman" w:eastAsia="Calibri" w:hAnsi="Times New Roman" w:cs="Times New Roman"/>
          <w:noProof/>
          <w:kern w:val="0"/>
          <w:sz w:val="22"/>
          <w:szCs w:val="22"/>
          <w:vertAlign w:val="superscript"/>
          <w14:ligatures w14:val="none"/>
        </w:rPr>
        <w:footnoteReference w:id="24"/>
      </w:r>
      <w:r w:rsidRPr="00FB4E2D">
        <w:rPr>
          <w:rFonts w:ascii="Times New Roman" w:eastAsia="Calibri" w:hAnsi="Times New Roman" w:cs="Times New Roman"/>
          <w:noProof/>
          <w:kern w:val="0"/>
          <w:sz w:val="22"/>
          <w:szCs w:val="22"/>
          <w14:ligatures w14:val="none"/>
        </w:rPr>
        <w:t>).</w:t>
      </w:r>
    </w:p>
    <w:p w14:paraId="536E3FD2" w14:textId="77777777"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Over the years, the Scoreboard methodology has been further developed and refined in close cooperation with the group of contact </w:t>
      </w:r>
      <w:r w:rsidRPr="00FB4E2D" w:rsidDel="00107F7B">
        <w:rPr>
          <w:rFonts w:ascii="Times New Roman" w:eastAsia="Calibri" w:hAnsi="Times New Roman" w:cs="Times New Roman"/>
          <w:noProof/>
          <w:kern w:val="0"/>
          <w:sz w:val="22"/>
          <w:szCs w:val="22"/>
          <w14:ligatures w14:val="none"/>
        </w:rPr>
        <w:t xml:space="preserve">persons </w:t>
      </w:r>
      <w:r w:rsidRPr="00FB4E2D">
        <w:rPr>
          <w:rFonts w:ascii="Times New Roman" w:eastAsia="Calibri" w:hAnsi="Times New Roman" w:cs="Times New Roman"/>
          <w:noProof/>
          <w:kern w:val="0"/>
          <w:sz w:val="22"/>
          <w:szCs w:val="22"/>
          <w14:ligatures w14:val="none"/>
        </w:rPr>
        <w:t>on national justice systems, particularly through the use of a questionnaire (updated annually) and by collecting data on certain aspects of the functioning of justice systems.</w:t>
      </w:r>
    </w:p>
    <w:p w14:paraId="73C61DD0" w14:textId="23D48671" w:rsidR="00E639AD" w:rsidRPr="00FB4E2D" w:rsidRDefault="00A02C07" w:rsidP="00E639AD">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The availability of data, in particular for indicators </w:t>
      </w:r>
      <w:r w:rsidRPr="00FB4E2D" w:rsidDel="00107F7B">
        <w:rPr>
          <w:rFonts w:ascii="Times New Roman" w:eastAsia="Calibri" w:hAnsi="Times New Roman" w:cs="Times New Roman"/>
          <w:noProof/>
          <w:kern w:val="0"/>
          <w:sz w:val="22"/>
          <w:szCs w:val="22"/>
          <w14:ligatures w14:val="none"/>
        </w:rPr>
        <w:t xml:space="preserve">on </w:t>
      </w:r>
      <w:r w:rsidRPr="00FB4E2D">
        <w:rPr>
          <w:rFonts w:ascii="Times New Roman" w:eastAsia="Calibri" w:hAnsi="Times New Roman" w:cs="Times New Roman"/>
          <w:noProof/>
          <w:kern w:val="0"/>
          <w:sz w:val="22"/>
          <w:szCs w:val="22"/>
          <w14:ligatures w14:val="none"/>
        </w:rPr>
        <w:t xml:space="preserve">the efficiency of justice systems, continues to improve. </w:t>
      </w:r>
      <w:r w:rsidR="00E639AD" w:rsidRPr="00FB4E2D">
        <w:rPr>
          <w:rFonts w:ascii="Times New Roman" w:eastAsia="Calibri" w:hAnsi="Times New Roman" w:cs="Times New Roman"/>
          <w:noProof/>
          <w:kern w:val="0"/>
          <w:sz w:val="22"/>
          <w:szCs w:val="22"/>
          <w14:ligatures w14:val="none"/>
        </w:rPr>
        <w:t xml:space="preserve">This is because many Member States have invested in </w:t>
      </w:r>
      <w:r w:rsidR="00E639AD" w:rsidRPr="00FB4E2D" w:rsidDel="00107F7B">
        <w:rPr>
          <w:rFonts w:ascii="Times New Roman" w:eastAsia="Calibri" w:hAnsi="Times New Roman" w:cs="Times New Roman"/>
          <w:noProof/>
          <w:kern w:val="0"/>
          <w:sz w:val="22"/>
          <w:szCs w:val="22"/>
          <w14:ligatures w14:val="none"/>
        </w:rPr>
        <w:t xml:space="preserve">their capacity to </w:t>
      </w:r>
      <w:r w:rsidR="00E639AD" w:rsidRPr="00FB4E2D">
        <w:rPr>
          <w:rFonts w:ascii="Times New Roman" w:eastAsia="Calibri" w:hAnsi="Times New Roman" w:cs="Times New Roman"/>
          <w:noProof/>
          <w:kern w:val="0"/>
          <w:sz w:val="22"/>
          <w:szCs w:val="22"/>
          <w14:ligatures w14:val="none"/>
        </w:rPr>
        <w:t>produce better judicial statistics. Persisting difficulties in gathering or providing data, if any, are due either to insufficient statistical capacity or to lack of exact correspondence between the national categories for which data are collected and the ones used for the Scoreboard. Only in very few cases is the data gap due to a lack of contributions from national authorities. The Commission continues to encourage Member States to further reduce this data gap.</w:t>
      </w:r>
    </w:p>
    <w:p w14:paraId="7EACB941" w14:textId="77777777" w:rsidR="00E639AD" w:rsidRPr="00FB4E2D" w:rsidRDefault="00E639AD" w:rsidP="00E639AD">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i/>
          <w:noProof/>
          <w:kern w:val="0"/>
          <w:sz w:val="22"/>
          <w:szCs w:val="22"/>
          <w14:ligatures w14:val="none"/>
        </w:rPr>
      </w:pPr>
    </w:p>
    <w:p w14:paraId="66BE557D" w14:textId="77777777" w:rsidR="00991BE7" w:rsidRPr="00FB4E2D" w:rsidRDefault="00991BE7" w:rsidP="00E639AD">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b/>
          <w:noProof/>
          <w:kern w:val="0"/>
          <w:sz w:val="22"/>
          <w:szCs w:val="22"/>
          <w14:ligatures w14:val="none"/>
        </w:rPr>
      </w:pPr>
      <w:r w:rsidRPr="00FB4E2D">
        <w:rPr>
          <w:rFonts w:ascii="Times New Roman" w:eastAsia="Calibri" w:hAnsi="Times New Roman" w:cs="Times New Roman"/>
          <w:b/>
          <w:i/>
          <w:noProof/>
          <w:kern w:val="0"/>
          <w:sz w:val="22"/>
          <w:szCs w:val="22"/>
          <w14:ligatures w14:val="none"/>
        </w:rPr>
        <w:t>How does the EU Justice Scoreboard feed into the European Semester and how is it related to the Recovery and Resilience Facility?</w:t>
      </w:r>
    </w:p>
    <w:p w14:paraId="6F11976A" w14:textId="2B36552C"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The Scoreboard provides</w:t>
      </w:r>
      <w:r w:rsidRPr="00FB4E2D" w:rsidDel="008C63FD">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data for assessing the efficiency, quality and independence of national justice systems. In doing so, it aims to help Member States make their national justice systems more effective. By comparing information on Member States’ justice systems, the Scoreboard makes it easier to identify best practices and shortcomings and to keep track of challenges and progress made. In the context of the European Semester, country-specific assessments are carried out through a bilateral dialogue with the national authorities and the</w:t>
      </w:r>
      <w:r w:rsidR="005E147A" w:rsidRPr="00FB4E2D">
        <w:rPr>
          <w:rFonts w:ascii="Times New Roman" w:eastAsia="Calibri" w:hAnsi="Times New Roman" w:cs="Times New Roman"/>
          <w:noProof/>
          <w:kern w:val="0"/>
          <w:sz w:val="22"/>
          <w:szCs w:val="22"/>
          <w14:ligatures w14:val="none"/>
        </w:rPr>
        <w:t xml:space="preserve"> relevant</w:t>
      </w:r>
      <w:r w:rsidRPr="00FB4E2D">
        <w:rPr>
          <w:rFonts w:ascii="Times New Roman" w:eastAsia="Calibri" w:hAnsi="Times New Roman" w:cs="Times New Roman"/>
          <w:noProof/>
          <w:kern w:val="0"/>
          <w:sz w:val="22"/>
          <w:szCs w:val="22"/>
          <w14:ligatures w14:val="none"/>
        </w:rPr>
        <w:t xml:space="preserve"> stakeholders. Where the</w:t>
      </w:r>
      <w:r w:rsidRPr="00FB4E2D" w:rsidDel="009452AB">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shortcomings identified have macroeconomic significance, the European Semester analysis may lead to the Commission proposing to the Council to adopt country-specific recommendations to improve the national justice systems in individual Member States (</w:t>
      </w:r>
      <w:r w:rsidRPr="00FB4E2D">
        <w:rPr>
          <w:rFonts w:ascii="Times New Roman" w:eastAsia="Calibri" w:hAnsi="Times New Roman" w:cs="Times New Roman"/>
          <w:noProof/>
          <w:kern w:val="0"/>
          <w:sz w:val="22"/>
          <w:szCs w:val="22"/>
          <w:vertAlign w:val="superscript"/>
          <w14:ligatures w14:val="none"/>
        </w:rPr>
        <w:footnoteReference w:id="25"/>
      </w:r>
      <w:r w:rsidRPr="00FB4E2D">
        <w:rPr>
          <w:rFonts w:ascii="Times New Roman" w:eastAsia="Calibri" w:hAnsi="Times New Roman" w:cs="Times New Roman"/>
          <w:noProof/>
          <w:kern w:val="0"/>
          <w:sz w:val="22"/>
          <w:szCs w:val="22"/>
          <w14:ligatures w14:val="none"/>
        </w:rPr>
        <w:t xml:space="preserve">). </w:t>
      </w:r>
    </w:p>
    <w:p w14:paraId="717B9429" w14:textId="425576E8" w:rsidR="006168D9" w:rsidRPr="00FB4E2D" w:rsidRDefault="00A76978" w:rsidP="006168D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The Recovery and Resilience </w:t>
      </w:r>
      <w:r w:rsidR="005E147A" w:rsidRPr="00FB4E2D">
        <w:rPr>
          <w:rFonts w:ascii="Times New Roman" w:eastAsia="Calibri" w:hAnsi="Times New Roman" w:cs="Times New Roman"/>
          <w:noProof/>
          <w:kern w:val="0"/>
          <w:sz w:val="22"/>
          <w:szCs w:val="22"/>
          <w14:ligatures w14:val="none"/>
        </w:rPr>
        <w:t>Facility</w:t>
      </w:r>
      <w:r w:rsidRPr="00FB4E2D">
        <w:rPr>
          <w:rFonts w:ascii="Times New Roman" w:eastAsia="Calibri" w:hAnsi="Times New Roman" w:cs="Times New Roman"/>
          <w:noProof/>
          <w:kern w:val="0"/>
          <w:sz w:val="22"/>
          <w:szCs w:val="22"/>
          <w14:ligatures w14:val="none"/>
        </w:rPr>
        <w:t xml:space="preserve"> (</w:t>
      </w:r>
      <w:r w:rsidRPr="00FB4E2D" w:rsidDel="00FA147B">
        <w:rPr>
          <w:rFonts w:ascii="Times New Roman" w:eastAsia="Calibri" w:hAnsi="Times New Roman" w:cs="Times New Roman"/>
          <w:noProof/>
          <w:kern w:val="0"/>
          <w:sz w:val="22"/>
          <w:szCs w:val="22"/>
          <w14:ligatures w14:val="none"/>
        </w:rPr>
        <w:t>RRF</w:t>
      </w:r>
      <w:r w:rsidRPr="00FB4E2D">
        <w:rPr>
          <w:rFonts w:ascii="Times New Roman" w:eastAsia="Calibri" w:hAnsi="Times New Roman" w:cs="Times New Roman"/>
          <w:noProof/>
          <w:kern w:val="0"/>
          <w:sz w:val="22"/>
          <w:szCs w:val="22"/>
          <w14:ligatures w14:val="none"/>
        </w:rPr>
        <w:t>)</w:t>
      </w:r>
      <w:r w:rsidRPr="00FB4E2D" w:rsidDel="002B1E81">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sz w:val="22"/>
          <w:szCs w:val="22"/>
        </w:rPr>
        <w:t xml:space="preserve">has made available more than EUR </w:t>
      </w:r>
      <w:r>
        <w:rPr>
          <w:rFonts w:ascii="Times New Roman" w:eastAsia="Calibri" w:hAnsi="Times New Roman" w:cs="Times New Roman"/>
          <w:noProof/>
          <w:sz w:val="22"/>
          <w:szCs w:val="22"/>
        </w:rPr>
        <w:t xml:space="preserve">577 </w:t>
      </w:r>
      <w:r w:rsidRPr="00FB4E2D">
        <w:rPr>
          <w:rFonts w:ascii="Times New Roman" w:eastAsia="Calibri" w:hAnsi="Times New Roman" w:cs="Times New Roman"/>
          <w:noProof/>
          <w:sz w:val="22"/>
          <w:szCs w:val="22"/>
        </w:rPr>
        <w:t xml:space="preserve">billion in loans and non-repayable financial support, of which each Member State would need to allocate a minimum of 20% to the digital transition and a minimum of 37% to measures contributing to climate objectives. The RRF </w:t>
      </w:r>
      <w:r w:rsidR="00A02C07" w:rsidRPr="00FB4E2D">
        <w:rPr>
          <w:rFonts w:ascii="Times New Roman" w:eastAsia="Calibri" w:hAnsi="Times New Roman" w:cs="Times New Roman"/>
          <w:noProof/>
          <w:kern w:val="0"/>
          <w:sz w:val="22"/>
          <w:szCs w:val="22"/>
          <w14:ligatures w14:val="none"/>
        </w:rPr>
        <w:t xml:space="preserve">offers an opportunity to </w:t>
      </w:r>
      <w:r w:rsidR="00A02C07" w:rsidRPr="00FB4E2D" w:rsidDel="00346C15">
        <w:rPr>
          <w:rFonts w:ascii="Times New Roman" w:eastAsia="Calibri" w:hAnsi="Times New Roman" w:cs="Times New Roman"/>
          <w:noProof/>
          <w:kern w:val="0"/>
          <w:sz w:val="22"/>
          <w:szCs w:val="22"/>
          <w14:ligatures w14:val="none"/>
        </w:rPr>
        <w:t xml:space="preserve">address </w:t>
      </w:r>
      <w:r w:rsidR="00A02C07" w:rsidRPr="00FB4E2D">
        <w:rPr>
          <w:rFonts w:ascii="Times New Roman" w:eastAsia="Calibri" w:hAnsi="Times New Roman" w:cs="Times New Roman"/>
          <w:noProof/>
          <w:kern w:val="0"/>
          <w:sz w:val="22"/>
          <w:szCs w:val="22"/>
          <w14:ligatures w14:val="none"/>
        </w:rPr>
        <w:t xml:space="preserve">country-specific recommendations </w:t>
      </w:r>
      <w:r w:rsidR="00A02C07" w:rsidRPr="00FB4E2D" w:rsidDel="001D5E90">
        <w:rPr>
          <w:rFonts w:ascii="Times New Roman" w:eastAsia="Calibri" w:hAnsi="Times New Roman" w:cs="Times New Roman"/>
          <w:noProof/>
          <w:kern w:val="0"/>
          <w:sz w:val="22"/>
          <w:szCs w:val="22"/>
          <w14:ligatures w14:val="none"/>
        </w:rPr>
        <w:t>related to</w:t>
      </w:r>
      <w:r w:rsidR="00A02C07" w:rsidRPr="00FB4E2D">
        <w:rPr>
          <w:rFonts w:ascii="Times New Roman" w:eastAsia="Calibri" w:hAnsi="Times New Roman" w:cs="Times New Roman"/>
          <w:noProof/>
          <w:kern w:val="0"/>
          <w:sz w:val="22"/>
          <w:szCs w:val="22"/>
          <w14:ligatures w14:val="none"/>
        </w:rPr>
        <w:t xml:space="preserve"> national justice systems and to accelerate national efforts to complete the digital transformation of justice systems. Payments to Member States under the performance-based RRF are contingent on the fulfilment of milestones and targets. </w:t>
      </w:r>
      <w:r w:rsidR="00255A35" w:rsidRPr="00FB4E2D">
        <w:rPr>
          <w:rFonts w:ascii="Times New Roman" w:eastAsia="Calibri" w:hAnsi="Times New Roman" w:cs="Times New Roman"/>
          <w:noProof/>
          <w:kern w:val="0"/>
          <w:sz w:val="22"/>
          <w:szCs w:val="22"/>
          <w14:ligatures w14:val="none"/>
        </w:rPr>
        <w:t xml:space="preserve">Around </w:t>
      </w:r>
      <w:r w:rsidR="00255A35" w:rsidRPr="00FB4E2D">
        <w:rPr>
          <w:rFonts w:ascii="Times New Roman" w:eastAsia="Yu Mincho" w:hAnsi="Times New Roman" w:cs="Times New Roman"/>
          <w:noProof/>
          <w:sz w:val="22"/>
          <w:szCs w:val="22"/>
        </w:rPr>
        <w:t>6 300</w:t>
      </w:r>
      <w:r w:rsidR="00255A35" w:rsidRPr="00FB4E2D">
        <w:rPr>
          <w:rFonts w:ascii="Times New Roman" w:eastAsia="Yu Mincho" w:hAnsi="Times New Roman" w:cs="Times New Roman"/>
          <w:noProof/>
          <w:kern w:val="0"/>
          <w:sz w:val="22"/>
          <w:szCs w:val="22"/>
          <w14:ligatures w14:val="none"/>
        </w:rPr>
        <w:t xml:space="preserve"> milestones and </w:t>
      </w:r>
      <w:r w:rsidR="00067E4B" w:rsidRPr="00FB4E2D">
        <w:rPr>
          <w:rFonts w:ascii="Times New Roman" w:eastAsia="Yu Mincho" w:hAnsi="Times New Roman" w:cs="Times New Roman"/>
          <w:noProof/>
          <w:kern w:val="0"/>
          <w:sz w:val="22"/>
          <w:szCs w:val="22"/>
          <w14:ligatures w14:val="none"/>
        </w:rPr>
        <w:t xml:space="preserve">targets </w:t>
      </w:r>
      <w:r w:rsidR="00067E4B" w:rsidRPr="00FB4E2D">
        <w:rPr>
          <w:rFonts w:ascii="Times New Roman" w:eastAsia="Yu Mincho" w:hAnsi="Times New Roman" w:cs="Times New Roman"/>
          <w:noProof/>
          <w:sz w:val="22"/>
          <w:szCs w:val="22"/>
        </w:rPr>
        <w:t>related</w:t>
      </w:r>
      <w:r w:rsidR="00255A35" w:rsidRPr="00FB4E2D">
        <w:rPr>
          <w:rFonts w:ascii="Times New Roman" w:eastAsia="Yu Mincho" w:hAnsi="Times New Roman" w:cs="Times New Roman"/>
          <w:noProof/>
          <w:sz w:val="22"/>
          <w:szCs w:val="22"/>
        </w:rPr>
        <w:t xml:space="preserve"> to investment and </w:t>
      </w:r>
      <w:r w:rsidR="00255A35" w:rsidRPr="00FB4E2D">
        <w:rPr>
          <w:rFonts w:ascii="Times New Roman" w:eastAsia="Yu Mincho" w:hAnsi="Times New Roman" w:cs="Times New Roman"/>
          <w:noProof/>
          <w:kern w:val="0"/>
          <w:sz w:val="22"/>
          <w:szCs w:val="22"/>
          <w14:ligatures w14:val="none"/>
        </w:rPr>
        <w:t>reforms</w:t>
      </w:r>
      <w:r w:rsidR="00255A35" w:rsidRPr="00FB4E2D">
        <w:rPr>
          <w:rFonts w:ascii="Times New Roman" w:eastAsia="Yu Mincho" w:hAnsi="Times New Roman" w:cs="Times New Roman"/>
          <w:noProof/>
          <w:sz w:val="22"/>
          <w:szCs w:val="22"/>
        </w:rPr>
        <w:t xml:space="preserve">. </w:t>
      </w:r>
      <w:r w:rsidR="00A02C07" w:rsidRPr="00FB4E2D">
        <w:rPr>
          <w:rFonts w:ascii="Times New Roman" w:eastAsia="Calibri" w:hAnsi="Times New Roman" w:cs="Times New Roman"/>
          <w:noProof/>
          <w:kern w:val="0"/>
          <w:sz w:val="22"/>
          <w:szCs w:val="22"/>
          <w14:ligatures w14:val="none"/>
        </w:rPr>
        <w:t xml:space="preserve">Under the RRF Regulation, before </w:t>
      </w:r>
      <w:r w:rsidR="00A12033" w:rsidRPr="00FB4E2D">
        <w:rPr>
          <w:rFonts w:ascii="Times New Roman" w:eastAsia="Calibri" w:hAnsi="Times New Roman" w:cs="Times New Roman"/>
          <w:noProof/>
          <w:kern w:val="0"/>
          <w:sz w:val="22"/>
          <w:szCs w:val="22"/>
          <w14:ligatures w14:val="none"/>
        </w:rPr>
        <w:t>the adoption of the Member States’ recovery and resilience plans (RRPs</w:t>
      </w:r>
      <w:r w:rsidR="00067E4B" w:rsidRPr="00FB4E2D">
        <w:rPr>
          <w:rFonts w:ascii="Times New Roman" w:eastAsia="Calibri" w:hAnsi="Times New Roman" w:cs="Times New Roman"/>
          <w:noProof/>
          <w:kern w:val="0"/>
          <w:sz w:val="22"/>
          <w:szCs w:val="22"/>
          <w14:ligatures w14:val="none"/>
        </w:rPr>
        <w:t>),</w:t>
      </w:r>
      <w:r w:rsidR="00A02C07" w:rsidRPr="00FB4E2D">
        <w:rPr>
          <w:rFonts w:ascii="Times New Roman" w:eastAsia="Calibri" w:hAnsi="Times New Roman" w:cs="Times New Roman"/>
          <w:noProof/>
          <w:kern w:val="0"/>
          <w:sz w:val="22"/>
          <w:szCs w:val="22"/>
          <w14:ligatures w14:val="none"/>
        </w:rPr>
        <w:t xml:space="preserve"> the Commission had to </w:t>
      </w:r>
      <w:r w:rsidR="00067E4B" w:rsidRPr="00FB4E2D">
        <w:rPr>
          <w:rFonts w:ascii="Times New Roman" w:eastAsia="Calibri" w:hAnsi="Times New Roman" w:cs="Times New Roman"/>
          <w:noProof/>
          <w:kern w:val="0"/>
          <w:sz w:val="22"/>
          <w:szCs w:val="22"/>
          <w14:ligatures w14:val="none"/>
        </w:rPr>
        <w:t>assess whether</w:t>
      </w:r>
      <w:r w:rsidR="00A12033" w:rsidRPr="00FB4E2D">
        <w:rPr>
          <w:rFonts w:ascii="Times New Roman" w:eastAsia="Calibri" w:hAnsi="Times New Roman" w:cs="Times New Roman"/>
          <w:noProof/>
          <w:kern w:val="0"/>
          <w:sz w:val="22"/>
          <w:szCs w:val="22"/>
          <w14:ligatures w14:val="none"/>
        </w:rPr>
        <w:t xml:space="preserve"> they</w:t>
      </w:r>
      <w:r w:rsidR="00A02C07" w:rsidRPr="00FB4E2D">
        <w:rPr>
          <w:rFonts w:ascii="Times New Roman" w:eastAsia="Calibri" w:hAnsi="Times New Roman" w:cs="Times New Roman"/>
          <w:noProof/>
          <w:kern w:val="0"/>
          <w:sz w:val="22"/>
          <w:szCs w:val="22"/>
          <w14:ligatures w14:val="none"/>
        </w:rPr>
        <w:t xml:space="preserve"> could contribute to effectively addressing all or a significant number </w:t>
      </w:r>
      <w:r w:rsidR="006168D9" w:rsidRPr="00FB4E2D">
        <w:rPr>
          <w:rFonts w:ascii="Times New Roman" w:eastAsia="Calibri" w:hAnsi="Times New Roman" w:cs="Times New Roman"/>
          <w:noProof/>
          <w:kern w:val="0"/>
          <w:sz w:val="22"/>
          <w:szCs w:val="22"/>
          <w14:ligatures w14:val="none"/>
        </w:rPr>
        <w:t>of challenges identified in the relevant country-specific recommendations or challenges identified in other Commission documents adopted in the context of the European Semester (</w:t>
      </w:r>
      <w:r w:rsidR="006168D9" w:rsidRPr="00FB4E2D">
        <w:rPr>
          <w:rFonts w:ascii="Times New Roman" w:eastAsia="Calibri" w:hAnsi="Times New Roman" w:cs="Times New Roman"/>
          <w:noProof/>
          <w:kern w:val="0"/>
          <w:sz w:val="22"/>
          <w:szCs w:val="22"/>
          <w:vertAlign w:val="superscript"/>
          <w14:ligatures w14:val="none"/>
        </w:rPr>
        <w:footnoteReference w:id="26"/>
      </w:r>
      <w:r w:rsidR="006168D9" w:rsidRPr="00FB4E2D" w:rsidDel="00772FBB">
        <w:rPr>
          <w:rFonts w:ascii="Times New Roman" w:eastAsia="Calibri" w:hAnsi="Times New Roman" w:cs="Times New Roman"/>
          <w:noProof/>
          <w:kern w:val="0"/>
          <w:sz w:val="22"/>
          <w:szCs w:val="22"/>
          <w14:ligatures w14:val="none"/>
        </w:rPr>
        <w:t>).</w:t>
      </w:r>
      <w:r w:rsidR="006168D9" w:rsidRPr="00FB4E2D">
        <w:rPr>
          <w:rFonts w:ascii="Times New Roman" w:eastAsia="Calibri" w:hAnsi="Times New Roman" w:cs="Times New Roman"/>
          <w:noProof/>
          <w:kern w:val="0"/>
          <w:sz w:val="22"/>
          <w:szCs w:val="22"/>
          <w14:ligatures w14:val="none"/>
        </w:rPr>
        <w:t xml:space="preserve"> </w:t>
      </w:r>
      <w:r w:rsidR="006168D9" w:rsidRPr="00FB4E2D">
        <w:rPr>
          <w:rFonts w:ascii="Times New Roman" w:eastAsia="Calibri" w:hAnsi="Times New Roman" w:cs="Times New Roman"/>
          <w:noProof/>
          <w:sz w:val="22"/>
          <w:szCs w:val="22"/>
        </w:rPr>
        <w:t xml:space="preserve"> </w:t>
      </w:r>
      <w:r w:rsidR="006168D9" w:rsidRPr="00FB4E2D">
        <w:rPr>
          <w:rFonts w:ascii="Times New Roman" w:eastAsia="Yu Mincho" w:hAnsi="Times New Roman" w:cs="Times New Roman"/>
          <w:noProof/>
          <w:sz w:val="22"/>
          <w:szCs w:val="22"/>
        </w:rPr>
        <w:t xml:space="preserve">Around 285 milestones and targets are included in </w:t>
      </w:r>
      <w:r w:rsidR="00E7170E" w:rsidRPr="00FB4E2D">
        <w:rPr>
          <w:rFonts w:ascii="Times New Roman" w:eastAsia="Yu Mincho" w:hAnsi="Times New Roman" w:cs="Times New Roman"/>
          <w:noProof/>
          <w:sz w:val="22"/>
          <w:szCs w:val="22"/>
        </w:rPr>
        <w:t>Member States’</w:t>
      </w:r>
      <w:r w:rsidR="006168D9" w:rsidRPr="00FB4E2D">
        <w:rPr>
          <w:rFonts w:ascii="Times New Roman" w:eastAsia="Yu Mincho" w:hAnsi="Times New Roman" w:cs="Times New Roman"/>
          <w:noProof/>
          <w:sz w:val="22"/>
          <w:szCs w:val="22"/>
        </w:rPr>
        <w:t xml:space="preserve"> RRPs to strengthen the rule of law by increasing the efficiency, quality and independence of the judicial system and the anti-corruption framework including anti-money laundering. </w:t>
      </w:r>
      <w:r w:rsidR="006168D9" w:rsidRPr="00FB4E2D">
        <w:rPr>
          <w:rFonts w:ascii="Times New Roman" w:eastAsia="Calibri" w:hAnsi="Times New Roman" w:cs="Times New Roman"/>
          <w:noProof/>
          <w:sz w:val="22"/>
          <w:szCs w:val="22"/>
        </w:rPr>
        <w:t xml:space="preserve">Until May 2026, following pre-financing payments as well as payment requests by Member States, a total of EUR </w:t>
      </w:r>
      <w:r w:rsidR="003A0DBA" w:rsidRPr="00FB4E2D">
        <w:rPr>
          <w:rFonts w:ascii="Times New Roman" w:eastAsia="Calibri" w:hAnsi="Times New Roman" w:cs="Times New Roman"/>
          <w:noProof/>
          <w:sz w:val="22"/>
          <w:szCs w:val="22"/>
        </w:rPr>
        <w:t>400</w:t>
      </w:r>
      <w:r w:rsidR="006168D9" w:rsidRPr="00FB4E2D">
        <w:rPr>
          <w:rFonts w:ascii="Times New Roman" w:eastAsia="Calibri" w:hAnsi="Times New Roman" w:cs="Times New Roman"/>
          <w:noProof/>
          <w:sz w:val="22"/>
          <w:szCs w:val="22"/>
        </w:rPr>
        <w:t xml:space="preserve"> billion in RRF grants and loans have been disbursed.</w:t>
      </w:r>
      <w:r w:rsidR="006168D9" w:rsidRPr="00FB4E2D">
        <w:rPr>
          <w:rStyle w:val="FootnoteReference"/>
          <w:rFonts w:ascii="Times New Roman" w:eastAsia="Calibri" w:hAnsi="Times New Roman" w:cs="Times New Roman"/>
          <w:noProof/>
          <w:sz w:val="22"/>
          <w:szCs w:val="22"/>
        </w:rPr>
        <w:footnoteReference w:id="27"/>
      </w:r>
    </w:p>
    <w:p w14:paraId="18490332" w14:textId="2CEFD8C4"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b/>
          <w:i/>
          <w:noProof/>
          <w:kern w:val="0"/>
          <w:sz w:val="22"/>
          <w:szCs w:val="22"/>
          <w14:ligatures w14:val="none"/>
        </w:rPr>
      </w:pPr>
      <w:r w:rsidRPr="00FB4E2D">
        <w:rPr>
          <w:rFonts w:ascii="Times New Roman" w:eastAsia="Calibri" w:hAnsi="Times New Roman" w:cs="Times New Roman"/>
          <w:b/>
          <w:i/>
          <w:noProof/>
          <w:kern w:val="0"/>
          <w:sz w:val="22"/>
          <w:szCs w:val="22"/>
          <w14:ligatures w14:val="none"/>
        </w:rPr>
        <w:t>Why are effective justice systems important for an investment-friendly business environment?</w:t>
      </w:r>
    </w:p>
    <w:p w14:paraId="440C4C9C" w14:textId="77777777"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Effective justice systems that uphold the rule of law have a positive economic impact. The respect for the rule of law ensures a business environment in which laws apply effectively and uniformly, where businesses can operate in another Member State on an equal footing with local companies. The respect for the rule of law is central to the functioning of the single market and</w:t>
      </w:r>
      <w:r w:rsidRPr="00FB4E2D" w:rsidDel="004A2F10">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to maintaining a stable operating environment that gives the EU and its Member States a global competitive edge (</w:t>
      </w:r>
      <w:r w:rsidRPr="00FB4E2D">
        <w:rPr>
          <w:rFonts w:ascii="Times New Roman" w:eastAsia="Calibri" w:hAnsi="Times New Roman" w:cs="Times New Roman"/>
          <w:noProof/>
          <w:kern w:val="0"/>
          <w:sz w:val="22"/>
          <w:szCs w:val="22"/>
          <w:vertAlign w:val="superscript"/>
          <w14:ligatures w14:val="none"/>
        </w:rPr>
        <w:footnoteReference w:id="28"/>
      </w:r>
      <w:r w:rsidRPr="00FB4E2D">
        <w:rPr>
          <w:rFonts w:ascii="Times New Roman" w:eastAsia="Calibri" w:hAnsi="Times New Roman" w:cs="Times New Roman"/>
          <w:noProof/>
          <w:kern w:val="0"/>
          <w:sz w:val="22"/>
          <w:szCs w:val="22"/>
          <w14:ligatures w14:val="none"/>
        </w:rPr>
        <w:t>). Effective justice systems are also particularly relevant in the context of the European Semester and the RRF. Where judicial systems guarantee the enforcement of rights, creditors are more likely to lend, transaction costs are reduced and businesses are more likely to invest, have higher confidence and are dissuaded from opportunistic behaviour. In fact, an effective justice system is vital for sustained economic growth. It can improve the business climate, foster innovation, attract foreign direct investment, secure tax revenues and support economic growth. The</w:t>
      </w:r>
      <w:r w:rsidRPr="00FB4E2D" w:rsidDel="000E18DB">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benefits of well-functioning national justice systems for the economy are confirmed by a wide-range of studies (</w:t>
      </w:r>
      <w:r w:rsidRPr="00FB4E2D">
        <w:rPr>
          <w:rFonts w:ascii="Times New Roman" w:eastAsia="Calibri" w:hAnsi="Times New Roman" w:cs="Times New Roman"/>
          <w:noProof/>
          <w:kern w:val="0"/>
          <w:sz w:val="22"/>
          <w:szCs w:val="22"/>
          <w:vertAlign w:val="superscript"/>
          <w14:ligatures w14:val="none"/>
        </w:rPr>
        <w:footnoteReference w:id="29"/>
      </w:r>
      <w:r w:rsidRPr="00FB4E2D">
        <w:rPr>
          <w:rFonts w:ascii="Times New Roman" w:eastAsia="Calibri" w:hAnsi="Times New Roman" w:cs="Times New Roman"/>
          <w:noProof/>
          <w:kern w:val="0"/>
          <w:sz w:val="22"/>
          <w:szCs w:val="22"/>
          <w14:ligatures w14:val="none"/>
        </w:rPr>
        <w:t>), including by the International Monetary Fund (IMF) (</w:t>
      </w:r>
      <w:r w:rsidRPr="00FB4E2D">
        <w:rPr>
          <w:rFonts w:ascii="Times New Roman" w:eastAsia="Calibri" w:hAnsi="Times New Roman" w:cs="Times New Roman"/>
          <w:noProof/>
          <w:kern w:val="0"/>
          <w:sz w:val="22"/>
          <w:szCs w:val="22"/>
          <w:vertAlign w:val="superscript"/>
          <w14:ligatures w14:val="none"/>
        </w:rPr>
        <w:footnoteReference w:id="30"/>
      </w:r>
      <w:r w:rsidRPr="00FB4E2D">
        <w:rPr>
          <w:rFonts w:ascii="Times New Roman" w:eastAsia="Calibri" w:hAnsi="Times New Roman" w:cs="Times New Roman"/>
          <w:noProof/>
          <w:kern w:val="0"/>
          <w:sz w:val="22"/>
          <w:szCs w:val="22"/>
          <w14:ligatures w14:val="none"/>
        </w:rPr>
        <w:t>), the European Central Bank (ECB) (</w:t>
      </w:r>
      <w:r w:rsidRPr="00FB4E2D">
        <w:rPr>
          <w:rFonts w:ascii="Times New Roman" w:eastAsia="Calibri" w:hAnsi="Times New Roman" w:cs="Times New Roman"/>
          <w:noProof/>
          <w:kern w:val="0"/>
          <w:sz w:val="22"/>
          <w:szCs w:val="22"/>
          <w:vertAlign w:val="superscript"/>
          <w14:ligatures w14:val="none"/>
        </w:rPr>
        <w:footnoteReference w:id="31"/>
      </w:r>
      <w:r w:rsidRPr="00FB4E2D">
        <w:rPr>
          <w:rFonts w:ascii="Times New Roman" w:eastAsia="Calibri" w:hAnsi="Times New Roman" w:cs="Times New Roman"/>
          <w:noProof/>
          <w:kern w:val="0"/>
          <w:sz w:val="22"/>
          <w:szCs w:val="22"/>
          <w14:ligatures w14:val="none"/>
        </w:rPr>
        <w:t>), the European Network of Councils for the Judiciary (</w:t>
      </w:r>
      <w:r w:rsidRPr="00FB4E2D">
        <w:rPr>
          <w:rFonts w:ascii="Times New Roman" w:eastAsia="Calibri" w:hAnsi="Times New Roman" w:cs="Times New Roman"/>
          <w:noProof/>
          <w:kern w:val="0"/>
          <w:sz w:val="22"/>
          <w:szCs w:val="22"/>
          <w:vertAlign w:val="superscript"/>
          <w14:ligatures w14:val="none"/>
        </w:rPr>
        <w:footnoteReference w:id="32"/>
      </w:r>
      <w:r w:rsidRPr="00FB4E2D">
        <w:rPr>
          <w:rFonts w:ascii="Times New Roman" w:eastAsia="Calibri" w:hAnsi="Times New Roman" w:cs="Times New Roman"/>
          <w:noProof/>
          <w:kern w:val="0"/>
          <w:sz w:val="22"/>
          <w:szCs w:val="22"/>
          <w14:ligatures w14:val="none"/>
        </w:rPr>
        <w:t>), the Organisation for Economic Cooperation and Development (OECD) (</w:t>
      </w:r>
      <w:r w:rsidRPr="00FB4E2D">
        <w:rPr>
          <w:rFonts w:ascii="Times New Roman" w:eastAsia="Calibri" w:hAnsi="Times New Roman" w:cs="Times New Roman"/>
          <w:noProof/>
          <w:kern w:val="0"/>
          <w:sz w:val="22"/>
          <w:szCs w:val="22"/>
          <w:vertAlign w:val="superscript"/>
          <w14:ligatures w14:val="none"/>
        </w:rPr>
        <w:footnoteReference w:id="33"/>
      </w:r>
      <w:r w:rsidRPr="00FB4E2D">
        <w:rPr>
          <w:rFonts w:ascii="Times New Roman" w:eastAsia="Calibri" w:hAnsi="Times New Roman" w:cs="Times New Roman"/>
          <w:noProof/>
          <w:kern w:val="0"/>
          <w:sz w:val="22"/>
          <w:szCs w:val="22"/>
          <w14:ligatures w14:val="none"/>
        </w:rPr>
        <w:t>), the World Economic Forum (</w:t>
      </w:r>
      <w:r w:rsidRPr="00FB4E2D">
        <w:rPr>
          <w:rFonts w:ascii="Times New Roman" w:eastAsia="Calibri" w:hAnsi="Times New Roman" w:cs="Times New Roman"/>
          <w:noProof/>
          <w:kern w:val="0"/>
          <w:sz w:val="22"/>
          <w:szCs w:val="22"/>
          <w:vertAlign w:val="superscript"/>
          <w14:ligatures w14:val="none"/>
        </w:rPr>
        <w:footnoteReference w:id="34"/>
      </w:r>
      <w:r w:rsidRPr="00FB4E2D">
        <w:rPr>
          <w:rFonts w:ascii="Times New Roman" w:eastAsia="Calibri" w:hAnsi="Times New Roman" w:cs="Times New Roman"/>
          <w:noProof/>
          <w:kern w:val="0"/>
          <w:sz w:val="22"/>
          <w:szCs w:val="22"/>
          <w14:ligatures w14:val="none"/>
        </w:rPr>
        <w:t>), and the World Bank (</w:t>
      </w:r>
      <w:r w:rsidRPr="00FB4E2D">
        <w:rPr>
          <w:rFonts w:ascii="Times New Roman" w:eastAsia="Calibri" w:hAnsi="Times New Roman" w:cs="Times New Roman"/>
          <w:noProof/>
          <w:kern w:val="0"/>
          <w:sz w:val="22"/>
          <w:szCs w:val="22"/>
          <w:vertAlign w:val="superscript"/>
          <w14:ligatures w14:val="none"/>
        </w:rPr>
        <w:footnoteReference w:id="35"/>
      </w:r>
      <w:r w:rsidRPr="00FB4E2D">
        <w:rPr>
          <w:rFonts w:ascii="Times New Roman" w:eastAsia="Calibri" w:hAnsi="Times New Roman" w:cs="Times New Roman"/>
          <w:noProof/>
          <w:kern w:val="0"/>
          <w:sz w:val="22"/>
          <w:szCs w:val="22"/>
          <w14:ligatures w14:val="none"/>
        </w:rPr>
        <w:t>).</w:t>
      </w:r>
    </w:p>
    <w:p w14:paraId="26E3E666" w14:textId="000C78DD"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One study found a strong correlation between a reduction in the length of court proceedings (measured in disposition time (</w:t>
      </w:r>
      <w:r w:rsidRPr="00FB4E2D">
        <w:rPr>
          <w:rFonts w:ascii="Times New Roman" w:eastAsia="Calibri" w:hAnsi="Times New Roman" w:cs="Times New Roman"/>
          <w:noProof/>
          <w:kern w:val="0"/>
          <w:sz w:val="22"/>
          <w:szCs w:val="22"/>
          <w:vertAlign w:val="superscript"/>
          <w14:ligatures w14:val="none"/>
        </w:rPr>
        <w:footnoteReference w:id="36"/>
      </w:r>
      <w:r w:rsidRPr="00FB4E2D">
        <w:rPr>
          <w:rFonts w:ascii="Times New Roman" w:eastAsia="Calibri" w:hAnsi="Times New Roman" w:cs="Times New Roman"/>
          <w:noProof/>
          <w:kern w:val="0"/>
          <w:sz w:val="22"/>
          <w:szCs w:val="22"/>
          <w14:ligatures w14:val="none"/>
        </w:rPr>
        <w:t>)) and the growth rate of companies (</w:t>
      </w:r>
      <w:r w:rsidRPr="00FB4E2D">
        <w:rPr>
          <w:rFonts w:ascii="Times New Roman" w:eastAsia="Calibri" w:hAnsi="Times New Roman" w:cs="Times New Roman"/>
          <w:noProof/>
          <w:kern w:val="0"/>
          <w:sz w:val="22"/>
          <w:szCs w:val="22"/>
          <w:vertAlign w:val="superscript"/>
          <w14:ligatures w14:val="none"/>
        </w:rPr>
        <w:footnoteReference w:id="37"/>
      </w:r>
      <w:r w:rsidRPr="00FB4E2D">
        <w:rPr>
          <w:rFonts w:ascii="Times New Roman" w:eastAsia="Calibri" w:hAnsi="Times New Roman" w:cs="Times New Roman"/>
          <w:noProof/>
          <w:kern w:val="0"/>
          <w:sz w:val="22"/>
          <w:szCs w:val="22"/>
          <w14:ligatures w14:val="none"/>
        </w:rPr>
        <w:t xml:space="preserve">). In addition, according to the study, a higher percentage of companies perceiving the justice system as independent correlates with higher </w:t>
      </w:r>
      <w:r w:rsidRPr="00FB4E2D" w:rsidDel="000E18DB">
        <w:rPr>
          <w:rFonts w:ascii="Times New Roman" w:eastAsia="Calibri" w:hAnsi="Times New Roman" w:cs="Times New Roman"/>
          <w:noProof/>
          <w:kern w:val="0"/>
          <w:sz w:val="22"/>
          <w:szCs w:val="22"/>
          <w14:ligatures w14:val="none"/>
        </w:rPr>
        <w:t xml:space="preserve">firm </w:t>
      </w:r>
      <w:r w:rsidRPr="00FB4E2D">
        <w:rPr>
          <w:rFonts w:ascii="Times New Roman" w:eastAsia="Calibri" w:hAnsi="Times New Roman" w:cs="Times New Roman"/>
          <w:noProof/>
          <w:kern w:val="0"/>
          <w:sz w:val="22"/>
          <w:szCs w:val="22"/>
          <w14:ligatures w14:val="none"/>
        </w:rPr>
        <w:t>turnover and greater productivity growth (</w:t>
      </w:r>
      <w:r w:rsidRPr="00FB4E2D">
        <w:rPr>
          <w:rFonts w:ascii="Times New Roman" w:eastAsia="Calibri" w:hAnsi="Times New Roman" w:cs="Times New Roman"/>
          <w:noProof/>
          <w:kern w:val="0"/>
          <w:sz w:val="22"/>
          <w:szCs w:val="22"/>
          <w:vertAlign w:val="superscript"/>
          <w14:ligatures w14:val="none"/>
        </w:rPr>
        <w:footnoteReference w:id="38"/>
      </w:r>
      <w:r w:rsidRPr="00FB4E2D">
        <w:rPr>
          <w:rFonts w:ascii="Times New Roman" w:eastAsia="Calibri" w:hAnsi="Times New Roman" w:cs="Times New Roman"/>
          <w:noProof/>
          <w:kern w:val="0"/>
          <w:sz w:val="22"/>
          <w:szCs w:val="22"/>
          <w14:ligatures w14:val="none"/>
        </w:rPr>
        <w:t>).</w:t>
      </w:r>
      <w:r w:rsidR="00AC5C92" w:rsidRPr="00FB4E2D">
        <w:rPr>
          <w:rFonts w:ascii="Times New Roman" w:eastAsia="Calibri" w:hAnsi="Times New Roman" w:cs="Times New Roman"/>
          <w:noProof/>
          <w:kern w:val="0"/>
          <w:sz w:val="22"/>
          <w:szCs w:val="22"/>
          <w14:ligatures w14:val="none"/>
        </w:rPr>
        <w:t xml:space="preserve"> Another study </w:t>
      </w:r>
      <w:r w:rsidR="004223CD" w:rsidRPr="00FB4E2D">
        <w:rPr>
          <w:rFonts w:ascii="Times New Roman" w:eastAsia="Calibri" w:hAnsi="Times New Roman" w:cs="Times New Roman"/>
          <w:noProof/>
          <w:kern w:val="0"/>
          <w:sz w:val="22"/>
          <w:szCs w:val="22"/>
          <w14:ligatures w14:val="none"/>
        </w:rPr>
        <w:t xml:space="preserve">stated that access to justice has a </w:t>
      </w:r>
      <w:r w:rsidR="009D44AD" w:rsidRPr="00FB4E2D">
        <w:rPr>
          <w:rFonts w:ascii="Times New Roman" w:eastAsia="Calibri" w:hAnsi="Times New Roman" w:cs="Times New Roman"/>
          <w:noProof/>
          <w:kern w:val="0"/>
          <w:sz w:val="22"/>
          <w:szCs w:val="22"/>
          <w14:ligatures w14:val="none"/>
        </w:rPr>
        <w:t>sizable positive effect on economic growth (</w:t>
      </w:r>
      <w:r w:rsidR="009D44AD" w:rsidRPr="00FB4E2D">
        <w:rPr>
          <w:rStyle w:val="FootnoteReference"/>
          <w:rFonts w:ascii="Times New Roman" w:eastAsia="Calibri" w:hAnsi="Times New Roman" w:cs="Times New Roman"/>
          <w:noProof/>
          <w:kern w:val="0"/>
          <w:sz w:val="22"/>
          <w:szCs w:val="22"/>
          <w14:ligatures w14:val="none"/>
        </w:rPr>
        <w:footnoteReference w:id="39"/>
      </w:r>
      <w:r w:rsidR="009D44AD" w:rsidRPr="00FB4E2D">
        <w:rPr>
          <w:rFonts w:ascii="Times New Roman" w:eastAsia="Calibri" w:hAnsi="Times New Roman" w:cs="Times New Roman"/>
          <w:noProof/>
          <w:kern w:val="0"/>
          <w:sz w:val="22"/>
          <w:szCs w:val="22"/>
          <w14:ligatures w14:val="none"/>
        </w:rPr>
        <w:t>).</w:t>
      </w:r>
    </w:p>
    <w:p w14:paraId="100A95D9" w14:textId="4424D45E"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Other surveys have highlighted the importance of an effective national justice system for companies’ investment decisions and ability to solve intellectual property rights conflicts. For example, in one survey,</w:t>
      </w:r>
      <w:r w:rsidRPr="00FB4E2D">
        <w:rPr>
          <w:rFonts w:ascii="Times New Roman" w:eastAsia="Calibri" w:hAnsi="Times New Roman" w:cs="Times New Roman"/>
          <w:b/>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93% of large companies replied that they systematically and continuously review the rule of law conditions (including judicial independence) in the countries they invest in (</w:t>
      </w:r>
      <w:r w:rsidRPr="00FB4E2D">
        <w:rPr>
          <w:rFonts w:ascii="Times New Roman" w:eastAsia="Calibri" w:hAnsi="Times New Roman" w:cs="Times New Roman"/>
          <w:noProof/>
          <w:kern w:val="0"/>
          <w:sz w:val="22"/>
          <w:szCs w:val="22"/>
          <w:vertAlign w:val="superscript"/>
          <w14:ligatures w14:val="none"/>
        </w:rPr>
        <w:footnoteReference w:id="40"/>
      </w:r>
      <w:r w:rsidRPr="00FB4E2D">
        <w:rPr>
          <w:rFonts w:ascii="Times New Roman" w:eastAsia="Calibri" w:hAnsi="Times New Roman" w:cs="Times New Roman"/>
          <w:noProof/>
          <w:kern w:val="0"/>
          <w:sz w:val="22"/>
          <w:szCs w:val="22"/>
          <w14:ligatures w14:val="none"/>
        </w:rPr>
        <w:t>). In another survey, over half of small and medium-sized enterprises (SMEs) replied that high costs and lengthy judicial proceedings were the main reasons for not starting court proceedings over the infringement of intellectual property rights (</w:t>
      </w:r>
      <w:r w:rsidRPr="00FB4E2D">
        <w:rPr>
          <w:rFonts w:ascii="Times New Roman" w:eastAsia="Calibri" w:hAnsi="Times New Roman" w:cs="Times New Roman"/>
          <w:noProof/>
          <w:kern w:val="0"/>
          <w:sz w:val="22"/>
          <w:szCs w:val="22"/>
          <w:vertAlign w:val="superscript"/>
          <w14:ligatures w14:val="none"/>
        </w:rPr>
        <w:footnoteReference w:id="41"/>
      </w:r>
      <w:r w:rsidRPr="00FB4E2D">
        <w:rPr>
          <w:rFonts w:ascii="Times New Roman" w:eastAsia="Calibri" w:hAnsi="Times New Roman" w:cs="Times New Roman"/>
          <w:noProof/>
          <w:kern w:val="0"/>
          <w:sz w:val="22"/>
          <w:szCs w:val="22"/>
          <w14:ligatures w14:val="none"/>
        </w:rPr>
        <w:t xml:space="preserve">). The importance of effective justice systems for the functioning of the single market, in particular for businesses, is also stressed in the Commission’s communications </w:t>
      </w:r>
      <w:r w:rsidRPr="00FB4E2D">
        <w:rPr>
          <w:rFonts w:ascii="Times New Roman" w:eastAsia="Calibri" w:hAnsi="Times New Roman" w:cs="Times New Roman"/>
          <w:i/>
          <w:noProof/>
          <w:kern w:val="0"/>
          <w:sz w:val="22"/>
          <w:szCs w:val="22"/>
          <w14:ligatures w14:val="none"/>
        </w:rPr>
        <w:t>Identifying and addressing barriers to the single market</w:t>
      </w:r>
      <w:r w:rsidRPr="00FB4E2D">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vertAlign w:val="superscript"/>
          <w14:ligatures w14:val="none"/>
        </w:rPr>
        <w:footnoteReference w:id="42"/>
      </w:r>
      <w:r w:rsidRPr="00FB4E2D">
        <w:rPr>
          <w:rFonts w:ascii="Times New Roman" w:eastAsia="Calibri" w:hAnsi="Times New Roman" w:cs="Times New Roman"/>
          <w:noProof/>
          <w:kern w:val="0"/>
          <w:sz w:val="22"/>
          <w:szCs w:val="22"/>
          <w14:ligatures w14:val="none"/>
        </w:rPr>
        <w:t xml:space="preserve">) and </w:t>
      </w:r>
      <w:r w:rsidRPr="00FB4E2D" w:rsidDel="00FA147B">
        <w:rPr>
          <w:rFonts w:ascii="Times New Roman" w:eastAsia="Calibri" w:hAnsi="Times New Roman" w:cs="Times New Roman"/>
          <w:i/>
          <w:noProof/>
          <w:kern w:val="0"/>
          <w:sz w:val="22"/>
          <w:szCs w:val="22"/>
          <w14:ligatures w14:val="none"/>
        </w:rPr>
        <w:t>Single</w:t>
      </w:r>
      <w:r w:rsidRPr="00FB4E2D">
        <w:rPr>
          <w:rFonts w:ascii="Times New Roman" w:eastAsia="Calibri" w:hAnsi="Times New Roman" w:cs="Times New Roman"/>
          <w:i/>
          <w:noProof/>
          <w:kern w:val="0"/>
          <w:sz w:val="22"/>
          <w:szCs w:val="22"/>
          <w14:ligatures w14:val="none"/>
        </w:rPr>
        <w:t xml:space="preserve"> market enforcement action plan</w:t>
      </w:r>
      <w:r w:rsidRPr="00FB4E2D">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vertAlign w:val="superscript"/>
          <w14:ligatures w14:val="none"/>
        </w:rPr>
        <w:footnoteReference w:id="43"/>
      </w:r>
      <w:r w:rsidRPr="00FB4E2D">
        <w:rPr>
          <w:rFonts w:ascii="Times New Roman" w:eastAsia="Calibri" w:hAnsi="Times New Roman" w:cs="Times New Roman"/>
          <w:noProof/>
          <w:kern w:val="0"/>
          <w:sz w:val="22"/>
          <w:szCs w:val="22"/>
          <w14:ligatures w14:val="none"/>
        </w:rPr>
        <w:t>).</w:t>
      </w:r>
    </w:p>
    <w:p w14:paraId="0123618E" w14:textId="77777777" w:rsidR="00A02C07" w:rsidRPr="00FB4E2D" w:rsidRDefault="00A02C07" w:rsidP="00A02C07">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Calibri" w:hAnsi="Times New Roman" w:cs="Times New Roman"/>
          <w:b/>
          <w:i/>
          <w:noProof/>
          <w:kern w:val="0"/>
          <w:sz w:val="22"/>
          <w:szCs w:val="22"/>
          <w14:ligatures w14:val="none"/>
        </w:rPr>
      </w:pPr>
      <w:r w:rsidRPr="00FB4E2D">
        <w:rPr>
          <w:rFonts w:ascii="Times New Roman" w:eastAsia="Calibri" w:hAnsi="Times New Roman" w:cs="Times New Roman"/>
          <w:b/>
          <w:i/>
          <w:noProof/>
          <w:kern w:val="0"/>
          <w:sz w:val="22"/>
          <w:szCs w:val="22"/>
          <w14:ligatures w14:val="none"/>
        </w:rPr>
        <w:t>How does the Commission support the implementation of good justice reforms through technical support?</w:t>
      </w:r>
    </w:p>
    <w:p w14:paraId="7D01E3D1" w14:textId="1B5434E2" w:rsidR="002D4339" w:rsidRPr="00FB4E2D" w:rsidRDefault="00A02C07" w:rsidP="00A02C07">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From 2021 to 2025</w:t>
      </w:r>
      <w:r w:rsidR="002942D8" w:rsidRPr="00FB4E2D">
        <w:rPr>
          <w:rFonts w:ascii="Times New Roman" w:eastAsia="Calibri" w:hAnsi="Times New Roman" w:cs="Times New Roman"/>
          <w:noProof/>
          <w:kern w:val="0"/>
          <w:sz w:val="22"/>
          <w:szCs w:val="22"/>
          <w14:ligatures w14:val="none"/>
        </w:rPr>
        <w:t>, the Technical Support Instrument (TSI) available through the Reform and Investment Task Force (SG REFORM)</w:t>
      </w:r>
      <w:r w:rsidRPr="00FB4E2D">
        <w:rPr>
          <w:rFonts w:ascii="Times New Roman" w:eastAsia="Calibri" w:hAnsi="Times New Roman" w:cs="Times New Roman"/>
          <w:noProof/>
          <w:kern w:val="0"/>
          <w:sz w:val="22"/>
          <w:szCs w:val="22"/>
          <w14:ligatures w14:val="none"/>
        </w:rPr>
        <w:t xml:space="preserve"> funded 36 projects, which included 43 reforms, to </w:t>
      </w:r>
      <w:r w:rsidR="002D4339" w:rsidRPr="00FB4E2D">
        <w:rPr>
          <w:rFonts w:ascii="Times New Roman" w:eastAsia="Calibri" w:hAnsi="Times New Roman" w:cs="Times New Roman"/>
          <w:noProof/>
          <w:kern w:val="0"/>
          <w:sz w:val="22"/>
          <w:szCs w:val="22"/>
          <w14:ligatures w14:val="none"/>
        </w:rPr>
        <w:t xml:space="preserve">help </w:t>
      </w:r>
      <w:r w:rsidRPr="00FB4E2D">
        <w:rPr>
          <w:rFonts w:ascii="Times New Roman" w:eastAsia="Calibri" w:hAnsi="Times New Roman" w:cs="Times New Roman"/>
          <w:noProof/>
          <w:kern w:val="0"/>
          <w:sz w:val="22"/>
          <w:szCs w:val="22"/>
          <w14:ligatures w14:val="none"/>
        </w:rPr>
        <w:t xml:space="preserve">20 Member States to implement their justice reforms. TSI has been supporting projects aiming to improve the quality and effectiveness of justice, such as leveraging technology to better manage case workflows and take a data-driven approach to allocate caseload and resources, facilitating access to justice for vulnerable groups, and enhancing the capacities of prosecution authorities for effective litigation of high profile and cross-border corruption cases. </w:t>
      </w:r>
    </w:p>
    <w:p w14:paraId="45622F25" w14:textId="6A0F01FC" w:rsidR="00A02C07" w:rsidRPr="00FB4E2D" w:rsidRDefault="00A02C07" w:rsidP="00A02C07">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The 2025 TSI call for proposal provided the platform for Member States to apply for support on digitalisation reforms like using technology to address mass litigation challenges and automate routine tasks to reduce manual effort and error, so that judges and administrative staff can focus on the more demanding tasks. The TSI also </w:t>
      </w:r>
      <w:r w:rsidR="00B92835" w:rsidRPr="00FB4E2D">
        <w:rPr>
          <w:rFonts w:ascii="Times New Roman" w:eastAsia="Calibri" w:hAnsi="Times New Roman" w:cs="Times New Roman"/>
          <w:noProof/>
          <w:kern w:val="0"/>
          <w:sz w:val="22"/>
          <w:szCs w:val="22"/>
          <w14:ligatures w14:val="none"/>
        </w:rPr>
        <w:t xml:space="preserve">supported </w:t>
      </w:r>
      <w:r w:rsidRPr="00FB4E2D">
        <w:rPr>
          <w:rFonts w:ascii="Times New Roman" w:eastAsia="Calibri" w:hAnsi="Times New Roman" w:cs="Times New Roman"/>
          <w:noProof/>
          <w:kern w:val="0"/>
          <w:sz w:val="22"/>
          <w:szCs w:val="22"/>
          <w14:ligatures w14:val="none"/>
        </w:rPr>
        <w:t>Member States in the implementation of their RRPs. The RRPs include actions on improving the effectiveness of justice, namely by digitalisation, reduction of backlogs, improvement of court and cases</w:t>
      </w:r>
      <w:r w:rsidR="00BD16CA" w:rsidRPr="00FB4E2D">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noProof/>
          <w:kern w:val="0"/>
          <w:sz w:val="22"/>
          <w:szCs w:val="22"/>
          <w14:ligatures w14:val="none"/>
        </w:rPr>
        <w:t>management and judicial map reform.</w:t>
      </w:r>
    </w:p>
    <w:p w14:paraId="62B77EE0" w14:textId="77777777" w:rsidR="00A02C07" w:rsidRPr="00FB4E2D" w:rsidRDefault="00A02C07" w:rsidP="00A02C07">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Calibri" w:hAnsi="Times New Roman" w:cs="Times New Roman"/>
          <w:b/>
          <w:i/>
          <w:noProof/>
          <w:kern w:val="0"/>
          <w:sz w:val="22"/>
          <w:szCs w:val="22"/>
          <w14:ligatures w14:val="none"/>
        </w:rPr>
      </w:pPr>
      <w:r w:rsidRPr="00FB4E2D">
        <w:rPr>
          <w:rFonts w:ascii="Times New Roman" w:eastAsia="Calibri" w:hAnsi="Times New Roman" w:cs="Times New Roman"/>
          <w:b/>
          <w:i/>
          <w:noProof/>
          <w:kern w:val="0"/>
          <w:sz w:val="22"/>
          <w:szCs w:val="22"/>
          <w14:ligatures w14:val="none"/>
        </w:rPr>
        <w:t>How does the justice programme support the effectiveness of justice systems?</w:t>
      </w:r>
    </w:p>
    <w:p w14:paraId="5B58B9DD" w14:textId="535DB37C" w:rsidR="00073D4D" w:rsidRPr="00FB4E2D" w:rsidRDefault="00A02C07" w:rsidP="00073D4D">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With a total budget of around EUR 305 million for 2021 to 2027, the </w:t>
      </w:r>
      <w:r w:rsidR="00BD16CA" w:rsidRPr="00FB4E2D">
        <w:rPr>
          <w:rFonts w:ascii="Times New Roman" w:eastAsia="Calibri" w:hAnsi="Times New Roman" w:cs="Times New Roman"/>
          <w:noProof/>
          <w:kern w:val="0"/>
          <w:sz w:val="22"/>
          <w:szCs w:val="22"/>
          <w14:ligatures w14:val="none"/>
        </w:rPr>
        <w:t>j</w:t>
      </w:r>
      <w:r w:rsidRPr="00FB4E2D">
        <w:rPr>
          <w:rFonts w:ascii="Times New Roman" w:eastAsia="Calibri" w:hAnsi="Times New Roman" w:cs="Times New Roman"/>
          <w:noProof/>
          <w:kern w:val="0"/>
          <w:sz w:val="22"/>
          <w:szCs w:val="22"/>
          <w14:ligatures w14:val="none"/>
        </w:rPr>
        <w:t xml:space="preserve">ustice </w:t>
      </w:r>
      <w:r w:rsidR="00BD16CA" w:rsidRPr="00FB4E2D">
        <w:rPr>
          <w:rFonts w:ascii="Times New Roman" w:eastAsia="Calibri" w:hAnsi="Times New Roman" w:cs="Times New Roman"/>
          <w:noProof/>
          <w:kern w:val="0"/>
          <w:sz w:val="22"/>
          <w:szCs w:val="22"/>
          <w14:ligatures w14:val="none"/>
        </w:rPr>
        <w:t>p</w:t>
      </w:r>
      <w:r w:rsidRPr="00FB4E2D">
        <w:rPr>
          <w:rFonts w:ascii="Times New Roman" w:eastAsia="Calibri" w:hAnsi="Times New Roman" w:cs="Times New Roman"/>
          <w:noProof/>
          <w:kern w:val="0"/>
          <w:sz w:val="22"/>
          <w:szCs w:val="22"/>
          <w14:ligatures w14:val="none"/>
        </w:rPr>
        <w:t xml:space="preserve">rogramme supports the further development of the European area of </w:t>
      </w:r>
      <w:r w:rsidR="00BD16CA" w:rsidRPr="00FB4E2D">
        <w:rPr>
          <w:rFonts w:ascii="Times New Roman" w:eastAsia="Calibri" w:hAnsi="Times New Roman" w:cs="Times New Roman"/>
          <w:noProof/>
          <w:kern w:val="0"/>
          <w:sz w:val="22"/>
          <w:szCs w:val="22"/>
          <w14:ligatures w14:val="none"/>
        </w:rPr>
        <w:t>j</w:t>
      </w:r>
      <w:r w:rsidRPr="00FB4E2D">
        <w:rPr>
          <w:rFonts w:ascii="Times New Roman" w:eastAsia="Calibri" w:hAnsi="Times New Roman" w:cs="Times New Roman"/>
          <w:noProof/>
          <w:kern w:val="0"/>
          <w:sz w:val="22"/>
          <w:szCs w:val="22"/>
          <w14:ligatures w14:val="none"/>
        </w:rPr>
        <w:t xml:space="preserve">ustice based on the rule of law including the independence, quality and efficiency of the justice system, based on mutual recognition and mutual trust and on judicial cooperation. In 2025, around EUR 40.7 million were provided to fund projects and other activities under </w:t>
      </w:r>
      <w:r w:rsidR="00073D4D" w:rsidRPr="00FB4E2D">
        <w:rPr>
          <w:rFonts w:ascii="Times New Roman" w:eastAsia="Calibri" w:hAnsi="Times New Roman" w:cs="Times New Roman"/>
          <w:noProof/>
          <w:kern w:val="0"/>
          <w:sz w:val="22"/>
          <w:szCs w:val="22"/>
          <w14:ligatures w14:val="none"/>
        </w:rPr>
        <w:t>the three specific objectives of the programme</w:t>
      </w:r>
      <w:r w:rsidR="00537BF5" w:rsidRPr="00FB4E2D">
        <w:rPr>
          <w:rFonts w:ascii="Times New Roman" w:eastAsia="Calibri" w:hAnsi="Times New Roman" w:cs="Times New Roman"/>
          <w:noProof/>
          <w:kern w:val="0"/>
          <w:sz w:val="22"/>
          <w:szCs w:val="22"/>
          <w14:ligatures w14:val="none"/>
        </w:rPr>
        <w:t xml:space="preserve">: </w:t>
      </w:r>
      <w:r w:rsidR="009C462E" w:rsidRPr="00FB4E2D">
        <w:rPr>
          <w:rFonts w:ascii="Times New Roman" w:eastAsia="Calibri" w:hAnsi="Times New Roman" w:cs="Times New Roman"/>
          <w:noProof/>
          <w:kern w:val="0"/>
          <w:sz w:val="22"/>
          <w:szCs w:val="22"/>
          <w14:ligatures w14:val="none"/>
        </w:rPr>
        <w:t xml:space="preserve">(i) </w:t>
      </w:r>
      <w:r w:rsidR="00A74280" w:rsidRPr="00FB4E2D">
        <w:rPr>
          <w:rFonts w:ascii="Times New Roman" w:eastAsia="Calibri" w:hAnsi="Times New Roman" w:cs="Times New Roman"/>
          <w:noProof/>
          <w:kern w:val="0"/>
          <w:sz w:val="22"/>
          <w:szCs w:val="22"/>
          <w14:ligatures w14:val="none"/>
        </w:rPr>
        <w:t>promot</w:t>
      </w:r>
      <w:r w:rsidR="009C462E" w:rsidRPr="00FB4E2D">
        <w:rPr>
          <w:rFonts w:ascii="Times New Roman" w:eastAsia="Calibri" w:hAnsi="Times New Roman" w:cs="Times New Roman"/>
          <w:noProof/>
          <w:kern w:val="0"/>
          <w:sz w:val="22"/>
          <w:szCs w:val="22"/>
          <w14:ligatures w14:val="none"/>
        </w:rPr>
        <w:t>ion</w:t>
      </w:r>
      <w:r w:rsidR="00A74280" w:rsidRPr="00FB4E2D">
        <w:rPr>
          <w:rFonts w:ascii="Times New Roman" w:eastAsia="Calibri" w:hAnsi="Times New Roman" w:cs="Times New Roman"/>
          <w:noProof/>
          <w:kern w:val="0"/>
          <w:sz w:val="22"/>
          <w:szCs w:val="22"/>
          <w14:ligatures w14:val="none"/>
        </w:rPr>
        <w:t xml:space="preserve"> </w:t>
      </w:r>
      <w:r w:rsidR="00AA54CF" w:rsidRPr="00FB4E2D">
        <w:rPr>
          <w:rFonts w:ascii="Times New Roman" w:eastAsia="Calibri" w:hAnsi="Times New Roman" w:cs="Times New Roman"/>
          <w:noProof/>
          <w:kern w:val="0"/>
          <w:sz w:val="22"/>
          <w:szCs w:val="22"/>
          <w14:ligatures w14:val="none"/>
        </w:rPr>
        <w:t xml:space="preserve">of </w:t>
      </w:r>
      <w:r w:rsidR="00A74280" w:rsidRPr="00FB4E2D">
        <w:rPr>
          <w:rFonts w:ascii="Times New Roman" w:eastAsia="Calibri" w:hAnsi="Times New Roman" w:cs="Times New Roman"/>
          <w:noProof/>
          <w:kern w:val="0"/>
          <w:sz w:val="22"/>
          <w:szCs w:val="22"/>
          <w14:ligatures w14:val="none"/>
        </w:rPr>
        <w:t xml:space="preserve">judicial cooperation in civil and criminal matters; </w:t>
      </w:r>
      <w:r w:rsidR="001E3291" w:rsidRPr="00FB4E2D">
        <w:rPr>
          <w:rFonts w:ascii="Times New Roman" w:eastAsia="Calibri" w:hAnsi="Times New Roman" w:cs="Times New Roman"/>
          <w:noProof/>
          <w:kern w:val="0"/>
          <w:sz w:val="22"/>
          <w:szCs w:val="22"/>
          <w14:ligatures w14:val="none"/>
        </w:rPr>
        <w:t>(ii) training of legal professionals on EU civil, criminal and fundamental rights law, legal systems of the Member States and the rule of law</w:t>
      </w:r>
      <w:r w:rsidR="00EE7136" w:rsidRPr="00FB4E2D">
        <w:rPr>
          <w:rFonts w:ascii="Times New Roman" w:eastAsia="Calibri" w:hAnsi="Times New Roman" w:cs="Times New Roman"/>
          <w:noProof/>
          <w:kern w:val="0"/>
          <w:sz w:val="22"/>
          <w:szCs w:val="22"/>
          <w14:ligatures w14:val="none"/>
        </w:rPr>
        <w:t xml:space="preserve">; </w:t>
      </w:r>
      <w:r w:rsidR="0038014B" w:rsidRPr="00FB4E2D">
        <w:rPr>
          <w:rFonts w:ascii="Times New Roman" w:eastAsia="Calibri" w:hAnsi="Times New Roman" w:cs="Times New Roman"/>
          <w:noProof/>
          <w:kern w:val="0"/>
          <w:sz w:val="22"/>
          <w:szCs w:val="22"/>
          <w14:ligatures w14:val="none"/>
        </w:rPr>
        <w:t>(iii) promot</w:t>
      </w:r>
      <w:r w:rsidR="00AA54CF" w:rsidRPr="00FB4E2D">
        <w:rPr>
          <w:rFonts w:ascii="Times New Roman" w:eastAsia="Calibri" w:hAnsi="Times New Roman" w:cs="Times New Roman"/>
          <w:noProof/>
          <w:kern w:val="0"/>
          <w:sz w:val="22"/>
          <w:szCs w:val="22"/>
          <w14:ligatures w14:val="none"/>
        </w:rPr>
        <w:t>ion</w:t>
      </w:r>
      <w:r w:rsidR="0038014B" w:rsidRPr="00FB4E2D">
        <w:rPr>
          <w:rFonts w:ascii="Times New Roman" w:eastAsia="Calibri" w:hAnsi="Times New Roman" w:cs="Times New Roman"/>
          <w:noProof/>
          <w:kern w:val="0"/>
          <w:sz w:val="22"/>
          <w:szCs w:val="22"/>
          <w14:ligatures w14:val="none"/>
        </w:rPr>
        <w:t xml:space="preserve"> </w:t>
      </w:r>
      <w:r w:rsidR="00AA54CF" w:rsidRPr="00FB4E2D">
        <w:rPr>
          <w:rFonts w:ascii="Times New Roman" w:eastAsia="Calibri" w:hAnsi="Times New Roman" w:cs="Times New Roman"/>
          <w:noProof/>
          <w:kern w:val="0"/>
          <w:sz w:val="22"/>
          <w:szCs w:val="22"/>
          <w14:ligatures w14:val="none"/>
        </w:rPr>
        <w:t>of</w:t>
      </w:r>
      <w:r w:rsidR="0038014B" w:rsidRPr="00FB4E2D">
        <w:rPr>
          <w:rFonts w:ascii="Times New Roman" w:eastAsia="Calibri" w:hAnsi="Times New Roman" w:cs="Times New Roman"/>
          <w:noProof/>
          <w:kern w:val="0"/>
          <w:sz w:val="22"/>
          <w:szCs w:val="22"/>
          <w14:ligatures w14:val="none"/>
        </w:rPr>
        <w:t xml:space="preserve"> access to justice (including e-Justice); protect</w:t>
      </w:r>
      <w:r w:rsidR="00AA54CF" w:rsidRPr="00FB4E2D">
        <w:rPr>
          <w:rFonts w:ascii="Times New Roman" w:eastAsia="Calibri" w:hAnsi="Times New Roman" w:cs="Times New Roman"/>
          <w:noProof/>
          <w:kern w:val="0"/>
          <w:sz w:val="22"/>
          <w:szCs w:val="22"/>
          <w14:ligatures w14:val="none"/>
        </w:rPr>
        <w:t>ion of</w:t>
      </w:r>
      <w:r w:rsidR="0038014B" w:rsidRPr="00FB4E2D">
        <w:rPr>
          <w:rFonts w:ascii="Times New Roman" w:eastAsia="Calibri" w:hAnsi="Times New Roman" w:cs="Times New Roman"/>
          <w:noProof/>
          <w:kern w:val="0"/>
          <w:sz w:val="22"/>
          <w:szCs w:val="22"/>
          <w14:ligatures w14:val="none"/>
        </w:rPr>
        <w:t xml:space="preserve"> victims’ rights and the rights of persons suspected or accused of crime; and support </w:t>
      </w:r>
      <w:r w:rsidR="00EF1B0F" w:rsidRPr="00FB4E2D">
        <w:rPr>
          <w:rFonts w:ascii="Times New Roman" w:eastAsia="Calibri" w:hAnsi="Times New Roman" w:cs="Times New Roman"/>
          <w:noProof/>
          <w:kern w:val="0"/>
          <w:sz w:val="22"/>
          <w:szCs w:val="22"/>
          <w14:ligatures w14:val="none"/>
        </w:rPr>
        <w:t xml:space="preserve">to </w:t>
      </w:r>
      <w:r w:rsidR="0038014B" w:rsidRPr="00FB4E2D">
        <w:rPr>
          <w:rFonts w:ascii="Times New Roman" w:eastAsia="Calibri" w:hAnsi="Times New Roman" w:cs="Times New Roman"/>
          <w:noProof/>
          <w:kern w:val="0"/>
          <w:sz w:val="22"/>
          <w:szCs w:val="22"/>
          <w14:ligatures w14:val="none"/>
        </w:rPr>
        <w:t>the development and use of digital tools and the maintenance and extension of the e-Justice portal</w:t>
      </w:r>
      <w:r w:rsidR="00073D4D" w:rsidRPr="00FB4E2D">
        <w:rPr>
          <w:rFonts w:ascii="Times New Roman" w:eastAsia="Calibri" w:hAnsi="Times New Roman" w:cs="Times New Roman"/>
          <w:noProof/>
          <w:kern w:val="0"/>
          <w:sz w:val="22"/>
          <w:szCs w:val="22"/>
          <w14:ligatures w14:val="none"/>
        </w:rPr>
        <w:t>.</w:t>
      </w:r>
    </w:p>
    <w:p w14:paraId="5B5357FF" w14:textId="77777777" w:rsidR="00A02C07" w:rsidRPr="00FB4E2D" w:rsidRDefault="00A02C07" w:rsidP="00073D4D">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b/>
          <w:i/>
          <w:noProof/>
          <w:kern w:val="0"/>
          <w:sz w:val="22"/>
          <w:szCs w:val="22"/>
          <w14:ligatures w14:val="none"/>
        </w:rPr>
      </w:pPr>
      <w:r w:rsidRPr="00FB4E2D">
        <w:rPr>
          <w:rFonts w:ascii="Times New Roman" w:eastAsia="Calibri" w:hAnsi="Times New Roman" w:cs="Times New Roman"/>
          <w:b/>
          <w:i/>
          <w:noProof/>
          <w:kern w:val="0"/>
          <w:sz w:val="22"/>
          <w:szCs w:val="22"/>
          <w14:ligatures w14:val="none"/>
        </w:rPr>
        <w:t>Why does the Commission monitor the digitalisation of national justice systems?</w:t>
      </w:r>
    </w:p>
    <w:p w14:paraId="2763B020" w14:textId="38074208"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The digitalisation of justice is key to increasing the </w:t>
      </w:r>
      <w:r w:rsidR="00C12C55" w:rsidRPr="00FB4E2D">
        <w:rPr>
          <w:rFonts w:ascii="Times New Roman" w:eastAsia="Calibri" w:hAnsi="Times New Roman" w:cs="Times New Roman"/>
          <w:noProof/>
          <w:kern w:val="0"/>
          <w:sz w:val="22"/>
          <w:szCs w:val="22"/>
          <w14:ligatures w14:val="none"/>
        </w:rPr>
        <w:t>efficiency, quality</w:t>
      </w:r>
      <w:r w:rsidRPr="00FB4E2D">
        <w:rPr>
          <w:rFonts w:ascii="Times New Roman" w:eastAsia="Calibri" w:hAnsi="Times New Roman" w:cs="Times New Roman"/>
          <w:noProof/>
          <w:kern w:val="0"/>
          <w:sz w:val="22"/>
          <w:szCs w:val="22"/>
          <w14:ligatures w14:val="none"/>
        </w:rPr>
        <w:t xml:space="preserve"> and resilience of justice systems</w:t>
      </w:r>
      <w:r w:rsidR="005A6E83"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 xml:space="preserve"> </w:t>
      </w:r>
      <w:r w:rsidR="00260FF1" w:rsidRPr="00FB4E2D">
        <w:rPr>
          <w:rFonts w:ascii="Times New Roman" w:eastAsia="Calibri" w:hAnsi="Times New Roman" w:cs="Times New Roman"/>
          <w:noProof/>
          <w:kern w:val="0"/>
          <w:sz w:val="22"/>
          <w:szCs w:val="22"/>
          <w14:ligatures w14:val="none"/>
        </w:rPr>
        <w:t>while facilitating access to justice</w:t>
      </w:r>
      <w:r w:rsidRPr="00FB4E2D">
        <w:rPr>
          <w:rFonts w:ascii="Times New Roman" w:eastAsia="Calibri" w:hAnsi="Times New Roman" w:cs="Times New Roman"/>
          <w:noProof/>
          <w:kern w:val="0"/>
          <w:sz w:val="22"/>
          <w:szCs w:val="22"/>
          <w14:ligatures w14:val="none"/>
        </w:rPr>
        <w:t>. Digital tools also enhance judicial cooperation. Following the COVID-19 pandemic, Member States accelerated modernisation reforms in this area. Artificial Intelligence (</w:t>
      </w:r>
      <w:r w:rsidR="00881358">
        <w:rPr>
          <w:noProof/>
        </w:rPr>
        <w:t>‛</w:t>
      </w:r>
      <w:r w:rsidRPr="00FB4E2D">
        <w:rPr>
          <w:rFonts w:ascii="Times New Roman" w:eastAsia="Calibri" w:hAnsi="Times New Roman" w:cs="Times New Roman"/>
          <w:noProof/>
          <w:kern w:val="0"/>
          <w:sz w:val="22"/>
          <w:szCs w:val="22"/>
          <w14:ligatures w14:val="none"/>
        </w:rPr>
        <w:t>AI</w:t>
      </w:r>
      <w:r w:rsidR="00436327">
        <w:rPr>
          <w:noProof/>
        </w:rPr>
        <w:t>’</w:t>
      </w:r>
      <w:r w:rsidRPr="00FB4E2D">
        <w:rPr>
          <w:rFonts w:ascii="Times New Roman" w:eastAsia="Calibri" w:hAnsi="Times New Roman" w:cs="Times New Roman"/>
          <w:noProof/>
          <w:kern w:val="0"/>
          <w:sz w:val="22"/>
          <w:szCs w:val="22"/>
          <w14:ligatures w14:val="none"/>
        </w:rPr>
        <w:t>) is also increasingly being used in the field of justice (</w:t>
      </w:r>
      <w:r w:rsidRPr="00FB4E2D">
        <w:rPr>
          <w:rFonts w:ascii="Times New Roman" w:eastAsia="Calibri" w:hAnsi="Times New Roman" w:cs="Times New Roman"/>
          <w:noProof/>
          <w:kern w:val="0"/>
          <w:sz w:val="22"/>
          <w:szCs w:val="22"/>
          <w:vertAlign w:val="superscript"/>
          <w14:ligatures w14:val="none"/>
        </w:rPr>
        <w:footnoteReference w:id="44"/>
      </w:r>
      <w:r w:rsidRPr="00FB4E2D">
        <w:rPr>
          <w:rFonts w:ascii="Times New Roman" w:eastAsia="Calibri" w:hAnsi="Times New Roman" w:cs="Times New Roman"/>
          <w:noProof/>
          <w:kern w:val="0"/>
          <w:sz w:val="22"/>
          <w:szCs w:val="22"/>
          <w14:ligatures w14:val="none"/>
        </w:rPr>
        <w:t>).</w:t>
      </w:r>
    </w:p>
    <w:p w14:paraId="366870FA" w14:textId="2E9053DD"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Since 2013, the EU Justice Scoreboard has included comparative information on the digitalisation of justice across the Member States, for example in the areas of online access to judgments or online claim submission and follow-up. New data on the digitalisation of justice were added </w:t>
      </w:r>
      <w:r w:rsidR="00BD16CA" w:rsidRPr="00FB4E2D">
        <w:rPr>
          <w:rFonts w:ascii="Times New Roman" w:eastAsia="Calibri" w:hAnsi="Times New Roman" w:cs="Times New Roman"/>
          <w:noProof/>
          <w:kern w:val="0"/>
          <w:sz w:val="22"/>
          <w:szCs w:val="22"/>
          <w14:ligatures w14:val="none"/>
        </w:rPr>
        <w:t xml:space="preserve">in </w:t>
      </w:r>
      <w:r w:rsidRPr="00FB4E2D">
        <w:rPr>
          <w:rFonts w:ascii="Times New Roman" w:eastAsia="Calibri" w:hAnsi="Times New Roman" w:cs="Times New Roman"/>
          <w:noProof/>
          <w:kern w:val="0"/>
          <w:sz w:val="22"/>
          <w:szCs w:val="22"/>
          <w14:ligatures w14:val="none"/>
        </w:rPr>
        <w:t xml:space="preserve">consecutive years. </w:t>
      </w:r>
    </w:p>
    <w:p w14:paraId="23F7BEDB" w14:textId="77777777" w:rsidR="00BD16CA"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Regulation (EU) 2023/2844 on digitalisation of cross-border judicial cooperation in civil, commercial and criminal matters </w:t>
      </w:r>
      <w:r w:rsidRPr="00FB4E2D">
        <w:rPr>
          <w:rFonts w:ascii="Times New Roman" w:eastAsia="Calibri" w:hAnsi="Times New Roman" w:cs="Times New Roman"/>
          <w:noProof/>
          <w:kern w:val="0"/>
          <w14:ligatures w14:val="none"/>
        </w:rPr>
        <w:t>(</w:t>
      </w:r>
      <w:r w:rsidRPr="00FB4E2D">
        <w:rPr>
          <w:rFonts w:ascii="Times New Roman" w:eastAsia="Yu Mincho" w:hAnsi="Times New Roman" w:cs="Times New Roman"/>
          <w:noProof/>
          <w:kern w:val="0"/>
          <w:vertAlign w:val="superscript"/>
          <w14:ligatures w14:val="none"/>
        </w:rPr>
        <w:footnoteReference w:id="45"/>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noProof/>
          <w:kern w:val="0"/>
          <w:sz w:val="22"/>
          <w:szCs w:val="22"/>
          <w14:ligatures w14:val="none"/>
        </w:rPr>
        <w:t xml:space="preserve"> entitles natural and legal persons to communicate electronically with the competent judicial authorities in the context of cross-border proceedings, as well as to pay court fees electronically.</w:t>
      </w:r>
    </w:p>
    <w:p w14:paraId="5FC2E6E2" w14:textId="226598DC" w:rsidR="00A02C07" w:rsidRPr="00FB4E2D" w:rsidRDefault="00A02C07" w:rsidP="00A02C07">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noProof/>
          <w:kern w:val="0"/>
          <w:sz w:val="22"/>
          <w:szCs w:val="22"/>
          <w14:ligatures w14:val="none"/>
        </w:rPr>
        <w:t xml:space="preserve"> The Regulation also </w:t>
      </w:r>
      <w:r w:rsidR="00312152" w:rsidRPr="00FB4E2D">
        <w:rPr>
          <w:rFonts w:ascii="Times New Roman" w:eastAsia="Calibri" w:hAnsi="Times New Roman" w:cs="Times New Roman"/>
          <w:noProof/>
          <w:kern w:val="0"/>
          <w:sz w:val="22"/>
          <w:szCs w:val="22"/>
          <w14:ligatures w14:val="none"/>
        </w:rPr>
        <w:t>created</w:t>
      </w:r>
      <w:r w:rsidRPr="00FB4E2D">
        <w:rPr>
          <w:rFonts w:ascii="Times New Roman" w:eastAsia="Calibri" w:hAnsi="Times New Roman" w:cs="Times New Roman"/>
          <w:noProof/>
          <w:kern w:val="0"/>
          <w:sz w:val="22"/>
          <w:szCs w:val="22"/>
          <w14:ligatures w14:val="none"/>
        </w:rPr>
        <w:t xml:space="preserve"> a legal basis for conducting videoconferencing in cross-border civil, commercial and criminal matters. A digital communication channel to be used for the exchange of data between the competent judicial authorities is also being set up. </w:t>
      </w:r>
      <w:r w:rsidR="00B60A6F" w:rsidRPr="00FB4E2D">
        <w:rPr>
          <w:rFonts w:ascii="Times New Roman" w:eastAsia="Calibri" w:hAnsi="Times New Roman" w:cs="Times New Roman"/>
          <w:noProof/>
          <w:kern w:val="0"/>
          <w:sz w:val="22"/>
          <w:szCs w:val="22"/>
          <w14:ligatures w14:val="none"/>
        </w:rPr>
        <w:t xml:space="preserve">In this context, the EU </w:t>
      </w:r>
      <w:r w:rsidRPr="00FB4E2D">
        <w:rPr>
          <w:rFonts w:ascii="Times New Roman" w:eastAsia="Calibri" w:hAnsi="Times New Roman" w:cs="Times New Roman"/>
          <w:noProof/>
          <w:kern w:val="0"/>
          <w:sz w:val="22"/>
          <w:szCs w:val="22"/>
          <w14:ligatures w14:val="none"/>
        </w:rPr>
        <w:t xml:space="preserve">Justice Scoreboard monitors the progress achieved by Member States in </w:t>
      </w:r>
      <w:r w:rsidR="00BD16CA" w:rsidRPr="00FB4E2D">
        <w:rPr>
          <w:rFonts w:ascii="Times New Roman" w:eastAsia="Calibri" w:hAnsi="Times New Roman" w:cs="Times New Roman"/>
          <w:noProof/>
          <w:kern w:val="0"/>
          <w:sz w:val="22"/>
          <w:szCs w:val="22"/>
          <w14:ligatures w14:val="none"/>
        </w:rPr>
        <w:t>implementing</w:t>
      </w:r>
      <w:r w:rsidRPr="00FB4E2D">
        <w:rPr>
          <w:rFonts w:ascii="Times New Roman" w:eastAsia="Calibri" w:hAnsi="Times New Roman" w:cs="Times New Roman"/>
          <w:noProof/>
          <w:kern w:val="0"/>
          <w:sz w:val="22"/>
          <w:szCs w:val="22"/>
          <w14:ligatures w14:val="none"/>
        </w:rPr>
        <w:t xml:space="preserve"> the Regulation and us</w:t>
      </w:r>
      <w:r w:rsidR="00BD16CA" w:rsidRPr="00FB4E2D">
        <w:rPr>
          <w:rFonts w:ascii="Times New Roman" w:eastAsia="Calibri" w:hAnsi="Times New Roman" w:cs="Times New Roman"/>
          <w:noProof/>
          <w:kern w:val="0"/>
          <w:sz w:val="22"/>
          <w:szCs w:val="22"/>
          <w14:ligatures w14:val="none"/>
        </w:rPr>
        <w:t>ing</w:t>
      </w:r>
      <w:r w:rsidRPr="00FB4E2D">
        <w:rPr>
          <w:rFonts w:ascii="Times New Roman" w:eastAsia="Calibri" w:hAnsi="Times New Roman" w:cs="Times New Roman"/>
          <w:noProof/>
          <w:kern w:val="0"/>
          <w:sz w:val="22"/>
          <w:szCs w:val="22"/>
          <w14:ligatures w14:val="none"/>
        </w:rPr>
        <w:t xml:space="preserve"> videoconferencing.</w:t>
      </w:r>
    </w:p>
    <w:p w14:paraId="5320518E" w14:textId="624E1344" w:rsidR="00A02C07" w:rsidRPr="00FB4E2D" w:rsidRDefault="00A42D84" w:rsidP="00A02C07">
      <w:pPr>
        <w:pBdr>
          <w:top w:val="single" w:sz="4" w:space="1" w:color="auto"/>
          <w:left w:val="single" w:sz="4" w:space="4" w:color="auto"/>
          <w:bottom w:val="single" w:sz="4" w:space="1" w:color="auto"/>
          <w:right w:val="single" w:sz="4" w:space="4" w:color="auto"/>
        </w:pBdr>
        <w:spacing w:after="120" w:line="259" w:lineRule="auto"/>
        <w:jc w:val="both"/>
        <w:rPr>
          <w:rFonts w:ascii="Times New Roman" w:eastAsia="Calibri" w:hAnsi="Times New Roman" w:cs="Times New Roman"/>
          <w:noProof/>
          <w:kern w:val="0"/>
          <w:sz w:val="22"/>
          <w:szCs w:val="22"/>
          <w14:ligatures w14:val="none"/>
        </w:rPr>
      </w:pPr>
      <w:bookmarkStart w:id="4" w:name="_Hlk201228549"/>
      <w:r w:rsidRPr="00FB4E2D">
        <w:rPr>
          <w:rFonts w:ascii="Times New Roman" w:eastAsia="Calibri" w:hAnsi="Times New Roman" w:cs="Times New Roman"/>
          <w:noProof/>
          <w:kern w:val="0"/>
          <w:sz w:val="22"/>
          <w:szCs w:val="22"/>
          <w14:ligatures w14:val="none"/>
        </w:rPr>
        <w:t xml:space="preserve"> Key findings </w:t>
      </w:r>
      <w:r w:rsidR="00A02C07" w:rsidRPr="00FB4E2D">
        <w:rPr>
          <w:rFonts w:ascii="Times New Roman" w:eastAsia="Calibri" w:hAnsi="Times New Roman" w:cs="Times New Roman"/>
          <w:noProof/>
          <w:kern w:val="0"/>
          <w:sz w:val="22"/>
          <w:szCs w:val="22"/>
          <w14:ligatures w14:val="none"/>
        </w:rPr>
        <w:t>from</w:t>
      </w:r>
      <w:r w:rsidRPr="00FB4E2D">
        <w:rPr>
          <w:rFonts w:ascii="Times New Roman" w:eastAsia="Calibri" w:hAnsi="Times New Roman" w:cs="Times New Roman"/>
          <w:noProof/>
          <w:kern w:val="0"/>
          <w:sz w:val="22"/>
          <w:szCs w:val="22"/>
          <w14:ligatures w14:val="none"/>
        </w:rPr>
        <w:t xml:space="preserve"> </w:t>
      </w:r>
      <w:r w:rsidR="00A02C07" w:rsidRPr="00FB4E2D">
        <w:rPr>
          <w:rFonts w:ascii="Times New Roman" w:eastAsia="Calibri" w:hAnsi="Times New Roman" w:cs="Times New Roman"/>
          <w:noProof/>
          <w:kern w:val="0"/>
          <w:sz w:val="22"/>
          <w:szCs w:val="22"/>
          <w14:ligatures w14:val="none"/>
        </w:rPr>
        <w:t>the EU Justice Scoreboard contributed to the Digital Justice@2030 strategy for 2025–2030 on the use of digital technologies, to make EU civil and criminal justice systems more efficient, resilient and secure</w:t>
      </w:r>
      <w:bookmarkEnd w:id="4"/>
      <w:r w:rsidR="00A02C07" w:rsidRPr="00FB4E2D">
        <w:rPr>
          <w:rFonts w:ascii="Times New Roman" w:eastAsia="Calibri" w:hAnsi="Times New Roman" w:cs="Times New Roman"/>
          <w:noProof/>
          <w:kern w:val="0"/>
          <w:sz w:val="22"/>
          <w:szCs w:val="22"/>
          <w14:ligatures w14:val="none"/>
        </w:rPr>
        <w:t xml:space="preserve"> (</w:t>
      </w:r>
      <w:r w:rsidR="00A02C07" w:rsidRPr="00FB4E2D">
        <w:rPr>
          <w:rFonts w:ascii="Times New Roman" w:eastAsia="Calibri" w:hAnsi="Times New Roman" w:cs="Times New Roman"/>
          <w:noProof/>
          <w:kern w:val="0"/>
          <w:sz w:val="22"/>
          <w:szCs w:val="22"/>
          <w:vertAlign w:val="superscript"/>
          <w14:ligatures w14:val="none"/>
        </w:rPr>
        <w:footnoteReference w:id="46"/>
      </w:r>
      <w:r w:rsidR="00A02C07" w:rsidRPr="00FB4E2D">
        <w:rPr>
          <w:rFonts w:ascii="Times New Roman" w:eastAsia="Calibri" w:hAnsi="Times New Roman" w:cs="Times New Roman"/>
          <w:noProof/>
          <w:kern w:val="0"/>
          <w:sz w:val="22"/>
          <w:szCs w:val="22"/>
          <w14:ligatures w14:val="none"/>
        </w:rPr>
        <w:t>).</w:t>
      </w:r>
    </w:p>
    <w:p w14:paraId="19E58C2E" w14:textId="77777777" w:rsidR="00A02C07" w:rsidRPr="00FB4E2D" w:rsidRDefault="00A02C07" w:rsidP="00A02C07">
      <w:pPr>
        <w:spacing w:line="259" w:lineRule="auto"/>
        <w:rPr>
          <w:rFonts w:ascii="Times New Roman" w:eastAsia="Times New Roman" w:hAnsi="Times New Roman" w:cs="Times New Roman"/>
          <w:b/>
          <w:smallCaps/>
          <w:noProof/>
          <w:kern w:val="0"/>
          <w14:ligatures w14:val="none"/>
        </w:rPr>
      </w:pPr>
      <w:bookmarkStart w:id="5" w:name="_Toc443484746"/>
      <w:bookmarkStart w:id="6" w:name="_Toc443509487"/>
      <w:bookmarkStart w:id="7" w:name="_Toc446014816"/>
      <w:r w:rsidRPr="00FB4E2D">
        <w:rPr>
          <w:rFonts w:ascii="Times New Roman" w:eastAsia="Times New Roman" w:hAnsi="Times New Roman" w:cs="Times New Roman"/>
          <w:b/>
          <w:smallCaps/>
          <w:noProof/>
          <w:kern w:val="0"/>
          <w14:ligatures w14:val="none"/>
        </w:rPr>
        <w:br w:type="page"/>
      </w:r>
    </w:p>
    <w:p w14:paraId="163F8127" w14:textId="77777777" w:rsidR="00A02C07" w:rsidRPr="00FB4E2D" w:rsidRDefault="00A02C07" w:rsidP="00A02C07">
      <w:pPr>
        <w:spacing w:line="259" w:lineRule="auto"/>
        <w:rPr>
          <w:rFonts w:ascii="Times New Roman" w:eastAsia="Times New Roman" w:hAnsi="Times New Roman" w:cs="Times New Roman"/>
          <w:b/>
          <w:smallCaps/>
          <w:noProof/>
          <w:kern w:val="0"/>
          <w14:ligatures w14:val="none"/>
        </w:rPr>
      </w:pPr>
    </w:p>
    <w:p w14:paraId="1D4A70BD" w14:textId="77777777" w:rsidR="00A02C07" w:rsidRPr="00FB4E2D" w:rsidRDefault="00A02C07" w:rsidP="001F4C99">
      <w:pPr>
        <w:keepNext/>
        <w:tabs>
          <w:tab w:val="left" w:pos="850"/>
        </w:tabs>
        <w:spacing w:before="120" w:after="120" w:line="240" w:lineRule="auto"/>
        <w:ind w:left="850" w:hanging="850"/>
        <w:jc w:val="both"/>
        <w:outlineLvl w:val="0"/>
        <w:rPr>
          <w:rFonts w:ascii="Times New Roman" w:eastAsia="Times New Roman" w:hAnsi="Times New Roman" w:cs="Times New Roman"/>
          <w:b/>
          <w:smallCaps/>
          <w:noProof/>
          <w:kern w:val="0"/>
          <w14:ligatures w14:val="none"/>
        </w:rPr>
      </w:pPr>
      <w:bookmarkStart w:id="8" w:name="_Toc409530215"/>
      <w:bookmarkStart w:id="9" w:name="_Toc438545665"/>
      <w:bookmarkStart w:id="10" w:name="_Toc438548315"/>
      <w:bookmarkStart w:id="11" w:name="_Toc438548501"/>
      <w:bookmarkStart w:id="12" w:name="_Toc440017691"/>
      <w:bookmarkStart w:id="13" w:name="_Toc440018075"/>
      <w:bookmarkStart w:id="14" w:name="_Toc440033373"/>
      <w:bookmarkStart w:id="15" w:name="_Toc440035224"/>
      <w:bookmarkStart w:id="16" w:name="_Toc440036519"/>
      <w:bookmarkStart w:id="17" w:name="_Toc440042461"/>
      <w:bookmarkStart w:id="18" w:name="_Toc440291115"/>
      <w:bookmarkStart w:id="19" w:name="_Toc440294678"/>
      <w:bookmarkStart w:id="20" w:name="_Toc440295180"/>
      <w:bookmarkStart w:id="21" w:name="_Toc440296585"/>
      <w:bookmarkStart w:id="22" w:name="_Toc440625069"/>
      <w:bookmarkStart w:id="23" w:name="_Toc440626399"/>
      <w:bookmarkStart w:id="24" w:name="_Toc440628853"/>
      <w:bookmarkStart w:id="25" w:name="_Toc441571125"/>
      <w:bookmarkStart w:id="26" w:name="_Toc441581627"/>
      <w:bookmarkStart w:id="27" w:name="_Toc441585894"/>
      <w:bookmarkStart w:id="28" w:name="_Toc441595829"/>
      <w:bookmarkStart w:id="29" w:name="_Toc441596006"/>
      <w:bookmarkStart w:id="30" w:name="_Toc441748131"/>
      <w:bookmarkStart w:id="31" w:name="_Toc441755416"/>
      <w:bookmarkStart w:id="32" w:name="_Toc441756453"/>
      <w:bookmarkStart w:id="33" w:name="_Toc441757497"/>
      <w:bookmarkStart w:id="34" w:name="_Toc441766626"/>
      <w:bookmarkStart w:id="35" w:name="_Toc441766965"/>
      <w:bookmarkStart w:id="36" w:name="_Toc442187966"/>
      <w:bookmarkStart w:id="37" w:name="_Toc442262058"/>
      <w:bookmarkStart w:id="38" w:name="_Toc442362465"/>
      <w:bookmarkStart w:id="39" w:name="_Toc442374801"/>
      <w:bookmarkStart w:id="40" w:name="_Toc442425941"/>
      <w:bookmarkStart w:id="41" w:name="_Toc442453067"/>
      <w:bookmarkStart w:id="42" w:name="_Toc443484747"/>
      <w:bookmarkStart w:id="43" w:name="_Toc443509488"/>
      <w:bookmarkStart w:id="44" w:name="_Toc446014817"/>
      <w:bookmarkEnd w:id="5"/>
      <w:bookmarkEnd w:id="6"/>
      <w:bookmarkEnd w:id="7"/>
      <w:r w:rsidRPr="00FB4E2D">
        <w:rPr>
          <w:rFonts w:ascii="Times New Roman" w:eastAsia="Times New Roman" w:hAnsi="Times New Roman" w:cs="Times New Roman"/>
          <w:b/>
          <w:smallCaps/>
          <w:noProof/>
          <w:kern w:val="0"/>
          <w14:ligatures w14:val="none"/>
        </w:rPr>
        <w:t>2.</w:t>
      </w:r>
      <w:r w:rsidRPr="00FB4E2D">
        <w:rPr>
          <w:rFonts w:ascii="Calibri" w:eastAsia="Yu Mincho" w:hAnsi="Calibri" w:cs="Arial"/>
          <w:noProof/>
          <w:kern w:val="0"/>
          <w:sz w:val="22"/>
          <w:szCs w:val="22"/>
          <w14:ligatures w14:val="none"/>
        </w:rPr>
        <w:tab/>
      </w:r>
      <w:r w:rsidRPr="00FB4E2D">
        <w:rPr>
          <w:rFonts w:ascii="Times New Roman" w:eastAsia="Times New Roman" w:hAnsi="Times New Roman" w:cs="Times New Roman"/>
          <w:b/>
          <w:smallCaps/>
          <w:noProof/>
          <w:kern w:val="0"/>
          <w14:ligatures w14:val="none"/>
        </w:rPr>
        <w:t>Key findings of the 2026 EU Justice Scoreboard</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4BD3C5A5" w14:textId="77777777"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Efficiency, quality and independence are the main parameters of an effective justice system. The Scoreboard presents indicators for each of these parameters.</w:t>
      </w:r>
    </w:p>
    <w:p w14:paraId="1652339E" w14:textId="77777777" w:rsidR="00A02C07" w:rsidRPr="00FB4E2D" w:rsidRDefault="00A02C07" w:rsidP="00A02C07">
      <w:pPr>
        <w:keepNext/>
        <w:spacing w:before="120" w:after="120" w:line="240" w:lineRule="auto"/>
        <w:jc w:val="both"/>
        <w:outlineLvl w:val="1"/>
        <w:rPr>
          <w:rFonts w:ascii="Times New Roman" w:eastAsia="Times New Roman" w:hAnsi="Times New Roman" w:cs="Times New Roman"/>
          <w:b/>
          <w:noProof/>
          <w:kern w:val="0"/>
          <w14:ligatures w14:val="none"/>
        </w:rPr>
      </w:pPr>
      <w:bookmarkStart w:id="45" w:name="_Toc409512289"/>
      <w:bookmarkStart w:id="46" w:name="_Toc409530217"/>
      <w:bookmarkStart w:id="47" w:name="_Toc438545667"/>
      <w:bookmarkStart w:id="48" w:name="_Toc438548317"/>
      <w:bookmarkStart w:id="49" w:name="_Toc438548503"/>
      <w:bookmarkStart w:id="50" w:name="_Toc440017693"/>
      <w:bookmarkStart w:id="51" w:name="_Toc440018077"/>
      <w:bookmarkStart w:id="52" w:name="_Toc440033375"/>
      <w:bookmarkStart w:id="53" w:name="_Toc440035226"/>
      <w:bookmarkStart w:id="54" w:name="_Toc440036521"/>
      <w:bookmarkStart w:id="55" w:name="_Toc440042463"/>
      <w:bookmarkStart w:id="56" w:name="_Toc440291116"/>
      <w:bookmarkStart w:id="57" w:name="_Toc440294679"/>
      <w:bookmarkStart w:id="58" w:name="_Toc440295181"/>
      <w:bookmarkStart w:id="59" w:name="_Toc440296586"/>
      <w:bookmarkStart w:id="60" w:name="_Toc440625070"/>
      <w:bookmarkStart w:id="61" w:name="_Toc440626400"/>
      <w:bookmarkStart w:id="62" w:name="_Toc440628854"/>
      <w:bookmarkStart w:id="63" w:name="_Toc441571126"/>
      <w:bookmarkStart w:id="64" w:name="_Toc441581628"/>
      <w:bookmarkStart w:id="65" w:name="_Toc441585895"/>
      <w:bookmarkStart w:id="66" w:name="_Toc441595830"/>
      <w:bookmarkStart w:id="67" w:name="_Toc441596007"/>
      <w:bookmarkStart w:id="68" w:name="_Toc441748132"/>
      <w:bookmarkStart w:id="69" w:name="_Toc441755417"/>
      <w:bookmarkStart w:id="70" w:name="_Toc441756454"/>
      <w:bookmarkStart w:id="71" w:name="_Toc441757498"/>
      <w:bookmarkStart w:id="72" w:name="_Toc441766627"/>
      <w:bookmarkStart w:id="73" w:name="_Toc441766966"/>
      <w:bookmarkStart w:id="74" w:name="_Toc442187967"/>
      <w:bookmarkStart w:id="75" w:name="_Toc442262059"/>
      <w:bookmarkStart w:id="76" w:name="_Toc442362466"/>
      <w:bookmarkStart w:id="77" w:name="_Toc442374802"/>
      <w:bookmarkStart w:id="78" w:name="_Toc442425942"/>
      <w:bookmarkStart w:id="79" w:name="_Toc442453068"/>
      <w:bookmarkStart w:id="80" w:name="_Toc443484748"/>
      <w:bookmarkStart w:id="81" w:name="_Toc443509489"/>
      <w:bookmarkStart w:id="82" w:name="_Toc446014818"/>
      <w:r w:rsidRPr="00FB4E2D">
        <w:rPr>
          <w:rFonts w:ascii="Times New Roman" w:eastAsia="Times New Roman" w:hAnsi="Times New Roman" w:cs="Times New Roman"/>
          <w:b/>
          <w:noProof/>
          <w:kern w:val="0"/>
          <w14:ligatures w14:val="none"/>
        </w:rPr>
        <w:t>2.1. Efficiency of justice systems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6A9304B8" w14:textId="18DDEBE5"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Scoreboard presents indicators for the efficiency of proceedings in the broad areas of civil, commercial and administrative </w:t>
      </w:r>
      <w:r w:rsidRPr="00FB4E2D" w:rsidDel="002C2ED7">
        <w:rPr>
          <w:rFonts w:ascii="Times New Roman" w:eastAsia="Times New Roman" w:hAnsi="Times New Roman" w:cs="Times New Roman"/>
          <w:noProof/>
          <w:kern w:val="0"/>
          <w14:ligatures w14:val="none"/>
        </w:rPr>
        <w:t>cases</w:t>
      </w:r>
      <w:r w:rsidR="00321B5B" w:rsidRPr="00FB4E2D">
        <w:rPr>
          <w:rFonts w:ascii="Times New Roman" w:eastAsia="Times New Roman" w:hAnsi="Times New Roman" w:cs="Times New Roman"/>
          <w:noProof/>
          <w:kern w:val="0"/>
          <w14:ligatures w14:val="none"/>
        </w:rPr>
        <w:t>,</w:t>
      </w:r>
      <w:r w:rsidRPr="00FB4E2D" w:rsidDel="002C2ED7">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and in specific areas where administrative authorities and courts apply EU law (</w:t>
      </w:r>
      <w:r w:rsidRPr="00FB4E2D">
        <w:rPr>
          <w:rFonts w:ascii="Times New Roman" w:eastAsia="Times New Roman" w:hAnsi="Times New Roman" w:cs="Times New Roman"/>
          <w:noProof/>
          <w:kern w:val="0"/>
          <w:vertAlign w:val="superscript"/>
          <w14:ligatures w14:val="none"/>
        </w:rPr>
        <w:footnoteReference w:id="47"/>
      </w:r>
      <w:r w:rsidRPr="00FB4E2D">
        <w:rPr>
          <w:rFonts w:ascii="Times New Roman" w:eastAsia="Times New Roman" w:hAnsi="Times New Roman" w:cs="Times New Roman"/>
          <w:noProof/>
          <w:kern w:val="0"/>
          <w14:ligatures w14:val="none"/>
        </w:rPr>
        <w:t xml:space="preserve">). </w:t>
      </w:r>
    </w:p>
    <w:p w14:paraId="2528FC42" w14:textId="77777777" w:rsidR="00A02C07" w:rsidRPr="00FB4E2D" w:rsidRDefault="00A02C07" w:rsidP="00A02C07">
      <w:pPr>
        <w:keepNext/>
        <w:spacing w:before="120" w:after="120" w:line="240" w:lineRule="auto"/>
        <w:jc w:val="both"/>
        <w:outlineLvl w:val="2"/>
        <w:rPr>
          <w:rFonts w:ascii="Times New Roman" w:eastAsia="Times New Roman" w:hAnsi="Times New Roman" w:cs="Times New Roman"/>
          <w:b/>
          <w:bCs/>
          <w:noProof/>
          <w:kern w:val="0"/>
          <w14:ligatures w14:val="none"/>
        </w:rPr>
      </w:pPr>
      <w:r w:rsidRPr="00FB4E2D">
        <w:rPr>
          <w:rFonts w:ascii="Times New Roman" w:eastAsia="Times New Roman" w:hAnsi="Times New Roman" w:cs="Times New Roman"/>
          <w:b/>
          <w:bCs/>
          <w:noProof/>
          <w:kern w:val="0"/>
          <w14:ligatures w14:val="none"/>
        </w:rPr>
        <w:t>2.1.1.</w:t>
      </w:r>
      <w:r w:rsidRPr="00FB4E2D">
        <w:rPr>
          <w:rFonts w:ascii="Times New Roman" w:eastAsia="Times New Roman" w:hAnsi="Times New Roman" w:cs="Times New Roman"/>
          <w:b/>
          <w:bCs/>
          <w:noProof/>
          <w:kern w:val="0"/>
          <w:sz w:val="18"/>
          <w:szCs w:val="18"/>
          <w14:ligatures w14:val="none"/>
        </w:rPr>
        <w:t> </w:t>
      </w:r>
      <w:r w:rsidRPr="00FB4E2D">
        <w:rPr>
          <w:rFonts w:ascii="Times New Roman" w:eastAsia="Times New Roman" w:hAnsi="Times New Roman" w:cs="Times New Roman"/>
          <w:b/>
          <w:bCs/>
          <w:noProof/>
          <w:kern w:val="0"/>
          <w14:ligatures w14:val="none"/>
        </w:rPr>
        <w:t xml:space="preserve">Summary </w:t>
      </w:r>
      <w:r w:rsidRPr="00FB4E2D" w:rsidDel="00B957D2">
        <w:rPr>
          <w:rFonts w:ascii="Times New Roman" w:eastAsia="Times New Roman" w:hAnsi="Times New Roman" w:cs="Times New Roman"/>
          <w:b/>
          <w:bCs/>
          <w:noProof/>
          <w:kern w:val="0"/>
          <w14:ligatures w14:val="none"/>
        </w:rPr>
        <w:t xml:space="preserve">on </w:t>
      </w:r>
      <w:r w:rsidRPr="00FB4E2D">
        <w:rPr>
          <w:rFonts w:ascii="Times New Roman" w:eastAsia="Times New Roman" w:hAnsi="Times New Roman" w:cs="Times New Roman"/>
          <w:b/>
          <w:bCs/>
          <w:noProof/>
          <w:kern w:val="0"/>
          <w14:ligatures w14:val="none"/>
        </w:rPr>
        <w:t>the efficiency of justice systems</w:t>
      </w:r>
    </w:p>
    <w:tbl>
      <w:tblPr>
        <w:tblpPr w:leftFromText="180" w:rightFromText="180" w:vertAnchor="text" w:horzAnchor="margin" w:tblpY="1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A02C07" w:rsidRPr="00FB4E2D" w14:paraId="6A091089" w14:textId="77777777" w:rsidTr="008F28F9">
        <w:trPr>
          <w:trHeight w:val="614"/>
        </w:trPr>
        <w:tc>
          <w:tcPr>
            <w:tcW w:w="9576" w:type="dxa"/>
            <w:tcBorders>
              <w:top w:val="single" w:sz="4" w:space="0" w:color="auto"/>
              <w:left w:val="single" w:sz="4" w:space="0" w:color="auto"/>
              <w:bottom w:val="single" w:sz="4" w:space="0" w:color="auto"/>
              <w:right w:val="single" w:sz="4" w:space="0" w:color="auto"/>
            </w:tcBorders>
          </w:tcPr>
          <w:p w14:paraId="30623BA8" w14:textId="46C467E1" w:rsidR="00A02C07" w:rsidRPr="00FB4E2D" w:rsidRDefault="00A02C07" w:rsidP="00A02C07">
            <w:pPr>
              <w:spacing w:after="60" w:line="240" w:lineRule="auto"/>
              <w:jc w:val="both"/>
              <w:rPr>
                <w:rFonts w:ascii="Times New Roman" w:eastAsia="Times New Roman" w:hAnsi="Times New Roman" w:cs="Times New Roman"/>
                <w:noProof/>
                <w:kern w:val="0"/>
                <w:szCs w:val="22"/>
                <w14:ligatures w14:val="none"/>
              </w:rPr>
            </w:pPr>
            <w:r w:rsidRPr="00FB4E2D">
              <w:rPr>
                <w:rFonts w:ascii="Times New Roman" w:eastAsia="Times New Roman" w:hAnsi="Times New Roman" w:cs="Times New Roman"/>
                <w:noProof/>
                <w:kern w:val="0"/>
                <w14:ligatures w14:val="none"/>
              </w:rPr>
              <w:t xml:space="preserve">An efficient justice system </w:t>
            </w:r>
            <w:r w:rsidRPr="00FB4E2D" w:rsidDel="00A507B7">
              <w:rPr>
                <w:rFonts w:ascii="Times New Roman" w:eastAsia="Times New Roman" w:hAnsi="Times New Roman" w:cs="Times New Roman"/>
                <w:noProof/>
                <w:kern w:val="0"/>
                <w14:ligatures w14:val="none"/>
              </w:rPr>
              <w:t xml:space="preserve">manages </w:t>
            </w:r>
            <w:r w:rsidRPr="00FB4E2D">
              <w:rPr>
                <w:rFonts w:ascii="Times New Roman" w:eastAsia="Times New Roman" w:hAnsi="Times New Roman" w:cs="Times New Roman"/>
                <w:noProof/>
                <w:kern w:val="0"/>
                <w14:ligatures w14:val="none"/>
              </w:rPr>
              <w:t xml:space="preserve">its caseload and backlog of cases, and </w:t>
            </w:r>
            <w:r w:rsidRPr="00FB4E2D" w:rsidDel="00B360A7">
              <w:rPr>
                <w:rFonts w:ascii="Times New Roman" w:eastAsia="Times New Roman" w:hAnsi="Times New Roman" w:cs="Times New Roman"/>
                <w:noProof/>
                <w:kern w:val="0"/>
                <w14:ligatures w14:val="none"/>
              </w:rPr>
              <w:t xml:space="preserve">delivers </w:t>
            </w:r>
            <w:r w:rsidRPr="00FB4E2D">
              <w:rPr>
                <w:rFonts w:ascii="Times New Roman" w:eastAsia="Times New Roman" w:hAnsi="Times New Roman" w:cs="Times New Roman"/>
                <w:noProof/>
                <w:kern w:val="0"/>
                <w14:ligatures w14:val="none"/>
              </w:rPr>
              <w:t xml:space="preserve">its decisions </w:t>
            </w:r>
            <w:r w:rsidRPr="00FB4E2D" w:rsidDel="007A0203">
              <w:rPr>
                <w:rFonts w:ascii="Times New Roman" w:eastAsia="Times New Roman" w:hAnsi="Times New Roman" w:cs="Times New Roman"/>
                <w:noProof/>
                <w:kern w:val="0"/>
                <w14:ligatures w14:val="none"/>
              </w:rPr>
              <w:t>without undue delay</w:t>
            </w:r>
            <w:r w:rsidRPr="00FB4E2D">
              <w:rPr>
                <w:rFonts w:ascii="Times New Roman" w:eastAsia="Times New Roman" w:hAnsi="Times New Roman" w:cs="Times New Roman"/>
                <w:noProof/>
                <w:kern w:val="0"/>
                <w14:ligatures w14:val="none"/>
              </w:rPr>
              <w:t xml:space="preserve">. The main indicators used by the EU Justice Scoreboard to monitor the efficiency of justice systems are therefore the </w:t>
            </w:r>
            <w:r w:rsidRPr="00FB4E2D">
              <w:rPr>
                <w:rFonts w:ascii="Times New Roman" w:eastAsia="Times New Roman" w:hAnsi="Times New Roman" w:cs="Times New Roman"/>
                <w:b/>
                <w:noProof/>
                <w:kern w:val="0"/>
                <w14:ligatures w14:val="none"/>
              </w:rPr>
              <w:t>length of proceedings</w:t>
            </w:r>
            <w:r w:rsidRPr="00FB4E2D">
              <w:rPr>
                <w:rFonts w:ascii="Times New Roman" w:eastAsia="Times New Roman" w:hAnsi="Times New Roman" w:cs="Times New Roman"/>
                <w:noProof/>
                <w:kern w:val="0"/>
                <w14:ligatures w14:val="none"/>
              </w:rPr>
              <w:t xml:space="preserve"> (disposition time or average time in days needed to resolve a case), </w:t>
            </w:r>
            <w:r w:rsidRPr="00FB4E2D">
              <w:rPr>
                <w:rFonts w:ascii="Times New Roman" w:eastAsia="Times New Roman" w:hAnsi="Times New Roman" w:cs="Times New Roman"/>
                <w:b/>
                <w:noProof/>
                <w:kern w:val="0"/>
                <w14:ligatures w14:val="none"/>
              </w:rPr>
              <w:t>clearance rate</w:t>
            </w:r>
            <w:r w:rsidRPr="00FB4E2D">
              <w:rPr>
                <w:rFonts w:ascii="Times New Roman" w:eastAsia="Times New Roman" w:hAnsi="Times New Roman" w:cs="Times New Roman"/>
                <w:noProof/>
                <w:kern w:val="0"/>
                <w14:ligatures w14:val="none"/>
              </w:rPr>
              <w:t xml:space="preserve"> (the ratio of resolved cases to incoming cases) and number of </w:t>
            </w:r>
            <w:r w:rsidRPr="00FB4E2D">
              <w:rPr>
                <w:rFonts w:ascii="Times New Roman" w:eastAsia="Times New Roman" w:hAnsi="Times New Roman" w:cs="Times New Roman"/>
                <w:b/>
                <w:noProof/>
                <w:kern w:val="0"/>
                <w14:ligatures w14:val="none"/>
              </w:rPr>
              <w:t>pending cases</w:t>
            </w:r>
            <w:r w:rsidRPr="00FB4E2D">
              <w:rPr>
                <w:rFonts w:ascii="Times New Roman" w:eastAsia="Times New Roman" w:hAnsi="Times New Roman" w:cs="Times New Roman"/>
                <w:noProof/>
                <w:kern w:val="0"/>
                <w14:ligatures w14:val="none"/>
              </w:rPr>
              <w:t xml:space="preserve"> (that remain to be dealt with at the end of the year).</w:t>
            </w:r>
          </w:p>
          <w:p w14:paraId="4397610A" w14:textId="77777777" w:rsidR="00A02C07" w:rsidRPr="00FB4E2D" w:rsidRDefault="00A02C07" w:rsidP="00A02C07">
            <w:pPr>
              <w:spacing w:after="60" w:line="240" w:lineRule="auto"/>
              <w:jc w:val="both"/>
              <w:rPr>
                <w:rFonts w:ascii="Times New Roman" w:eastAsia="Calibri" w:hAnsi="Times New Roman" w:cs="Times New Roman"/>
                <w:i/>
                <w:noProof/>
                <w:kern w:val="0"/>
                <w:szCs w:val="22"/>
                <w14:ligatures w14:val="none"/>
              </w:rPr>
            </w:pPr>
            <w:r w:rsidRPr="00FB4E2D">
              <w:rPr>
                <w:rFonts w:ascii="Times New Roman" w:eastAsia="Calibri" w:hAnsi="Times New Roman" w:cs="Times New Roman"/>
                <w:i/>
                <w:noProof/>
                <w:kern w:val="0"/>
                <w:szCs w:val="22"/>
                <w14:ligatures w14:val="none"/>
              </w:rPr>
              <w:t>General data on efficiency</w:t>
            </w:r>
          </w:p>
          <w:p w14:paraId="2AB6030F" w14:textId="0C10A7E3" w:rsidR="00A02C07" w:rsidRPr="00FB4E2D" w:rsidRDefault="00A02C07" w:rsidP="00A02C07">
            <w:pPr>
              <w:spacing w:after="6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The 2026 EU Justice Scoreboard contains data on efficiency </w:t>
            </w:r>
            <w:r w:rsidR="00C72756" w:rsidRPr="00FB4E2D">
              <w:rPr>
                <w:rFonts w:ascii="Times New Roman" w:eastAsia="Calibri" w:hAnsi="Times New Roman" w:cs="Times New Roman"/>
                <w:noProof/>
                <w:kern w:val="0"/>
                <w14:ligatures w14:val="none"/>
              </w:rPr>
              <w:t xml:space="preserve">spanning </w:t>
            </w:r>
            <w:r w:rsidR="0044146D" w:rsidRPr="00FB4E2D">
              <w:rPr>
                <w:rFonts w:ascii="Times New Roman" w:eastAsia="Calibri" w:hAnsi="Times New Roman" w:cs="Times New Roman"/>
                <w:noProof/>
                <w:kern w:val="0"/>
                <w14:ligatures w14:val="none"/>
              </w:rPr>
              <w:t xml:space="preserve">10 </w:t>
            </w:r>
            <w:r w:rsidR="00C72756" w:rsidRPr="00FB4E2D">
              <w:rPr>
                <w:rFonts w:ascii="Times New Roman" w:eastAsia="Calibri" w:hAnsi="Times New Roman" w:cs="Times New Roman"/>
                <w:noProof/>
                <w:kern w:val="0"/>
                <w14:ligatures w14:val="none"/>
              </w:rPr>
              <w:t xml:space="preserve">years </w:t>
            </w:r>
            <w:r w:rsidRPr="00FB4E2D">
              <w:rPr>
                <w:rFonts w:ascii="Times New Roman" w:eastAsia="Calibri" w:hAnsi="Times New Roman" w:cs="Times New Roman"/>
                <w:noProof/>
                <w:kern w:val="0"/>
                <w14:ligatures w14:val="none"/>
              </w:rPr>
              <w:t>(2014</w:t>
            </w:r>
            <w:r w:rsidRPr="00FB4E2D" w:rsidDel="00B957D2">
              <w:rPr>
                <w:rFonts w:ascii="Times New Roman" w:eastAsia="Times New Roman" w:hAnsi="Times New Roman" w:cs="Times New Roman"/>
                <w:b/>
                <w:noProof/>
                <w:kern w:val="0"/>
                <w14:ligatures w14:val="none"/>
              </w:rPr>
              <w:t>–</w:t>
            </w:r>
            <w:r w:rsidRPr="00FB4E2D">
              <w:rPr>
                <w:rFonts w:ascii="Times New Roman" w:eastAsia="Calibri" w:hAnsi="Times New Roman" w:cs="Times New Roman"/>
                <w:noProof/>
                <w:kern w:val="0"/>
                <w14:ligatures w14:val="none"/>
              </w:rPr>
              <w:t xml:space="preserve">2024). </w:t>
            </w:r>
            <w:r w:rsidR="00DF5E8D"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This timespan allow</w:t>
            </w:r>
            <w:r w:rsidR="00375466" w:rsidRPr="00FB4E2D">
              <w:rPr>
                <w:rFonts w:ascii="Times New Roman" w:eastAsia="Calibri" w:hAnsi="Times New Roman" w:cs="Times New Roman"/>
                <w:noProof/>
                <w:kern w:val="0"/>
                <w14:ligatures w14:val="none"/>
              </w:rPr>
              <w:t>s</w:t>
            </w:r>
            <w:r w:rsidRPr="00FB4E2D">
              <w:rPr>
                <w:rFonts w:ascii="Times New Roman" w:eastAsia="Calibri" w:hAnsi="Times New Roman" w:cs="Times New Roman"/>
                <w:noProof/>
                <w:kern w:val="0"/>
                <w14:ligatures w14:val="none"/>
              </w:rPr>
              <w:t xml:space="preserve"> trends to become apparent and makes it possible to take account of the fact that it often takes time for the effect of justice reforms to be felt.</w:t>
            </w:r>
          </w:p>
          <w:p w14:paraId="45AFBE5C" w14:textId="5BE311B0" w:rsidR="00A02C07" w:rsidRPr="00FB4E2D" w:rsidRDefault="00A02C07" w:rsidP="00A02C07">
            <w:pPr>
              <w:spacing w:after="60" w:line="240" w:lineRule="auto"/>
              <w:jc w:val="both"/>
              <w:rPr>
                <w:rFonts w:ascii="Times New Roman" w:eastAsia="Calibri" w:hAnsi="Times New Roman" w:cs="Times New Roman"/>
                <w:noProof/>
                <w:kern w:val="0"/>
                <w:highlight w:val="yellow"/>
                <w14:ligatures w14:val="none"/>
              </w:rPr>
            </w:pPr>
            <w:r w:rsidRPr="00FB4E2D">
              <w:rPr>
                <w:rFonts w:ascii="Times New Roman" w:eastAsia="Calibri" w:hAnsi="Times New Roman" w:cs="Times New Roman"/>
                <w:noProof/>
                <w:kern w:val="0"/>
                <w14:ligatures w14:val="none"/>
              </w:rPr>
              <w:t xml:space="preserve">The data from 2014 to 2024 in civil, commercial and administrative cases shows positive trends in most cases. After the dip in efficiency observed in </w:t>
            </w:r>
            <w:r w:rsidR="005810F8" w:rsidRPr="00FB4E2D">
              <w:rPr>
                <w:rFonts w:ascii="Times New Roman" w:eastAsia="Calibri" w:hAnsi="Times New Roman" w:cs="Times New Roman"/>
                <w:noProof/>
                <w:kern w:val="0"/>
                <w14:ligatures w14:val="none"/>
              </w:rPr>
              <w:t xml:space="preserve">2020-2021, </w:t>
            </w:r>
            <w:r w:rsidRPr="00FB4E2D">
              <w:rPr>
                <w:rFonts w:ascii="Times New Roman" w:eastAsia="Calibri" w:hAnsi="Times New Roman" w:cs="Times New Roman"/>
                <w:noProof/>
                <w:kern w:val="0"/>
                <w14:ligatures w14:val="none"/>
              </w:rPr>
              <w:t xml:space="preserve">possibly due to the COVID-19 pandemic, 2022 saw a return to the efficiency levels of 2019. In 2023 and 2024, some of the Member States that are reporting data have continued improving their efficiency, while in others efficiency levels remained stable. </w:t>
            </w:r>
            <w:r w:rsidR="00CF2E6F"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This shows the effect of the measures taken by Member States to make their systems more resilient to future disruptions.</w:t>
            </w:r>
          </w:p>
          <w:p w14:paraId="1F82C409" w14:textId="22383731" w:rsidR="00F33C04" w:rsidRPr="00FB4E2D" w:rsidRDefault="00A02C07" w:rsidP="00F33C04">
            <w:pPr>
              <w:spacing w:after="60" w:line="240" w:lineRule="auto"/>
              <w:jc w:val="both"/>
              <w:rPr>
                <w:rFonts w:ascii="Times New Roman" w:eastAsia="Calibri" w:hAnsi="Times New Roman" w:cs="Times New Roman"/>
                <w:noProof/>
                <w:kern w:val="0"/>
                <w:highlight w:val="yellow"/>
                <w14:ligatures w14:val="none"/>
              </w:rPr>
            </w:pPr>
            <w:r w:rsidRPr="00FB4E2D">
              <w:rPr>
                <w:rFonts w:ascii="Times New Roman" w:eastAsia="Calibri" w:hAnsi="Times New Roman" w:cs="Times New Roman"/>
                <w:noProof/>
                <w:kern w:val="0"/>
                <w14:ligatures w14:val="none"/>
              </w:rPr>
              <w:t>There were some positive developments in the Member States that</w:t>
            </w:r>
            <w:r w:rsidR="00D90866"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in the past</w:t>
            </w:r>
            <w:r w:rsidR="00D90866"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 xml:space="preserve">were considered to be facing specific challenges, in the context of the European </w:t>
            </w:r>
            <w:r w:rsidR="00F33C04" w:rsidRPr="00FB4E2D">
              <w:rPr>
                <w:rFonts w:ascii="Times New Roman" w:eastAsia="Calibri" w:hAnsi="Times New Roman" w:cs="Times New Roman"/>
                <w:noProof/>
                <w:kern w:val="0"/>
                <w14:ligatures w14:val="none"/>
              </w:rPr>
              <w:t>Semester (</w:t>
            </w:r>
            <w:bookmarkStart w:id="83" w:name="_Ref4705096"/>
            <w:r w:rsidR="00F33C04" w:rsidRPr="00FB4E2D">
              <w:rPr>
                <w:rFonts w:ascii="Times New Roman" w:eastAsia="Calibri" w:hAnsi="Times New Roman" w:cs="Times New Roman"/>
                <w:noProof/>
                <w:kern w:val="0"/>
                <w:vertAlign w:val="superscript"/>
                <w14:ligatures w14:val="none"/>
              </w:rPr>
              <w:footnoteReference w:id="48"/>
            </w:r>
            <w:bookmarkEnd w:id="83"/>
            <w:r w:rsidR="00F33C04" w:rsidRPr="00FB4E2D">
              <w:rPr>
                <w:rFonts w:ascii="Times New Roman" w:eastAsia="Calibri" w:hAnsi="Times New Roman" w:cs="Times New Roman"/>
                <w:noProof/>
                <w:kern w:val="0"/>
                <w14:ligatures w14:val="none"/>
              </w:rPr>
              <w:t>).</w:t>
            </w:r>
          </w:p>
          <w:p w14:paraId="201E622E" w14:textId="0753FEAA" w:rsidR="00A02C07" w:rsidRPr="00FB4E2D" w:rsidRDefault="00A02C07" w:rsidP="00A02C07">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From 2014, based on the existing data for these Member States, the </w:t>
            </w:r>
            <w:r w:rsidRPr="00FB4E2D">
              <w:rPr>
                <w:rFonts w:ascii="Times New Roman" w:eastAsia="Times New Roman" w:hAnsi="Times New Roman" w:cs="Times New Roman"/>
                <w:b/>
                <w:noProof/>
                <w:kern w:val="0"/>
                <w14:ligatures w14:val="none"/>
              </w:rPr>
              <w:t>length of first instance court proceedings</w:t>
            </w:r>
            <w:r w:rsidRPr="00FB4E2D">
              <w:rPr>
                <w:rFonts w:ascii="Times New Roman" w:eastAsia="Times New Roman" w:hAnsi="Times New Roman" w:cs="Times New Roman"/>
                <w:noProof/>
                <w:kern w:val="0"/>
                <w14:ligatures w14:val="none"/>
              </w:rPr>
              <w:t xml:space="preserve"> in the broad ‘all cases’ category (Figure 4) in 12 Member States decreased or remained stable. For the ‘litigious civil and commercial cases’ category (Figure 5) the length of first instance court proceedings continued to decrease or remained stable in 10 Member States</w:t>
            </w:r>
            <w:r w:rsidR="00A8285D">
              <w:rPr>
                <w:rFonts w:ascii="Times New Roman" w:eastAsia="Times New Roman" w:hAnsi="Times New Roman" w:cs="Times New Roman"/>
                <w:noProof/>
                <w:kern w:val="0"/>
                <w14:ligatures w14:val="none"/>
              </w:rPr>
              <w:t xml:space="preserve">, </w:t>
            </w:r>
            <w:r w:rsidR="00A8285D" w:rsidRPr="00A8285D">
              <w:rPr>
                <w:rFonts w:ascii="Times New Roman" w:eastAsia="Times New Roman" w:hAnsi="Times New Roman" w:cs="Times New Roman"/>
                <w:noProof/>
                <w:kern w:val="0"/>
                <w14:ligatures w14:val="none"/>
              </w:rPr>
              <w:t>while in</w:t>
            </w:r>
            <w:r w:rsidR="00D67EAA">
              <w:rPr>
                <w:rFonts w:ascii="Times New Roman" w:eastAsia="Times New Roman" w:hAnsi="Times New Roman" w:cs="Times New Roman"/>
                <w:noProof/>
                <w:kern w:val="0"/>
                <w14:ligatures w14:val="none"/>
              </w:rPr>
              <w:t xml:space="preserve"> the</w:t>
            </w:r>
            <w:r w:rsidR="00A8285D" w:rsidRPr="00A8285D">
              <w:rPr>
                <w:rFonts w:ascii="Times New Roman" w:eastAsia="Times New Roman" w:hAnsi="Times New Roman" w:cs="Times New Roman"/>
                <w:noProof/>
                <w:kern w:val="0"/>
                <w14:ligatures w14:val="none"/>
              </w:rPr>
              <w:t xml:space="preserve"> remaining 16, the length increased</w:t>
            </w:r>
            <w:r w:rsidRPr="00FB4E2D">
              <w:rPr>
                <w:rFonts w:ascii="Times New Roman" w:eastAsia="Times New Roman" w:hAnsi="Times New Roman" w:cs="Times New Roman"/>
                <w:noProof/>
                <w:kern w:val="0"/>
                <w14:ligatures w14:val="none"/>
              </w:rPr>
              <w:t>.</w:t>
            </w:r>
            <w:r w:rsidRPr="00FB4E2D" w:rsidDel="305B5C2E">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In administrative cases (Figure 7), the length of proceedings since 2014 has decreased or remained stable in about 12 Member States. Compared to the previous year, nine Member States saw a decrease in the length of proceedings in administrative cases in 2024.</w:t>
            </w:r>
          </w:p>
          <w:p w14:paraId="34C556C1" w14:textId="7F3E6BB2" w:rsidR="00717EE0" w:rsidRPr="00FB4E2D" w:rsidRDefault="00796443" w:rsidP="00717EE0">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EU Justice Scoreboard </w:t>
            </w:r>
            <w:r w:rsidR="00A02C07" w:rsidRPr="00FB4E2D">
              <w:rPr>
                <w:rFonts w:ascii="Times New Roman" w:eastAsia="Times New Roman" w:hAnsi="Times New Roman" w:cs="Times New Roman"/>
                <w:noProof/>
                <w:kern w:val="0"/>
                <w14:ligatures w14:val="none"/>
              </w:rPr>
              <w:t xml:space="preserve">presents data on the </w:t>
            </w:r>
            <w:r w:rsidR="00A02C07" w:rsidRPr="00FB4E2D">
              <w:rPr>
                <w:rFonts w:ascii="Times New Roman" w:eastAsia="Times New Roman" w:hAnsi="Times New Roman" w:cs="Times New Roman"/>
                <w:b/>
                <w:noProof/>
                <w:kern w:val="0"/>
                <w14:ligatures w14:val="none"/>
              </w:rPr>
              <w:t>length of proceedings in all court instances</w:t>
            </w:r>
            <w:r w:rsidR="00A02C07" w:rsidRPr="00FB4E2D">
              <w:rPr>
                <w:rFonts w:ascii="Times New Roman" w:eastAsia="Times New Roman" w:hAnsi="Times New Roman" w:cs="Times New Roman"/>
                <w:noProof/>
                <w:kern w:val="0"/>
                <w14:ligatures w14:val="none"/>
              </w:rPr>
              <w:t xml:space="preserve"> for litigious civil and commercial cases (Figure 6) and administrative cases (Figure 8). </w:t>
            </w:r>
            <w:r w:rsidR="00717EE0" w:rsidRPr="00FB4E2D">
              <w:rPr>
                <w:rFonts w:ascii="Times New Roman" w:eastAsia="Times New Roman" w:hAnsi="Times New Roman" w:cs="Times New Roman"/>
                <w:noProof/>
                <w:kern w:val="0"/>
                <w14:ligatures w14:val="none"/>
              </w:rPr>
              <w:t xml:space="preserve"> Data show that eight of the Member States identified faced challenges with regard to the length of proceedings in first instance courts, higher instance courts having performed more efficiently. However, for six other Member States facing challenges, the average length of proceedings in higher instance courts was even longer than in first instance courts.</w:t>
            </w:r>
          </w:p>
          <w:p w14:paraId="1DB52717" w14:textId="18B691F0" w:rsidR="00A02C07" w:rsidRPr="00FB4E2D" w:rsidRDefault="00A02C07" w:rsidP="00A02C07">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In the broad ‘all cases’ and ‘litigious civil and commercial cases’ categories (Figures 9 and 10), the overall number of Member States whose </w:t>
            </w:r>
            <w:r w:rsidRPr="00FB4E2D">
              <w:rPr>
                <w:rFonts w:ascii="Times New Roman" w:eastAsia="Times New Roman" w:hAnsi="Times New Roman" w:cs="Times New Roman"/>
                <w:b/>
                <w:noProof/>
                <w:kern w:val="0"/>
                <w14:ligatures w14:val="none"/>
              </w:rPr>
              <w:t>clearance rate</w:t>
            </w:r>
            <w:r w:rsidRPr="00FB4E2D">
              <w:rPr>
                <w:rFonts w:ascii="Times New Roman" w:eastAsia="Times New Roman" w:hAnsi="Times New Roman" w:cs="Times New Roman"/>
                <w:noProof/>
                <w:kern w:val="0"/>
                <w14:ligatures w14:val="none"/>
              </w:rPr>
              <w:t xml:space="preserve"> is over 100% </w:t>
            </w:r>
            <w:r w:rsidR="00D90866" w:rsidRPr="00FB4E2D">
              <w:rPr>
                <w:rFonts w:ascii="Times New Roman" w:eastAsia="Times New Roman" w:hAnsi="Times New Roman" w:cs="Times New Roman"/>
                <w:noProof/>
                <w:kern w:val="0"/>
                <w14:ligatures w14:val="none"/>
              </w:rPr>
              <w:t xml:space="preserve">fell </w:t>
            </w:r>
            <w:r w:rsidRPr="00FB4E2D">
              <w:rPr>
                <w:rFonts w:ascii="Times New Roman" w:eastAsia="Times New Roman" w:hAnsi="Times New Roman" w:cs="Times New Roman"/>
                <w:noProof/>
                <w:kern w:val="0"/>
                <w14:ligatures w14:val="none"/>
              </w:rPr>
              <w:t xml:space="preserve">in comparison to 2023. In 2024, 17 Member States, including those facing challenges, reported a high clearance rate (more than 97%). </w:t>
            </w:r>
            <w:r w:rsidR="00461CD1"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This means that courts are generally able to deal with the incoming cases in these categories. In administrative cases (Figure 11), the clearance rate in</w:t>
            </w:r>
            <w:r w:rsidRPr="00FB4E2D" w:rsidDel="305B5C2E">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 xml:space="preserve">12 Member States in 2024 remained broadly the same as in 2023. While the clearance rate in administrative cases is generally lower than for other categories of cases, seven Member States continue to make good progress. In particular, five of the Member States facing challenges </w:t>
            </w:r>
            <w:r w:rsidR="00461CD1" w:rsidRPr="00FB4E2D">
              <w:rPr>
                <w:rFonts w:ascii="Times New Roman" w:eastAsia="Times New Roman" w:hAnsi="Times New Roman" w:cs="Times New Roman"/>
                <w:noProof/>
                <w:kern w:val="0"/>
                <w14:ligatures w14:val="none"/>
              </w:rPr>
              <w:t>reported</w:t>
            </w:r>
            <w:r w:rsidRPr="00FB4E2D">
              <w:rPr>
                <w:rFonts w:ascii="Times New Roman" w:eastAsia="Times New Roman" w:hAnsi="Times New Roman" w:cs="Times New Roman"/>
                <w:noProof/>
                <w:kern w:val="0"/>
                <w14:ligatures w14:val="none"/>
              </w:rPr>
              <w:t xml:space="preserve"> an increase in the clearance rate for administrative cases since 2014.</w:t>
            </w:r>
          </w:p>
          <w:p w14:paraId="49A9595F" w14:textId="77777777" w:rsidR="00A02C07" w:rsidRPr="00FB4E2D" w:rsidRDefault="00A02C07" w:rsidP="00A02C07">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Since 2014, the situation has remained stable or </w:t>
            </w:r>
            <w:r w:rsidRPr="00FB4E2D">
              <w:rPr>
                <w:rFonts w:ascii="Times New Roman" w:eastAsia="Times New Roman" w:hAnsi="Times New Roman" w:cs="Arial"/>
                <w:noProof/>
                <w:kern w:val="0"/>
                <w14:ligatures w14:val="none"/>
              </w:rPr>
              <w:t>continued</w:t>
            </w:r>
            <w:r w:rsidRPr="00FB4E2D">
              <w:rPr>
                <w:rFonts w:ascii="Times New Roman" w:eastAsia="Times New Roman" w:hAnsi="Times New Roman" w:cs="Times New Roman"/>
                <w:noProof/>
                <w:kern w:val="0"/>
                <w14:ligatures w14:val="none"/>
              </w:rPr>
              <w:t xml:space="preserve"> to </w:t>
            </w:r>
            <w:r w:rsidRPr="00FB4E2D">
              <w:rPr>
                <w:rFonts w:ascii="Times New Roman" w:eastAsia="Times New Roman" w:hAnsi="Times New Roman" w:cs="Arial"/>
                <w:noProof/>
                <w:kern w:val="0"/>
                <w14:ligatures w14:val="none"/>
              </w:rPr>
              <w:t>improve</w:t>
            </w:r>
            <w:r w:rsidRPr="00FB4E2D">
              <w:rPr>
                <w:rFonts w:ascii="Times New Roman" w:eastAsia="Times New Roman" w:hAnsi="Times New Roman" w:cs="Times New Roman"/>
                <w:noProof/>
                <w:kern w:val="0"/>
                <w14:ligatures w14:val="none"/>
              </w:rPr>
              <w:t xml:space="preserve"> in four of the Member States facing the most substantial challenges with their </w:t>
            </w:r>
            <w:r w:rsidRPr="00FB4E2D">
              <w:rPr>
                <w:rFonts w:ascii="Times New Roman" w:eastAsia="Times New Roman" w:hAnsi="Times New Roman" w:cs="Times New Roman"/>
                <w:b/>
                <w:noProof/>
                <w:kern w:val="0"/>
                <w14:ligatures w14:val="none"/>
              </w:rPr>
              <w:t>backlogs</w:t>
            </w:r>
            <w:r w:rsidRPr="00FB4E2D">
              <w:rPr>
                <w:rFonts w:ascii="Times New Roman" w:eastAsia="Times New Roman" w:hAnsi="Times New Roman" w:cs="Times New Roman"/>
                <w:noProof/>
                <w:kern w:val="0"/>
                <w14:ligatures w14:val="none"/>
              </w:rPr>
              <w:t>, regardless of the category of cases (Figure 12). In 2024, despite the increase in the number of pending cases, the number of pending cases remained stable in litigious civil and commercial cases (Figure 13) and in administrative cases (Figure 14) in 10 Member States. However, significant differences</w:t>
            </w:r>
            <w:r w:rsidRPr="00FB4E2D">
              <w:rPr>
                <w:rFonts w:ascii="Times New Roman" w:eastAsia="Times New Roman" w:hAnsi="Times New Roman" w:cs="Arial"/>
                <w:noProof/>
                <w:kern w:val="0"/>
                <w14:ligatures w14:val="none"/>
              </w:rPr>
              <w:t xml:space="preserve"> remain</w:t>
            </w:r>
            <w:r w:rsidRPr="00FB4E2D">
              <w:rPr>
                <w:rFonts w:ascii="Times New Roman" w:eastAsia="Times New Roman" w:hAnsi="Times New Roman" w:cs="Times New Roman"/>
                <w:noProof/>
                <w:kern w:val="0"/>
                <w14:ligatures w14:val="none"/>
              </w:rPr>
              <w:t xml:space="preserve"> between Member States with comparatively few pending cases and those with a high number of pending cases.</w:t>
            </w:r>
          </w:p>
          <w:p w14:paraId="63ADAE06" w14:textId="77777777" w:rsidR="00067E4B" w:rsidRPr="00FB4E2D" w:rsidRDefault="00067E4B" w:rsidP="00067E4B">
            <w:pPr>
              <w:spacing w:after="60" w:line="240" w:lineRule="auto"/>
              <w:ind w:left="720"/>
              <w:jc w:val="both"/>
              <w:rPr>
                <w:rFonts w:ascii="Times New Roman" w:eastAsia="Times New Roman" w:hAnsi="Times New Roman" w:cs="Times New Roman"/>
                <w:noProof/>
                <w:kern w:val="0"/>
                <w14:ligatures w14:val="none"/>
              </w:rPr>
            </w:pPr>
          </w:p>
          <w:p w14:paraId="00D67E50" w14:textId="77777777" w:rsidR="00A02C07" w:rsidRPr="00FB4E2D" w:rsidRDefault="00A02C07" w:rsidP="00A02C07">
            <w:pPr>
              <w:spacing w:after="6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14:ligatures w14:val="none"/>
              </w:rPr>
              <w:t>Efficiency in specific areas of EU law</w:t>
            </w:r>
          </w:p>
          <w:p w14:paraId="3FB86CA6" w14:textId="77777777" w:rsidR="00A02C07" w:rsidRPr="00FB4E2D" w:rsidRDefault="00A02C07" w:rsidP="00A02C07">
            <w:p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Data on the average length of proceedings in specific areas of EU law (Figures 15</w:t>
            </w:r>
            <w:r w:rsidRPr="00FB4E2D" w:rsidDel="00B957D2">
              <w:rPr>
                <w:rFonts w:ascii="Times New Roman" w:eastAsia="Times New Roman" w:hAnsi="Times New Roman" w:cs="Times New Roman"/>
                <w:b/>
                <w:noProof/>
                <w:kern w:val="0"/>
                <w14:ligatures w14:val="none"/>
              </w:rPr>
              <w:t>–</w:t>
            </w:r>
            <w:r w:rsidRPr="00FB4E2D">
              <w:rPr>
                <w:rFonts w:ascii="Times New Roman" w:eastAsia="Times New Roman" w:hAnsi="Times New Roman" w:cs="Times New Roman"/>
                <w:noProof/>
                <w:kern w:val="0"/>
                <w14:ligatures w14:val="none"/>
              </w:rPr>
              <w:t>21) provide an insight into the functioning of justice systems in concrete types of business-related disputes.</w:t>
            </w:r>
          </w:p>
          <w:p w14:paraId="212CEEE1" w14:textId="7F653C16" w:rsidR="00A02C07" w:rsidRPr="00FB4E2D" w:rsidRDefault="00A02C07" w:rsidP="00A02C07">
            <w:p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Data on efficiency in specific areas of EU law are collected based on narrowly defined scenarios, so the number of relevant cases may be low. </w:t>
            </w:r>
            <w:r w:rsidR="00A2542E"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 xml:space="preserve">However, compared to the calculated length of proceedings presented in the general data on efficiency, these figures show an actual average length of all relevant cases in specific areas in a year. It is worth noting that Member States where the general data on efficiency do not appear to show challenges nonetheless report significantly longer average case lengths in specific areas of EU law. At the same time, the length of proceedings in different specific areas may also vary considerably within the same Member State. Another figure introduced over the last several years focuses on the length of criminal proceedings, particularly those involving bribery, revealing the level of efficiency in that area of EU law. </w:t>
            </w:r>
          </w:p>
          <w:p w14:paraId="53D4F31F" w14:textId="2A22C75D" w:rsidR="00A02C07" w:rsidRPr="00FB4E2D" w:rsidRDefault="00A02C07" w:rsidP="00A02C07">
            <w:p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Finally, the 2026 Scoreboard continues to provide insight into the efficiency of the overall enforcement chain, which is important for a positive business and investment environment. For example, in competition law cases, there is a chart focusing on the length of</w:t>
            </w:r>
            <w:r w:rsidR="00D90866" w:rsidRPr="00FB4E2D">
              <w:rPr>
                <w:rFonts w:ascii="Times New Roman" w:eastAsia="Times New Roman" w:hAnsi="Times New Roman" w:cs="Times New Roman"/>
                <w:noProof/>
                <w:kern w:val="0"/>
                <w14:ligatures w14:val="none"/>
              </w:rPr>
              <w:t xml:space="preserve"> (i)</w:t>
            </w:r>
            <w:r w:rsidRPr="00FB4E2D">
              <w:rPr>
                <w:rFonts w:ascii="Times New Roman" w:eastAsia="Times New Roman" w:hAnsi="Times New Roman" w:cs="Times New Roman"/>
                <w:noProof/>
                <w:kern w:val="0"/>
                <w14:ligatures w14:val="none"/>
              </w:rPr>
              <w:t xml:space="preserve"> proceedings before the national competition authority and </w:t>
            </w:r>
            <w:r w:rsidR="00D90866" w:rsidRPr="00FB4E2D">
              <w:rPr>
                <w:rFonts w:ascii="Times New Roman" w:eastAsia="Times New Roman" w:hAnsi="Times New Roman" w:cs="Times New Roman"/>
                <w:noProof/>
                <w:kern w:val="0"/>
                <w14:ligatures w14:val="none"/>
              </w:rPr>
              <w:t xml:space="preserve">(ii) </w:t>
            </w:r>
            <w:r w:rsidRPr="00FB4E2D">
              <w:rPr>
                <w:rFonts w:ascii="Times New Roman" w:eastAsia="Times New Roman" w:hAnsi="Times New Roman" w:cs="Times New Roman"/>
                <w:noProof/>
                <w:kern w:val="0"/>
                <w14:ligatures w14:val="none"/>
              </w:rPr>
              <w:t xml:space="preserve">the judicial review of decisions </w:t>
            </w:r>
            <w:r w:rsidR="00D90866" w:rsidRPr="00FB4E2D">
              <w:rPr>
                <w:rFonts w:ascii="Times New Roman" w:eastAsia="Times New Roman" w:hAnsi="Times New Roman" w:cs="Times New Roman"/>
                <w:noProof/>
                <w:kern w:val="0"/>
                <w14:ligatures w14:val="none"/>
              </w:rPr>
              <w:t xml:space="preserve">by </w:t>
            </w:r>
            <w:r w:rsidRPr="00FB4E2D">
              <w:rPr>
                <w:rFonts w:ascii="Times New Roman" w:eastAsia="Times New Roman" w:hAnsi="Times New Roman" w:cs="Times New Roman"/>
                <w:noProof/>
                <w:kern w:val="0"/>
                <w14:ligatures w14:val="none"/>
              </w:rPr>
              <w:t>th</w:t>
            </w:r>
            <w:r w:rsidR="00FA62E3" w:rsidRPr="00FB4E2D">
              <w:rPr>
                <w:rFonts w:ascii="Times New Roman" w:eastAsia="Times New Roman" w:hAnsi="Times New Roman" w:cs="Times New Roman"/>
                <w:noProof/>
                <w:kern w:val="0"/>
                <w14:ligatures w14:val="none"/>
              </w:rPr>
              <w:t>e</w:t>
            </w:r>
            <w:r w:rsidRPr="00FB4E2D">
              <w:rPr>
                <w:rFonts w:ascii="Times New Roman" w:eastAsia="Times New Roman" w:hAnsi="Times New Roman" w:cs="Times New Roman"/>
                <w:noProof/>
                <w:kern w:val="0"/>
                <w14:ligatures w14:val="none"/>
              </w:rPr>
              <w:t xml:space="preserve"> authority.</w:t>
            </w:r>
          </w:p>
          <w:p w14:paraId="2B7FCDBF" w14:textId="77777777" w:rsidR="00A02C07" w:rsidRPr="00FB4E2D" w:rsidRDefault="00A02C07" w:rsidP="00A02C07">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For </w:t>
            </w:r>
            <w:r w:rsidRPr="00FB4E2D">
              <w:rPr>
                <w:rFonts w:ascii="Times New Roman" w:eastAsia="Times New Roman" w:hAnsi="Times New Roman" w:cs="Times New Roman"/>
                <w:b/>
                <w:noProof/>
                <w:kern w:val="0"/>
                <w14:ligatures w14:val="none"/>
              </w:rPr>
              <w:t>judicial review of competition cases</w:t>
            </w:r>
            <w:r w:rsidRPr="00FB4E2D">
              <w:rPr>
                <w:rFonts w:ascii="Times New Roman" w:eastAsia="Times New Roman" w:hAnsi="Times New Roman" w:cs="Times New Roman"/>
                <w:noProof/>
                <w:kern w:val="0"/>
                <w14:ligatures w14:val="none"/>
              </w:rPr>
              <w:t xml:space="preserve"> (Figure 15), as the overall caseload faced by courts across the EU increased, the length of judicial review decreased or remained stable in 11 Member States, while it increased in 10. Despite the moderately positive trend, five Member States reported an average length exceeding 1 000 days in 2024. For </w:t>
            </w:r>
            <w:r w:rsidRPr="00FB4E2D">
              <w:rPr>
                <w:rFonts w:ascii="Times New Roman" w:eastAsia="Times New Roman" w:hAnsi="Times New Roman" w:cs="Times New Roman"/>
                <w:b/>
                <w:noProof/>
                <w:kern w:val="0"/>
                <w14:ligatures w14:val="none"/>
              </w:rPr>
              <w:t xml:space="preserve">proceedings before the national competition authorities </w:t>
            </w:r>
            <w:r w:rsidRPr="00FB4E2D">
              <w:rPr>
                <w:rFonts w:ascii="Times New Roman" w:eastAsia="Times New Roman" w:hAnsi="Times New Roman" w:cs="Times New Roman"/>
                <w:noProof/>
                <w:kern w:val="0"/>
                <w14:ligatures w14:val="none"/>
              </w:rPr>
              <w:t>(Figure 16), eight Member States reported that proceedings took less than 1 000 days. Among the Member States cited as experiencing issues with efficiency in the judicial review of competition cases, three are among the most efficient when it comes to proceedings before the national competition authorities.</w:t>
            </w:r>
          </w:p>
          <w:p w14:paraId="6104D7ED" w14:textId="041839B0" w:rsidR="00A02C07" w:rsidRPr="00FB4E2D" w:rsidRDefault="00A02C07" w:rsidP="00A02C07">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For </w:t>
            </w:r>
            <w:r w:rsidRPr="00FB4E2D">
              <w:rPr>
                <w:rFonts w:ascii="Times New Roman" w:eastAsia="Times New Roman" w:hAnsi="Times New Roman" w:cs="Times New Roman"/>
                <w:b/>
                <w:noProof/>
                <w:kern w:val="0"/>
                <w14:ligatures w14:val="none"/>
              </w:rPr>
              <w:t>electronic communications</w:t>
            </w:r>
            <w:r w:rsidRPr="00FB4E2D">
              <w:rPr>
                <w:rFonts w:ascii="Times New Roman" w:eastAsia="Times New Roman" w:hAnsi="Times New Roman" w:cs="Times New Roman"/>
                <w:noProof/>
                <w:kern w:val="0"/>
                <w14:ligatures w14:val="none"/>
              </w:rPr>
              <w:t xml:space="preserve"> (Figure 17), the caseload faced by courts decreased compared to previous years, continuing the positive trend observed in 2022 and 2023 </w:t>
            </w:r>
            <w:r w:rsidR="00067E4B" w:rsidRPr="00FB4E2D">
              <w:rPr>
                <w:rFonts w:ascii="Times New Roman" w:eastAsia="Times New Roman" w:hAnsi="Times New Roman" w:cs="Times New Roman"/>
                <w:noProof/>
                <w:kern w:val="0"/>
                <w14:ligatures w14:val="none"/>
              </w:rPr>
              <w:t>of reductions</w:t>
            </w:r>
            <w:r w:rsidRPr="00FB4E2D">
              <w:rPr>
                <w:rFonts w:ascii="Times New Roman" w:eastAsia="Times New Roman" w:hAnsi="Times New Roman" w:cs="Times New Roman"/>
                <w:noProof/>
                <w:kern w:val="0"/>
                <w14:ligatures w14:val="none"/>
              </w:rPr>
              <w:t xml:space="preserve"> in the length of proceedings. In 2024, nine Member States registered a decrease in the average length of proceedings compared to 2023 or saw</w:t>
            </w:r>
            <w:r w:rsidR="00C4435D"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this figure remain stable, and five showed an increase.</w:t>
            </w:r>
          </w:p>
          <w:p w14:paraId="11DC7A24" w14:textId="77777777" w:rsidR="00A02C07" w:rsidRPr="00FB4E2D" w:rsidRDefault="00A02C07" w:rsidP="00A02C07">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For </w:t>
            </w:r>
            <w:r w:rsidRPr="00FB4E2D">
              <w:rPr>
                <w:rFonts w:ascii="Times New Roman" w:eastAsia="Times New Roman" w:hAnsi="Times New Roman" w:cs="Times New Roman"/>
                <w:b/>
                <w:noProof/>
                <w:kern w:val="0"/>
                <w14:ligatures w14:val="none"/>
              </w:rPr>
              <w:t>EU trademark infringement cases</w:t>
            </w:r>
            <w:r w:rsidRPr="00FB4E2D">
              <w:rPr>
                <w:rFonts w:ascii="Times New Roman" w:eastAsia="Times New Roman" w:hAnsi="Times New Roman" w:cs="Times New Roman"/>
                <w:noProof/>
                <w:kern w:val="0"/>
                <w14:ligatures w14:val="none"/>
              </w:rPr>
              <w:t xml:space="preserve"> (Figure 18), in 2024 the overall caseload decreased in comparison to 2023. However, while four Member States managed their caseload more efficiently, registering reduced or stable lengths of proceedings, six saw a clear increase in the average length of proceedings.</w:t>
            </w:r>
          </w:p>
          <w:p w14:paraId="52465ECA" w14:textId="366EC0BE" w:rsidR="00A02C07" w:rsidRPr="00FB4E2D" w:rsidRDefault="00A02C07" w:rsidP="00A02C07">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In the area of </w:t>
            </w:r>
            <w:r w:rsidRPr="00FB4E2D">
              <w:rPr>
                <w:rFonts w:ascii="Times New Roman" w:eastAsia="Times New Roman" w:hAnsi="Times New Roman" w:cs="Times New Roman"/>
                <w:b/>
                <w:noProof/>
                <w:kern w:val="0"/>
                <w14:ligatures w14:val="none"/>
              </w:rPr>
              <w:t>EU consumer law</w:t>
            </w:r>
            <w:r w:rsidRPr="00FB4E2D">
              <w:rPr>
                <w:rFonts w:ascii="Times New Roman" w:eastAsia="Times New Roman" w:hAnsi="Times New Roman" w:cs="Times New Roman"/>
                <w:noProof/>
                <w:kern w:val="0"/>
                <w14:ligatures w14:val="none"/>
              </w:rPr>
              <w:t>, the average length of judicial review proceedings can be seen</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noProof/>
                <w:kern w:val="0"/>
                <w14:ligatures w14:val="none"/>
              </w:rPr>
              <w:t xml:space="preserve">in Figure 19. In 2024, where decisions by the consumer protection authorities were challenged in court, trends in the length of the judicial review of an administrative decision in 2024 diverged, with increases in four Member States and decreases in five others compared to 2023. In </w:t>
            </w:r>
            <w:r w:rsidR="00CE3A29" w:rsidRPr="00FB4E2D">
              <w:rPr>
                <w:rFonts w:ascii="Times New Roman" w:eastAsia="Times New Roman" w:hAnsi="Times New Roman" w:cs="Times New Roman"/>
                <w:noProof/>
                <w:kern w:val="0"/>
                <w14:ligatures w14:val="none"/>
              </w:rPr>
              <w:t>two</w:t>
            </w:r>
            <w:r w:rsidRPr="00FB4E2D">
              <w:rPr>
                <w:rFonts w:ascii="Times New Roman" w:eastAsia="Times New Roman" w:hAnsi="Times New Roman" w:cs="Times New Roman"/>
                <w:noProof/>
                <w:kern w:val="0"/>
                <w14:ligatures w14:val="none"/>
              </w:rPr>
              <w:t xml:space="preserve"> Member States, the average length of a judicial review </w:t>
            </w:r>
            <w:r w:rsidR="00A14346" w:rsidRPr="00FB4E2D">
              <w:rPr>
                <w:rFonts w:ascii="Times New Roman" w:eastAsia="Times New Roman" w:hAnsi="Times New Roman" w:cs="Times New Roman"/>
                <w:noProof/>
                <w:kern w:val="0"/>
                <w14:ligatures w14:val="none"/>
              </w:rPr>
              <w:t>was</w:t>
            </w:r>
            <w:r w:rsidRPr="00FB4E2D">
              <w:rPr>
                <w:rFonts w:ascii="Times New Roman" w:eastAsia="Times New Roman" w:hAnsi="Times New Roman" w:cs="Times New Roman"/>
                <w:noProof/>
                <w:kern w:val="0"/>
                <w14:ligatures w14:val="none"/>
              </w:rPr>
              <w:t xml:space="preserve"> over 1 000 days</w:t>
            </w:r>
            <w:r w:rsidR="00A14346" w:rsidRPr="00FB4E2D">
              <w:rPr>
                <w:rFonts w:ascii="Times New Roman" w:eastAsia="Times New Roman" w:hAnsi="Times New Roman" w:cs="Times New Roman"/>
                <w:noProof/>
                <w:kern w:val="0"/>
                <w14:ligatures w14:val="none"/>
              </w:rPr>
              <w:t xml:space="preserve"> in 2024</w:t>
            </w:r>
            <w:r w:rsidRPr="00FB4E2D">
              <w:rPr>
                <w:rFonts w:ascii="Times New Roman" w:eastAsia="Times New Roman" w:hAnsi="Times New Roman" w:cs="Times New Roman"/>
                <w:noProof/>
                <w:kern w:val="0"/>
                <w14:ligatures w14:val="none"/>
              </w:rPr>
              <w:t>.</w:t>
            </w:r>
          </w:p>
          <w:p w14:paraId="70AF4F8F" w14:textId="51E50287" w:rsidR="00A02C07" w:rsidRPr="00FB4E2D" w:rsidRDefault="00A02C07" w:rsidP="00A02C07">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Effective measures to combat </w:t>
            </w:r>
            <w:r w:rsidRPr="00FB4E2D">
              <w:rPr>
                <w:rFonts w:ascii="Times New Roman" w:eastAsia="Times New Roman" w:hAnsi="Times New Roman" w:cs="Times New Roman"/>
                <w:b/>
                <w:noProof/>
                <w:kern w:val="0"/>
                <w14:ligatures w14:val="none"/>
              </w:rPr>
              <w:t>money laundering</w:t>
            </w:r>
            <w:r w:rsidRPr="00FB4E2D">
              <w:rPr>
                <w:rFonts w:ascii="Times New Roman" w:eastAsia="Times New Roman" w:hAnsi="Times New Roman" w:cs="Times New Roman"/>
                <w:noProof/>
                <w:kern w:val="0"/>
                <w14:ligatures w14:val="none"/>
              </w:rPr>
              <w:t xml:space="preserve"> are crucial to protecting the financial system, ensuring fair competition and preventing negative economic consequences. Excessively long court proceedings may hamper the EU’s ability to</w:t>
            </w:r>
            <w:r w:rsidRPr="00FB4E2D" w:rsidDel="002B72E0">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fight money laundering or reduce the effectiveness of efforts in this field. Figure 20 presents updated data on the length of judicial proceedings</w:t>
            </w:r>
            <w:r w:rsidRPr="00FB4E2D" w:rsidDel="005A59E3">
              <w:rPr>
                <w:rFonts w:ascii="Times New Roman" w:eastAsia="Times New Roman" w:hAnsi="Times New Roman" w:cs="Times New Roman"/>
                <w:noProof/>
                <w:kern w:val="0"/>
                <w14:ligatures w14:val="none"/>
              </w:rPr>
              <w:t xml:space="preserve"> dealing with money laundering offences</w:t>
            </w:r>
            <w:r w:rsidRPr="00FB4E2D">
              <w:rPr>
                <w:rFonts w:ascii="Times New Roman" w:eastAsia="Times New Roman" w:hAnsi="Times New Roman" w:cs="Times New Roman"/>
                <w:noProof/>
                <w:kern w:val="0"/>
                <w14:ligatures w14:val="none"/>
              </w:rPr>
              <w:t xml:space="preserve">. It shows that, while in 12 Member States first instance court proceedings take up between a month to a year on average, they take up between one and two years on average in 10 Member States, and in three Member States they take up more than </w:t>
            </w:r>
            <w:r w:rsidR="004F4B49" w:rsidRPr="00FB4E2D">
              <w:rPr>
                <w:rFonts w:ascii="Times New Roman" w:eastAsia="Times New Roman" w:hAnsi="Times New Roman" w:cs="Times New Roman"/>
                <w:noProof/>
                <w:kern w:val="0"/>
                <w14:ligatures w14:val="none"/>
              </w:rPr>
              <w:t xml:space="preserve">three </w:t>
            </w:r>
            <w:r w:rsidRPr="00FB4E2D">
              <w:rPr>
                <w:rFonts w:ascii="Times New Roman" w:eastAsia="Times New Roman" w:hAnsi="Times New Roman" w:cs="Times New Roman"/>
                <w:noProof/>
                <w:kern w:val="0"/>
                <w14:ligatures w14:val="none"/>
              </w:rPr>
              <w:t>years on average (</w:t>
            </w:r>
            <w:r w:rsidRPr="00FB4E2D">
              <w:rPr>
                <w:rFonts w:ascii="Times New Roman" w:eastAsia="Times New Roman" w:hAnsi="Times New Roman" w:cs="Times New Roman"/>
                <w:noProof/>
                <w:kern w:val="0"/>
                <w:vertAlign w:val="superscript"/>
                <w14:ligatures w14:val="none"/>
              </w:rPr>
              <w:footnoteReference w:id="49"/>
            </w:r>
            <w:r w:rsidRPr="00FB4E2D">
              <w:rPr>
                <w:rFonts w:ascii="Times New Roman" w:eastAsia="Times New Roman" w:hAnsi="Times New Roman" w:cs="Times New Roman"/>
                <w:noProof/>
                <w:kern w:val="0"/>
                <w14:ligatures w14:val="none"/>
              </w:rPr>
              <w:t>).</w:t>
            </w:r>
          </w:p>
          <w:p w14:paraId="108C1B89" w14:textId="4718E3B9" w:rsidR="00A02C07" w:rsidRPr="00FB4E2D" w:rsidRDefault="00A02C07" w:rsidP="00A02C07">
            <w:pPr>
              <w:numPr>
                <w:ilvl w:val="0"/>
                <w:numId w:val="3"/>
              </w:numPr>
              <w:spacing w:after="60" w:line="240" w:lineRule="auto"/>
              <w:jc w:val="both"/>
              <w:rPr>
                <w:rFonts w:ascii="Times New Roman" w:eastAsia="Times New Roman" w:hAnsi="Times New Roman" w:cs="Times New Roman"/>
                <w:noProof/>
                <w:kern w:val="0"/>
                <w14:ligatures w14:val="none"/>
              </w:rPr>
            </w:pPr>
            <w:r w:rsidRPr="00FB4E2D">
              <w:rPr>
                <w:rFonts w:ascii="Times New Roman" w:eastAsia="Calibri" w:hAnsi="Times New Roman" w:cs="Times New Roman"/>
                <w:b/>
                <w:noProof/>
                <w:kern w:val="0"/>
                <w14:ligatures w14:val="none"/>
              </w:rPr>
              <w:t>Corruption</w:t>
            </w:r>
            <w:r w:rsidRPr="00FB4E2D">
              <w:rPr>
                <w:rFonts w:ascii="Times New Roman" w:eastAsia="Calibri" w:hAnsi="Times New Roman" w:cs="Times New Roman"/>
                <w:noProof/>
                <w:kern w:val="0"/>
                <w14:ligatures w14:val="none"/>
              </w:rPr>
              <w:t xml:space="preserve"> is a particularly serious crime with a cross-border dimension. It has negative economic consequences </w:t>
            </w:r>
            <w:r w:rsidRPr="00FB4E2D">
              <w:rPr>
                <w:rFonts w:ascii="Times New Roman" w:eastAsia="Times New Roman" w:hAnsi="Times New Roman" w:cs="Times New Roman"/>
                <w:noProof/>
                <w:kern w:val="0"/>
                <w14:ligatures w14:val="none"/>
              </w:rPr>
              <w:t>and</w:t>
            </w:r>
            <w:r w:rsidRPr="00FB4E2D">
              <w:rPr>
                <w:rFonts w:ascii="Times New Roman" w:eastAsia="Calibri" w:hAnsi="Times New Roman" w:cs="Times New Roman"/>
                <w:noProof/>
                <w:kern w:val="0"/>
                <w14:ligatures w14:val="none"/>
              </w:rPr>
              <w:t xml:space="preserve"> can only be effectively tackled by common minimum rules across the EU.</w:t>
            </w:r>
            <w:r w:rsidRPr="00FB4E2D">
              <w:rPr>
                <w:rFonts w:ascii="Times New Roman" w:eastAsia="Times New Roman" w:hAnsi="Times New Roman" w:cs="Times New Roman"/>
                <w:noProof/>
                <w:kern w:val="0"/>
                <w14:ligatures w14:val="none"/>
              </w:rPr>
              <w:t xml:space="preserve"> </w:t>
            </w:r>
            <w:r w:rsidR="00F63264" w:rsidRPr="00FB4E2D">
              <w:rPr>
                <w:rFonts w:ascii="Times New Roman" w:eastAsia="Times New Roman" w:hAnsi="Times New Roman" w:cs="Times New Roman"/>
                <w:noProof/>
                <w:kern w:val="0"/>
                <w14:ligatures w14:val="none"/>
              </w:rPr>
              <w:t xml:space="preserve">The EU Justice </w:t>
            </w:r>
            <w:r w:rsidRPr="00FB4E2D">
              <w:rPr>
                <w:rFonts w:ascii="Times New Roman" w:eastAsia="Times New Roman" w:hAnsi="Times New Roman" w:cs="Times New Roman"/>
                <w:noProof/>
                <w:kern w:val="0"/>
                <w14:ligatures w14:val="none"/>
              </w:rPr>
              <w:t xml:space="preserve">Scoreboard presents figures on the length of judicial proceedings dealing with bribery cases. Figure 21 shows varying levels of data availability among Member States, and differences in the average length of proceedings before first-instance criminal courts. Looking at 2024 data, proceedings are concluded within about a year in six Member States, </w:t>
            </w:r>
            <w:r w:rsidR="006D38DC" w:rsidRPr="006D38DC">
              <w:rPr>
                <w:rFonts w:ascii="Times New Roman" w:eastAsia="Times New Roman" w:hAnsi="Times New Roman" w:cs="Times New Roman"/>
                <w:noProof/>
                <w:kern w:val="0"/>
                <w14:ligatures w14:val="none"/>
              </w:rPr>
              <w:t xml:space="preserve">in ten </w:t>
            </w:r>
            <w:r w:rsidR="006D38DC">
              <w:rPr>
                <w:rFonts w:ascii="Times New Roman" w:eastAsia="Times New Roman" w:hAnsi="Times New Roman" w:cs="Times New Roman"/>
                <w:noProof/>
                <w:kern w:val="0"/>
                <w14:ligatures w14:val="none"/>
              </w:rPr>
              <w:t xml:space="preserve">Member States </w:t>
            </w:r>
            <w:r w:rsidR="006D38DC" w:rsidRPr="006D38DC">
              <w:rPr>
                <w:rFonts w:ascii="Times New Roman" w:eastAsia="Times New Roman" w:hAnsi="Times New Roman" w:cs="Times New Roman"/>
                <w:noProof/>
                <w:kern w:val="0"/>
                <w14:ligatures w14:val="none"/>
              </w:rPr>
              <w:t>proceedings last between a year and two years,</w:t>
            </w:r>
            <w:r w:rsidR="006D38DC">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 xml:space="preserve">while in four other where data are available, proceedings can last two years or more. Overall, the complexity of prosecuting and adjudicating bribery offences reflects the serious nature of the crime. </w:t>
            </w:r>
            <w:r w:rsidR="0062722C"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This is also reflected in the length of proceedings.</w:t>
            </w:r>
          </w:p>
        </w:tc>
      </w:tr>
    </w:tbl>
    <w:p w14:paraId="78CC59B1" w14:textId="77777777" w:rsidR="00A02C07" w:rsidRPr="00FB4E2D" w:rsidRDefault="00A02C07" w:rsidP="002F38EF">
      <w:pPr>
        <w:keepNext/>
        <w:spacing w:before="240" w:after="120" w:line="240" w:lineRule="auto"/>
        <w:jc w:val="both"/>
        <w:outlineLvl w:val="2"/>
        <w:rPr>
          <w:rFonts w:ascii="Times New Roman" w:eastAsia="Calibri" w:hAnsi="Times New Roman" w:cs="Times New Roman"/>
          <w:b/>
          <w:noProof/>
          <w:kern w:val="0"/>
          <w14:ligatures w14:val="none"/>
        </w:rPr>
      </w:pPr>
      <w:bookmarkStart w:id="84" w:name="_Toc409530218"/>
      <w:bookmarkStart w:id="85" w:name="_Toc438545668"/>
      <w:bookmarkStart w:id="86" w:name="_Toc438548318"/>
      <w:bookmarkStart w:id="87" w:name="_Toc438548504"/>
      <w:bookmarkStart w:id="88" w:name="_Toc440017694"/>
      <w:bookmarkStart w:id="89" w:name="_Toc440018078"/>
      <w:bookmarkStart w:id="90" w:name="_Toc440033376"/>
      <w:bookmarkStart w:id="91" w:name="_Toc440035227"/>
      <w:bookmarkStart w:id="92" w:name="_Toc440036522"/>
      <w:bookmarkStart w:id="93" w:name="_Toc440042464"/>
      <w:r w:rsidRPr="00FB4E2D">
        <w:rPr>
          <w:rFonts w:ascii="Times New Roman" w:eastAsia="Times New Roman" w:hAnsi="Times New Roman" w:cs="Times New Roman"/>
          <w:b/>
          <w:noProof/>
          <w:kern w:val="0"/>
          <w14:ligatures w14:val="none"/>
        </w:rPr>
        <w:t>2.1.2. Developments in caseload</w:t>
      </w:r>
    </w:p>
    <w:p w14:paraId="5299DA27" w14:textId="77777777"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The caseload of national justice systems decreased in five</w:t>
      </w:r>
      <w:r w:rsidRPr="00FB4E2D" w:rsidDel="004D6DEA">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Member States, in two of which by a large amount compared to the previous year. It increased or remained stable in 20 Member States. Overall, it continues to vary considerably between Member States (Figure 1).</w:t>
      </w:r>
    </w:p>
    <w:p w14:paraId="7352F7EF" w14:textId="767B0CE5"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Number of incoming </w:t>
      </w:r>
      <w:r w:rsidRPr="00FB4E2D">
        <w:rPr>
          <w:rFonts w:ascii="Times New Roman" w:eastAsia="Calibri" w:hAnsi="Times New Roman" w:cs="Times New Roman"/>
          <w:b/>
          <w:noProof/>
          <w:kern w:val="0"/>
          <w:u w:val="single"/>
          <w14:ligatures w14:val="none"/>
        </w:rPr>
        <w:t>civil, commercial, administrative and other cases in 2014</w:t>
      </w:r>
      <w:r w:rsidRPr="00FB4E2D" w:rsidDel="002C2ED7">
        <w:rPr>
          <w:rFonts w:ascii="Times New Roman" w:eastAsia="Calibri" w:hAnsi="Times New Roman" w:cs="Times New Roman"/>
          <w:b/>
          <w:noProof/>
          <w:kern w:val="0"/>
          <w:u w:val="single"/>
          <w14:ligatures w14:val="none"/>
        </w:rPr>
        <w:t>,</w:t>
      </w:r>
      <w:r w:rsidRPr="00FB4E2D">
        <w:rPr>
          <w:rFonts w:ascii="Times New Roman" w:eastAsia="Calibri" w:hAnsi="Times New Roman" w:cs="Times New Roman"/>
          <w:b/>
          <w:noProof/>
          <w:kern w:val="0"/>
          <w:u w:val="single"/>
          <w14:ligatures w14:val="none"/>
        </w:rPr>
        <w:t xml:space="preserve"> 2022 </w:t>
      </w:r>
      <w:r w:rsidRPr="00FB4E2D" w:rsidDel="002C2ED7">
        <w:rPr>
          <w:rFonts w:ascii="Times New Roman" w:eastAsia="Calibri" w:hAnsi="Times New Roman" w:cs="Times New Roman"/>
          <w:b/>
          <w:noProof/>
          <w:kern w:val="0"/>
          <w:u w:val="single"/>
          <w14:ligatures w14:val="none"/>
        </w:rPr>
        <w:t>–</w:t>
      </w:r>
      <w:r w:rsidRPr="00FB4E2D">
        <w:rPr>
          <w:rFonts w:ascii="Times New Roman" w:eastAsia="Calibri" w:hAnsi="Times New Roman" w:cs="Times New Roman"/>
          <w:b/>
          <w:noProof/>
          <w:kern w:val="0"/>
          <w:u w:val="single"/>
          <w14:ligatures w14:val="none"/>
        </w:rPr>
        <w:t xml:space="preserve"> 2024</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(at first instance/per 100 inhabitants) (source: CEPEJ study (</w:t>
      </w:r>
      <w:r w:rsidRPr="00FB4E2D">
        <w:rPr>
          <w:rFonts w:ascii="Times New Roman" w:eastAsia="Calibri" w:hAnsi="Times New Roman" w:cs="Times New Roman"/>
          <w:noProof/>
          <w:kern w:val="0"/>
          <w:sz w:val="22"/>
          <w:szCs w:val="22"/>
          <w:vertAlign w:val="superscript"/>
          <w14:ligatures w14:val="none"/>
        </w:rPr>
        <w:footnoteReference w:id="50"/>
      </w:r>
      <w:r w:rsidRPr="00FB4E2D">
        <w:rPr>
          <w:rFonts w:ascii="Times New Roman" w:eastAsia="Calibri" w:hAnsi="Times New Roman" w:cs="Times New Roman"/>
          <w:i/>
          <w:noProof/>
          <w:kern w:val="0"/>
          <w14:ligatures w14:val="none"/>
        </w:rPr>
        <w:t>))</w:t>
      </w:r>
    </w:p>
    <w:p w14:paraId="50FE8FFF" w14:textId="77777777" w:rsidR="00A02C07" w:rsidRPr="00FB4E2D" w:rsidRDefault="00A02C07" w:rsidP="00A02C07">
      <w:pPr>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lang w:val="en-GB" w:eastAsia="en-GB"/>
          <w14:ligatures w14:val="none"/>
        </w:rPr>
        <w:drawing>
          <wp:inline distT="0" distB="0" distL="0" distR="0" wp14:anchorId="6B721A8B" wp14:editId="6DE5BC23">
            <wp:extent cx="5760000" cy="2405309"/>
            <wp:effectExtent l="0" t="0" r="0" b="0"/>
            <wp:docPr id="1997552723" name="Picture 1"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52723" name="Picture 1" descr="A graph of numbers and line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0" cy="2405309"/>
                    </a:xfrm>
                    <a:prstGeom prst="rect">
                      <a:avLst/>
                    </a:prstGeom>
                    <a:noFill/>
                  </pic:spPr>
                </pic:pic>
              </a:graphicData>
            </a:graphic>
          </wp:inline>
        </w:drawing>
      </w:r>
    </w:p>
    <w:p w14:paraId="50E7135C" w14:textId="77777777" w:rsidR="00A02C07" w:rsidRPr="00FB4E2D" w:rsidRDefault="00A02C07" w:rsidP="00A02C07">
      <w:pPr>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14:ligatures w14:val="none"/>
        </w:rPr>
        <w:t xml:space="preserve">(*) Under the CEPEJ methodology, this category includes all civil and commercial litigious and non-litigious cases, non-litigious land and business registry cases, other registry cases, other non-litigious cases, administrative law cases and other non-criminal cases. </w:t>
      </w:r>
    </w:p>
    <w:p w14:paraId="4BDE9593" w14:textId="77777777"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Number of incoming </w:t>
      </w:r>
      <w:r w:rsidRPr="00FB4E2D">
        <w:rPr>
          <w:rFonts w:ascii="Times New Roman" w:eastAsia="Calibri" w:hAnsi="Times New Roman" w:cs="Times New Roman"/>
          <w:b/>
          <w:noProof/>
          <w:kern w:val="0"/>
          <w:u w:val="single"/>
          <w14:ligatures w14:val="none"/>
        </w:rPr>
        <w:t>civil and commercial litigious cases in 2014</w:t>
      </w:r>
      <w:r w:rsidRPr="00FB4E2D" w:rsidDel="002C2ED7">
        <w:rPr>
          <w:rFonts w:ascii="Times New Roman" w:eastAsia="Calibri" w:hAnsi="Times New Roman" w:cs="Times New Roman"/>
          <w:b/>
          <w:noProof/>
          <w:kern w:val="0"/>
          <w:u w:val="single"/>
          <w14:ligatures w14:val="none"/>
        </w:rPr>
        <w:t>,</w:t>
      </w:r>
      <w:r w:rsidRPr="00FB4E2D">
        <w:rPr>
          <w:rFonts w:ascii="Times New Roman" w:eastAsia="Calibri" w:hAnsi="Times New Roman" w:cs="Times New Roman"/>
          <w:b/>
          <w:noProof/>
          <w:kern w:val="0"/>
          <w:u w:val="single"/>
          <w14:ligatures w14:val="none"/>
        </w:rPr>
        <w:t xml:space="preserve"> 2022</w:t>
      </w:r>
      <w:r w:rsidRPr="00FB4E2D" w:rsidDel="002C2ED7">
        <w:rPr>
          <w:rFonts w:ascii="Times New Roman" w:eastAsia="Calibri" w:hAnsi="Times New Roman" w:cs="Times New Roman"/>
          <w:b/>
          <w:noProof/>
          <w:kern w:val="0"/>
          <w:u w:val="single"/>
          <w14:ligatures w14:val="none"/>
        </w:rPr>
        <w:t xml:space="preserve"> – </w:t>
      </w:r>
      <w:r w:rsidRPr="00FB4E2D">
        <w:rPr>
          <w:rFonts w:ascii="Times New Roman" w:eastAsia="Calibri" w:hAnsi="Times New Roman" w:cs="Times New Roman"/>
          <w:b/>
          <w:noProof/>
          <w:kern w:val="0"/>
          <w:u w:val="single"/>
          <w14:ligatures w14:val="none"/>
        </w:rPr>
        <w:t>2024</w:t>
      </w:r>
      <w:r w:rsidRPr="00FB4E2D">
        <w:rPr>
          <w:rFonts w:ascii="Times New Roman" w:eastAsia="Calibri" w:hAnsi="Times New Roman" w:cs="Times New Roman"/>
          <w:noProof/>
          <w:kern w:val="0"/>
          <w14:ligatures w14:val="none"/>
        </w:rPr>
        <w:t xml:space="preserve"> (</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(at first instance/per 100 inhabitants) (source: CEPEJ study)</w:t>
      </w:r>
    </w:p>
    <w:p w14:paraId="362807F8" w14:textId="303B00AF" w:rsidR="00A02C07" w:rsidRPr="00FB4E2D" w:rsidRDefault="00A02C07" w:rsidP="00A02C07">
      <w:pPr>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7A7E8089" wp14:editId="477FBEFB">
            <wp:extent cx="5760000" cy="2418763"/>
            <wp:effectExtent l="0" t="0" r="0" b="635"/>
            <wp:docPr id="1241613365" name="Picture 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13365" name="Picture 2" descr="A graph with numbers and line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0" cy="2418763"/>
                    </a:xfrm>
                    <a:prstGeom prst="rect">
                      <a:avLst/>
                    </a:prstGeom>
                    <a:noFill/>
                  </pic:spPr>
                </pic:pic>
              </a:graphicData>
            </a:graphic>
          </wp:inline>
        </w:drawing>
      </w:r>
      <w:r w:rsidRPr="00FB4E2D">
        <w:rPr>
          <w:rFonts w:ascii="Times New Roman" w:eastAsia="Calibri" w:hAnsi="Times New Roman" w:cs="Times New Roman"/>
          <w:i/>
          <w:noProof/>
          <w:kern w:val="0"/>
          <w:sz w:val="20"/>
          <w:szCs w:val="22"/>
          <w14:ligatures w14:val="none"/>
        </w:rPr>
        <w:t>(*) Under the CEPEJ methodology, litigious civil/commercial cases concern disputes between parties, e.g. disputes about contracts. Non-litigious civil/commercial cases concern uncontested proceedings, e.g. uncontested payment orders.</w:t>
      </w:r>
    </w:p>
    <w:p w14:paraId="38C69587" w14:textId="77777777"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Number of incoming </w:t>
      </w:r>
      <w:r w:rsidRPr="00FB4E2D">
        <w:rPr>
          <w:rFonts w:ascii="Times New Roman" w:eastAsia="Calibri" w:hAnsi="Times New Roman" w:cs="Times New Roman"/>
          <w:b/>
          <w:noProof/>
          <w:kern w:val="0"/>
          <w:u w:val="single"/>
          <w14:ligatures w14:val="none"/>
        </w:rPr>
        <w:t>administrative cases in 2014, 2022 – 2024</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 xml:space="preserve">(at first instance/per 100 inhabitants) (source: CEPEJ study) </w:t>
      </w:r>
    </w:p>
    <w:p w14:paraId="38C69FE8" w14:textId="629614E9" w:rsidR="00A02C07" w:rsidRPr="00FB4E2D" w:rsidRDefault="00A02C07" w:rsidP="00A02C07">
      <w:pPr>
        <w:keepNext/>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lang w:val="en-GB" w:eastAsia="en-GB"/>
          <w14:ligatures w14:val="none"/>
        </w:rPr>
        <w:drawing>
          <wp:inline distT="0" distB="0" distL="0" distR="0" wp14:anchorId="7F42EF8C" wp14:editId="73C6EB3C">
            <wp:extent cx="5760000" cy="2428511"/>
            <wp:effectExtent l="0" t="0" r="0" b="0"/>
            <wp:docPr id="924467064" name="Picture 2" descr="A graph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467064" name="Picture 2" descr="A graph of numbers and letter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00" cy="2428511"/>
                    </a:xfrm>
                    <a:prstGeom prst="rect">
                      <a:avLst/>
                    </a:prstGeom>
                    <a:noFill/>
                  </pic:spPr>
                </pic:pic>
              </a:graphicData>
            </a:graphic>
          </wp:inline>
        </w:drawing>
      </w:r>
      <w:r w:rsidRPr="00FB4E2D">
        <w:rPr>
          <w:rFonts w:ascii="Times New Roman" w:eastAsia="Calibri" w:hAnsi="Times New Roman" w:cs="Times New Roman"/>
          <w:i/>
          <w:noProof/>
          <w:kern w:val="0"/>
          <w:sz w:val="20"/>
          <w:szCs w:val="20"/>
          <w14:ligatures w14:val="none"/>
        </w:rPr>
        <w:t xml:space="preserve">(*) Under the CEPEJ methodology, administrative law cases concern disputes between individuals and local, regional or national authorities. </w:t>
      </w:r>
      <w:r w:rsidRPr="00FB4E2D">
        <w:rPr>
          <w:rFonts w:ascii="Times New Roman" w:eastAsia="Calibri" w:hAnsi="Times New Roman" w:cs="Times New Roman"/>
          <w:b/>
          <w:i/>
          <w:noProof/>
          <w:kern w:val="0"/>
          <w:sz w:val="20"/>
          <w:szCs w:val="20"/>
          <w14:ligatures w14:val="none"/>
        </w:rPr>
        <w:t>DK</w:t>
      </w:r>
      <w:r w:rsidRPr="00FB4E2D">
        <w:rPr>
          <w:rFonts w:ascii="Times New Roman" w:eastAsia="Calibri" w:hAnsi="Times New Roman" w:cs="Times New Roman"/>
          <w:i/>
          <w:noProof/>
          <w:kern w:val="0"/>
          <w:sz w:val="20"/>
          <w:szCs w:val="20"/>
          <w14:ligatures w14:val="none"/>
        </w:rPr>
        <w:t xml:space="preserve"> and </w:t>
      </w:r>
      <w:r w:rsidRPr="00FB4E2D" w:rsidDel="00337C11">
        <w:rPr>
          <w:rFonts w:ascii="Times New Roman" w:eastAsia="Calibri" w:hAnsi="Times New Roman" w:cs="Times New Roman"/>
          <w:b/>
          <w:i/>
          <w:noProof/>
          <w:kern w:val="0"/>
          <w:sz w:val="20"/>
          <w:szCs w:val="20"/>
          <w14:ligatures w14:val="none"/>
        </w:rPr>
        <w:t>IE</w:t>
      </w:r>
      <w:r w:rsidRPr="00FB4E2D" w:rsidDel="00337C11">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i/>
          <w:noProof/>
          <w:kern w:val="0"/>
          <w:sz w:val="20"/>
          <w:szCs w:val="20"/>
          <w14:ligatures w14:val="none"/>
        </w:rPr>
        <w:t>do not record administrative cases separately</w:t>
      </w:r>
      <w:bookmarkStart w:id="94" w:name="_Toc440291117"/>
      <w:bookmarkStart w:id="95" w:name="_Toc440294680"/>
      <w:bookmarkStart w:id="96" w:name="_Toc440295182"/>
      <w:bookmarkStart w:id="97" w:name="_Toc440296587"/>
      <w:bookmarkStart w:id="98" w:name="_Toc440625071"/>
      <w:bookmarkStart w:id="99" w:name="_Toc440626401"/>
      <w:bookmarkStart w:id="100" w:name="_Toc440628855"/>
      <w:bookmarkStart w:id="101" w:name="_Toc441571127"/>
      <w:bookmarkStart w:id="102" w:name="_Toc441581629"/>
      <w:bookmarkStart w:id="103" w:name="_Toc441585896"/>
      <w:bookmarkStart w:id="104" w:name="_Toc441595831"/>
      <w:bookmarkStart w:id="105" w:name="_Toc441596008"/>
      <w:bookmarkStart w:id="106" w:name="_Toc441748133"/>
      <w:bookmarkStart w:id="107" w:name="_Toc441755418"/>
      <w:bookmarkStart w:id="108" w:name="_Toc441756455"/>
      <w:bookmarkStart w:id="109" w:name="_Toc441757499"/>
      <w:bookmarkStart w:id="110" w:name="_Toc441766628"/>
      <w:bookmarkStart w:id="111" w:name="_Toc441766967"/>
      <w:bookmarkStart w:id="112" w:name="_Toc442187968"/>
      <w:bookmarkStart w:id="113" w:name="_Toc442262060"/>
      <w:bookmarkStart w:id="114" w:name="_Toc442362467"/>
      <w:bookmarkStart w:id="115" w:name="_Toc442374803"/>
      <w:bookmarkStart w:id="116" w:name="_Toc442425943"/>
      <w:bookmarkStart w:id="117" w:name="_Toc442453069"/>
      <w:bookmarkStart w:id="118" w:name="_Toc443484749"/>
      <w:bookmarkStart w:id="119" w:name="_Toc443509490"/>
      <w:bookmarkStart w:id="120" w:name="_Toc446014819"/>
      <w:bookmarkEnd w:id="84"/>
      <w:bookmarkEnd w:id="85"/>
      <w:bookmarkEnd w:id="86"/>
      <w:bookmarkEnd w:id="87"/>
      <w:bookmarkEnd w:id="88"/>
      <w:bookmarkEnd w:id="89"/>
      <w:bookmarkEnd w:id="90"/>
      <w:bookmarkEnd w:id="91"/>
      <w:bookmarkEnd w:id="92"/>
      <w:bookmarkEnd w:id="93"/>
      <w:r w:rsidRPr="00FB4E2D">
        <w:rPr>
          <w:rFonts w:ascii="Times New Roman" w:eastAsia="Calibri" w:hAnsi="Times New Roman" w:cs="Times New Roman"/>
          <w:i/>
          <w:noProof/>
          <w:kern w:val="0"/>
          <w:sz w:val="20"/>
          <w:szCs w:val="20"/>
          <w14:ligatures w14:val="none"/>
        </w:rPr>
        <w:t xml:space="preserve">. Methodology changes in </w:t>
      </w:r>
      <w:r w:rsidRPr="00FB4E2D">
        <w:rPr>
          <w:rFonts w:ascii="Times New Roman" w:eastAsia="Calibri" w:hAnsi="Times New Roman" w:cs="Times New Roman"/>
          <w:b/>
          <w:i/>
          <w:noProof/>
          <w:kern w:val="0"/>
          <w:sz w:val="20"/>
          <w:szCs w:val="20"/>
          <w14:ligatures w14:val="none"/>
        </w:rPr>
        <w:t>EL</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SK</w:t>
      </w:r>
      <w:r w:rsidRPr="00FB4E2D">
        <w:rPr>
          <w:rFonts w:ascii="Times New Roman" w:eastAsia="Calibri" w:hAnsi="Times New Roman" w:cs="Times New Roman"/>
          <w:i/>
          <w:noProof/>
          <w:kern w:val="0"/>
          <w:sz w:val="20"/>
          <w:szCs w:val="20"/>
          <w14:ligatures w14:val="none"/>
        </w:rPr>
        <w:t xml:space="preserve"> and </w:t>
      </w:r>
      <w:r w:rsidRPr="00FB4E2D">
        <w:rPr>
          <w:rFonts w:ascii="Times New Roman" w:eastAsia="Calibri" w:hAnsi="Times New Roman" w:cs="Times New Roman"/>
          <w:b/>
          <w:i/>
          <w:noProof/>
          <w:kern w:val="0"/>
          <w:sz w:val="20"/>
          <w:szCs w:val="20"/>
          <w14:ligatures w14:val="none"/>
        </w:rPr>
        <w:t>SE</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bCs/>
          <w:i/>
          <w:noProof/>
          <w:kern w:val="0"/>
          <w:sz w:val="20"/>
          <w:szCs w:val="20"/>
          <w14:ligatures w14:val="none"/>
        </w:rPr>
        <w:t>PT</w:t>
      </w:r>
      <w:r w:rsidRPr="00FB4E2D">
        <w:rPr>
          <w:rFonts w:ascii="Times New Roman" w:eastAsia="Calibri" w:hAnsi="Times New Roman" w:cs="Times New Roman"/>
          <w:i/>
          <w:noProof/>
          <w:kern w:val="0"/>
          <w:sz w:val="20"/>
          <w:szCs w:val="20"/>
          <w14:ligatures w14:val="none"/>
        </w:rPr>
        <w:t>: The increase of incoming cases in 2024 was in part due to the very high number of applications for authorisation or renewal of the residence permit that were lodged with the Lisbon Administrative Court.</w:t>
      </w:r>
    </w:p>
    <w:p w14:paraId="36F1501D" w14:textId="77777777" w:rsidR="00A02C07" w:rsidRPr="00FB4E2D" w:rsidRDefault="00A02C07" w:rsidP="00A02C07">
      <w:pPr>
        <w:keepNext/>
        <w:spacing w:after="0" w:line="240" w:lineRule="auto"/>
        <w:jc w:val="both"/>
        <w:rPr>
          <w:rFonts w:ascii="Times New Roman" w:eastAsia="Calibri" w:hAnsi="Times New Roman" w:cs="Times New Roman"/>
          <w:i/>
          <w:noProof/>
          <w:kern w:val="0"/>
          <w:sz w:val="20"/>
          <w:szCs w:val="20"/>
          <w:highlight w:val="yellow"/>
          <w14:ligatures w14:val="none"/>
        </w:rPr>
      </w:pPr>
      <w:r w:rsidRPr="00FB4E2D">
        <w:rPr>
          <w:rFonts w:ascii="Times New Roman" w:eastAsia="Calibri" w:hAnsi="Times New Roman" w:cs="Times New Roman"/>
          <w:i/>
          <w:noProof/>
          <w:kern w:val="0"/>
          <w:sz w:val="20"/>
          <w:szCs w:val="20"/>
          <w:highlight w:val="yellow"/>
          <w14:ligatures w14:val="none"/>
        </w:rPr>
        <w:t xml:space="preserve"> </w:t>
      </w:r>
      <w:r w:rsidRPr="00FB4E2D">
        <w:rPr>
          <w:rFonts w:ascii="Times New Roman" w:eastAsia="Calibri" w:hAnsi="Times New Roman" w:cs="Times New Roman"/>
          <w:b/>
          <w:i/>
          <w:noProof/>
          <w:kern w:val="0"/>
          <w:sz w:val="22"/>
          <w:szCs w:val="22"/>
          <w:highlight w:val="yellow"/>
          <w14:ligatures w14:val="none"/>
        </w:rPr>
        <w:br w:type="page"/>
      </w:r>
    </w:p>
    <w:p w14:paraId="629B314A" w14:textId="77777777" w:rsidR="00A02C07" w:rsidRPr="00FB4E2D" w:rsidRDefault="00A02C07" w:rsidP="00A02C07">
      <w:pPr>
        <w:keepNext/>
        <w:spacing w:before="240" w:after="120" w:line="240" w:lineRule="auto"/>
        <w:jc w:val="both"/>
        <w:outlineLvl w:val="2"/>
        <w:rPr>
          <w:rFonts w:ascii="Times New Roman" w:eastAsia="Calibri" w:hAnsi="Times New Roman" w:cs="Times New Roman"/>
          <w:b/>
          <w:noProof/>
          <w:kern w:val="0"/>
          <w14:ligatures w14:val="none"/>
        </w:rPr>
      </w:pPr>
      <w:r w:rsidRPr="00FB4E2D">
        <w:rPr>
          <w:rFonts w:ascii="Times New Roman" w:eastAsia="Times New Roman" w:hAnsi="Times New Roman" w:cs="Times New Roman"/>
          <w:b/>
          <w:noProof/>
          <w:kern w:val="0"/>
          <w14:ligatures w14:val="none"/>
        </w:rPr>
        <w:t xml:space="preserve">2.1.3. </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FB4E2D">
        <w:rPr>
          <w:rFonts w:ascii="Times New Roman" w:eastAsia="Times New Roman" w:hAnsi="Times New Roman" w:cs="Times New Roman"/>
          <w:b/>
          <w:noProof/>
          <w:kern w:val="0"/>
          <w14:ligatures w14:val="none"/>
        </w:rPr>
        <w:t>General data on efficiency</w:t>
      </w:r>
    </w:p>
    <w:p w14:paraId="76BECC08" w14:textId="18FA1531" w:rsidR="00A02C07" w:rsidRPr="00FB4E2D" w:rsidRDefault="00A02C07" w:rsidP="00A02C07">
      <w:pPr>
        <w:spacing w:after="120" w:line="240" w:lineRule="auto"/>
        <w:jc w:val="both"/>
        <w:rPr>
          <w:rFonts w:ascii="Times New Roman" w:eastAsia="Calibri" w:hAnsi="Times New Roman" w:cs="Times New Roman"/>
          <w:i/>
          <w:noProof/>
          <w:kern w:val="0"/>
          <w14:ligatures w14:val="none"/>
        </w:rPr>
      </w:pPr>
      <w:r w:rsidRPr="00FB4E2D">
        <w:rPr>
          <w:rFonts w:ascii="Times New Roman" w:eastAsia="Times New Roman" w:hAnsi="Times New Roman" w:cs="Times New Roman"/>
          <w:noProof/>
          <w:kern w:val="0"/>
          <w14:ligatures w14:val="none"/>
        </w:rPr>
        <w:t xml:space="preserve">The indicators </w:t>
      </w:r>
      <w:r w:rsidRPr="00FB4E2D" w:rsidDel="00771E34">
        <w:rPr>
          <w:rFonts w:ascii="Times New Roman" w:eastAsia="Times New Roman" w:hAnsi="Times New Roman" w:cs="Times New Roman"/>
          <w:noProof/>
          <w:kern w:val="0"/>
          <w14:ligatures w14:val="none"/>
        </w:rPr>
        <w:t xml:space="preserve">on </w:t>
      </w:r>
      <w:r w:rsidRPr="00FB4E2D">
        <w:rPr>
          <w:rFonts w:ascii="Times New Roman" w:eastAsia="Times New Roman" w:hAnsi="Times New Roman" w:cs="Times New Roman"/>
          <w:noProof/>
          <w:kern w:val="0"/>
          <w14:ligatures w14:val="none"/>
        </w:rPr>
        <w:t xml:space="preserve">the efficiency of proceedings in </w:t>
      </w:r>
      <w:r w:rsidRPr="00FB4E2D" w:rsidDel="00771E34">
        <w:rPr>
          <w:rFonts w:ascii="Times New Roman" w:eastAsia="Times New Roman" w:hAnsi="Times New Roman" w:cs="Times New Roman"/>
          <w:noProof/>
          <w:kern w:val="0"/>
          <w14:ligatures w14:val="none"/>
        </w:rPr>
        <w:t xml:space="preserve">the broad areas of </w:t>
      </w:r>
      <w:r w:rsidRPr="00FB4E2D">
        <w:rPr>
          <w:rFonts w:ascii="Times New Roman" w:eastAsia="Times New Roman" w:hAnsi="Times New Roman" w:cs="Times New Roman"/>
          <w:noProof/>
          <w:kern w:val="0"/>
          <w14:ligatures w14:val="none"/>
        </w:rPr>
        <w:t>civil, commercial and administrative cases are: (i) estimated length of proceedings (disposition time), (ii) clearance rate and (iii) number of pending cases.</w:t>
      </w:r>
    </w:p>
    <w:p w14:paraId="10A63B2E" w14:textId="3FDC75FC" w:rsidR="00A02C07" w:rsidRPr="00FB4E2D" w:rsidRDefault="007143E9" w:rsidP="007143E9">
      <w:pPr>
        <w:keepNext/>
        <w:tabs>
          <w:tab w:val="left" w:pos="850"/>
        </w:tabs>
        <w:spacing w:before="240" w:after="120" w:line="240" w:lineRule="auto"/>
        <w:ind w:left="720" w:hanging="720"/>
        <w:jc w:val="both"/>
        <w:outlineLvl w:val="3"/>
        <w:rPr>
          <w:rFonts w:ascii="Times New Roman" w:eastAsia="Times New Roman" w:hAnsi="Times New Roman" w:cs="Times New Roman"/>
          <w:i/>
          <w:noProof/>
          <w:kern w:val="0"/>
          <w14:ligatures w14:val="none"/>
        </w:rPr>
      </w:pPr>
      <w:r w:rsidRPr="00FB4E2D">
        <w:rPr>
          <w:rFonts w:ascii="Times New Roman" w:eastAsia="Times New Roman" w:hAnsi="Times New Roman" w:cs="Times New Roman"/>
          <w:noProof/>
          <w:kern w:val="0"/>
          <w14:ligatures w14:val="none"/>
        </w:rPr>
        <w:t>–</w:t>
      </w:r>
      <w:r w:rsidR="00A02C07" w:rsidRPr="00FB4E2D">
        <w:rPr>
          <w:rFonts w:ascii="Times New Roman" w:eastAsia="Times New Roman" w:hAnsi="Times New Roman" w:cs="Times New Roman"/>
          <w:i/>
          <w:noProof/>
          <w:kern w:val="0"/>
          <w14:ligatures w14:val="none"/>
        </w:rPr>
        <w:t xml:space="preserve"> </w:t>
      </w:r>
      <w:r w:rsidR="00A02C07" w:rsidRPr="00FB4E2D">
        <w:rPr>
          <w:rFonts w:ascii="Times New Roman" w:eastAsia="Symbol" w:hAnsi="Times New Roman" w:cs="Symbol"/>
          <w:i/>
          <w:noProof/>
          <w:kern w:val="0"/>
          <w14:ligatures w14:val="none"/>
        </w:rPr>
        <w:t>Estimated</w:t>
      </w:r>
      <w:r w:rsidR="00A02C07" w:rsidRPr="00FB4E2D">
        <w:rPr>
          <w:rFonts w:ascii="Times New Roman" w:eastAsia="Times New Roman" w:hAnsi="Times New Roman" w:cs="Times New Roman"/>
          <w:i/>
          <w:noProof/>
          <w:kern w:val="0"/>
          <w14:ligatures w14:val="none"/>
        </w:rPr>
        <w:t xml:space="preserve"> length of proceedings </w:t>
      </w:r>
      <w:r w:rsidR="00A02C07" w:rsidRPr="00FB4E2D">
        <w:rPr>
          <w:rFonts w:ascii="Times New Roman" w:eastAsia="Times New Roman" w:hAnsi="Times New Roman" w:cs="Times New Roman"/>
          <w:noProof/>
          <w:kern w:val="0"/>
          <w14:ligatures w14:val="none"/>
        </w:rPr>
        <w:t>–</w:t>
      </w:r>
    </w:p>
    <w:p w14:paraId="54391952" w14:textId="7AA760AA"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The estimated length of proceedings indicates the estimated time (in days) needed to resolve a case in court, meaning the time taken by the court to reach a decision at first instance. ‘Disposition time’ indicates the estimated minimum time that a court would need to resolve a case while maintaining its</w:t>
      </w:r>
      <w:r w:rsidRPr="00FB4E2D" w:rsidDel="000831EB">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current working conditions. This indicator is calculated as the number of unresolved cases divided by the number of resolved cases at the end of a year</w:t>
      </w:r>
      <w:r w:rsidR="00A37525"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noProof/>
          <w:kern w:val="0"/>
          <w14:ligatures w14:val="none"/>
        </w:rPr>
        <w:t xml:space="preserve"> multiplied by 365 (days) (</w:t>
      </w:r>
      <w:r w:rsidRPr="00FB4E2D">
        <w:rPr>
          <w:rFonts w:ascii="Times New Roman" w:eastAsia="Yu Mincho" w:hAnsi="Times New Roman" w:cs="Times New Roman"/>
          <w:noProof/>
          <w:kern w:val="0"/>
          <w:vertAlign w:val="superscript"/>
          <w14:ligatures w14:val="none"/>
        </w:rPr>
        <w:footnoteReference w:id="51"/>
      </w:r>
      <w:r w:rsidRPr="00FB4E2D">
        <w:rPr>
          <w:rFonts w:ascii="Times New Roman" w:eastAsia="Times New Roman" w:hAnsi="Times New Roman" w:cs="Times New Roman"/>
          <w:noProof/>
          <w:kern w:val="0"/>
          <w14:ligatures w14:val="none"/>
        </w:rPr>
        <w:t>). The higher the value, the higher</w:t>
      </w:r>
      <w:r w:rsidRPr="00FB4E2D" w:rsidDel="000831EB">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 xml:space="preserve">the probability </w:t>
      </w:r>
      <w:r w:rsidRPr="00FB4E2D" w:rsidDel="000831EB">
        <w:rPr>
          <w:rFonts w:ascii="Times New Roman" w:eastAsia="Times New Roman" w:hAnsi="Times New Roman" w:cs="Times New Roman"/>
          <w:noProof/>
          <w:kern w:val="0"/>
          <w14:ligatures w14:val="none"/>
        </w:rPr>
        <w:t xml:space="preserve">that </w:t>
      </w:r>
      <w:r w:rsidRPr="00FB4E2D">
        <w:rPr>
          <w:rFonts w:ascii="Times New Roman" w:eastAsia="Times New Roman" w:hAnsi="Times New Roman" w:cs="Times New Roman"/>
          <w:noProof/>
          <w:kern w:val="0"/>
          <w14:ligatures w14:val="none"/>
        </w:rPr>
        <w:t xml:space="preserve">it takes the court longer to reach a decision. The data mostly concern proceedings </w:t>
      </w:r>
      <w:r w:rsidRPr="00FB4E2D" w:rsidDel="000831EB">
        <w:rPr>
          <w:rFonts w:ascii="Times New Roman" w:eastAsia="Times New Roman" w:hAnsi="Times New Roman" w:cs="Times New Roman"/>
          <w:noProof/>
          <w:kern w:val="0"/>
          <w14:ligatures w14:val="none"/>
        </w:rPr>
        <w:t>at</w:t>
      </w:r>
      <w:r w:rsidRPr="00FB4E2D">
        <w:rPr>
          <w:rFonts w:ascii="Times New Roman" w:eastAsia="Times New Roman" w:hAnsi="Times New Roman" w:cs="Times New Roman"/>
          <w:noProof/>
          <w:kern w:val="0"/>
          <w14:ligatures w14:val="none"/>
        </w:rPr>
        <w:t xml:space="preserve"> first instance courts and compare, where available, data for 2014, 2022, 2023 and 2024 (</w:t>
      </w:r>
      <w:r w:rsidRPr="00FB4E2D">
        <w:rPr>
          <w:rFonts w:ascii="Times New Roman" w:eastAsia="Times New Roman" w:hAnsi="Times New Roman" w:cs="Times New Roman"/>
          <w:noProof/>
          <w:kern w:val="0"/>
          <w:vertAlign w:val="superscript"/>
          <w14:ligatures w14:val="none"/>
        </w:rPr>
        <w:footnoteReference w:id="52"/>
      </w:r>
      <w:r w:rsidRPr="00FB4E2D">
        <w:rPr>
          <w:rFonts w:ascii="Times New Roman" w:eastAsia="Times New Roman" w:hAnsi="Times New Roman" w:cs="Times New Roman"/>
          <w:noProof/>
          <w:kern w:val="0"/>
          <w14:ligatures w14:val="none"/>
        </w:rPr>
        <w:t>). Figure 6</w:t>
      </w:r>
      <w:r w:rsidRPr="00FB4E2D" w:rsidDel="00D11130">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shows the disposition time in 2024 in civil and commercial litigious cases at all court instances, and Figure 8 for administrative cases at all court instances.</w:t>
      </w:r>
    </w:p>
    <w:p w14:paraId="2D8D2ED0" w14:textId="77777777" w:rsidR="00A02C07" w:rsidRPr="00FB4E2D" w:rsidRDefault="00A02C07" w:rsidP="00A02C07">
      <w:pPr>
        <w:keepNext/>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Estimated time needed to resolve </w:t>
      </w:r>
      <w:r w:rsidRPr="00FB4E2D">
        <w:rPr>
          <w:rFonts w:ascii="Times New Roman" w:eastAsia="Times New Roman" w:hAnsi="Times New Roman" w:cs="Times New Roman"/>
          <w:b/>
          <w:noProof/>
          <w:kern w:val="0"/>
          <w:u w:val="single"/>
          <w14:ligatures w14:val="none"/>
        </w:rPr>
        <w:t>civil, commercial, administrative and other cases in 2014</w:t>
      </w:r>
      <w:r w:rsidRPr="00FB4E2D" w:rsidDel="009705FD">
        <w:rPr>
          <w:rFonts w:ascii="Times New Roman" w:eastAsia="Times New Roman" w:hAnsi="Times New Roman" w:cs="Times New Roman"/>
          <w:b/>
          <w:noProof/>
          <w:kern w:val="0"/>
          <w:u w:val="single"/>
          <w14:ligatures w14:val="none"/>
        </w:rPr>
        <w:t>,</w:t>
      </w:r>
      <w:r w:rsidRPr="00FB4E2D">
        <w:rPr>
          <w:rFonts w:ascii="Times New Roman" w:eastAsia="Times New Roman" w:hAnsi="Times New Roman" w:cs="Times New Roman"/>
          <w:b/>
          <w:noProof/>
          <w:kern w:val="0"/>
          <w:u w:val="single"/>
          <w14:ligatures w14:val="none"/>
        </w:rPr>
        <w:t xml:space="preserve"> 2022</w:t>
      </w:r>
      <w:r w:rsidRPr="00FB4E2D" w:rsidDel="009705FD">
        <w:rPr>
          <w:rFonts w:ascii="Times New Roman" w:eastAsia="Times New Roman" w:hAnsi="Times New Roman" w:cs="Times New Roman"/>
          <w:b/>
          <w:noProof/>
          <w:kern w:val="0"/>
          <w:u w:val="single"/>
          <w14:ligatures w14:val="none"/>
        </w:rPr>
        <w:t xml:space="preserve"> – </w:t>
      </w:r>
      <w:r w:rsidRPr="00FB4E2D">
        <w:rPr>
          <w:rFonts w:ascii="Times New Roman" w:eastAsia="Times New Roman" w:hAnsi="Times New Roman" w:cs="Times New Roman"/>
          <w:b/>
          <w:noProof/>
          <w:kern w:val="0"/>
          <w:u w:val="single"/>
          <w14:ligatures w14:val="none"/>
        </w:rPr>
        <w:t>2024</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noProof/>
          <w:kern w:val="0"/>
          <w14:ligatures w14:val="none"/>
        </w:rPr>
        <w:t>(</w:t>
      </w:r>
      <w:r w:rsidRPr="00FB4E2D">
        <w:rPr>
          <w:rFonts w:ascii="Calibri" w:eastAsia="Times New Roman" w:hAnsi="Calibri" w:cs="Times New Roman"/>
          <w:noProof/>
          <w:kern w:val="0"/>
          <w14:ligatures w14:val="none"/>
        </w:rPr>
        <w:t>*</w:t>
      </w:r>
      <w:r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i/>
          <w:noProof/>
          <w:kern w:val="0"/>
          <w14:ligatures w14:val="none"/>
        </w:rPr>
        <w:t>(at first instance/in days) (source: CEPEJ study)</w:t>
      </w:r>
    </w:p>
    <w:p w14:paraId="1C49BB1B" w14:textId="77777777" w:rsidR="00A02C07" w:rsidRPr="00FB4E2D" w:rsidRDefault="00A02C07" w:rsidP="00A02C07">
      <w:pPr>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279EB9AA" wp14:editId="6290F122">
            <wp:extent cx="5760000" cy="2433415"/>
            <wp:effectExtent l="0" t="0" r="0" b="5080"/>
            <wp:docPr id="1155745391" name="Picture 6" descr="A graph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745391" name="Picture 6" descr="A graph of numbers and letters&#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2433415"/>
                    </a:xfrm>
                    <a:prstGeom prst="rect">
                      <a:avLst/>
                    </a:prstGeom>
                    <a:noFill/>
                  </pic:spPr>
                </pic:pic>
              </a:graphicData>
            </a:graphic>
          </wp:inline>
        </w:drawing>
      </w:r>
    </w:p>
    <w:p w14:paraId="539BB09B" w14:textId="16E364B7" w:rsidR="00A02C07" w:rsidRPr="00FB4E2D" w:rsidRDefault="00A02C07" w:rsidP="00A02C07">
      <w:pPr>
        <w:spacing w:after="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Times New Roman"/>
          <w:i/>
          <w:noProof/>
          <w:kern w:val="0"/>
          <w:sz w:val="20"/>
          <w:szCs w:val="20"/>
          <w14:ligatures w14:val="none"/>
        </w:rPr>
        <w:t xml:space="preserve">(*) Under the CEPEJ methodology, this category includes all civil and commercial litigious and non-litigious cases, non-litigious land and business registry cases, other registry cases, other non-litigious cases, administrative law cases and other non-criminal cases. Methodology changes in </w:t>
      </w:r>
      <w:r w:rsidRPr="00FB4E2D">
        <w:rPr>
          <w:rFonts w:ascii="Times New Roman" w:eastAsia="Calibri" w:hAnsi="Times New Roman" w:cs="Times New Roman"/>
          <w:b/>
          <w:i/>
          <w:noProof/>
          <w:kern w:val="0"/>
          <w:sz w:val="20"/>
          <w:szCs w:val="20"/>
          <w14:ligatures w14:val="none"/>
        </w:rPr>
        <w:t>SK</w:t>
      </w:r>
      <w:r w:rsidRPr="00FB4E2D">
        <w:rPr>
          <w:rFonts w:ascii="Times New Roman" w:eastAsia="Calibri" w:hAnsi="Times New Roman" w:cs="Times New Roman"/>
          <w:i/>
          <w:noProof/>
          <w:kern w:val="0"/>
          <w:sz w:val="20"/>
          <w:szCs w:val="20"/>
          <w14:ligatures w14:val="none"/>
        </w:rPr>
        <w:t xml:space="preserve">. Pending cases include all instances in </w:t>
      </w:r>
      <w:r w:rsidRPr="00FB4E2D">
        <w:rPr>
          <w:rFonts w:ascii="Times New Roman" w:eastAsia="Calibri" w:hAnsi="Times New Roman" w:cs="Times New Roman"/>
          <w:b/>
          <w:i/>
          <w:noProof/>
          <w:kern w:val="0"/>
          <w:sz w:val="20"/>
          <w:szCs w:val="20"/>
          <w14:ligatures w14:val="none"/>
        </w:rPr>
        <w:t>CZ</w:t>
      </w:r>
      <w:r w:rsidRPr="00FB4E2D">
        <w:rPr>
          <w:rFonts w:ascii="Times New Roman" w:eastAsia="Calibri" w:hAnsi="Times New Roman" w:cs="Times New Roman"/>
          <w:i/>
          <w:noProof/>
          <w:kern w:val="0"/>
          <w:sz w:val="20"/>
          <w:szCs w:val="20"/>
          <w14:ligatures w14:val="none"/>
        </w:rPr>
        <w:t xml:space="preserve"> and</w:t>
      </w:r>
      <w:bookmarkStart w:id="121" w:name="_Ref442281958"/>
      <w:r w:rsidRPr="00FB4E2D">
        <w:rPr>
          <w:rFonts w:ascii="Times New Roman" w:eastAsia="Calibri" w:hAnsi="Times New Roman" w:cs="Times New Roman"/>
          <w:i/>
          <w:noProof/>
          <w:kern w:val="0"/>
          <w:sz w:val="20"/>
          <w:szCs w:val="20"/>
          <w14:ligatures w14:val="none"/>
        </w:rPr>
        <w:t xml:space="preserve">, until 2016, in </w:t>
      </w:r>
      <w:r w:rsidRPr="00FB4E2D">
        <w:rPr>
          <w:rFonts w:ascii="Times New Roman" w:eastAsia="Calibri" w:hAnsi="Times New Roman" w:cs="Times New Roman"/>
          <w:b/>
          <w:i/>
          <w:noProof/>
          <w:kern w:val="0"/>
          <w:sz w:val="20"/>
          <w:szCs w:val="20"/>
          <w14:ligatures w14:val="none"/>
        </w:rPr>
        <w:t>SK</w:t>
      </w:r>
      <w:r w:rsidRPr="00FB4E2D">
        <w:rPr>
          <w:rFonts w:ascii="Times New Roman" w:eastAsia="Calibri" w:hAnsi="Times New Roman" w:cs="Times New Roman"/>
          <w:i/>
          <w:noProof/>
          <w:kern w:val="0"/>
          <w:sz w:val="20"/>
          <w:szCs w:val="20"/>
          <w14:ligatures w14:val="none"/>
        </w:rPr>
        <w:t xml:space="preserve">. For </w:t>
      </w:r>
      <w:r w:rsidRPr="00FB4E2D">
        <w:rPr>
          <w:rFonts w:ascii="Times New Roman" w:eastAsia="Calibri" w:hAnsi="Times New Roman" w:cs="Times New Roman"/>
          <w:b/>
          <w:i/>
          <w:noProof/>
          <w:kern w:val="0"/>
          <w:sz w:val="20"/>
          <w:szCs w:val="20"/>
          <w14:ligatures w14:val="none"/>
        </w:rPr>
        <w:t>LV</w:t>
      </w:r>
      <w:r w:rsidRPr="00FB4E2D">
        <w:rPr>
          <w:rFonts w:ascii="Times New Roman" w:eastAsia="Calibri" w:hAnsi="Times New Roman" w:cs="Times New Roman"/>
          <w:i/>
          <w:noProof/>
          <w:kern w:val="0"/>
          <w:sz w:val="20"/>
          <w:szCs w:val="20"/>
          <w14:ligatures w14:val="none"/>
        </w:rPr>
        <w:t xml:space="preserve">, the sharp decrease is due to court system reform, error checks and data clean-ups of the information system. In </w:t>
      </w:r>
      <w:r w:rsidRPr="00FB4E2D">
        <w:rPr>
          <w:rFonts w:ascii="Times New Roman" w:eastAsia="Calibri" w:hAnsi="Times New Roman" w:cs="Times New Roman"/>
          <w:b/>
          <w:i/>
          <w:noProof/>
          <w:kern w:val="0"/>
          <w:sz w:val="20"/>
          <w:szCs w:val="20"/>
          <w14:ligatures w14:val="none"/>
        </w:rPr>
        <w:t>PT</w:t>
      </w:r>
      <w:r w:rsidRPr="00FB4E2D">
        <w:rPr>
          <w:rFonts w:ascii="Times New Roman" w:eastAsia="Calibri" w:hAnsi="Times New Roman" w:cs="Times New Roman"/>
          <w:i/>
          <w:noProof/>
          <w:kern w:val="0"/>
          <w:sz w:val="20"/>
          <w:szCs w:val="20"/>
          <w14:ligatures w14:val="none"/>
        </w:rPr>
        <w:t>, the new Code of Civil Procedure</w:t>
      </w:r>
      <w:r w:rsidR="004F4B49"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i/>
          <w:noProof/>
          <w:kern w:val="0"/>
          <w:sz w:val="20"/>
          <w:szCs w:val="20"/>
          <w14:ligatures w14:val="none"/>
        </w:rPr>
        <w:t xml:space="preserve"> which creates a new enforcement regime</w:t>
      </w:r>
      <w:r w:rsidR="004F4B49"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i/>
          <w:noProof/>
          <w:kern w:val="0"/>
          <w:sz w:val="20"/>
          <w:szCs w:val="20"/>
          <w14:ligatures w14:val="none"/>
        </w:rPr>
        <w:t xml:space="preserve"> entered into force on 1 September 2013. It is based on a new paradigm, which states that court proceedings must be clearly distinguished from out-of-court proceedings. However, so far it has not been possible to adjust the collection of data accordingly and provide the necessary data for this Figure.</w:t>
      </w:r>
    </w:p>
    <w:bookmarkEnd w:id="121"/>
    <w:p w14:paraId="16D3142F" w14:textId="77777777"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Estimated time needed to resolve </w:t>
      </w:r>
      <w:r w:rsidRPr="00FB4E2D">
        <w:rPr>
          <w:rFonts w:ascii="Times New Roman" w:eastAsia="Calibri" w:hAnsi="Times New Roman" w:cs="Times New Roman"/>
          <w:b/>
          <w:noProof/>
          <w:kern w:val="0"/>
          <w:u w:val="single"/>
          <w14:ligatures w14:val="none"/>
        </w:rPr>
        <w:t>litigious civil and commercial cases at first instance in 2014</w:t>
      </w:r>
      <w:r w:rsidRPr="00FB4E2D" w:rsidDel="00156AA4">
        <w:rPr>
          <w:rFonts w:ascii="Times New Roman" w:eastAsia="Calibri" w:hAnsi="Times New Roman" w:cs="Times New Roman"/>
          <w:b/>
          <w:noProof/>
          <w:kern w:val="0"/>
          <w:u w:val="single"/>
          <w14:ligatures w14:val="none"/>
        </w:rPr>
        <w:t>,</w:t>
      </w:r>
      <w:r w:rsidRPr="00FB4E2D">
        <w:rPr>
          <w:rFonts w:ascii="Times New Roman" w:eastAsia="Calibri" w:hAnsi="Times New Roman" w:cs="Times New Roman"/>
          <w:b/>
          <w:noProof/>
          <w:kern w:val="0"/>
          <w:u w:val="single"/>
          <w14:ligatures w14:val="none"/>
        </w:rPr>
        <w:t xml:space="preserve"> 2022</w:t>
      </w:r>
      <w:r w:rsidRPr="00FB4E2D" w:rsidDel="00156AA4">
        <w:rPr>
          <w:rFonts w:ascii="Times New Roman" w:eastAsia="Calibri" w:hAnsi="Times New Roman" w:cs="Times New Roman"/>
          <w:b/>
          <w:noProof/>
          <w:kern w:val="0"/>
          <w:u w:val="single"/>
          <w14:ligatures w14:val="none"/>
        </w:rPr>
        <w:t xml:space="preserve"> – </w:t>
      </w:r>
      <w:r w:rsidRPr="00FB4E2D">
        <w:rPr>
          <w:rFonts w:ascii="Times New Roman" w:eastAsia="Calibri" w:hAnsi="Times New Roman" w:cs="Times New Roman"/>
          <w:b/>
          <w:noProof/>
          <w:kern w:val="0"/>
          <w:u w:val="single"/>
          <w14:ligatures w14:val="none"/>
        </w:rPr>
        <w:t>2024</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(at first instance/in days) (source: CEPEJ study)</w:t>
      </w:r>
    </w:p>
    <w:p w14:paraId="3ABA1BCD" w14:textId="77777777" w:rsidR="00A02C07" w:rsidRPr="00FB4E2D" w:rsidRDefault="00A02C07" w:rsidP="00A02C07">
      <w:pPr>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75CD72D5" wp14:editId="5A64FB28">
            <wp:extent cx="5760000" cy="2427293"/>
            <wp:effectExtent l="0" t="0" r="0" b="0"/>
            <wp:docPr id="150810740" name="Picture 5" descr="A graph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0740" name="Picture 5" descr="A graph of numbers and letter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00" cy="2427293"/>
                    </a:xfrm>
                    <a:prstGeom prst="rect">
                      <a:avLst/>
                    </a:prstGeom>
                    <a:noFill/>
                  </pic:spPr>
                </pic:pic>
              </a:graphicData>
            </a:graphic>
          </wp:inline>
        </w:drawing>
      </w:r>
    </w:p>
    <w:p w14:paraId="10C96151" w14:textId="77777777" w:rsidR="00A02C07" w:rsidRPr="00FB4E2D" w:rsidRDefault="00A02C07" w:rsidP="00A02C07">
      <w:pPr>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sz w:val="20"/>
          <w:szCs w:val="22"/>
          <w14:ligatures w14:val="none"/>
        </w:rPr>
        <w:t>(*)</w:t>
      </w:r>
      <w:r w:rsidRPr="00FB4E2D">
        <w:rPr>
          <w:rFonts w:ascii="Times New Roman" w:eastAsia="Calibri" w:hAnsi="Times New Roman" w:cs="Times New Roman"/>
          <w:b/>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Under the CEPEJ methodology, litigious civil/commercial cases concern disputes between parties, e.g. disputes about contracts. Non-litigious civil/commercial cases concern uncontested proceedings, e.g. uncontested payment orders. Methodology changes in </w:t>
      </w:r>
      <w:r w:rsidRPr="00FB4E2D" w:rsidDel="00A620E4">
        <w:rPr>
          <w:rFonts w:ascii="Times New Roman" w:eastAsia="Calibri" w:hAnsi="Times New Roman" w:cs="Times New Roman"/>
          <w:b/>
          <w:i/>
          <w:noProof/>
          <w:kern w:val="0"/>
          <w:sz w:val="20"/>
          <w:szCs w:val="22"/>
          <w14:ligatures w14:val="none"/>
        </w:rPr>
        <w:t>EL</w:t>
      </w:r>
      <w:r w:rsidRPr="00FB4E2D" w:rsidDel="00A620E4">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and </w:t>
      </w:r>
      <w:r w:rsidRPr="00FB4E2D">
        <w:rPr>
          <w:rFonts w:ascii="Times New Roman" w:eastAsia="Calibri" w:hAnsi="Times New Roman" w:cs="Times New Roman"/>
          <w:b/>
          <w:i/>
          <w:noProof/>
          <w:kern w:val="0"/>
          <w:sz w:val="20"/>
          <w:szCs w:val="22"/>
          <w14:ligatures w14:val="none"/>
        </w:rPr>
        <w:t>SK</w:t>
      </w:r>
      <w:r w:rsidRPr="00FB4E2D">
        <w:rPr>
          <w:rFonts w:ascii="Times New Roman" w:eastAsia="Calibri" w:hAnsi="Times New Roman" w:cs="Times New Roman"/>
          <w:i/>
          <w:noProof/>
          <w:kern w:val="0"/>
          <w:sz w:val="20"/>
          <w:szCs w:val="22"/>
          <w14:ligatures w14:val="none"/>
        </w:rPr>
        <w:t xml:space="preserve">. Pending cases include all instances in </w:t>
      </w:r>
      <w:r w:rsidRPr="00FB4E2D" w:rsidDel="009F67A0">
        <w:rPr>
          <w:rFonts w:ascii="Times New Roman" w:eastAsia="Calibri" w:hAnsi="Times New Roman" w:cs="Times New Roman"/>
          <w:b/>
          <w:i/>
          <w:noProof/>
          <w:kern w:val="0"/>
          <w:sz w:val="20"/>
          <w:szCs w:val="22"/>
          <w14:ligatures w14:val="none"/>
        </w:rPr>
        <w:t>CZ</w:t>
      </w:r>
      <w:r w:rsidRPr="00FB4E2D" w:rsidDel="009F67A0">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and, up to 2016, </w:t>
      </w:r>
      <w:r w:rsidRPr="00FB4E2D" w:rsidDel="00FC4AD0">
        <w:rPr>
          <w:rFonts w:ascii="Times New Roman" w:eastAsia="Calibri" w:hAnsi="Times New Roman" w:cs="Times New Roman"/>
          <w:i/>
          <w:noProof/>
          <w:kern w:val="0"/>
          <w:sz w:val="20"/>
          <w:szCs w:val="22"/>
          <w14:ligatures w14:val="none"/>
        </w:rPr>
        <w:t xml:space="preserve">in </w:t>
      </w:r>
      <w:r w:rsidRPr="00FB4E2D">
        <w:rPr>
          <w:rFonts w:ascii="Times New Roman" w:eastAsia="Calibri" w:hAnsi="Times New Roman" w:cs="Times New Roman"/>
          <w:b/>
          <w:i/>
          <w:noProof/>
          <w:kern w:val="0"/>
          <w:sz w:val="20"/>
          <w:szCs w:val="22"/>
          <w14:ligatures w14:val="none"/>
        </w:rPr>
        <w:t>S</w:t>
      </w:r>
      <w:r w:rsidRPr="00FB4E2D" w:rsidDel="00FC4AD0">
        <w:rPr>
          <w:rFonts w:ascii="Times New Roman" w:eastAsia="Calibri" w:hAnsi="Times New Roman" w:cs="Times New Roman"/>
          <w:b/>
          <w:i/>
          <w:noProof/>
          <w:kern w:val="0"/>
          <w:sz w:val="20"/>
          <w:szCs w:val="22"/>
          <w14:ligatures w14:val="none"/>
        </w:rPr>
        <w:t>K</w:t>
      </w:r>
      <w:r w:rsidRPr="00FB4E2D">
        <w:rPr>
          <w:rFonts w:ascii="Times New Roman" w:eastAsia="Calibri" w:hAnsi="Times New Roman" w:cs="Times New Roman"/>
          <w:i/>
          <w:noProof/>
          <w:kern w:val="0"/>
          <w:sz w:val="20"/>
          <w:szCs w:val="22"/>
          <w14:ligatures w14:val="none"/>
        </w:rPr>
        <w:t>.</w:t>
      </w:r>
      <w:r w:rsidRPr="00FB4E2D">
        <w:rPr>
          <w:rFonts w:ascii="Times New Roman" w:eastAsia="Calibri" w:hAnsi="Times New Roman" w:cs="Times New Roman"/>
          <w:noProof/>
          <w:kern w:val="0"/>
          <w:szCs w:val="22"/>
          <w14:ligatures w14:val="none"/>
        </w:rPr>
        <w:t xml:space="preserve"> </w:t>
      </w:r>
      <w:r w:rsidRPr="00FB4E2D">
        <w:rPr>
          <w:rFonts w:ascii="Times New Roman" w:eastAsia="Calibri" w:hAnsi="Times New Roman" w:cs="Times New Roman"/>
          <w:i/>
          <w:noProof/>
          <w:kern w:val="0"/>
          <w:sz w:val="20"/>
          <w:szCs w:val="22"/>
          <w14:ligatures w14:val="none"/>
        </w:rPr>
        <w:t xml:space="preserve">For </w:t>
      </w:r>
      <w:r w:rsidRPr="00FB4E2D">
        <w:rPr>
          <w:rFonts w:ascii="Times New Roman" w:eastAsia="Calibri" w:hAnsi="Times New Roman" w:cs="Times New Roman"/>
          <w:b/>
          <w:i/>
          <w:noProof/>
          <w:kern w:val="0"/>
          <w:sz w:val="20"/>
          <w:szCs w:val="22"/>
          <w14:ligatures w14:val="none"/>
        </w:rPr>
        <w:t>IT</w:t>
      </w:r>
      <w:r w:rsidRPr="00FB4E2D">
        <w:rPr>
          <w:rFonts w:ascii="Times New Roman" w:eastAsia="Calibri" w:hAnsi="Times New Roman" w:cs="Times New Roman"/>
          <w:i/>
          <w:noProof/>
          <w:kern w:val="0"/>
          <w:sz w:val="20"/>
          <w:szCs w:val="22"/>
          <w14:ligatures w14:val="none"/>
        </w:rPr>
        <w:t xml:space="preserve">, the temporary slowdown of judicial activity due to strict restrictive measures to address the COVID-19 pandemic affected the disposition time. Data for </w:t>
      </w:r>
      <w:bookmarkStart w:id="122" w:name="_Ref440892386"/>
      <w:bookmarkStart w:id="123" w:name="_Ref440892375"/>
      <w:r w:rsidRPr="00FB4E2D" w:rsidDel="00FC4AD0">
        <w:rPr>
          <w:rFonts w:ascii="Times New Roman" w:eastAsia="Calibri" w:hAnsi="Times New Roman" w:cs="Times New Roman"/>
          <w:b/>
          <w:i/>
          <w:noProof/>
          <w:kern w:val="0"/>
          <w:sz w:val="20"/>
          <w:szCs w:val="22"/>
          <w14:ligatures w14:val="none"/>
        </w:rPr>
        <w:t>NL</w:t>
      </w:r>
      <w:r w:rsidRPr="00FB4E2D" w:rsidDel="00FC4AD0">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include non-litigious cases.</w:t>
      </w:r>
    </w:p>
    <w:p w14:paraId="18A70BBD"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Estimated time needed to resolve </w:t>
      </w:r>
      <w:r w:rsidRPr="00FB4E2D">
        <w:rPr>
          <w:rFonts w:ascii="Times New Roman" w:eastAsia="Calibri" w:hAnsi="Times New Roman" w:cs="Times New Roman"/>
          <w:b/>
          <w:noProof/>
          <w:kern w:val="0"/>
          <w:u w:val="single"/>
          <w14:ligatures w14:val="none"/>
        </w:rPr>
        <w:t>litigious civil and commercial cases</w:t>
      </w:r>
      <w:r w:rsidRPr="00FB4E2D">
        <w:rPr>
          <w:rFonts w:ascii="Times New Roman" w:eastAsia="Calibri" w:hAnsi="Times New Roman" w:cs="Times New Roman"/>
          <w:noProof/>
          <w:kern w:val="0"/>
          <w:sz w:val="22"/>
          <w:szCs w:val="22"/>
          <w:u w:val="single"/>
          <w14:ligatures w14:val="none"/>
        </w:rPr>
        <w:t xml:space="preserve"> </w:t>
      </w:r>
      <w:r w:rsidRPr="00FB4E2D" w:rsidDel="00BD4DBD">
        <w:rPr>
          <w:rFonts w:ascii="Times New Roman" w:eastAsia="Calibri" w:hAnsi="Times New Roman" w:cs="Times New Roman"/>
          <w:b/>
          <w:noProof/>
          <w:kern w:val="0"/>
          <w:u w:val="single"/>
          <w14:ligatures w14:val="none"/>
        </w:rPr>
        <w:t xml:space="preserve">at </w:t>
      </w:r>
      <w:r w:rsidRPr="00FB4E2D">
        <w:rPr>
          <w:rFonts w:ascii="Times New Roman" w:eastAsia="Calibri" w:hAnsi="Times New Roman" w:cs="Times New Roman"/>
          <w:b/>
          <w:noProof/>
          <w:kern w:val="0"/>
          <w:u w:val="single"/>
          <w14:ligatures w14:val="none"/>
        </w:rPr>
        <w:t xml:space="preserve">all </w:t>
      </w:r>
      <w:r w:rsidRPr="00FB4E2D" w:rsidDel="00BD4DBD">
        <w:rPr>
          <w:rFonts w:ascii="Times New Roman" w:eastAsia="Calibri" w:hAnsi="Times New Roman" w:cs="Times New Roman"/>
          <w:b/>
          <w:noProof/>
          <w:kern w:val="0"/>
          <w:u w:val="single"/>
          <w14:ligatures w14:val="none"/>
        </w:rPr>
        <w:t xml:space="preserve">court </w:t>
      </w:r>
      <w:r w:rsidRPr="00FB4E2D">
        <w:rPr>
          <w:rFonts w:ascii="Times New Roman" w:eastAsia="Calibri" w:hAnsi="Times New Roman" w:cs="Times New Roman"/>
          <w:b/>
          <w:noProof/>
          <w:kern w:val="0"/>
          <w:u w:val="single"/>
          <w14:ligatures w14:val="none"/>
        </w:rPr>
        <w:t>instances in 2024</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14:ligatures w14:val="none"/>
        </w:rPr>
        <w:t xml:space="preserve"> </w:t>
      </w:r>
      <w:r w:rsidRPr="00FB4E2D">
        <w:rPr>
          <w:rFonts w:ascii="Times New Roman" w:eastAsia="Calibri" w:hAnsi="Times New Roman" w:cs="Times New Roman"/>
          <w:i/>
          <w:noProof/>
          <w:kern w:val="0"/>
          <w14:ligatures w14:val="none"/>
        </w:rPr>
        <w:t>(at first, second and third instance/in days) (source: CEPEJ study)</w:t>
      </w:r>
    </w:p>
    <w:p w14:paraId="5B7A04AF" w14:textId="77777777" w:rsidR="00A02C07" w:rsidRPr="00FB4E2D" w:rsidRDefault="00A02C07" w:rsidP="00A02C07">
      <w:pPr>
        <w:spacing w:after="0" w:line="240" w:lineRule="auto"/>
        <w:jc w:val="both"/>
        <w:rPr>
          <w:rFonts w:ascii="Times New Roman" w:eastAsia="Calibri" w:hAnsi="Times New Roman" w:cs="Times New Roman"/>
          <w:i/>
          <w:noProof/>
          <w:kern w:val="0"/>
          <w:sz w:val="20"/>
          <w:szCs w:val="20"/>
          <w:highlight w:val="yellow"/>
          <w14:ligatures w14:val="none"/>
        </w:rPr>
      </w:pPr>
      <w:r w:rsidRPr="00FB4E2D">
        <w:rPr>
          <w:rFonts w:ascii="Times New Roman" w:eastAsia="Calibri" w:hAnsi="Times New Roman" w:cs="Times New Roman"/>
          <w:i/>
          <w:noProof/>
          <w:kern w:val="0"/>
          <w:sz w:val="20"/>
          <w:szCs w:val="20"/>
          <w:lang w:val="en-GB" w:eastAsia="en-GB"/>
          <w14:ligatures w14:val="none"/>
        </w:rPr>
        <w:drawing>
          <wp:inline distT="0" distB="0" distL="0" distR="0" wp14:anchorId="5FE5DA41" wp14:editId="3A84B937">
            <wp:extent cx="5760000" cy="2419835"/>
            <wp:effectExtent l="0" t="0" r="0" b="0"/>
            <wp:docPr id="1824880714" name="Picture 3"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80714" name="Picture 3" descr="A graph of numbers and line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00" cy="2419835"/>
                    </a:xfrm>
                    <a:prstGeom prst="rect">
                      <a:avLst/>
                    </a:prstGeom>
                    <a:noFill/>
                  </pic:spPr>
                </pic:pic>
              </a:graphicData>
            </a:graphic>
          </wp:inline>
        </w:drawing>
      </w:r>
    </w:p>
    <w:p w14:paraId="7312A229" w14:textId="04F14FA6" w:rsidR="00A02C07" w:rsidRPr="00FB4E2D" w:rsidRDefault="00A02C07" w:rsidP="00A02C07">
      <w:pPr>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14:ligatures w14:val="none"/>
        </w:rPr>
        <w:t>(*) The order of Member States in the figure is determined by the court instance with the longest proceedings in each Member State. No data are available for first</w:t>
      </w:r>
      <w:r w:rsidR="004F4B49"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i/>
          <w:noProof/>
          <w:kern w:val="0"/>
          <w:sz w:val="20"/>
          <w:szCs w:val="20"/>
          <w14:ligatures w14:val="none"/>
        </w:rPr>
        <w:t xml:space="preserve"> second and third instance courts in </w:t>
      </w:r>
      <w:r w:rsidRPr="00FB4E2D">
        <w:rPr>
          <w:rFonts w:ascii="Times New Roman" w:eastAsia="Calibri" w:hAnsi="Times New Roman" w:cs="Times New Roman"/>
          <w:b/>
          <w:i/>
          <w:noProof/>
          <w:kern w:val="0"/>
          <w:sz w:val="20"/>
          <w:szCs w:val="20"/>
          <w14:ligatures w14:val="none"/>
        </w:rPr>
        <w:t>IE</w:t>
      </w:r>
      <w:r w:rsidRPr="00FB4E2D">
        <w:rPr>
          <w:rFonts w:ascii="Times New Roman" w:eastAsia="Calibri" w:hAnsi="Times New Roman" w:cs="Times New Roman"/>
          <w:i/>
          <w:noProof/>
          <w:kern w:val="0"/>
          <w:sz w:val="20"/>
          <w:szCs w:val="20"/>
          <w14:ligatures w14:val="none"/>
        </w:rPr>
        <w:t xml:space="preserve">, </w:t>
      </w:r>
      <w:r w:rsidR="004F4B49" w:rsidRPr="00FB4E2D">
        <w:rPr>
          <w:rFonts w:ascii="Times New Roman" w:eastAsia="Calibri" w:hAnsi="Times New Roman" w:cs="Times New Roman"/>
          <w:i/>
          <w:noProof/>
          <w:kern w:val="0"/>
          <w:sz w:val="20"/>
          <w:szCs w:val="20"/>
          <w14:ligatures w14:val="none"/>
        </w:rPr>
        <w:t xml:space="preserve">nor </w:t>
      </w:r>
      <w:r w:rsidRPr="00FB4E2D">
        <w:rPr>
          <w:rFonts w:ascii="Times New Roman" w:eastAsia="Calibri" w:hAnsi="Times New Roman" w:cs="Times New Roman"/>
          <w:i/>
          <w:noProof/>
          <w:kern w:val="0"/>
          <w:sz w:val="20"/>
          <w:szCs w:val="20"/>
          <w14:ligatures w14:val="none"/>
        </w:rPr>
        <w:t>for third instance courts in</w:t>
      </w:r>
      <w:r w:rsidR="007D206C" w:rsidRPr="00FB4E2D">
        <w:rPr>
          <w:rFonts w:ascii="Times New Roman" w:eastAsia="Calibri" w:hAnsi="Times New Roman" w:cs="Times New Roman"/>
          <w:i/>
          <w:noProof/>
          <w:kern w:val="0"/>
          <w:sz w:val="20"/>
          <w:szCs w:val="20"/>
          <w14:ligatures w14:val="none"/>
        </w:rPr>
        <w:t xml:space="preserve"> </w:t>
      </w:r>
      <w:r w:rsidR="007D206C" w:rsidRPr="00FB4E2D">
        <w:rPr>
          <w:rFonts w:ascii="Times New Roman" w:eastAsia="Calibri" w:hAnsi="Times New Roman" w:cs="Times New Roman"/>
          <w:b/>
          <w:i/>
          <w:noProof/>
          <w:kern w:val="0"/>
          <w:sz w:val="20"/>
          <w:szCs w:val="20"/>
          <w14:ligatures w14:val="none"/>
        </w:rPr>
        <w:t>SK</w:t>
      </w:r>
      <w:r w:rsidRPr="00FB4E2D">
        <w:rPr>
          <w:rFonts w:ascii="Times New Roman" w:eastAsia="Calibri" w:hAnsi="Times New Roman" w:cs="Times New Roman"/>
          <w:i/>
          <w:noProof/>
          <w:kern w:val="0"/>
          <w:sz w:val="20"/>
          <w:szCs w:val="20"/>
          <w14:ligatures w14:val="none"/>
        </w:rPr>
        <w:t>. There is no third instance</w:t>
      </w:r>
      <w:r w:rsidRPr="00FB4E2D">
        <w:rPr>
          <w:rFonts w:ascii="Times New Roman" w:eastAsia="Calibri" w:hAnsi="Times New Roman" w:cs="Times New Roman"/>
          <w:i/>
          <w:noProof/>
          <w:kern w:val="0"/>
          <w:sz w:val="20"/>
          <w:szCs w:val="22"/>
          <w14:ligatures w14:val="none"/>
        </w:rPr>
        <w:t xml:space="preserve"> court in </w:t>
      </w:r>
      <w:r w:rsidRPr="00FB4E2D" w:rsidDel="000261DA">
        <w:rPr>
          <w:rFonts w:ascii="Times New Roman" w:eastAsia="Calibri" w:hAnsi="Times New Roman" w:cs="Times New Roman"/>
          <w:b/>
          <w:i/>
          <w:noProof/>
          <w:kern w:val="0"/>
          <w:sz w:val="20"/>
          <w:szCs w:val="20"/>
          <w14:ligatures w14:val="none"/>
        </w:rPr>
        <w:t xml:space="preserve">DE </w:t>
      </w:r>
      <w:r w:rsidRPr="00FB4E2D">
        <w:rPr>
          <w:rFonts w:ascii="Times New Roman" w:eastAsia="Calibri" w:hAnsi="Times New Roman" w:cs="Times New Roman"/>
          <w:i/>
          <w:noProof/>
          <w:kern w:val="0"/>
          <w:sz w:val="20"/>
          <w:szCs w:val="20"/>
          <w14:ligatures w14:val="none"/>
        </w:rPr>
        <w:t>and</w:t>
      </w:r>
      <w:r w:rsidRPr="00FB4E2D">
        <w:rPr>
          <w:rFonts w:ascii="Times New Roman" w:eastAsia="Calibri" w:hAnsi="Times New Roman" w:cs="Times New Roman"/>
          <w:b/>
          <w:i/>
          <w:noProof/>
          <w:kern w:val="0"/>
          <w:sz w:val="20"/>
          <w:szCs w:val="20"/>
          <w14:ligatures w14:val="none"/>
        </w:rPr>
        <w:t xml:space="preserve"> </w:t>
      </w:r>
      <w:r w:rsidRPr="00FB4E2D" w:rsidDel="000261DA">
        <w:rPr>
          <w:rFonts w:ascii="Times New Roman" w:eastAsia="Calibri" w:hAnsi="Times New Roman" w:cs="Times New Roman"/>
          <w:b/>
          <w:i/>
          <w:noProof/>
          <w:kern w:val="0"/>
          <w:sz w:val="20"/>
          <w:szCs w:val="20"/>
          <w14:ligatures w14:val="none"/>
        </w:rPr>
        <w:t>MT</w:t>
      </w:r>
      <w:r w:rsidRPr="00FB4E2D" w:rsidDel="00212051">
        <w:rPr>
          <w:rFonts w:ascii="Times New Roman" w:eastAsia="Calibri" w:hAnsi="Times New Roman" w:cs="Times New Roman"/>
          <w:i/>
          <w:noProof/>
          <w:kern w:val="0"/>
          <w:sz w:val="20"/>
          <w:szCs w:val="22"/>
          <w14:ligatures w14:val="none"/>
        </w:rPr>
        <w:t>.</w:t>
      </w: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0"/>
          <w14:ligatures w14:val="none"/>
        </w:rPr>
        <w:t xml:space="preserve">Access to a third instance court may be limited in some Member States. </w:t>
      </w:r>
    </w:p>
    <w:bookmarkEnd w:id="122"/>
    <w:bookmarkEnd w:id="123"/>
    <w:p w14:paraId="2CE3F103" w14:textId="77777777"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Estimated time needed to resolve </w:t>
      </w:r>
      <w:r w:rsidRPr="00FB4E2D">
        <w:rPr>
          <w:rFonts w:ascii="Times New Roman" w:eastAsia="Calibri" w:hAnsi="Times New Roman" w:cs="Times New Roman"/>
          <w:b/>
          <w:noProof/>
          <w:kern w:val="0"/>
          <w:u w:val="single"/>
          <w14:ligatures w14:val="none"/>
        </w:rPr>
        <w:t>administrative cases at first instance in 2014</w:t>
      </w:r>
      <w:r w:rsidRPr="00FB4E2D" w:rsidDel="00AA3AE4">
        <w:rPr>
          <w:rFonts w:ascii="Times New Roman" w:eastAsia="Calibri" w:hAnsi="Times New Roman" w:cs="Times New Roman"/>
          <w:b/>
          <w:noProof/>
          <w:kern w:val="0"/>
          <w:u w:val="single"/>
          <w14:ligatures w14:val="none"/>
        </w:rPr>
        <w:t xml:space="preserve">, </w:t>
      </w:r>
      <w:r w:rsidRPr="00FB4E2D">
        <w:rPr>
          <w:rFonts w:ascii="Times New Roman" w:eastAsia="Calibri" w:hAnsi="Times New Roman" w:cs="Times New Roman"/>
          <w:b/>
          <w:noProof/>
          <w:kern w:val="0"/>
          <w:u w:val="single"/>
          <w14:ligatures w14:val="none"/>
        </w:rPr>
        <w:t>2022</w:t>
      </w:r>
      <w:r w:rsidRPr="00FB4E2D" w:rsidDel="00AA3AE4">
        <w:rPr>
          <w:rFonts w:ascii="Times New Roman" w:eastAsia="Calibri" w:hAnsi="Times New Roman" w:cs="Times New Roman"/>
          <w:b/>
          <w:noProof/>
          <w:kern w:val="0"/>
          <w:u w:val="single"/>
          <w14:ligatures w14:val="none"/>
        </w:rPr>
        <w:t xml:space="preserve"> – </w:t>
      </w:r>
      <w:r w:rsidRPr="00FB4E2D">
        <w:rPr>
          <w:rFonts w:ascii="Times New Roman" w:eastAsia="Calibri" w:hAnsi="Times New Roman" w:cs="Times New Roman"/>
          <w:b/>
          <w:noProof/>
          <w:kern w:val="0"/>
          <w:u w:val="single"/>
          <w14:ligatures w14:val="none"/>
        </w:rPr>
        <w:t>2024</w:t>
      </w:r>
      <w:r w:rsidRPr="00FB4E2D">
        <w:rPr>
          <w:rFonts w:ascii="Times New Roman" w:eastAsia="Calibri" w:hAnsi="Times New Roman" w:cs="Times New Roman"/>
          <w:noProof/>
          <w:kern w:val="0"/>
          <w:sz w:val="22"/>
          <w:szCs w:val="22"/>
          <w14:ligatures w14:val="none"/>
        </w:rPr>
        <w:t xml:space="preserve"> (</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sz w:val="22"/>
          <w:szCs w:val="22"/>
          <w14:ligatures w14:val="none"/>
        </w:rPr>
        <w:t xml:space="preserve"> </w:t>
      </w:r>
      <w:r w:rsidRPr="00FB4E2D">
        <w:rPr>
          <w:rFonts w:ascii="Times New Roman" w:eastAsia="Calibri" w:hAnsi="Times New Roman" w:cs="Times New Roman"/>
          <w:i/>
          <w:noProof/>
          <w:kern w:val="0"/>
          <w14:ligatures w14:val="none"/>
        </w:rPr>
        <w:t>(at first instance/in days) (source: CEPEJ study)</w:t>
      </w:r>
    </w:p>
    <w:p w14:paraId="3D2168EE" w14:textId="32AD2419" w:rsidR="00A02C07" w:rsidRPr="00FB4E2D" w:rsidRDefault="00A02C07" w:rsidP="00A02C07">
      <w:pPr>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highlight w:val="yellow"/>
          <w:lang w:val="en-GB" w:eastAsia="en-GB"/>
          <w14:ligatures w14:val="none"/>
        </w:rPr>
        <w:drawing>
          <wp:inline distT="0" distB="0" distL="0" distR="0" wp14:anchorId="736BB32D" wp14:editId="741E5F3B">
            <wp:extent cx="5760000" cy="2463737"/>
            <wp:effectExtent l="0" t="0" r="0" b="0"/>
            <wp:docPr id="323125450" name="Picture 4"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25450" name="Picture 4" descr="A graph with different colored line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000" cy="2463737"/>
                    </a:xfrm>
                    <a:prstGeom prst="rect">
                      <a:avLst/>
                    </a:prstGeom>
                    <a:noFill/>
                  </pic:spPr>
                </pic:pic>
              </a:graphicData>
            </a:graphic>
          </wp:inline>
        </w:drawing>
      </w:r>
      <w:r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b/>
          <w:noProof/>
          <w:kern w:val="0"/>
          <w:sz w:val="20"/>
          <w:szCs w:val="20"/>
          <w14:ligatures w14:val="none"/>
        </w:rPr>
        <w:t xml:space="preserve"> </w:t>
      </w:r>
      <w:r w:rsidRPr="00FB4E2D">
        <w:rPr>
          <w:rFonts w:ascii="Times New Roman" w:eastAsia="Calibri" w:hAnsi="Times New Roman" w:cs="Times New Roman"/>
          <w:i/>
          <w:noProof/>
          <w:kern w:val="0"/>
          <w:sz w:val="20"/>
          <w:szCs w:val="20"/>
          <w14:ligatures w14:val="none"/>
        </w:rPr>
        <w:t xml:space="preserve">Under the CEPEJ methodology, administrative law cases concern disputes between individuals and local, regional or national authorities. Methodology changes in </w:t>
      </w:r>
      <w:r w:rsidRPr="00FB4E2D">
        <w:rPr>
          <w:rFonts w:ascii="Times New Roman" w:eastAsia="Calibri" w:hAnsi="Times New Roman" w:cs="Times New Roman"/>
          <w:b/>
          <w:i/>
          <w:noProof/>
          <w:kern w:val="0"/>
          <w:sz w:val="20"/>
          <w:szCs w:val="20"/>
          <w14:ligatures w14:val="none"/>
        </w:rPr>
        <w:t>EL</w:t>
      </w:r>
      <w:r w:rsidRPr="00FB4E2D">
        <w:rPr>
          <w:rFonts w:ascii="Times New Roman" w:eastAsia="Calibri" w:hAnsi="Times New Roman" w:cs="Times New Roman"/>
          <w:i/>
          <w:noProof/>
          <w:kern w:val="0"/>
          <w:sz w:val="20"/>
          <w:szCs w:val="20"/>
          <w14:ligatures w14:val="none"/>
        </w:rPr>
        <w:t xml:space="preserve"> and </w:t>
      </w:r>
      <w:r w:rsidRPr="00FB4E2D">
        <w:rPr>
          <w:rFonts w:ascii="Times New Roman" w:eastAsia="Calibri" w:hAnsi="Times New Roman" w:cs="Times New Roman"/>
          <w:b/>
          <w:i/>
          <w:noProof/>
          <w:kern w:val="0"/>
          <w:sz w:val="20"/>
          <w:szCs w:val="20"/>
          <w14:ligatures w14:val="none"/>
        </w:rPr>
        <w:t>SK</w:t>
      </w:r>
      <w:r w:rsidRPr="00FB4E2D">
        <w:rPr>
          <w:rFonts w:ascii="Times New Roman" w:eastAsia="Calibri" w:hAnsi="Times New Roman" w:cs="Times New Roman"/>
          <w:i/>
          <w:noProof/>
          <w:kern w:val="0"/>
          <w:sz w:val="20"/>
          <w:szCs w:val="20"/>
          <w14:ligatures w14:val="none"/>
        </w:rPr>
        <w:t xml:space="preserve">. Pending cases include courts of all instances in </w:t>
      </w:r>
      <w:r w:rsidRPr="00FB4E2D">
        <w:rPr>
          <w:rFonts w:ascii="Times New Roman" w:eastAsia="Calibri" w:hAnsi="Times New Roman" w:cs="Times New Roman"/>
          <w:b/>
          <w:i/>
          <w:noProof/>
          <w:kern w:val="0"/>
          <w:sz w:val="20"/>
          <w:szCs w:val="20"/>
          <w14:ligatures w14:val="none"/>
        </w:rPr>
        <w:t>CZ</w:t>
      </w:r>
      <w:r w:rsidRPr="00FB4E2D">
        <w:rPr>
          <w:rFonts w:ascii="Times New Roman" w:eastAsia="Calibri" w:hAnsi="Times New Roman" w:cs="Times New Roman"/>
          <w:i/>
          <w:noProof/>
          <w:kern w:val="0"/>
          <w:sz w:val="20"/>
          <w:szCs w:val="20"/>
          <w14:ligatures w14:val="none"/>
        </w:rPr>
        <w:t xml:space="preserve"> and, until 2016, in </w:t>
      </w:r>
      <w:r w:rsidRPr="00FB4E2D">
        <w:rPr>
          <w:rFonts w:ascii="Times New Roman" w:eastAsia="Calibri" w:hAnsi="Times New Roman" w:cs="Times New Roman"/>
          <w:b/>
          <w:i/>
          <w:noProof/>
          <w:kern w:val="0"/>
          <w:sz w:val="20"/>
          <w:szCs w:val="20"/>
          <w14:ligatures w14:val="none"/>
        </w:rPr>
        <w:t>SK</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DK</w:t>
      </w:r>
      <w:r w:rsidRPr="00FB4E2D">
        <w:rPr>
          <w:rFonts w:ascii="Times New Roman" w:eastAsia="Calibri" w:hAnsi="Times New Roman" w:cs="Times New Roman"/>
          <w:i/>
          <w:noProof/>
          <w:kern w:val="0"/>
          <w:sz w:val="20"/>
          <w:szCs w:val="20"/>
          <w14:ligatures w14:val="none"/>
        </w:rPr>
        <w:t xml:space="preserve"> and </w:t>
      </w:r>
      <w:r w:rsidRPr="00FB4E2D">
        <w:rPr>
          <w:rFonts w:ascii="Times New Roman" w:eastAsia="Calibri" w:hAnsi="Times New Roman" w:cs="Times New Roman"/>
          <w:b/>
          <w:i/>
          <w:noProof/>
          <w:kern w:val="0"/>
          <w:sz w:val="20"/>
          <w:szCs w:val="20"/>
          <w14:ligatures w14:val="none"/>
        </w:rPr>
        <w:t xml:space="preserve">IE </w:t>
      </w:r>
      <w:r w:rsidRPr="00FB4E2D">
        <w:rPr>
          <w:rFonts w:ascii="Times New Roman" w:eastAsia="Calibri" w:hAnsi="Times New Roman" w:cs="Times New Roman"/>
          <w:i/>
          <w:noProof/>
          <w:kern w:val="0"/>
          <w:sz w:val="20"/>
          <w:szCs w:val="20"/>
          <w14:ligatures w14:val="none"/>
        </w:rPr>
        <w:t xml:space="preserve">do not record administrative cases separately. </w:t>
      </w:r>
      <w:r w:rsidRPr="00FB4E2D">
        <w:rPr>
          <w:rFonts w:ascii="Times New Roman" w:eastAsia="Calibri" w:hAnsi="Times New Roman" w:cs="Times New Roman"/>
          <w:b/>
          <w:bCs/>
          <w:i/>
          <w:noProof/>
          <w:kern w:val="0"/>
          <w:sz w:val="20"/>
          <w:szCs w:val="20"/>
          <w14:ligatures w14:val="none"/>
        </w:rPr>
        <w:t>PT</w:t>
      </w:r>
      <w:r w:rsidRPr="00FB4E2D">
        <w:rPr>
          <w:rFonts w:ascii="Times New Roman" w:eastAsia="Calibri" w:hAnsi="Times New Roman" w:cs="Times New Roman"/>
          <w:i/>
          <w:noProof/>
          <w:kern w:val="0"/>
          <w:sz w:val="20"/>
          <w:szCs w:val="20"/>
          <w14:ligatures w14:val="none"/>
        </w:rPr>
        <w:t>: The increase in disposition time in 2024 was in part due to the very high number of applications for authorisation or renewal of the residence permit that were lodged with the Lisbon Administrative Court.</w:t>
      </w:r>
    </w:p>
    <w:p w14:paraId="45C342DC" w14:textId="66D4E5ED"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Estimated time needed to resolve </w:t>
      </w:r>
      <w:r w:rsidRPr="00FB4E2D">
        <w:rPr>
          <w:rFonts w:ascii="Times New Roman" w:eastAsia="Calibri" w:hAnsi="Times New Roman" w:cs="Times New Roman"/>
          <w:b/>
          <w:noProof/>
          <w:kern w:val="0"/>
          <w:u w:val="single"/>
          <w14:ligatures w14:val="none"/>
        </w:rPr>
        <w:t>administrative cases</w:t>
      </w:r>
      <w:r w:rsidRPr="00FB4E2D">
        <w:rPr>
          <w:rFonts w:ascii="Calibri" w:eastAsia="Calibri" w:hAnsi="Calibri" w:cs="Times New Roman"/>
          <w:b/>
          <w:noProof/>
          <w:kern w:val="0"/>
          <w14:ligatures w14:val="none"/>
        </w:rPr>
        <w:t xml:space="preserve"> </w:t>
      </w:r>
      <w:r w:rsidRPr="00FB4E2D" w:rsidDel="00AA3AE4">
        <w:rPr>
          <w:rFonts w:ascii="Times New Roman" w:eastAsia="Calibri" w:hAnsi="Times New Roman" w:cs="Times New Roman"/>
          <w:b/>
          <w:noProof/>
          <w:kern w:val="0"/>
          <w:u w:val="single"/>
          <w14:ligatures w14:val="none"/>
        </w:rPr>
        <w:t xml:space="preserve">at </w:t>
      </w:r>
      <w:r w:rsidRPr="00FB4E2D">
        <w:rPr>
          <w:rFonts w:ascii="Times New Roman" w:eastAsia="Calibri" w:hAnsi="Times New Roman" w:cs="Times New Roman"/>
          <w:b/>
          <w:noProof/>
          <w:kern w:val="0"/>
          <w:u w:val="single"/>
          <w14:ligatures w14:val="none"/>
        </w:rPr>
        <w:t>all court instances in 2024</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w:t>
      </w:r>
      <w:r w:rsidR="005B5FBC">
        <w:rPr>
          <w:rFonts w:ascii="Times New Roman" w:eastAsia="Calibri" w:hAnsi="Times New Roman" w:cs="Times New Roman"/>
          <w:i/>
          <w:noProof/>
          <w:kern w:val="0"/>
          <w14:ligatures w14:val="none"/>
        </w:rPr>
        <w:t xml:space="preserve">at </w:t>
      </w:r>
      <w:r w:rsidRPr="00FB4E2D">
        <w:rPr>
          <w:rFonts w:ascii="Times New Roman" w:eastAsia="Calibri" w:hAnsi="Times New Roman" w:cs="Times New Roman"/>
          <w:i/>
          <w:noProof/>
          <w:kern w:val="0"/>
          <w14:ligatures w14:val="none"/>
        </w:rPr>
        <w:t xml:space="preserve">first </w:t>
      </w:r>
      <w:r w:rsidRPr="00FB4E2D" w:rsidDel="00F70D2D">
        <w:rPr>
          <w:rFonts w:ascii="Times New Roman" w:eastAsia="Calibri" w:hAnsi="Times New Roman" w:cs="Times New Roman"/>
          <w:i/>
          <w:noProof/>
          <w:kern w:val="0"/>
          <w14:ligatures w14:val="none"/>
        </w:rPr>
        <w:t>and</w:t>
      </w:r>
      <w:r w:rsidRPr="00FB4E2D">
        <w:rPr>
          <w:rFonts w:ascii="Times New Roman" w:eastAsia="Calibri" w:hAnsi="Times New Roman" w:cs="Times New Roman"/>
          <w:i/>
          <w:noProof/>
          <w:kern w:val="0"/>
          <w14:ligatures w14:val="none"/>
        </w:rPr>
        <w:t>, where applicable, second and third instance/in days) (source: CEPEJ study)</w:t>
      </w:r>
      <w:bookmarkStart w:id="124" w:name="_Toc409530219"/>
      <w:bookmarkStart w:id="125" w:name="_Toc438545669"/>
      <w:bookmarkStart w:id="126" w:name="_Toc438548319"/>
      <w:bookmarkStart w:id="127" w:name="_Toc438548505"/>
      <w:bookmarkStart w:id="128" w:name="_Toc440017695"/>
      <w:bookmarkStart w:id="129" w:name="_Toc440018079"/>
      <w:bookmarkStart w:id="130" w:name="_Toc440033377"/>
      <w:bookmarkStart w:id="131" w:name="_Toc440035228"/>
      <w:bookmarkStart w:id="132" w:name="_Toc440036523"/>
      <w:bookmarkStart w:id="133" w:name="_Toc440042465"/>
      <w:bookmarkStart w:id="134" w:name="_Toc440291118"/>
      <w:bookmarkStart w:id="135" w:name="_Toc440294681"/>
      <w:bookmarkStart w:id="136" w:name="_Toc440295183"/>
      <w:bookmarkStart w:id="137" w:name="_Toc440296588"/>
      <w:bookmarkStart w:id="138" w:name="_Toc440625072"/>
      <w:bookmarkStart w:id="139" w:name="_Toc440626402"/>
      <w:bookmarkStart w:id="140" w:name="_Toc440628856"/>
      <w:bookmarkStart w:id="141" w:name="_Toc441571128"/>
      <w:bookmarkStart w:id="142" w:name="_Toc441581630"/>
      <w:bookmarkStart w:id="143" w:name="_Toc441585897"/>
      <w:bookmarkStart w:id="144" w:name="_Toc441595832"/>
      <w:bookmarkStart w:id="145" w:name="_Toc441596009"/>
      <w:bookmarkStart w:id="146" w:name="_Toc441748134"/>
      <w:bookmarkStart w:id="147" w:name="_Toc441755419"/>
      <w:bookmarkStart w:id="148" w:name="_Toc441756456"/>
      <w:bookmarkStart w:id="149" w:name="_Toc441757500"/>
      <w:bookmarkStart w:id="150" w:name="_Toc441766629"/>
      <w:bookmarkStart w:id="151" w:name="_Toc441766968"/>
      <w:bookmarkStart w:id="152" w:name="_Toc442187969"/>
      <w:bookmarkStart w:id="153" w:name="_Toc442262061"/>
      <w:bookmarkStart w:id="154" w:name="_Toc442362468"/>
      <w:bookmarkStart w:id="155" w:name="_Toc442374804"/>
      <w:bookmarkStart w:id="156" w:name="_Toc442425944"/>
      <w:bookmarkStart w:id="157" w:name="_Toc442453070"/>
      <w:bookmarkStart w:id="158" w:name="_Toc443484528"/>
      <w:bookmarkStart w:id="159" w:name="_Toc443484750"/>
      <w:bookmarkStart w:id="160" w:name="_Toc443509491"/>
      <w:bookmarkStart w:id="161" w:name="_Toc446014820"/>
    </w:p>
    <w:p w14:paraId="734B301B" w14:textId="374E8F07" w:rsidR="00A02C07" w:rsidRPr="00FB4E2D" w:rsidRDefault="00A02C07" w:rsidP="00A02C07">
      <w:pPr>
        <w:spacing w:after="0" w:line="240" w:lineRule="auto"/>
        <w:jc w:val="both"/>
        <w:rPr>
          <w:rFonts w:ascii="Symbol" w:eastAsia="Symbol" w:hAnsi="Symbol" w:cs="Symbol"/>
          <w:i/>
          <w:noProof/>
          <w:kern w:val="0"/>
          <w:highlight w:val="yellow"/>
          <w14:ligatures w14:val="none"/>
        </w:rPr>
      </w:pPr>
      <w:r w:rsidRPr="00FB4E2D">
        <w:rPr>
          <w:rFonts w:ascii="Times New Roman" w:eastAsia="Calibri" w:hAnsi="Times New Roman" w:cs="Times New Roman"/>
          <w:i/>
          <w:noProof/>
          <w:kern w:val="0"/>
          <w:sz w:val="20"/>
          <w:szCs w:val="20"/>
          <w:lang w:val="en-GB" w:eastAsia="en-GB"/>
          <w14:ligatures w14:val="none"/>
        </w:rPr>
        <w:drawing>
          <wp:inline distT="0" distB="0" distL="0" distR="0" wp14:anchorId="0DA8F5E0" wp14:editId="02BAC7C4">
            <wp:extent cx="5760000" cy="2410131"/>
            <wp:effectExtent l="0" t="0" r="0" b="9525"/>
            <wp:docPr id="218361773" name="Picture 7"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1773" name="Picture 7" descr="A graph of a number of people&#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000" cy="2410131"/>
                    </a:xfrm>
                    <a:prstGeom prst="rect">
                      <a:avLst/>
                    </a:prstGeom>
                    <a:noFill/>
                  </pic:spPr>
                </pic:pic>
              </a:graphicData>
            </a:graphic>
          </wp:inline>
        </w:drawing>
      </w:r>
      <w:r w:rsidRPr="00FB4E2D">
        <w:rPr>
          <w:rFonts w:ascii="Times New Roman" w:eastAsia="Calibri" w:hAnsi="Times New Roman" w:cs="Times New Roman"/>
          <w:i/>
          <w:noProof/>
          <w:kern w:val="0"/>
          <w:sz w:val="20"/>
          <w:szCs w:val="20"/>
          <w14:ligatures w14:val="none"/>
        </w:rPr>
        <w:t xml:space="preserve">(*) The order of Member States in the figure is determined by the court instance with the longest proceedings in each Member State. No data available for second instance courts in </w:t>
      </w:r>
      <w:r w:rsidRPr="00FB4E2D">
        <w:rPr>
          <w:rFonts w:ascii="Times New Roman" w:eastAsia="Calibri" w:hAnsi="Times New Roman" w:cs="Times New Roman"/>
          <w:b/>
          <w:i/>
          <w:noProof/>
          <w:kern w:val="0"/>
          <w:sz w:val="20"/>
          <w:szCs w:val="20"/>
          <w14:ligatures w14:val="none"/>
        </w:rPr>
        <w:t>BE</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CZ</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IT</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MT</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AT</w:t>
      </w:r>
      <w:r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b/>
          <w:i/>
          <w:noProof/>
          <w:kern w:val="0"/>
          <w:sz w:val="20"/>
          <w:szCs w:val="20"/>
          <w14:ligatures w14:val="none"/>
        </w:rPr>
        <w:t xml:space="preserve"> PL, RO</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SI</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SK</w:t>
      </w:r>
      <w:r w:rsidRPr="00FB4E2D">
        <w:rPr>
          <w:rFonts w:ascii="Times New Roman" w:eastAsia="Calibri" w:hAnsi="Times New Roman" w:cs="Times New Roman"/>
          <w:i/>
          <w:noProof/>
          <w:kern w:val="0"/>
          <w:sz w:val="20"/>
          <w:szCs w:val="20"/>
          <w14:ligatures w14:val="none"/>
        </w:rPr>
        <w:t xml:space="preserve"> and</w:t>
      </w:r>
      <w:r w:rsidRPr="00FB4E2D">
        <w:rPr>
          <w:rFonts w:ascii="Times New Roman" w:eastAsia="Calibri" w:hAnsi="Times New Roman" w:cs="Times New Roman"/>
          <w:b/>
          <w:i/>
          <w:noProof/>
          <w:kern w:val="0"/>
          <w:sz w:val="20"/>
          <w:szCs w:val="20"/>
          <w14:ligatures w14:val="none"/>
        </w:rPr>
        <w:t xml:space="preserve"> FI</w:t>
      </w:r>
      <w:r w:rsidRPr="00FB4E2D">
        <w:rPr>
          <w:rFonts w:ascii="Times New Roman" w:eastAsia="Calibri" w:hAnsi="Times New Roman" w:cs="Times New Roman"/>
          <w:i/>
          <w:noProof/>
          <w:kern w:val="0"/>
          <w:sz w:val="20"/>
          <w:szCs w:val="20"/>
          <w14:ligatures w14:val="none"/>
        </w:rPr>
        <w:t xml:space="preserve">, for third instance courts in </w:t>
      </w:r>
      <w:r w:rsidRPr="00FB4E2D">
        <w:rPr>
          <w:rFonts w:ascii="Times New Roman" w:eastAsia="Calibri" w:hAnsi="Times New Roman" w:cs="Times New Roman"/>
          <w:b/>
          <w:i/>
          <w:noProof/>
          <w:kern w:val="0"/>
          <w:sz w:val="20"/>
          <w:szCs w:val="20"/>
          <w14:ligatures w14:val="none"/>
        </w:rPr>
        <w:t>LT</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LU</w:t>
      </w:r>
      <w:r w:rsidRPr="00FB4E2D">
        <w:rPr>
          <w:rFonts w:ascii="Times New Roman" w:eastAsia="Calibri" w:hAnsi="Times New Roman" w:cs="Times New Roman"/>
          <w:i/>
          <w:noProof/>
          <w:kern w:val="0"/>
          <w:sz w:val="20"/>
          <w:szCs w:val="20"/>
          <w14:ligatures w14:val="none"/>
        </w:rPr>
        <w:t xml:space="preserve"> and </w:t>
      </w:r>
      <w:r w:rsidRPr="00FB4E2D">
        <w:rPr>
          <w:rFonts w:ascii="Times New Roman" w:eastAsia="Calibri" w:hAnsi="Times New Roman" w:cs="Times New Roman"/>
          <w:b/>
          <w:i/>
          <w:noProof/>
          <w:kern w:val="0"/>
          <w:sz w:val="20"/>
          <w:szCs w:val="20"/>
          <w14:ligatures w14:val="none"/>
        </w:rPr>
        <w:t>MT</w:t>
      </w:r>
      <w:r w:rsidRPr="00FB4E2D">
        <w:rPr>
          <w:rFonts w:ascii="Times New Roman" w:eastAsia="Calibri" w:hAnsi="Times New Roman" w:cs="Times New Roman"/>
          <w:i/>
          <w:noProof/>
          <w:kern w:val="0"/>
          <w:sz w:val="20"/>
          <w:szCs w:val="20"/>
          <w14:ligatures w14:val="none"/>
        </w:rPr>
        <w:t>. The</w:t>
      </w:r>
      <w:r w:rsidRPr="00FB4E2D">
        <w:rPr>
          <w:rFonts w:ascii="Times New Roman" w:eastAsia="Calibri" w:hAnsi="Times New Roman" w:cs="Times New Roman"/>
          <w:i/>
          <w:noProof/>
          <w:kern w:val="0"/>
          <w:sz w:val="20"/>
          <w:szCs w:val="22"/>
          <w14:ligatures w14:val="none"/>
        </w:rPr>
        <w:t xml:space="preserve"> supreme, or other highest court, is the only appeal instance </w:t>
      </w:r>
      <w:r w:rsidRPr="00FB4E2D">
        <w:rPr>
          <w:rFonts w:ascii="Times New Roman" w:eastAsia="Calibri" w:hAnsi="Times New Roman" w:cs="Times New Roman"/>
          <w:i/>
          <w:noProof/>
          <w:kern w:val="0"/>
          <w:sz w:val="20"/>
          <w:szCs w:val="20"/>
          <w14:ligatures w14:val="none"/>
        </w:rPr>
        <w:t xml:space="preserve">in </w:t>
      </w:r>
      <w:r w:rsidRPr="00FB4E2D">
        <w:rPr>
          <w:rFonts w:ascii="Times New Roman" w:eastAsia="Calibri" w:hAnsi="Times New Roman" w:cs="Times New Roman"/>
          <w:b/>
          <w:i/>
          <w:noProof/>
          <w:kern w:val="0"/>
          <w:sz w:val="20"/>
          <w:szCs w:val="20"/>
          <w14:ligatures w14:val="none"/>
        </w:rPr>
        <w:t>CZ</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IT</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AT</w:t>
      </w:r>
      <w:r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SI</w:t>
      </w:r>
      <w:r w:rsidRPr="00FB4E2D">
        <w:rPr>
          <w:rFonts w:ascii="Times New Roman" w:eastAsia="Calibri" w:hAnsi="Times New Roman" w:cs="Times New Roman"/>
          <w:i/>
          <w:noProof/>
          <w:kern w:val="0"/>
          <w:sz w:val="20"/>
          <w:szCs w:val="20"/>
          <w14:ligatures w14:val="none"/>
        </w:rPr>
        <w:t xml:space="preserve"> and </w:t>
      </w:r>
      <w:r w:rsidRPr="00FB4E2D">
        <w:rPr>
          <w:rFonts w:ascii="Times New Roman" w:eastAsia="Calibri" w:hAnsi="Times New Roman" w:cs="Times New Roman"/>
          <w:b/>
          <w:i/>
          <w:noProof/>
          <w:kern w:val="0"/>
          <w:sz w:val="20"/>
          <w:szCs w:val="20"/>
          <w14:ligatures w14:val="none"/>
        </w:rPr>
        <w:t>FI</w:t>
      </w:r>
      <w:r w:rsidRPr="00FB4E2D">
        <w:rPr>
          <w:rFonts w:ascii="Times New Roman" w:eastAsia="Calibri" w:hAnsi="Times New Roman" w:cs="Times New Roman"/>
          <w:i/>
          <w:noProof/>
          <w:kern w:val="0"/>
          <w:sz w:val="20"/>
          <w:szCs w:val="20"/>
          <w14:ligatures w14:val="none"/>
        </w:rPr>
        <w:t>. There is no</w:t>
      </w:r>
      <w:r w:rsidRPr="00FB4E2D">
        <w:rPr>
          <w:rFonts w:ascii="Times New Roman" w:eastAsia="Calibri" w:hAnsi="Times New Roman" w:cs="Times New Roman"/>
          <w:i/>
          <w:noProof/>
          <w:kern w:val="0"/>
          <w:sz w:val="20"/>
          <w:szCs w:val="22"/>
          <w14:ligatures w14:val="none"/>
        </w:rPr>
        <w:t xml:space="preserve"> third instance court for these types of cases </w:t>
      </w:r>
      <w:r w:rsidRPr="00FB4E2D">
        <w:rPr>
          <w:rFonts w:ascii="Times New Roman" w:eastAsia="Calibri" w:hAnsi="Times New Roman" w:cs="Times New Roman"/>
          <w:i/>
          <w:noProof/>
          <w:kern w:val="0"/>
          <w:sz w:val="20"/>
          <w:szCs w:val="20"/>
          <w14:ligatures w14:val="none"/>
        </w:rPr>
        <w:t>in</w:t>
      </w: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b/>
          <w:i/>
          <w:noProof/>
          <w:kern w:val="0"/>
          <w:sz w:val="20"/>
          <w:szCs w:val="22"/>
          <w14:ligatures w14:val="none"/>
        </w:rPr>
        <w:t>LT</w:t>
      </w: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b/>
          <w:i/>
          <w:noProof/>
          <w:kern w:val="0"/>
          <w:sz w:val="20"/>
          <w:szCs w:val="22"/>
          <w14:ligatures w14:val="none"/>
        </w:rPr>
        <w:t>LU</w:t>
      </w:r>
      <w:r w:rsidRPr="00FB4E2D">
        <w:rPr>
          <w:rFonts w:ascii="Times New Roman" w:eastAsia="Calibri" w:hAnsi="Times New Roman" w:cs="Times New Roman"/>
          <w:i/>
          <w:noProof/>
          <w:kern w:val="0"/>
          <w:sz w:val="20"/>
          <w:szCs w:val="20"/>
          <w14:ligatures w14:val="none"/>
        </w:rPr>
        <w:t xml:space="preserve"> and </w:t>
      </w:r>
      <w:r w:rsidRPr="00FB4E2D">
        <w:rPr>
          <w:rFonts w:ascii="Times New Roman" w:eastAsia="Calibri" w:hAnsi="Times New Roman" w:cs="Times New Roman"/>
          <w:b/>
          <w:i/>
          <w:noProof/>
          <w:kern w:val="0"/>
          <w:sz w:val="20"/>
          <w:szCs w:val="20"/>
          <w14:ligatures w14:val="none"/>
        </w:rPr>
        <w:t>MT</w:t>
      </w:r>
      <w:r w:rsidRPr="00FB4E2D">
        <w:rPr>
          <w:rFonts w:ascii="Times New Roman" w:eastAsia="Calibri" w:hAnsi="Times New Roman" w:cs="Times New Roman"/>
          <w:i/>
          <w:noProof/>
          <w:kern w:val="0"/>
          <w:sz w:val="20"/>
          <w:szCs w:val="20"/>
          <w14:ligatures w14:val="none"/>
        </w:rPr>
        <w:t xml:space="preserve">. The highest administrative court is the first and only instance for certain cases in </w:t>
      </w:r>
      <w:r w:rsidRPr="00FB4E2D">
        <w:rPr>
          <w:rFonts w:ascii="Times New Roman" w:eastAsia="Calibri" w:hAnsi="Times New Roman" w:cs="Times New Roman"/>
          <w:b/>
          <w:i/>
          <w:noProof/>
          <w:kern w:val="0"/>
          <w:sz w:val="20"/>
          <w:szCs w:val="20"/>
          <w14:ligatures w14:val="none"/>
        </w:rPr>
        <w:t>BE</w:t>
      </w:r>
      <w:r w:rsidRPr="00FB4E2D">
        <w:rPr>
          <w:rFonts w:ascii="Times New Roman" w:eastAsia="Calibri" w:hAnsi="Times New Roman" w:cs="Times New Roman"/>
          <w:i/>
          <w:noProof/>
          <w:kern w:val="0"/>
          <w:sz w:val="20"/>
          <w:szCs w:val="20"/>
          <w14:ligatures w14:val="none"/>
        </w:rPr>
        <w:t xml:space="preserve">. Access to third instance courts may be limited in some Member States. </w:t>
      </w:r>
      <w:r w:rsidRPr="00FB4E2D">
        <w:rPr>
          <w:rFonts w:ascii="Times New Roman" w:eastAsia="Calibri" w:hAnsi="Times New Roman" w:cs="Times New Roman"/>
          <w:b/>
          <w:i/>
          <w:noProof/>
          <w:kern w:val="0"/>
          <w:sz w:val="20"/>
          <w:szCs w:val="20"/>
          <w14:ligatures w14:val="none"/>
        </w:rPr>
        <w:t>DK</w:t>
      </w:r>
      <w:r w:rsidRPr="00FB4E2D">
        <w:rPr>
          <w:rFonts w:ascii="Times New Roman" w:eastAsia="Calibri" w:hAnsi="Times New Roman" w:cs="Times New Roman"/>
          <w:i/>
          <w:noProof/>
          <w:kern w:val="0"/>
          <w:sz w:val="20"/>
          <w:szCs w:val="20"/>
          <w14:ligatures w14:val="none"/>
        </w:rPr>
        <w:t xml:space="preserve"> and </w:t>
      </w:r>
      <w:r w:rsidRPr="00FB4E2D" w:rsidDel="008E243E">
        <w:rPr>
          <w:rFonts w:ascii="Times New Roman" w:eastAsia="Calibri" w:hAnsi="Times New Roman" w:cs="Times New Roman"/>
          <w:b/>
          <w:i/>
          <w:noProof/>
          <w:kern w:val="0"/>
          <w:sz w:val="20"/>
          <w:szCs w:val="20"/>
          <w14:ligatures w14:val="none"/>
        </w:rPr>
        <w:t>IE</w:t>
      </w:r>
      <w:r w:rsidRPr="00FB4E2D" w:rsidDel="008E243E">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i/>
          <w:noProof/>
          <w:kern w:val="0"/>
          <w:sz w:val="20"/>
          <w:szCs w:val="20"/>
          <w14:ligatures w14:val="none"/>
        </w:rPr>
        <w:t>do not record administrative cases separately</w:t>
      </w:r>
      <w:r w:rsidRPr="00FB4E2D" w:rsidDel="00731CE1">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i/>
          <w:noProof/>
          <w:kern w:val="0"/>
          <w:sz w:val="20"/>
          <w:szCs w:val="20"/>
          <w14:ligatures w14:val="none"/>
        </w:rPr>
        <w:t xml:space="preserve"> In </w:t>
      </w:r>
      <w:r w:rsidRPr="00FB4E2D">
        <w:rPr>
          <w:rFonts w:ascii="Times New Roman" w:eastAsia="Calibri" w:hAnsi="Times New Roman" w:cs="Times New Roman"/>
          <w:b/>
          <w:i/>
          <w:noProof/>
          <w:kern w:val="0"/>
          <w:sz w:val="20"/>
          <w:szCs w:val="20"/>
          <w14:ligatures w14:val="none"/>
        </w:rPr>
        <w:t>CY</w:t>
      </w:r>
      <w:r w:rsidRPr="00FB4E2D">
        <w:rPr>
          <w:rFonts w:ascii="Times New Roman" w:eastAsia="Calibri" w:hAnsi="Times New Roman" w:cs="Times New Roman"/>
          <w:i/>
          <w:noProof/>
          <w:kern w:val="0"/>
          <w:sz w:val="20"/>
          <w:szCs w:val="20"/>
          <w14:ligatures w14:val="none"/>
        </w:rPr>
        <w:t>, the organisation of the justice system underwent a significant reform in July 2023, including the establishment of a Court of Appeals and a third instance.</w:t>
      </w:r>
      <w:r w:rsidRPr="00FB4E2D">
        <w:rPr>
          <w:rFonts w:ascii="Symbol" w:eastAsia="Symbol" w:hAnsi="Symbol" w:cs="Symbol"/>
          <w:i/>
          <w:noProof/>
          <w:kern w:val="0"/>
          <w:highlight w:val="yellow"/>
          <w14:ligatures w14:val="none"/>
        </w:rPr>
        <w:br w:type="page"/>
      </w:r>
    </w:p>
    <w:p w14:paraId="268167A2" w14:textId="536CC18B" w:rsidR="00A02C07" w:rsidRPr="00FB4E2D" w:rsidRDefault="007143E9" w:rsidP="007143E9">
      <w:pPr>
        <w:keepNext/>
        <w:tabs>
          <w:tab w:val="left" w:pos="850"/>
        </w:tabs>
        <w:spacing w:before="240" w:after="120" w:line="240" w:lineRule="auto"/>
        <w:ind w:left="720" w:hanging="720"/>
        <w:jc w:val="both"/>
        <w:outlineLvl w:val="3"/>
        <w:rPr>
          <w:rFonts w:ascii="Times New Roman" w:eastAsia="Times New Roman" w:hAnsi="Times New Roman" w:cs="Times New Roman"/>
          <w:i/>
          <w:noProof/>
          <w:kern w:val="0"/>
          <w14:ligatures w14:val="none"/>
        </w:rPr>
      </w:pPr>
      <w:r w:rsidRPr="00FB4E2D">
        <w:rPr>
          <w:rFonts w:ascii="Times New Roman" w:eastAsia="Times New Roman" w:hAnsi="Times New Roman" w:cs="Times New Roman"/>
          <w:noProof/>
          <w:kern w:val="0"/>
          <w14:ligatures w14:val="none"/>
        </w:rPr>
        <w:t>–</w:t>
      </w:r>
      <w:r w:rsidR="00A02C07" w:rsidRPr="00FB4E2D">
        <w:rPr>
          <w:rFonts w:ascii="Times New Roman" w:eastAsia="Times New Roman" w:hAnsi="Times New Roman" w:cs="Times New Roman"/>
          <w:i/>
          <w:noProof/>
          <w:kern w:val="0"/>
          <w14:ligatures w14:val="none"/>
        </w:rPr>
        <w:t xml:space="preserve"> </w:t>
      </w:r>
      <w:r w:rsidR="00A02C07" w:rsidRPr="00FB4E2D">
        <w:rPr>
          <w:rFonts w:ascii="Times New Roman" w:eastAsia="Symbol" w:hAnsi="Times New Roman" w:cs="Symbol"/>
          <w:i/>
          <w:noProof/>
          <w:kern w:val="0"/>
          <w14:ligatures w14:val="none"/>
        </w:rPr>
        <w:t>Clearance</w:t>
      </w:r>
      <w:r w:rsidR="00A02C07" w:rsidRPr="00FB4E2D">
        <w:rPr>
          <w:rFonts w:ascii="Times New Roman" w:eastAsia="Times New Roman" w:hAnsi="Times New Roman" w:cs="Times New Roman"/>
          <w:i/>
          <w:noProof/>
          <w:kern w:val="0"/>
          <w14:ligatures w14:val="none"/>
        </w:rPr>
        <w:t xml:space="preserve"> rate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00A02C07" w:rsidRPr="00FB4E2D">
        <w:rPr>
          <w:rFonts w:ascii="Times New Roman" w:eastAsia="Times New Roman" w:hAnsi="Times New Roman" w:cs="Times New Roman"/>
          <w:i/>
          <w:noProof/>
          <w:kern w:val="0"/>
          <w14:ligatures w14:val="none"/>
        </w:rPr>
        <w:t xml:space="preserve"> </w:t>
      </w:r>
      <w:r w:rsidR="00A02C07" w:rsidRPr="00FB4E2D">
        <w:rPr>
          <w:rFonts w:ascii="Times New Roman" w:eastAsia="Times New Roman" w:hAnsi="Times New Roman" w:cs="Times New Roman"/>
          <w:noProof/>
          <w:kern w:val="0"/>
          <w14:ligatures w14:val="none"/>
        </w:rPr>
        <w:t>–</w:t>
      </w:r>
    </w:p>
    <w:p w14:paraId="4D717403" w14:textId="77777777" w:rsidR="00A02C07" w:rsidRPr="00FB4E2D" w:rsidRDefault="00A02C07" w:rsidP="00A02C07">
      <w:pPr>
        <w:spacing w:after="0" w:line="240" w:lineRule="auto"/>
        <w:jc w:val="both"/>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noProof/>
          <w:kern w:val="0"/>
          <w14:ligatures w14:val="none"/>
        </w:rPr>
        <w:t>The clearance rate is the ratio of resolved cases to incoming cases. It measures whether a court is keeping up with its incoming caseload. The clearance rate is around 100% or higher when the outflow of cases is equal or higher compared to the inflow of cases. When the clearance rate is below 100%, it means that the courts are resolving fewer cases than the number of incoming cases.</w:t>
      </w:r>
    </w:p>
    <w:p w14:paraId="147C7FD8" w14:textId="77777777"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Rate of resolving </w:t>
      </w:r>
      <w:r w:rsidRPr="00FB4E2D">
        <w:rPr>
          <w:rFonts w:ascii="Times New Roman" w:eastAsia="Calibri" w:hAnsi="Times New Roman" w:cs="Times New Roman"/>
          <w:b/>
          <w:noProof/>
          <w:kern w:val="0"/>
          <w:u w:val="single"/>
          <w14:ligatures w14:val="none"/>
        </w:rPr>
        <w:t>civil, commercial, administrative and other cases in 2014</w:t>
      </w:r>
      <w:r w:rsidRPr="00FB4E2D" w:rsidDel="00731CE1">
        <w:rPr>
          <w:rFonts w:ascii="Times New Roman" w:eastAsia="Calibri" w:hAnsi="Times New Roman" w:cs="Times New Roman"/>
          <w:b/>
          <w:noProof/>
          <w:kern w:val="0"/>
          <w:u w:val="single"/>
          <w14:ligatures w14:val="none"/>
        </w:rPr>
        <w:t xml:space="preserve">, </w:t>
      </w:r>
      <w:r w:rsidRPr="00FB4E2D">
        <w:rPr>
          <w:rFonts w:ascii="Times New Roman" w:eastAsia="Calibri" w:hAnsi="Times New Roman" w:cs="Times New Roman"/>
          <w:b/>
          <w:noProof/>
          <w:kern w:val="0"/>
          <w:u w:val="single"/>
          <w14:ligatures w14:val="none"/>
        </w:rPr>
        <w:t>2022</w:t>
      </w:r>
      <w:r w:rsidRPr="00FB4E2D" w:rsidDel="00731CE1">
        <w:rPr>
          <w:rFonts w:ascii="Times New Roman" w:eastAsia="Calibri" w:hAnsi="Times New Roman" w:cs="Times New Roman"/>
          <w:b/>
          <w:noProof/>
          <w:kern w:val="0"/>
          <w:u w:val="single"/>
          <w14:ligatures w14:val="none"/>
        </w:rPr>
        <w:t xml:space="preserve"> – </w:t>
      </w:r>
      <w:r w:rsidRPr="00FB4E2D">
        <w:rPr>
          <w:rFonts w:ascii="Times New Roman" w:eastAsia="Calibri" w:hAnsi="Times New Roman" w:cs="Times New Roman"/>
          <w:b/>
          <w:noProof/>
          <w:kern w:val="0"/>
          <w:u w:val="single"/>
          <w14:ligatures w14:val="none"/>
        </w:rPr>
        <w:t>2024</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 xml:space="preserve">(at first instance/in % </w:t>
      </w:r>
      <w:r w:rsidRPr="00FB4E2D" w:rsidDel="00FA147B">
        <w:rPr>
          <w:rFonts w:ascii="Times New Roman" w:eastAsia="Calibri" w:hAnsi="Times New Roman" w:cs="Times New Roman"/>
          <w:i/>
          <w:noProof/>
          <w:kern w:val="0"/>
          <w14:ligatures w14:val="none"/>
        </w:rPr>
        <w:t>—</w:t>
      </w:r>
      <w:r w:rsidRPr="00FB4E2D">
        <w:rPr>
          <w:rFonts w:ascii="Times New Roman" w:eastAsia="Calibri" w:hAnsi="Times New Roman" w:cs="Times New Roman"/>
          <w:i/>
          <w:noProof/>
          <w:kern w:val="0"/>
          <w14:ligatures w14:val="none"/>
        </w:rPr>
        <w:t xml:space="preserve"> values higher than 100% indicate that more cases are resolved than come in, while values below 100% indicate that fewer cases are resolved than come in) (source: CEPEJ study)</w:t>
      </w:r>
    </w:p>
    <w:p w14:paraId="6B373DFB" w14:textId="5BD1BF02" w:rsidR="00A02C07" w:rsidRPr="00FB4E2D" w:rsidRDefault="00A02C07" w:rsidP="00A02C07">
      <w:pPr>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1A27B32C" wp14:editId="0AECBC76">
            <wp:extent cx="5760000" cy="2427293"/>
            <wp:effectExtent l="0" t="0" r="0" b="0"/>
            <wp:docPr id="417774539" name="Picture 8"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774539" name="Picture 8" descr="A graph of numbers and line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000" cy="2427293"/>
                    </a:xfrm>
                    <a:prstGeom prst="rect">
                      <a:avLst/>
                    </a:prstGeom>
                    <a:noFill/>
                  </pic:spPr>
                </pic:pic>
              </a:graphicData>
            </a:graphic>
          </wp:inline>
        </w:drawing>
      </w: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0"/>
          <w14:ligatures w14:val="none"/>
        </w:rPr>
        <w:t xml:space="preserve">Under the CEPEJ methodology, this category includes all civil and commercial litigious and non-litigious cases, non-litigious land and business registry cases, other registry cases, other non-litigious cases, administrative law cases and other non-criminal cases. </w:t>
      </w:r>
      <w:r w:rsidRPr="00FB4E2D">
        <w:rPr>
          <w:rFonts w:ascii="Times New Roman" w:eastAsia="Calibri" w:hAnsi="Times New Roman" w:cs="Times New Roman"/>
          <w:i/>
          <w:noProof/>
          <w:kern w:val="0"/>
          <w:sz w:val="20"/>
          <w:szCs w:val="22"/>
          <w14:ligatures w14:val="none"/>
        </w:rPr>
        <w:t xml:space="preserve">Methodology changes in </w:t>
      </w:r>
      <w:r w:rsidRPr="00FB4E2D">
        <w:rPr>
          <w:rFonts w:ascii="Times New Roman" w:eastAsia="Calibri" w:hAnsi="Times New Roman" w:cs="Times New Roman"/>
          <w:b/>
          <w:i/>
          <w:noProof/>
          <w:kern w:val="0"/>
          <w:sz w:val="20"/>
          <w:szCs w:val="22"/>
          <w14:ligatures w14:val="none"/>
        </w:rPr>
        <w:t>SK</w:t>
      </w:r>
      <w:r w:rsidRPr="00FB4E2D">
        <w:rPr>
          <w:rFonts w:ascii="Times New Roman" w:eastAsia="Calibri" w:hAnsi="Times New Roman" w:cs="Times New Roman"/>
          <w:i/>
          <w:noProof/>
          <w:kern w:val="0"/>
          <w:sz w:val="20"/>
          <w:szCs w:val="22"/>
          <w14:ligatures w14:val="none"/>
        </w:rPr>
        <w:t xml:space="preserve">. In </w:t>
      </w:r>
      <w:r w:rsidRPr="00FB4E2D">
        <w:rPr>
          <w:rFonts w:ascii="Times New Roman" w:eastAsia="Calibri" w:hAnsi="Times New Roman" w:cs="Times New Roman"/>
          <w:b/>
          <w:i/>
          <w:noProof/>
          <w:kern w:val="0"/>
          <w:sz w:val="20"/>
          <w:szCs w:val="22"/>
          <w14:ligatures w14:val="none"/>
        </w:rPr>
        <w:t>IE,</w:t>
      </w:r>
      <w:r w:rsidRPr="00FB4E2D">
        <w:rPr>
          <w:rFonts w:ascii="Times New Roman" w:eastAsia="Calibri" w:hAnsi="Times New Roman" w:cs="Times New Roman"/>
          <w:i/>
          <w:noProof/>
          <w:kern w:val="0"/>
          <w:sz w:val="20"/>
          <w:szCs w:val="22"/>
          <w14:ligatures w14:val="none"/>
        </w:rPr>
        <w:t xml:space="preserve"> the number of resolved cases is expected to be underreported due to the methodology.</w:t>
      </w:r>
    </w:p>
    <w:p w14:paraId="4151B899" w14:textId="77777777"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Rate of resolving </w:t>
      </w:r>
      <w:r w:rsidRPr="00FB4E2D">
        <w:rPr>
          <w:rFonts w:ascii="Times New Roman" w:eastAsia="Calibri" w:hAnsi="Times New Roman" w:cs="Times New Roman"/>
          <w:b/>
          <w:noProof/>
          <w:kern w:val="0"/>
          <w:u w:val="single"/>
          <w14:ligatures w14:val="none"/>
        </w:rPr>
        <w:t>litigious civil and commercial cases in 2014</w:t>
      </w:r>
      <w:r w:rsidRPr="00FB4E2D" w:rsidDel="00EF461B">
        <w:rPr>
          <w:rFonts w:ascii="Times New Roman" w:eastAsia="Calibri" w:hAnsi="Times New Roman" w:cs="Times New Roman"/>
          <w:b/>
          <w:noProof/>
          <w:kern w:val="0"/>
          <w:u w:val="single"/>
          <w14:ligatures w14:val="none"/>
        </w:rPr>
        <w:t>,</w:t>
      </w:r>
      <w:r w:rsidRPr="00FB4E2D">
        <w:rPr>
          <w:rFonts w:ascii="Times New Roman" w:eastAsia="Calibri" w:hAnsi="Times New Roman" w:cs="Times New Roman"/>
          <w:b/>
          <w:noProof/>
          <w:kern w:val="0"/>
          <w:u w:val="single"/>
          <w14:ligatures w14:val="none"/>
        </w:rPr>
        <w:t xml:space="preserve"> 2022</w:t>
      </w:r>
      <w:r w:rsidRPr="00FB4E2D" w:rsidDel="00EF461B">
        <w:rPr>
          <w:rFonts w:ascii="Times New Roman" w:eastAsia="Calibri" w:hAnsi="Times New Roman" w:cs="Times New Roman"/>
          <w:b/>
          <w:noProof/>
          <w:kern w:val="0"/>
          <w:u w:val="single"/>
          <w14:ligatures w14:val="none"/>
        </w:rPr>
        <w:t xml:space="preserve"> – </w:t>
      </w:r>
      <w:r w:rsidRPr="00FB4E2D">
        <w:rPr>
          <w:rFonts w:ascii="Times New Roman" w:eastAsia="Calibri" w:hAnsi="Times New Roman" w:cs="Times New Roman"/>
          <w:b/>
          <w:noProof/>
          <w:kern w:val="0"/>
          <w:u w:val="single"/>
          <w14:ligatures w14:val="none"/>
        </w:rPr>
        <w:t>2024</w:t>
      </w:r>
      <w:r w:rsidRPr="00FB4E2D">
        <w:rPr>
          <w:rFonts w:ascii="Times New Roman" w:eastAsia="Calibri" w:hAnsi="Times New Roman" w:cs="Times New Roman"/>
          <w:noProof/>
          <w:kern w:val="0"/>
          <w:sz w:val="22"/>
          <w:szCs w:val="22"/>
          <w14:ligatures w14:val="none"/>
        </w:rPr>
        <w:t xml:space="preserve"> (</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(at first instance/in %) (source: CEPEJ study)</w:t>
      </w:r>
    </w:p>
    <w:p w14:paraId="7723AD81" w14:textId="77777777" w:rsidR="00A02C07" w:rsidRPr="00FB4E2D" w:rsidRDefault="00A02C07" w:rsidP="00A02C07">
      <w:pPr>
        <w:spacing w:after="0" w:line="240" w:lineRule="auto"/>
        <w:jc w:val="both"/>
        <w:rPr>
          <w:rFonts w:ascii="Times New Roman" w:eastAsia="Calibri" w:hAnsi="Times New Roman" w:cs="Times New Roman"/>
          <w:i/>
          <w:noProof/>
          <w:kern w:val="0"/>
          <w:sz w:val="20"/>
          <w:szCs w:val="22"/>
          <w:highlight w:val="yellow"/>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35D7108C" wp14:editId="2A4AF7A1">
            <wp:extent cx="5760000" cy="2427293"/>
            <wp:effectExtent l="0" t="0" r="0" b="0"/>
            <wp:docPr id="1652874072" name="Picture 9"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74072" name="Picture 9" descr="A graph of numbers and line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00" cy="2427293"/>
                    </a:xfrm>
                    <a:prstGeom prst="rect">
                      <a:avLst/>
                    </a:prstGeom>
                    <a:noFill/>
                  </pic:spPr>
                </pic:pic>
              </a:graphicData>
            </a:graphic>
          </wp:inline>
        </w:drawing>
      </w:r>
    </w:p>
    <w:p w14:paraId="2EC42B98" w14:textId="0F27868C" w:rsidR="00A02C07" w:rsidRPr="00FB4E2D" w:rsidRDefault="00A02C07" w:rsidP="00A02C07">
      <w:pPr>
        <w:spacing w:after="0" w:line="240" w:lineRule="auto"/>
        <w:jc w:val="both"/>
        <w:rPr>
          <w:rFonts w:ascii="Times New Roman" w:eastAsia="Calibri" w:hAnsi="Times New Roman" w:cs="Times New Roman"/>
          <w:i/>
          <w:noProof/>
          <w:kern w:val="0"/>
          <w:sz w:val="20"/>
          <w:szCs w:val="22"/>
          <w:highlight w:val="yellow"/>
          <w14:ligatures w14:val="none"/>
        </w:rPr>
      </w:pPr>
      <w:r w:rsidRPr="00FB4E2D">
        <w:rPr>
          <w:rFonts w:ascii="Times New Roman" w:eastAsia="Calibri" w:hAnsi="Times New Roman" w:cs="Times New Roman"/>
          <w:i/>
          <w:noProof/>
          <w:kern w:val="0"/>
          <w:sz w:val="20"/>
          <w:szCs w:val="22"/>
          <w14:ligatures w14:val="none"/>
        </w:rPr>
        <w:t xml:space="preserve">(*) Methodology changes in </w:t>
      </w:r>
      <w:r w:rsidRPr="00FB4E2D">
        <w:rPr>
          <w:rFonts w:ascii="Times New Roman" w:eastAsia="Calibri" w:hAnsi="Times New Roman" w:cs="Times New Roman"/>
          <w:b/>
          <w:i/>
          <w:noProof/>
          <w:kern w:val="0"/>
          <w:sz w:val="20"/>
          <w:szCs w:val="22"/>
          <w14:ligatures w14:val="none"/>
        </w:rPr>
        <w:t>EL</w:t>
      </w:r>
      <w:r w:rsidRPr="00FB4E2D">
        <w:rPr>
          <w:rFonts w:ascii="Times New Roman" w:eastAsia="Calibri" w:hAnsi="Times New Roman" w:cs="Times New Roman"/>
          <w:i/>
          <w:noProof/>
          <w:kern w:val="0"/>
          <w:sz w:val="20"/>
          <w:szCs w:val="22"/>
          <w14:ligatures w14:val="none"/>
        </w:rPr>
        <w:t xml:space="preserve"> and </w:t>
      </w:r>
      <w:r w:rsidRPr="00FB4E2D">
        <w:rPr>
          <w:rFonts w:ascii="Times New Roman" w:eastAsia="Calibri" w:hAnsi="Times New Roman" w:cs="Times New Roman"/>
          <w:b/>
          <w:i/>
          <w:noProof/>
          <w:kern w:val="0"/>
          <w:sz w:val="20"/>
          <w:szCs w:val="22"/>
          <w14:ligatures w14:val="none"/>
        </w:rPr>
        <w:t>SK</w:t>
      </w:r>
      <w:r w:rsidRPr="00FB4E2D">
        <w:rPr>
          <w:rFonts w:ascii="Times New Roman" w:eastAsia="Calibri" w:hAnsi="Times New Roman" w:cs="Times New Roman"/>
          <w:i/>
          <w:noProof/>
          <w:kern w:val="0"/>
          <w:sz w:val="20"/>
          <w:szCs w:val="22"/>
          <w14:ligatures w14:val="none"/>
        </w:rPr>
        <w:t xml:space="preserve">. In </w:t>
      </w:r>
      <w:r w:rsidRPr="00FB4E2D">
        <w:rPr>
          <w:rFonts w:ascii="Times New Roman" w:eastAsia="Calibri" w:hAnsi="Times New Roman" w:cs="Times New Roman"/>
          <w:b/>
          <w:i/>
          <w:noProof/>
          <w:kern w:val="0"/>
          <w:sz w:val="20"/>
          <w:szCs w:val="22"/>
          <w14:ligatures w14:val="none"/>
        </w:rPr>
        <w:t>IE,</w:t>
      </w:r>
      <w:r w:rsidRPr="00FB4E2D">
        <w:rPr>
          <w:rFonts w:ascii="Times New Roman" w:eastAsia="Calibri" w:hAnsi="Times New Roman" w:cs="Times New Roman"/>
          <w:i/>
          <w:noProof/>
          <w:kern w:val="0"/>
          <w:sz w:val="20"/>
          <w:szCs w:val="22"/>
          <w14:ligatures w14:val="none"/>
        </w:rPr>
        <w:t xml:space="preserve"> the number of resolved cases is expected to be underreported due to the methodology. Data for </w:t>
      </w:r>
      <w:r w:rsidRPr="00FB4E2D">
        <w:rPr>
          <w:rFonts w:ascii="Times New Roman" w:eastAsia="Calibri" w:hAnsi="Times New Roman" w:cs="Times New Roman"/>
          <w:b/>
          <w:i/>
          <w:noProof/>
          <w:kern w:val="0"/>
          <w:sz w:val="20"/>
          <w:szCs w:val="22"/>
          <w14:ligatures w14:val="none"/>
        </w:rPr>
        <w:t>NL</w:t>
      </w:r>
      <w:r w:rsidRPr="00FB4E2D">
        <w:rPr>
          <w:rFonts w:ascii="Times New Roman" w:eastAsia="Calibri" w:hAnsi="Times New Roman" w:cs="Times New Roman"/>
          <w:i/>
          <w:noProof/>
          <w:kern w:val="0"/>
          <w:sz w:val="20"/>
          <w:szCs w:val="22"/>
          <w14:ligatures w14:val="none"/>
        </w:rPr>
        <w:t xml:space="preserve"> include non-litigious cases.</w:t>
      </w:r>
    </w:p>
    <w:p w14:paraId="36C93844" w14:textId="77777777"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Rate of resolving </w:t>
      </w:r>
      <w:r w:rsidRPr="00FB4E2D">
        <w:rPr>
          <w:rFonts w:ascii="Times New Roman" w:eastAsia="Calibri" w:hAnsi="Times New Roman" w:cs="Times New Roman"/>
          <w:b/>
          <w:noProof/>
          <w:kern w:val="0"/>
          <w:u w:val="single"/>
          <w14:ligatures w14:val="none"/>
        </w:rPr>
        <w:t>administrative cases</w:t>
      </w:r>
      <w:r w:rsidRPr="00FB4E2D">
        <w:rPr>
          <w:rFonts w:ascii="Times New Roman" w:eastAsia="Calibri" w:hAnsi="Times New Roman" w:cs="Times New Roman"/>
          <w:b/>
          <w:noProof/>
          <w:kern w:val="0"/>
          <w:sz w:val="22"/>
          <w:szCs w:val="22"/>
          <w:u w:val="single"/>
          <w14:ligatures w14:val="none"/>
        </w:rPr>
        <w:t xml:space="preserve"> </w:t>
      </w:r>
      <w:r w:rsidRPr="00FB4E2D">
        <w:rPr>
          <w:rFonts w:ascii="Times New Roman" w:eastAsia="Calibri" w:hAnsi="Times New Roman" w:cs="Times New Roman"/>
          <w:b/>
          <w:noProof/>
          <w:kern w:val="0"/>
          <w:szCs w:val="22"/>
          <w:u w:val="single"/>
          <w14:ligatures w14:val="none"/>
        </w:rPr>
        <w:t>in 2014, 2022 – 2024</w:t>
      </w:r>
      <w:r w:rsidRPr="00FB4E2D">
        <w:rPr>
          <w:rFonts w:ascii="Times New Roman" w:eastAsia="Calibri" w:hAnsi="Times New Roman" w:cs="Times New Roman"/>
          <w:b/>
          <w:noProof/>
          <w:kern w:val="0"/>
          <w:szCs w:val="22"/>
          <w14:ligatures w14:val="none"/>
        </w:rPr>
        <w:t xml:space="preserve"> </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(at first instance/in %) (source: CEPEJ study)</w:t>
      </w:r>
    </w:p>
    <w:p w14:paraId="60805E92" w14:textId="08A8C25E" w:rsidR="00A02C07" w:rsidRPr="00FB4E2D" w:rsidRDefault="00A02C07" w:rsidP="00A02C07">
      <w:pPr>
        <w:keepNext/>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751D0E4B" wp14:editId="38436906">
            <wp:extent cx="5760000" cy="2433414"/>
            <wp:effectExtent l="0" t="0" r="0" b="5080"/>
            <wp:docPr id="1042703704" name="Picture 10" descr="A graph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03704" name="Picture 10" descr="A graph of numbers and letter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000" cy="2433414"/>
                    </a:xfrm>
                    <a:prstGeom prst="rect">
                      <a:avLst/>
                    </a:prstGeom>
                    <a:noFill/>
                  </pic:spPr>
                </pic:pic>
              </a:graphicData>
            </a:graphic>
          </wp:inline>
        </w:drawing>
      </w:r>
      <w:r w:rsidRPr="00FB4E2D">
        <w:rPr>
          <w:rFonts w:ascii="Times New Roman" w:eastAsia="Calibri" w:hAnsi="Times New Roman" w:cs="Times New Roman"/>
          <w:i/>
          <w:noProof/>
          <w:kern w:val="0"/>
          <w:sz w:val="20"/>
          <w:szCs w:val="22"/>
          <w14:ligatures w14:val="none"/>
        </w:rPr>
        <w:t>(*</w:t>
      </w:r>
      <w:r w:rsidRPr="00FB4E2D">
        <w:rPr>
          <w:rFonts w:ascii="Times New Roman" w:eastAsia="Calibri" w:hAnsi="Times New Roman" w:cs="Times New Roman"/>
          <w:noProof/>
          <w:kern w:val="0"/>
          <w:sz w:val="20"/>
          <w:szCs w:val="22"/>
          <w14:ligatures w14:val="none"/>
        </w:rPr>
        <w:t>)</w:t>
      </w:r>
      <w:r w:rsidR="000F5EF0" w:rsidRPr="00FB4E2D">
        <w:rPr>
          <w:rFonts w:ascii="Times New Roman" w:eastAsia="Calibri" w:hAnsi="Times New Roman" w:cs="Times New Roman"/>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Methodology changes in </w:t>
      </w:r>
      <w:r w:rsidRPr="00FB4E2D" w:rsidDel="00EF461B">
        <w:rPr>
          <w:rFonts w:ascii="Times New Roman" w:eastAsia="Calibri" w:hAnsi="Times New Roman" w:cs="Times New Roman"/>
          <w:b/>
          <w:i/>
          <w:noProof/>
          <w:kern w:val="0"/>
          <w:sz w:val="20"/>
          <w:szCs w:val="22"/>
          <w14:ligatures w14:val="none"/>
        </w:rPr>
        <w:t>EL</w:t>
      </w:r>
      <w:r w:rsidRPr="00FB4E2D" w:rsidDel="00EF461B">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and </w:t>
      </w:r>
      <w:r w:rsidRPr="00FB4E2D" w:rsidDel="00EF461B">
        <w:rPr>
          <w:rFonts w:ascii="Times New Roman" w:eastAsia="Calibri" w:hAnsi="Times New Roman" w:cs="Times New Roman"/>
          <w:b/>
          <w:i/>
          <w:noProof/>
          <w:kern w:val="0"/>
          <w:sz w:val="20"/>
          <w:szCs w:val="22"/>
          <w14:ligatures w14:val="none"/>
        </w:rPr>
        <w:t>SK</w:t>
      </w:r>
      <w:r w:rsidRPr="00FB4E2D">
        <w:rPr>
          <w:rFonts w:ascii="Times New Roman" w:eastAsia="Calibri" w:hAnsi="Times New Roman" w:cs="Times New Roman"/>
          <w:i/>
          <w:noProof/>
          <w:kern w:val="0"/>
          <w:sz w:val="20"/>
          <w:szCs w:val="22"/>
          <w14:ligatures w14:val="none"/>
        </w:rPr>
        <w:t xml:space="preserve">. </w:t>
      </w:r>
      <w:r w:rsidRPr="00FB4E2D" w:rsidDel="00EF461B">
        <w:rPr>
          <w:rFonts w:ascii="Times New Roman" w:eastAsia="Calibri" w:hAnsi="Times New Roman" w:cs="Times New Roman"/>
          <w:b/>
          <w:i/>
          <w:noProof/>
          <w:kern w:val="0"/>
          <w:sz w:val="20"/>
          <w:szCs w:val="22"/>
          <w14:ligatures w14:val="none"/>
        </w:rPr>
        <w:t>DK</w:t>
      </w:r>
      <w:r w:rsidRPr="00FB4E2D" w:rsidDel="00EF461B">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and </w:t>
      </w:r>
      <w:r w:rsidRPr="00FB4E2D" w:rsidDel="00EF461B">
        <w:rPr>
          <w:rFonts w:ascii="Times New Roman" w:eastAsia="Calibri" w:hAnsi="Times New Roman" w:cs="Times New Roman"/>
          <w:b/>
          <w:i/>
          <w:noProof/>
          <w:kern w:val="0"/>
          <w:sz w:val="20"/>
          <w:szCs w:val="22"/>
          <w14:ligatures w14:val="none"/>
        </w:rPr>
        <w:t>IE</w:t>
      </w:r>
      <w:r w:rsidRPr="00FB4E2D" w:rsidDel="00EF461B">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do not record administrative cases separately. In </w:t>
      </w:r>
      <w:r w:rsidRPr="00FB4E2D" w:rsidDel="00EF461B">
        <w:rPr>
          <w:rFonts w:ascii="Times New Roman" w:eastAsia="Calibri" w:hAnsi="Times New Roman" w:cs="Times New Roman"/>
          <w:b/>
          <w:i/>
          <w:noProof/>
          <w:kern w:val="0"/>
          <w:sz w:val="20"/>
          <w:szCs w:val="22"/>
          <w14:ligatures w14:val="none"/>
        </w:rPr>
        <w:t>CY</w:t>
      </w:r>
      <w:r w:rsidRPr="00FB4E2D">
        <w:rPr>
          <w:rFonts w:ascii="Times New Roman" w:eastAsia="Calibri" w:hAnsi="Times New Roman" w:cs="Times New Roman"/>
          <w:i/>
          <w:noProof/>
          <w:kern w:val="0"/>
          <w:sz w:val="20"/>
          <w:szCs w:val="22"/>
          <w14:ligatures w14:val="none"/>
        </w:rPr>
        <w:t>,</w:t>
      </w:r>
      <w:r w:rsidRPr="00FB4E2D" w:rsidDel="00EF461B">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the number of resolved cases has increased because cases were tried together, 2 724 consolidated cases were withdrawn and an administrative court was set up in 2015. </w:t>
      </w:r>
      <w:r w:rsidRPr="00FB4E2D">
        <w:rPr>
          <w:rFonts w:ascii="Times New Roman" w:eastAsia="Calibri" w:hAnsi="Times New Roman" w:cs="Times New Roman"/>
          <w:b/>
          <w:bCs/>
          <w:i/>
          <w:noProof/>
          <w:kern w:val="0"/>
          <w:sz w:val="20"/>
          <w:szCs w:val="20"/>
          <w14:ligatures w14:val="none"/>
        </w:rPr>
        <w:t>PT</w:t>
      </w:r>
      <w:r w:rsidRPr="00FB4E2D">
        <w:rPr>
          <w:rFonts w:ascii="Times New Roman" w:eastAsia="Calibri" w:hAnsi="Times New Roman" w:cs="Times New Roman"/>
          <w:i/>
          <w:noProof/>
          <w:kern w:val="0"/>
          <w:sz w:val="20"/>
          <w:szCs w:val="20"/>
          <w14:ligatures w14:val="none"/>
        </w:rPr>
        <w:t>: The decrease of clearance rate in 2024 was due to the very high number of applications for authorisation or renewal of the residence permit that were lodged with the Lisbon Administrative Court.</w:t>
      </w:r>
    </w:p>
    <w:p w14:paraId="37B8E706" w14:textId="31EA5806" w:rsidR="00A02C07" w:rsidRPr="00FB4E2D" w:rsidRDefault="007143E9" w:rsidP="007143E9">
      <w:pPr>
        <w:keepNext/>
        <w:tabs>
          <w:tab w:val="left" w:pos="850"/>
        </w:tabs>
        <w:spacing w:before="240" w:after="120" w:line="240" w:lineRule="auto"/>
        <w:ind w:left="720" w:hanging="720"/>
        <w:jc w:val="both"/>
        <w:outlineLvl w:val="3"/>
        <w:rPr>
          <w:rFonts w:ascii="Times New Roman" w:eastAsia="Times New Roman" w:hAnsi="Times New Roman" w:cs="Times New Roman"/>
          <w:i/>
          <w:noProof/>
          <w:kern w:val="0"/>
          <w14:ligatures w14:val="none"/>
        </w:rPr>
      </w:pPr>
      <w:bookmarkStart w:id="162" w:name="_Toc409530220"/>
      <w:bookmarkStart w:id="163" w:name="_Toc438545670"/>
      <w:bookmarkStart w:id="164" w:name="_Toc438548320"/>
      <w:bookmarkStart w:id="165" w:name="_Toc438548506"/>
      <w:bookmarkStart w:id="166" w:name="_Toc440017696"/>
      <w:bookmarkStart w:id="167" w:name="_Toc440018080"/>
      <w:bookmarkStart w:id="168" w:name="_Toc440033378"/>
      <w:bookmarkStart w:id="169" w:name="_Toc440035229"/>
      <w:bookmarkStart w:id="170" w:name="_Toc440036524"/>
      <w:bookmarkStart w:id="171" w:name="_Toc440042466"/>
      <w:bookmarkStart w:id="172" w:name="_Toc440291119"/>
      <w:bookmarkStart w:id="173" w:name="_Toc440294682"/>
      <w:bookmarkStart w:id="174" w:name="_Toc440295184"/>
      <w:bookmarkStart w:id="175" w:name="_Toc440296589"/>
      <w:bookmarkStart w:id="176" w:name="_Toc440625073"/>
      <w:bookmarkStart w:id="177" w:name="_Toc440626403"/>
      <w:bookmarkStart w:id="178" w:name="_Toc440628857"/>
      <w:bookmarkStart w:id="179" w:name="_Toc441571129"/>
      <w:bookmarkStart w:id="180" w:name="_Toc441581631"/>
      <w:bookmarkStart w:id="181" w:name="_Toc441585898"/>
      <w:bookmarkStart w:id="182" w:name="_Toc441595833"/>
      <w:bookmarkStart w:id="183" w:name="_Toc441596010"/>
      <w:bookmarkStart w:id="184" w:name="_Toc441748135"/>
      <w:bookmarkStart w:id="185" w:name="_Toc441755420"/>
      <w:bookmarkStart w:id="186" w:name="_Toc441756457"/>
      <w:bookmarkStart w:id="187" w:name="_Toc441757501"/>
      <w:bookmarkStart w:id="188" w:name="_Toc441766630"/>
      <w:bookmarkStart w:id="189" w:name="_Toc441766969"/>
      <w:bookmarkStart w:id="190" w:name="_Toc442187970"/>
      <w:bookmarkStart w:id="191" w:name="_Toc442262062"/>
      <w:bookmarkStart w:id="192" w:name="_Toc442362469"/>
      <w:bookmarkStart w:id="193" w:name="_Toc442374805"/>
      <w:bookmarkStart w:id="194" w:name="_Toc442425945"/>
      <w:bookmarkStart w:id="195" w:name="_Toc442453071"/>
      <w:bookmarkStart w:id="196" w:name="_Toc443484529"/>
      <w:bookmarkStart w:id="197" w:name="_Toc443484751"/>
      <w:bookmarkStart w:id="198" w:name="_Toc443509492"/>
      <w:bookmarkStart w:id="199" w:name="_Toc446014821"/>
      <w:r w:rsidRPr="00FB4E2D">
        <w:rPr>
          <w:rFonts w:ascii="Times New Roman" w:eastAsia="Times New Roman" w:hAnsi="Times New Roman" w:cs="Times New Roman"/>
          <w:noProof/>
          <w:kern w:val="0"/>
          <w14:ligatures w14:val="none"/>
        </w:rPr>
        <w:t>–</w:t>
      </w:r>
      <w:r w:rsidR="00A02C07" w:rsidRPr="00FB4E2D">
        <w:rPr>
          <w:rFonts w:ascii="Times New Roman" w:eastAsia="Times New Roman" w:hAnsi="Times New Roman" w:cs="Times New Roman"/>
          <w:i/>
          <w:noProof/>
          <w:kern w:val="0"/>
          <w14:ligatures w14:val="none"/>
        </w:rPr>
        <w:t xml:space="preserve"> </w:t>
      </w:r>
      <w:r w:rsidR="00A02C07" w:rsidRPr="00FB4E2D">
        <w:rPr>
          <w:rFonts w:ascii="Times New Roman" w:eastAsia="Symbol" w:hAnsi="Times New Roman" w:cs="Symbol"/>
          <w:i/>
          <w:noProof/>
          <w:kern w:val="0"/>
          <w14:ligatures w14:val="none"/>
        </w:rPr>
        <w:t>Pending</w:t>
      </w:r>
      <w:r w:rsidR="00A02C07" w:rsidRPr="00FB4E2D">
        <w:rPr>
          <w:rFonts w:ascii="Times New Roman" w:eastAsia="Times New Roman" w:hAnsi="Times New Roman" w:cs="Times New Roman"/>
          <w:i/>
          <w:noProof/>
          <w:kern w:val="0"/>
          <w14:ligatures w14:val="none"/>
        </w:rPr>
        <w:t xml:space="preserve"> cases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sidR="00A02C07" w:rsidRPr="00FB4E2D">
        <w:rPr>
          <w:rFonts w:ascii="Times New Roman" w:eastAsia="Times New Roman" w:hAnsi="Times New Roman" w:cs="Times New Roman"/>
          <w:i/>
          <w:noProof/>
          <w:kern w:val="0"/>
          <w14:ligatures w14:val="none"/>
        </w:rPr>
        <w:t xml:space="preserve"> </w:t>
      </w:r>
      <w:r w:rsidR="00A02C07" w:rsidRPr="00FB4E2D">
        <w:rPr>
          <w:rFonts w:ascii="Times New Roman" w:eastAsia="Times New Roman" w:hAnsi="Times New Roman" w:cs="Times New Roman"/>
          <w:noProof/>
          <w:kern w:val="0"/>
          <w14:ligatures w14:val="none"/>
        </w:rPr>
        <w:t>–</w:t>
      </w:r>
    </w:p>
    <w:p w14:paraId="4B839ECE" w14:textId="77777777"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The number of pending cases is</w:t>
      </w:r>
      <w:r w:rsidRPr="00FB4E2D" w:rsidDel="00EF461B">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 xml:space="preserve">the number of cases that remains to be dealt with at the end of the year in question. </w:t>
      </w:r>
      <w:r w:rsidRPr="00FB4E2D" w:rsidDel="00EF461B">
        <w:rPr>
          <w:rFonts w:ascii="Times New Roman" w:eastAsia="Times New Roman" w:hAnsi="Times New Roman" w:cs="Times New Roman"/>
          <w:noProof/>
          <w:kern w:val="0"/>
          <w14:ligatures w14:val="none"/>
        </w:rPr>
        <w:t>It</w:t>
      </w:r>
      <w:r w:rsidRPr="00FB4E2D">
        <w:rPr>
          <w:rFonts w:ascii="Times New Roman" w:eastAsia="Times New Roman" w:hAnsi="Times New Roman" w:cs="Times New Roman"/>
          <w:noProof/>
          <w:kern w:val="0"/>
          <w14:ligatures w14:val="none"/>
        </w:rPr>
        <w:t xml:space="preserve"> also affects disposition time.</w:t>
      </w:r>
      <w:bookmarkStart w:id="200" w:name="_Ref442281988"/>
    </w:p>
    <w:bookmarkEnd w:id="200"/>
    <w:p w14:paraId="13702592" w14:textId="4FA0ECEF"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Number of </w:t>
      </w:r>
      <w:r w:rsidRPr="00FB4E2D">
        <w:rPr>
          <w:rFonts w:ascii="Times New Roman" w:eastAsia="Times New Roman" w:hAnsi="Times New Roman" w:cs="Times New Roman"/>
          <w:b/>
          <w:noProof/>
          <w:kern w:val="0"/>
          <w:u w:val="single"/>
          <w14:ligatures w14:val="none"/>
        </w:rPr>
        <w:t>pending civil, commercial</w:t>
      </w:r>
      <w:r w:rsidR="00960632">
        <w:rPr>
          <w:rFonts w:ascii="Times New Roman" w:eastAsia="Times New Roman" w:hAnsi="Times New Roman" w:cs="Times New Roman"/>
          <w:b/>
          <w:noProof/>
          <w:kern w:val="0"/>
          <w:u w:val="single"/>
          <w14:ligatures w14:val="none"/>
        </w:rPr>
        <w:t>,</w:t>
      </w:r>
      <w:r w:rsidRPr="00FB4E2D">
        <w:rPr>
          <w:rFonts w:ascii="Times New Roman" w:eastAsia="Times New Roman" w:hAnsi="Times New Roman" w:cs="Times New Roman"/>
          <w:b/>
          <w:noProof/>
          <w:kern w:val="0"/>
          <w:u w:val="single"/>
          <w14:ligatures w14:val="none"/>
        </w:rPr>
        <w:t xml:space="preserve"> administrative and other cases in</w:t>
      </w:r>
      <w:r w:rsidRPr="00FB4E2D" w:rsidDel="00A33EAA">
        <w:rPr>
          <w:rFonts w:ascii="Times New Roman" w:eastAsia="Times New Roman" w:hAnsi="Times New Roman" w:cs="Times New Roman"/>
          <w:b/>
          <w:noProof/>
          <w:kern w:val="0"/>
          <w:u w:val="single"/>
          <w14:ligatures w14:val="none"/>
        </w:rPr>
        <w:t xml:space="preserve"> </w:t>
      </w:r>
      <w:r w:rsidRPr="00FB4E2D">
        <w:rPr>
          <w:rFonts w:ascii="Times New Roman" w:eastAsia="Times New Roman" w:hAnsi="Times New Roman" w:cs="Times New Roman"/>
          <w:b/>
          <w:noProof/>
          <w:kern w:val="0"/>
          <w:u w:val="single"/>
          <w14:ligatures w14:val="none"/>
        </w:rPr>
        <w:t>2014</w:t>
      </w:r>
      <w:r w:rsidRPr="00FB4E2D" w:rsidDel="00EF461B">
        <w:rPr>
          <w:rFonts w:ascii="Times New Roman" w:eastAsia="Times New Roman" w:hAnsi="Times New Roman" w:cs="Times New Roman"/>
          <w:b/>
          <w:noProof/>
          <w:kern w:val="0"/>
          <w:u w:val="single"/>
          <w14:ligatures w14:val="none"/>
        </w:rPr>
        <w:t>,</w:t>
      </w:r>
      <w:r w:rsidRPr="00FB4E2D">
        <w:rPr>
          <w:rFonts w:ascii="Times New Roman" w:eastAsia="Times New Roman" w:hAnsi="Times New Roman" w:cs="Times New Roman"/>
          <w:b/>
          <w:noProof/>
          <w:kern w:val="0"/>
          <w:u w:val="single"/>
          <w14:ligatures w14:val="none"/>
        </w:rPr>
        <w:t xml:space="preserve"> 2022</w:t>
      </w:r>
      <w:r w:rsidRPr="00FB4E2D" w:rsidDel="00EF461B">
        <w:rPr>
          <w:rFonts w:ascii="Times New Roman" w:eastAsia="Times New Roman" w:hAnsi="Times New Roman" w:cs="Times New Roman"/>
          <w:b/>
          <w:noProof/>
          <w:kern w:val="0"/>
          <w:u w:val="single"/>
          <w14:ligatures w14:val="none"/>
        </w:rPr>
        <w:t xml:space="preserve"> – </w:t>
      </w:r>
      <w:r w:rsidRPr="00FB4E2D">
        <w:rPr>
          <w:rFonts w:ascii="Times New Roman" w:eastAsia="Times New Roman" w:hAnsi="Times New Roman" w:cs="Times New Roman"/>
          <w:b/>
          <w:noProof/>
          <w:kern w:val="0"/>
          <w:u w:val="single"/>
          <w14:ligatures w14:val="none"/>
        </w:rPr>
        <w:t>2024</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noProof/>
          <w:kern w:val="0"/>
          <w14:ligatures w14:val="none"/>
        </w:rPr>
        <w:t>(</w:t>
      </w:r>
      <w:r w:rsidRPr="00FB4E2D">
        <w:rPr>
          <w:rFonts w:ascii="Calibri" w:eastAsia="Times New Roman" w:hAnsi="Calibri" w:cs="Times New Roman"/>
          <w:noProof/>
          <w:kern w:val="0"/>
          <w14:ligatures w14:val="none"/>
        </w:rPr>
        <w:t>*</w:t>
      </w:r>
      <w:r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i/>
          <w:noProof/>
          <w:kern w:val="0"/>
          <w14:ligatures w14:val="none"/>
        </w:rPr>
        <w:t>(at first instance/per 100 inhabitants) (source: CEPEJ study)</w:t>
      </w:r>
    </w:p>
    <w:p w14:paraId="44E369A6" w14:textId="1B3524EB" w:rsidR="00A02C07" w:rsidRPr="00FB4E2D" w:rsidRDefault="00A02C07" w:rsidP="00A02C07">
      <w:pPr>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Times New Roman" w:hAnsi="Times New Roman" w:cs="Times New Roman"/>
          <w:i/>
          <w:noProof/>
          <w:kern w:val="0"/>
          <w:sz w:val="20"/>
          <w:lang w:val="en-GB" w:eastAsia="en-GB"/>
          <w14:ligatures w14:val="none"/>
        </w:rPr>
        <w:drawing>
          <wp:inline distT="0" distB="0" distL="0" distR="0" wp14:anchorId="6681C4B1" wp14:editId="444CB10F">
            <wp:extent cx="5760000" cy="2419835"/>
            <wp:effectExtent l="0" t="0" r="0" b="0"/>
            <wp:docPr id="640504200" name="Picture 11" descr="A graph of numbers and a number of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504200" name="Picture 11" descr="A graph of numbers and a number of different numbers&#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000" cy="2419835"/>
                    </a:xfrm>
                    <a:prstGeom prst="rect">
                      <a:avLst/>
                    </a:prstGeom>
                    <a:noFill/>
                  </pic:spPr>
                </pic:pic>
              </a:graphicData>
            </a:graphic>
          </wp:inline>
        </w:drawing>
      </w:r>
      <w:r w:rsidRPr="00FB4E2D">
        <w:rPr>
          <w:rFonts w:ascii="Times New Roman" w:eastAsia="Times New Roman" w:hAnsi="Times New Roman" w:cs="Times New Roman"/>
          <w:i/>
          <w:noProof/>
          <w:kern w:val="0"/>
          <w:sz w:val="20"/>
          <w14:ligatures w14:val="none"/>
        </w:rPr>
        <w:t xml:space="preserve">(*) </w:t>
      </w:r>
      <w:r w:rsidRPr="00FB4E2D">
        <w:rPr>
          <w:rFonts w:ascii="Times New Roman" w:eastAsia="Calibri" w:hAnsi="Times New Roman" w:cs="Times New Roman"/>
          <w:i/>
          <w:noProof/>
          <w:kern w:val="0"/>
          <w:sz w:val="20"/>
          <w:szCs w:val="20"/>
          <w14:ligatures w14:val="none"/>
        </w:rPr>
        <w:t xml:space="preserve">Under the CEPEJ methodology, this category includes all civil and commercial litigious and non-litigious cases, non-litigious land and business registry cases, other registry cases, other non-litigious cases, administrative law cases and other non-criminal cases. </w:t>
      </w:r>
      <w:r w:rsidRPr="00FB4E2D">
        <w:rPr>
          <w:rFonts w:ascii="Times New Roman" w:eastAsia="Times New Roman" w:hAnsi="Times New Roman" w:cs="Times New Roman"/>
          <w:i/>
          <w:noProof/>
          <w:kern w:val="0"/>
          <w:sz w:val="20"/>
          <w14:ligatures w14:val="none"/>
        </w:rPr>
        <w:t xml:space="preserve">Methodology changes in </w:t>
      </w:r>
      <w:r w:rsidRPr="00FB4E2D" w:rsidDel="009848C7">
        <w:rPr>
          <w:rFonts w:ascii="Times New Roman" w:eastAsia="Times New Roman" w:hAnsi="Times New Roman" w:cs="Times New Roman"/>
          <w:b/>
          <w:i/>
          <w:noProof/>
          <w:kern w:val="0"/>
          <w:sz w:val="20"/>
          <w14:ligatures w14:val="none"/>
        </w:rPr>
        <w:t>SK</w:t>
      </w:r>
      <w:r w:rsidRPr="00FB4E2D">
        <w:rPr>
          <w:rFonts w:ascii="Times New Roman" w:eastAsia="Times New Roman" w:hAnsi="Times New Roman" w:cs="Times New Roman"/>
          <w:i/>
          <w:noProof/>
          <w:kern w:val="0"/>
          <w:sz w:val="20"/>
          <w14:ligatures w14:val="none"/>
        </w:rPr>
        <w:t xml:space="preserve">. Pending cases include cases before courts of all instances in </w:t>
      </w:r>
      <w:r w:rsidRPr="00FB4E2D" w:rsidDel="009848C7">
        <w:rPr>
          <w:rFonts w:ascii="Times New Roman" w:eastAsia="Times New Roman" w:hAnsi="Times New Roman" w:cs="Times New Roman"/>
          <w:b/>
          <w:i/>
          <w:noProof/>
          <w:kern w:val="0"/>
          <w:sz w:val="20"/>
          <w14:ligatures w14:val="none"/>
        </w:rPr>
        <w:t>CZ</w:t>
      </w:r>
      <w:r w:rsidRPr="00FB4E2D" w:rsidDel="009848C7">
        <w:rPr>
          <w:rFonts w:ascii="Times New Roman" w:eastAsia="Times New Roman" w:hAnsi="Times New Roman" w:cs="Times New Roman"/>
          <w:i/>
          <w:noProof/>
          <w:kern w:val="0"/>
          <w:sz w:val="20"/>
          <w14:ligatures w14:val="none"/>
        </w:rPr>
        <w:t xml:space="preserve"> </w:t>
      </w:r>
      <w:r w:rsidRPr="00FB4E2D">
        <w:rPr>
          <w:rFonts w:ascii="Times New Roman" w:eastAsia="Times New Roman" w:hAnsi="Times New Roman" w:cs="Times New Roman"/>
          <w:i/>
          <w:noProof/>
          <w:kern w:val="0"/>
          <w:sz w:val="20"/>
          <w14:ligatures w14:val="none"/>
        </w:rPr>
        <w:t xml:space="preserve">and, </w:t>
      </w:r>
      <w:r w:rsidRPr="00FB4E2D" w:rsidDel="009848C7">
        <w:rPr>
          <w:rFonts w:ascii="Times New Roman" w:eastAsia="Times New Roman" w:hAnsi="Times New Roman" w:cs="Times New Roman"/>
          <w:i/>
          <w:noProof/>
          <w:kern w:val="0"/>
          <w:sz w:val="20"/>
          <w14:ligatures w14:val="none"/>
        </w:rPr>
        <w:t xml:space="preserve">until </w:t>
      </w:r>
      <w:r w:rsidRPr="00FB4E2D">
        <w:rPr>
          <w:rFonts w:ascii="Times New Roman" w:eastAsia="Times New Roman" w:hAnsi="Times New Roman" w:cs="Times New Roman"/>
          <w:i/>
          <w:noProof/>
          <w:kern w:val="0"/>
          <w:sz w:val="20"/>
          <w14:ligatures w14:val="none"/>
        </w:rPr>
        <w:t xml:space="preserve">2016, </w:t>
      </w:r>
      <w:r w:rsidRPr="00FB4E2D" w:rsidDel="009848C7">
        <w:rPr>
          <w:rFonts w:ascii="Times New Roman" w:eastAsia="Times New Roman" w:hAnsi="Times New Roman" w:cs="Times New Roman"/>
          <w:i/>
          <w:noProof/>
          <w:kern w:val="0"/>
          <w:sz w:val="20"/>
          <w14:ligatures w14:val="none"/>
        </w:rPr>
        <w:t xml:space="preserve">in </w:t>
      </w:r>
      <w:r w:rsidRPr="00FB4E2D" w:rsidDel="009848C7">
        <w:rPr>
          <w:rFonts w:ascii="Times New Roman" w:eastAsia="Times New Roman" w:hAnsi="Times New Roman" w:cs="Times New Roman"/>
          <w:b/>
          <w:i/>
          <w:noProof/>
          <w:kern w:val="0"/>
          <w:sz w:val="20"/>
          <w14:ligatures w14:val="none"/>
        </w:rPr>
        <w:t>SK</w:t>
      </w:r>
      <w:r w:rsidRPr="00FB4E2D">
        <w:rPr>
          <w:rFonts w:ascii="Times New Roman" w:eastAsia="Times New Roman" w:hAnsi="Times New Roman" w:cs="Times New Roman"/>
          <w:i/>
          <w:noProof/>
          <w:kern w:val="0"/>
          <w:sz w:val="20"/>
          <w14:ligatures w14:val="none"/>
        </w:rPr>
        <w:t>.</w:t>
      </w:r>
    </w:p>
    <w:p w14:paraId="11BA6A4D" w14:textId="77777777" w:rsidR="002E61C0" w:rsidRDefault="002E61C0">
      <w:pPr>
        <w:rPr>
          <w:rFonts w:ascii="Times New Roman" w:eastAsia="Calibri" w:hAnsi="Times New Roman" w:cs="Times New Roman"/>
          <w:b/>
          <w:noProof/>
          <w:spacing w:val="-6"/>
          <w:kern w:val="0"/>
          <w14:ligatures w14:val="none"/>
        </w:rPr>
      </w:pPr>
      <w:r>
        <w:rPr>
          <w:rFonts w:ascii="Times New Roman" w:eastAsia="Calibri" w:hAnsi="Times New Roman" w:cs="Times New Roman"/>
          <w:b/>
          <w:noProof/>
          <w:spacing w:val="-6"/>
          <w:kern w:val="0"/>
          <w14:ligatures w14:val="none"/>
        </w:rPr>
        <w:br w:type="page"/>
      </w:r>
    </w:p>
    <w:p w14:paraId="6358CFA2"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Number of </w:t>
      </w:r>
      <w:r w:rsidRPr="00FB4E2D">
        <w:rPr>
          <w:rFonts w:ascii="Times New Roman" w:eastAsia="Calibri" w:hAnsi="Times New Roman" w:cs="Times New Roman"/>
          <w:b/>
          <w:noProof/>
          <w:kern w:val="0"/>
          <w:u w:val="single"/>
          <w14:ligatures w14:val="none"/>
        </w:rPr>
        <w:t>pending litigious civil and commercial cases</w:t>
      </w:r>
      <w:r w:rsidRPr="00FB4E2D">
        <w:rPr>
          <w:rFonts w:ascii="Times New Roman" w:eastAsia="Times New Roman" w:hAnsi="Times New Roman" w:cs="Times New Roman"/>
          <w:b/>
          <w:noProof/>
          <w:kern w:val="0"/>
          <w:u w:val="single"/>
          <w14:ligatures w14:val="none"/>
        </w:rPr>
        <w:t xml:space="preserve"> in 2014</w:t>
      </w:r>
      <w:r w:rsidRPr="00FB4E2D" w:rsidDel="009848C7">
        <w:rPr>
          <w:rFonts w:ascii="Times New Roman" w:eastAsia="Times New Roman" w:hAnsi="Times New Roman" w:cs="Times New Roman"/>
          <w:b/>
          <w:noProof/>
          <w:kern w:val="0"/>
          <w:u w:val="single"/>
          <w14:ligatures w14:val="none"/>
        </w:rPr>
        <w:t>,</w:t>
      </w:r>
      <w:r w:rsidRPr="00FB4E2D">
        <w:rPr>
          <w:rFonts w:ascii="Times New Roman" w:eastAsia="Times New Roman" w:hAnsi="Times New Roman" w:cs="Times New Roman"/>
          <w:b/>
          <w:noProof/>
          <w:kern w:val="0"/>
          <w:u w:val="single"/>
          <w14:ligatures w14:val="none"/>
        </w:rPr>
        <w:t xml:space="preserve"> 2022</w:t>
      </w:r>
      <w:r w:rsidRPr="00FB4E2D" w:rsidDel="009848C7">
        <w:rPr>
          <w:rFonts w:ascii="Times New Roman" w:eastAsia="Times New Roman" w:hAnsi="Times New Roman" w:cs="Times New Roman"/>
          <w:b/>
          <w:noProof/>
          <w:kern w:val="0"/>
          <w:u w:val="single"/>
          <w14:ligatures w14:val="none"/>
        </w:rPr>
        <w:t xml:space="preserve"> – </w:t>
      </w:r>
      <w:r w:rsidRPr="00FB4E2D">
        <w:rPr>
          <w:rFonts w:ascii="Times New Roman" w:eastAsia="Times New Roman" w:hAnsi="Times New Roman" w:cs="Times New Roman"/>
          <w:b/>
          <w:noProof/>
          <w:kern w:val="0"/>
          <w:u w:val="single"/>
          <w14:ligatures w14:val="none"/>
        </w:rPr>
        <w:t>2024</w:t>
      </w:r>
      <w:r w:rsidRPr="00FB4E2D">
        <w:rPr>
          <w:rFonts w:ascii="Times New Roman" w:eastAsia="Times New Roman" w:hAnsi="Times New Roman" w:cs="Times New Roman"/>
          <w:b/>
          <w:noProof/>
          <w:kern w:val="0"/>
          <w14:ligatures w14:val="none"/>
        </w:rPr>
        <w:t xml:space="preserve"> </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Times New Roman" w:hAnsi="Times New Roman" w:cs="Times New Roman"/>
          <w:i/>
          <w:noProof/>
          <w:kern w:val="0"/>
          <w14:ligatures w14:val="none"/>
        </w:rPr>
        <w:t>(at first instance/per 100 inhabitants) (source: CEPEJ study)</w:t>
      </w:r>
    </w:p>
    <w:p w14:paraId="7E05728E" w14:textId="0A520628" w:rsidR="00A02C07" w:rsidRPr="00FB4E2D" w:rsidRDefault="00A02C07" w:rsidP="00A02C07">
      <w:pPr>
        <w:spacing w:before="120" w:after="120" w:line="240" w:lineRule="auto"/>
        <w:jc w:val="both"/>
        <w:rPr>
          <w:rFonts w:ascii="Times New Roman" w:eastAsia="Calibri" w:hAnsi="Times New Roman" w:cs="Times New Roman"/>
          <w:i/>
          <w:noProof/>
          <w:kern w:val="0"/>
          <w:sz w:val="20"/>
          <w:szCs w:val="22"/>
          <w14:ligatures w14:val="none"/>
        </w:rPr>
      </w:pPr>
      <w:r w:rsidRPr="00FB4E2D">
        <w:rPr>
          <w:rFonts w:ascii="Times New Roman" w:eastAsia="Times New Roman" w:hAnsi="Times New Roman" w:cs="Times New Roman"/>
          <w:i/>
          <w:noProof/>
          <w:kern w:val="0"/>
          <w:lang w:val="en-GB" w:eastAsia="en-GB"/>
          <w14:ligatures w14:val="none"/>
        </w:rPr>
        <w:drawing>
          <wp:inline distT="0" distB="0" distL="0" distR="0" wp14:anchorId="5705F170" wp14:editId="2392CC94">
            <wp:extent cx="5760000" cy="2460446"/>
            <wp:effectExtent l="0" t="0" r="0" b="0"/>
            <wp:docPr id="1379626670" name="Picture 12" descr="A graph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26670" name="Picture 12" descr="A graph of numbers and letters&#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000" cy="2460446"/>
                    </a:xfrm>
                    <a:prstGeom prst="rect">
                      <a:avLst/>
                    </a:prstGeom>
                    <a:noFill/>
                  </pic:spPr>
                </pic:pic>
              </a:graphicData>
            </a:graphic>
          </wp:inline>
        </w:drawing>
      </w:r>
      <w:r w:rsidRPr="00FB4E2D">
        <w:rPr>
          <w:rFonts w:ascii="Times New Roman" w:eastAsia="Calibri" w:hAnsi="Times New Roman" w:cs="Times New Roman"/>
          <w:i/>
          <w:noProof/>
          <w:kern w:val="0"/>
          <w:sz w:val="20"/>
          <w:szCs w:val="22"/>
          <w14:ligatures w14:val="none"/>
        </w:rPr>
        <w:t xml:space="preserve">(*) Methodology changes in </w:t>
      </w:r>
      <w:r w:rsidRPr="00FB4E2D" w:rsidDel="009848C7">
        <w:rPr>
          <w:rFonts w:ascii="Times New Roman" w:eastAsia="Calibri" w:hAnsi="Times New Roman" w:cs="Times New Roman"/>
          <w:b/>
          <w:i/>
          <w:noProof/>
          <w:kern w:val="0"/>
          <w:sz w:val="20"/>
          <w:szCs w:val="22"/>
          <w14:ligatures w14:val="none"/>
        </w:rPr>
        <w:t>EL</w:t>
      </w:r>
      <w:r w:rsidRPr="00FB4E2D" w:rsidDel="009848C7">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and </w:t>
      </w:r>
      <w:r w:rsidRPr="00FB4E2D" w:rsidDel="009848C7">
        <w:rPr>
          <w:rFonts w:ascii="Times New Roman" w:eastAsia="Calibri" w:hAnsi="Times New Roman" w:cs="Times New Roman"/>
          <w:b/>
          <w:i/>
          <w:noProof/>
          <w:kern w:val="0"/>
          <w:sz w:val="20"/>
          <w:szCs w:val="22"/>
          <w14:ligatures w14:val="none"/>
        </w:rPr>
        <w:t>SK</w:t>
      </w:r>
      <w:r w:rsidRPr="00FB4E2D">
        <w:rPr>
          <w:rFonts w:ascii="Times New Roman" w:eastAsia="Calibri" w:hAnsi="Times New Roman" w:cs="Times New Roman"/>
          <w:i/>
          <w:noProof/>
          <w:kern w:val="0"/>
          <w:sz w:val="20"/>
          <w:szCs w:val="22"/>
          <w14:ligatures w14:val="none"/>
        </w:rPr>
        <w:t xml:space="preserve">. Pending cases include cases before courts of all instances in </w:t>
      </w:r>
      <w:r w:rsidRPr="00FB4E2D" w:rsidDel="009848C7">
        <w:rPr>
          <w:rFonts w:ascii="Times New Roman" w:eastAsia="Calibri" w:hAnsi="Times New Roman" w:cs="Times New Roman"/>
          <w:b/>
          <w:i/>
          <w:noProof/>
          <w:kern w:val="0"/>
          <w:sz w:val="20"/>
          <w:szCs w:val="22"/>
          <w14:ligatures w14:val="none"/>
        </w:rPr>
        <w:t>CZ</w:t>
      </w:r>
      <w:r w:rsidRPr="00FB4E2D" w:rsidDel="009848C7">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and, </w:t>
      </w:r>
      <w:r w:rsidRPr="00FB4E2D" w:rsidDel="009848C7">
        <w:rPr>
          <w:rFonts w:ascii="Times New Roman" w:eastAsia="Calibri" w:hAnsi="Times New Roman" w:cs="Times New Roman"/>
          <w:i/>
          <w:noProof/>
          <w:kern w:val="0"/>
          <w:sz w:val="20"/>
          <w:szCs w:val="22"/>
          <w14:ligatures w14:val="none"/>
        </w:rPr>
        <w:t xml:space="preserve">until </w:t>
      </w:r>
      <w:r w:rsidRPr="00FB4E2D">
        <w:rPr>
          <w:rFonts w:ascii="Times New Roman" w:eastAsia="Calibri" w:hAnsi="Times New Roman" w:cs="Times New Roman"/>
          <w:i/>
          <w:noProof/>
          <w:kern w:val="0"/>
          <w:sz w:val="20"/>
          <w:szCs w:val="22"/>
          <w14:ligatures w14:val="none"/>
        </w:rPr>
        <w:t xml:space="preserve">2016, </w:t>
      </w:r>
      <w:r w:rsidRPr="00FB4E2D" w:rsidDel="009848C7">
        <w:rPr>
          <w:rFonts w:ascii="Times New Roman" w:eastAsia="Calibri" w:hAnsi="Times New Roman" w:cs="Times New Roman"/>
          <w:i/>
          <w:noProof/>
          <w:kern w:val="0"/>
          <w:sz w:val="20"/>
          <w:szCs w:val="22"/>
          <w14:ligatures w14:val="none"/>
        </w:rPr>
        <w:t xml:space="preserve">in </w:t>
      </w:r>
      <w:r w:rsidRPr="00FB4E2D">
        <w:rPr>
          <w:rFonts w:ascii="Times New Roman" w:eastAsia="Calibri" w:hAnsi="Times New Roman" w:cs="Times New Roman"/>
          <w:b/>
          <w:i/>
          <w:noProof/>
          <w:kern w:val="0"/>
          <w:sz w:val="20"/>
          <w:szCs w:val="22"/>
          <w14:ligatures w14:val="none"/>
        </w:rPr>
        <w:t>S</w:t>
      </w:r>
      <w:r w:rsidRPr="00FB4E2D" w:rsidDel="009848C7">
        <w:rPr>
          <w:rFonts w:ascii="Times New Roman" w:eastAsia="Calibri" w:hAnsi="Times New Roman" w:cs="Times New Roman"/>
          <w:b/>
          <w:i/>
          <w:noProof/>
          <w:kern w:val="0"/>
          <w:sz w:val="20"/>
          <w:szCs w:val="22"/>
          <w14:ligatures w14:val="none"/>
        </w:rPr>
        <w:t>K</w:t>
      </w:r>
      <w:r w:rsidRPr="00FB4E2D">
        <w:rPr>
          <w:rFonts w:ascii="Times New Roman" w:eastAsia="Calibri" w:hAnsi="Times New Roman" w:cs="Times New Roman"/>
          <w:i/>
          <w:noProof/>
          <w:kern w:val="0"/>
          <w:sz w:val="20"/>
          <w:szCs w:val="22"/>
          <w14:ligatures w14:val="none"/>
        </w:rPr>
        <w:t xml:space="preserve">. Data for </w:t>
      </w:r>
      <w:r w:rsidRPr="00FB4E2D">
        <w:rPr>
          <w:rFonts w:ascii="Times New Roman" w:eastAsia="Calibri" w:hAnsi="Times New Roman" w:cs="Times New Roman"/>
          <w:b/>
          <w:i/>
          <w:noProof/>
          <w:kern w:val="0"/>
          <w:sz w:val="20"/>
          <w:szCs w:val="22"/>
          <w14:ligatures w14:val="none"/>
        </w:rPr>
        <w:t>NL</w:t>
      </w:r>
      <w:r w:rsidRPr="00FB4E2D">
        <w:rPr>
          <w:rFonts w:ascii="Times New Roman" w:eastAsia="Calibri" w:hAnsi="Times New Roman" w:cs="Times New Roman"/>
          <w:i/>
          <w:noProof/>
          <w:kern w:val="0"/>
          <w:sz w:val="20"/>
          <w:szCs w:val="22"/>
          <w14:ligatures w14:val="none"/>
        </w:rPr>
        <w:t xml:space="preserve"> include non-litigious cases.</w:t>
      </w:r>
    </w:p>
    <w:p w14:paraId="10BC399A" w14:textId="77777777" w:rsidR="00A02C07" w:rsidRPr="00FB4E2D" w:rsidRDefault="00A02C07" w:rsidP="00A02C07">
      <w:pPr>
        <w:spacing w:before="240" w:after="120" w:line="240" w:lineRule="auto"/>
        <w:jc w:val="both"/>
        <w:rPr>
          <w:rFonts w:ascii="Times New Roman" w:eastAsia="Calibri" w:hAnsi="Times New Roman" w:cs="Times New Roman"/>
          <w:i/>
          <w:noProof/>
          <w:kern w:val="0"/>
          <w:szCs w:val="22"/>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Number of </w:t>
      </w:r>
      <w:r w:rsidRPr="00FB4E2D">
        <w:rPr>
          <w:rFonts w:ascii="Times New Roman" w:eastAsia="Calibri" w:hAnsi="Times New Roman" w:cs="Times New Roman"/>
          <w:b/>
          <w:noProof/>
          <w:kern w:val="0"/>
          <w:u w:val="single"/>
          <w14:ligatures w14:val="none"/>
        </w:rPr>
        <w:t>pending administrative cases in 2014</w:t>
      </w:r>
      <w:r w:rsidRPr="00FB4E2D" w:rsidDel="009848C7">
        <w:rPr>
          <w:rFonts w:ascii="Times New Roman" w:eastAsia="Calibri" w:hAnsi="Times New Roman" w:cs="Times New Roman"/>
          <w:b/>
          <w:noProof/>
          <w:kern w:val="0"/>
          <w:u w:val="single"/>
          <w14:ligatures w14:val="none"/>
        </w:rPr>
        <w:t>,</w:t>
      </w:r>
      <w:r w:rsidRPr="00FB4E2D">
        <w:rPr>
          <w:rFonts w:ascii="Times New Roman" w:eastAsia="Calibri" w:hAnsi="Times New Roman" w:cs="Times New Roman"/>
          <w:b/>
          <w:noProof/>
          <w:kern w:val="0"/>
          <w:u w:val="single"/>
          <w14:ligatures w14:val="none"/>
        </w:rPr>
        <w:t xml:space="preserve"> 2022</w:t>
      </w:r>
      <w:r w:rsidRPr="00FB4E2D" w:rsidDel="009848C7">
        <w:rPr>
          <w:rFonts w:ascii="Times New Roman" w:eastAsia="Calibri" w:hAnsi="Times New Roman" w:cs="Times New Roman"/>
          <w:b/>
          <w:noProof/>
          <w:kern w:val="0"/>
          <w:u w:val="single"/>
          <w14:ligatures w14:val="none"/>
        </w:rPr>
        <w:t xml:space="preserve"> – </w:t>
      </w:r>
      <w:r w:rsidRPr="00FB4E2D">
        <w:rPr>
          <w:rFonts w:ascii="Times New Roman" w:eastAsia="Calibri" w:hAnsi="Times New Roman" w:cs="Times New Roman"/>
          <w:b/>
          <w:noProof/>
          <w:kern w:val="0"/>
          <w:u w:val="single"/>
          <w14:ligatures w14:val="none"/>
        </w:rPr>
        <w:t>2024</w:t>
      </w:r>
      <w:r w:rsidRPr="00FB4E2D">
        <w:rPr>
          <w:rFonts w:ascii="Times New Roman" w:eastAsia="Calibri" w:hAnsi="Times New Roman" w:cs="Times New Roman"/>
          <w:noProof/>
          <w:kern w:val="0"/>
          <w:sz w:val="22"/>
          <w:szCs w:val="22"/>
          <w14:ligatures w14:val="none"/>
        </w:rPr>
        <w:t xml:space="preserve"> (</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(at first instance/per 100 inhabitants) (source: CEPEJ study)</w:t>
      </w:r>
      <w:bookmarkStart w:id="201" w:name="_Toc409530221"/>
      <w:bookmarkStart w:id="202" w:name="_Toc438545671"/>
      <w:bookmarkStart w:id="203" w:name="_Toc438548321"/>
      <w:bookmarkStart w:id="204" w:name="_Toc438548507"/>
      <w:bookmarkStart w:id="205" w:name="_Toc440017697"/>
      <w:bookmarkStart w:id="206" w:name="_Toc440018081"/>
      <w:bookmarkStart w:id="207" w:name="_Toc440033379"/>
      <w:bookmarkStart w:id="208" w:name="_Toc440035230"/>
      <w:bookmarkStart w:id="209" w:name="_Toc440036525"/>
      <w:bookmarkStart w:id="210" w:name="_Toc440042467"/>
      <w:bookmarkStart w:id="211" w:name="_Toc440291120"/>
      <w:bookmarkStart w:id="212" w:name="_Toc440294683"/>
      <w:bookmarkStart w:id="213" w:name="_Toc440295185"/>
      <w:bookmarkStart w:id="214" w:name="_Toc440296590"/>
      <w:bookmarkStart w:id="215" w:name="_Toc440625074"/>
      <w:bookmarkStart w:id="216" w:name="_Toc440626404"/>
      <w:bookmarkStart w:id="217" w:name="_Toc440628858"/>
      <w:bookmarkStart w:id="218" w:name="_Toc441571130"/>
      <w:bookmarkStart w:id="219" w:name="_Toc441581632"/>
      <w:bookmarkStart w:id="220" w:name="_Toc441585899"/>
      <w:bookmarkStart w:id="221" w:name="_Toc441595834"/>
      <w:bookmarkStart w:id="222" w:name="_Toc441596011"/>
      <w:bookmarkStart w:id="223" w:name="_Toc441748136"/>
      <w:bookmarkStart w:id="224" w:name="_Toc441755421"/>
      <w:bookmarkStart w:id="225" w:name="_Toc441756458"/>
      <w:bookmarkStart w:id="226" w:name="_Toc441757502"/>
      <w:bookmarkStart w:id="227" w:name="_Toc441766631"/>
      <w:bookmarkStart w:id="228" w:name="_Toc441766970"/>
      <w:bookmarkStart w:id="229" w:name="_Toc442187971"/>
      <w:bookmarkStart w:id="230" w:name="_Toc442262063"/>
      <w:bookmarkStart w:id="231" w:name="_Toc442362470"/>
      <w:bookmarkStart w:id="232" w:name="_Toc442374806"/>
      <w:bookmarkStart w:id="233" w:name="_Toc442425946"/>
      <w:bookmarkStart w:id="234" w:name="_Toc442453072"/>
      <w:bookmarkStart w:id="235" w:name="_Toc443484530"/>
      <w:bookmarkStart w:id="236" w:name="_Toc443484752"/>
      <w:bookmarkStart w:id="237" w:name="_Toc443509493"/>
      <w:bookmarkStart w:id="238" w:name="_Toc446014822"/>
    </w:p>
    <w:p w14:paraId="6786ECC6" w14:textId="07C2E255" w:rsidR="00A02C07" w:rsidRPr="00FB4E2D" w:rsidRDefault="00A02C07" w:rsidP="00A02C07">
      <w:pPr>
        <w:keepNext/>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61FDCEE7" wp14:editId="2A13A8DC">
            <wp:extent cx="5760000" cy="2429876"/>
            <wp:effectExtent l="0" t="0" r="0" b="8890"/>
            <wp:docPr id="1874610099" name="Picture 13" descr="A graph of numbers and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10099" name="Picture 13" descr="A graph of numbers and a number of numbers&#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000" cy="2429876"/>
                    </a:xfrm>
                    <a:prstGeom prst="rect">
                      <a:avLst/>
                    </a:prstGeom>
                    <a:noFill/>
                  </pic:spPr>
                </pic:pic>
              </a:graphicData>
            </a:graphic>
          </wp:inline>
        </w:drawing>
      </w:r>
      <w:r w:rsidRPr="00FB4E2D">
        <w:rPr>
          <w:rFonts w:ascii="Times New Roman" w:eastAsia="Calibri" w:hAnsi="Times New Roman" w:cs="Times New Roman"/>
          <w:i/>
          <w:noProof/>
          <w:kern w:val="0"/>
          <w:sz w:val="20"/>
          <w:szCs w:val="22"/>
          <w14:ligatures w14:val="none"/>
        </w:rPr>
        <w:t xml:space="preserve">(*) Methodology changes in </w:t>
      </w:r>
      <w:r w:rsidRPr="00FB4E2D" w:rsidDel="00D4315A">
        <w:rPr>
          <w:rFonts w:ascii="Times New Roman" w:eastAsia="Calibri" w:hAnsi="Times New Roman" w:cs="Times New Roman"/>
          <w:b/>
          <w:i/>
          <w:noProof/>
          <w:kern w:val="0"/>
          <w:sz w:val="20"/>
          <w:szCs w:val="22"/>
          <w14:ligatures w14:val="none"/>
        </w:rPr>
        <w:t>EL</w:t>
      </w:r>
      <w:r w:rsidRPr="00FB4E2D" w:rsidDel="00D4315A">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and </w:t>
      </w:r>
      <w:r w:rsidRPr="00FB4E2D" w:rsidDel="00D4315A">
        <w:rPr>
          <w:rFonts w:ascii="Times New Roman" w:eastAsia="Calibri" w:hAnsi="Times New Roman" w:cs="Times New Roman"/>
          <w:b/>
          <w:i/>
          <w:noProof/>
          <w:kern w:val="0"/>
          <w:sz w:val="20"/>
          <w:szCs w:val="22"/>
          <w14:ligatures w14:val="none"/>
        </w:rPr>
        <w:t>SK</w:t>
      </w:r>
      <w:r w:rsidRPr="00FB4E2D">
        <w:rPr>
          <w:rFonts w:ascii="Times New Roman" w:eastAsia="Calibri" w:hAnsi="Times New Roman" w:cs="Times New Roman"/>
          <w:i/>
          <w:noProof/>
          <w:kern w:val="0"/>
          <w:sz w:val="20"/>
          <w:szCs w:val="22"/>
          <w14:ligatures w14:val="none"/>
        </w:rPr>
        <w:t xml:space="preserve">. Pending cases include cases before courts of all instances in </w:t>
      </w:r>
      <w:r w:rsidRPr="00FB4E2D" w:rsidDel="00C4749A">
        <w:rPr>
          <w:rFonts w:ascii="Times New Roman" w:eastAsia="Calibri" w:hAnsi="Times New Roman" w:cs="Times New Roman"/>
          <w:b/>
          <w:i/>
          <w:noProof/>
          <w:kern w:val="0"/>
          <w:sz w:val="20"/>
          <w:szCs w:val="22"/>
          <w14:ligatures w14:val="none"/>
        </w:rPr>
        <w:t>CZ</w:t>
      </w:r>
      <w:r w:rsidRPr="00FB4E2D" w:rsidDel="00C4749A">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and, </w:t>
      </w:r>
      <w:r w:rsidRPr="00FB4E2D" w:rsidDel="00C4749A">
        <w:rPr>
          <w:rFonts w:ascii="Times New Roman" w:eastAsia="Calibri" w:hAnsi="Times New Roman" w:cs="Times New Roman"/>
          <w:i/>
          <w:noProof/>
          <w:kern w:val="0"/>
          <w:sz w:val="20"/>
          <w:szCs w:val="22"/>
          <w14:ligatures w14:val="none"/>
        </w:rPr>
        <w:t xml:space="preserve">until </w:t>
      </w:r>
      <w:r w:rsidRPr="00FB4E2D">
        <w:rPr>
          <w:rFonts w:ascii="Times New Roman" w:eastAsia="Calibri" w:hAnsi="Times New Roman" w:cs="Times New Roman"/>
          <w:i/>
          <w:noProof/>
          <w:kern w:val="0"/>
          <w:sz w:val="20"/>
          <w:szCs w:val="22"/>
          <w14:ligatures w14:val="none"/>
        </w:rPr>
        <w:t xml:space="preserve">2016, </w:t>
      </w:r>
      <w:r w:rsidRPr="00FB4E2D" w:rsidDel="00C4749A">
        <w:rPr>
          <w:rFonts w:ascii="Times New Roman" w:eastAsia="Calibri" w:hAnsi="Times New Roman" w:cs="Times New Roman"/>
          <w:i/>
          <w:noProof/>
          <w:kern w:val="0"/>
          <w:sz w:val="20"/>
          <w:szCs w:val="22"/>
          <w14:ligatures w14:val="none"/>
        </w:rPr>
        <w:t xml:space="preserve">in </w:t>
      </w:r>
      <w:r w:rsidRPr="00FB4E2D">
        <w:rPr>
          <w:rFonts w:ascii="Times New Roman" w:eastAsia="Calibri" w:hAnsi="Times New Roman" w:cs="Times New Roman"/>
          <w:b/>
          <w:i/>
          <w:noProof/>
          <w:kern w:val="0"/>
          <w:sz w:val="20"/>
          <w:szCs w:val="22"/>
          <w14:ligatures w14:val="none"/>
        </w:rPr>
        <w:t>S</w:t>
      </w:r>
      <w:r w:rsidRPr="00FB4E2D" w:rsidDel="00C4749A">
        <w:rPr>
          <w:rFonts w:ascii="Times New Roman" w:eastAsia="Calibri" w:hAnsi="Times New Roman" w:cs="Times New Roman"/>
          <w:b/>
          <w:i/>
          <w:noProof/>
          <w:kern w:val="0"/>
          <w:sz w:val="20"/>
          <w:szCs w:val="22"/>
          <w14:ligatures w14:val="none"/>
        </w:rPr>
        <w:t>K</w:t>
      </w:r>
      <w:r w:rsidRPr="00FB4E2D">
        <w:rPr>
          <w:rFonts w:ascii="Times New Roman" w:eastAsia="Calibri" w:hAnsi="Times New Roman" w:cs="Times New Roman"/>
          <w:i/>
          <w:noProof/>
          <w:kern w:val="0"/>
          <w:sz w:val="20"/>
          <w:szCs w:val="22"/>
          <w14:ligatures w14:val="none"/>
        </w:rPr>
        <w:t xml:space="preserve">. </w:t>
      </w:r>
      <w:r w:rsidRPr="00FB4E2D" w:rsidDel="00C4749A">
        <w:rPr>
          <w:rFonts w:ascii="Times New Roman" w:eastAsia="Calibri" w:hAnsi="Times New Roman" w:cs="Times New Roman"/>
          <w:b/>
          <w:i/>
          <w:noProof/>
          <w:kern w:val="0"/>
          <w:sz w:val="20"/>
          <w:szCs w:val="22"/>
          <w14:ligatures w14:val="none"/>
        </w:rPr>
        <w:t>DK</w:t>
      </w:r>
      <w:r w:rsidRPr="00FB4E2D" w:rsidDel="00C4749A">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and </w:t>
      </w:r>
      <w:r w:rsidRPr="00FB4E2D" w:rsidDel="00C4749A">
        <w:rPr>
          <w:rFonts w:ascii="Times New Roman" w:eastAsia="Calibri" w:hAnsi="Times New Roman" w:cs="Times New Roman"/>
          <w:b/>
          <w:i/>
          <w:noProof/>
          <w:kern w:val="0"/>
          <w:sz w:val="20"/>
          <w:szCs w:val="22"/>
          <w14:ligatures w14:val="none"/>
        </w:rPr>
        <w:t>IE</w:t>
      </w:r>
      <w:r w:rsidRPr="00FB4E2D" w:rsidDel="00C4749A">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do not record administrative cases separately. </w:t>
      </w:r>
      <w:r w:rsidRPr="00FB4E2D">
        <w:rPr>
          <w:rFonts w:ascii="Times New Roman" w:eastAsia="Calibri" w:hAnsi="Times New Roman" w:cs="Times New Roman"/>
          <w:b/>
          <w:bCs/>
          <w:i/>
          <w:noProof/>
          <w:kern w:val="0"/>
          <w:sz w:val="20"/>
          <w:szCs w:val="20"/>
          <w14:ligatures w14:val="none"/>
        </w:rPr>
        <w:t>PT</w:t>
      </w:r>
      <w:r w:rsidRPr="00FB4E2D">
        <w:rPr>
          <w:rFonts w:ascii="Times New Roman" w:eastAsia="Calibri" w:hAnsi="Times New Roman" w:cs="Times New Roman"/>
          <w:i/>
          <w:noProof/>
          <w:kern w:val="0"/>
          <w:sz w:val="20"/>
          <w:szCs w:val="20"/>
          <w14:ligatures w14:val="none"/>
        </w:rPr>
        <w:t>: In 2024, there was a very high number of applications for authorisation or renewal of the residence permit that were lodged with the Lisbon Administrative Court.</w:t>
      </w:r>
    </w:p>
    <w:p w14:paraId="6D313256" w14:textId="77777777" w:rsidR="00213BFF" w:rsidRDefault="00213BFF">
      <w:pPr>
        <w:rPr>
          <w:rFonts w:ascii="Times New Roman" w:eastAsia="Times New Roman" w:hAnsi="Times New Roman" w:cs="Times New Roman"/>
          <w:b/>
          <w:noProof/>
          <w:kern w:val="0"/>
          <w14:ligatures w14:val="none"/>
        </w:rPr>
      </w:pPr>
      <w:r>
        <w:rPr>
          <w:rFonts w:ascii="Times New Roman" w:eastAsia="Times New Roman" w:hAnsi="Times New Roman" w:cs="Times New Roman"/>
          <w:b/>
          <w:noProof/>
          <w:kern w:val="0"/>
          <w14:ligatures w14:val="none"/>
        </w:rPr>
        <w:br w:type="page"/>
      </w:r>
    </w:p>
    <w:p w14:paraId="3E366390" w14:textId="174FD87F" w:rsidR="00A02C07" w:rsidRPr="00FB4E2D" w:rsidRDefault="00A02C07" w:rsidP="00A02C07">
      <w:pPr>
        <w:keepNext/>
        <w:spacing w:before="240" w:after="120" w:line="240" w:lineRule="auto"/>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2.1.4. Efficiency in specific areas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sidRPr="00FB4E2D">
        <w:rPr>
          <w:rFonts w:ascii="Times New Roman" w:eastAsia="Times New Roman" w:hAnsi="Times New Roman" w:cs="Times New Roman"/>
          <w:b/>
          <w:noProof/>
          <w:kern w:val="0"/>
          <w14:ligatures w14:val="none"/>
        </w:rPr>
        <w:t xml:space="preserve"> of EU law</w:t>
      </w:r>
    </w:p>
    <w:p w14:paraId="479659EA" w14:textId="77777777" w:rsidR="00A02C07" w:rsidRPr="00FB4E2D" w:rsidRDefault="00A02C07" w:rsidP="00A02C07">
      <w:pPr>
        <w:spacing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The data in this section complements the general data on the efficiency of justice systems. It shows the average length of proceedings (</w:t>
      </w:r>
      <w:r w:rsidRPr="00FB4E2D">
        <w:rPr>
          <w:rFonts w:ascii="Times New Roman" w:eastAsia="Calibri" w:hAnsi="Times New Roman" w:cs="Times New Roman"/>
          <w:noProof/>
          <w:kern w:val="0"/>
          <w:vertAlign w:val="superscript"/>
          <w14:ligatures w14:val="none"/>
        </w:rPr>
        <w:footnoteReference w:id="53"/>
      </w:r>
      <w:r w:rsidRPr="00FB4E2D">
        <w:rPr>
          <w:rFonts w:ascii="Times New Roman" w:eastAsia="Calibri" w:hAnsi="Times New Roman" w:cs="Times New Roman"/>
          <w:noProof/>
          <w:kern w:val="0"/>
          <w14:ligatures w14:val="none"/>
        </w:rPr>
        <w:t>) in specific areas of EU law. The</w:t>
      </w:r>
      <w:r w:rsidRPr="00FB4E2D" w:rsidDel="00165390">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 xml:space="preserve">2026 Scoreboard builds on previous data for competition, electronic communications, the EU trademark, consumer law, anti-money laundering and anti-corruption. </w:t>
      </w:r>
    </w:p>
    <w:p w14:paraId="6E042E3C" w14:textId="77777777" w:rsidR="00A02C07" w:rsidRPr="00FB4E2D" w:rsidRDefault="00A02C07" w:rsidP="00A02C07">
      <w:pPr>
        <w:spacing w:line="240" w:lineRule="auto"/>
        <w:jc w:val="both"/>
        <w:rPr>
          <w:rFonts w:ascii="Calibri" w:eastAsia="Yu Mincho" w:hAnsi="Calibri" w:cs="Times New Roman"/>
          <w:noProof/>
          <w:color w:val="000000"/>
          <w:kern w:val="0"/>
          <w:sz w:val="22"/>
          <w:szCs w:val="22"/>
          <w14:ligatures w14:val="none"/>
        </w:rPr>
      </w:pPr>
      <w:r w:rsidRPr="00FB4E2D">
        <w:rPr>
          <w:rFonts w:ascii="Times New Roman" w:eastAsia="Calibri" w:hAnsi="Times New Roman" w:cs="Times New Roman"/>
          <w:noProof/>
          <w:kern w:val="0"/>
          <w14:ligatures w14:val="none"/>
        </w:rPr>
        <w:t>The six areas of EU law were selected because of their relevance for the single market and the business environment. The overview of the efficiency of administrative authorities continues in this edition of the Scoreboard, with updated figures on the areas of competition and consumer protection. In general, long delays in judicial and administrative proceedings may have negative impacts on rights stemming from EU law e.g. when appropriate remedies are no longer available or serious financial damages become irrecoverable. For businesses in particular, administrative delays and uncertainty in some cases can lead to significant costs and undermine planned or existing investment</w:t>
      </w:r>
      <w:r w:rsidRPr="00FB4E2D" w:rsidDel="004F4B49">
        <w:rPr>
          <w:rFonts w:ascii="Times New Roman" w:eastAsia="Calibri" w:hAnsi="Times New Roman" w:cs="Times New Roman"/>
          <w:noProof/>
          <w:kern w:val="0"/>
          <w14:ligatures w14:val="none"/>
        </w:rPr>
        <w:t>s</w:t>
      </w:r>
      <w:r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vertAlign w:val="superscript"/>
          <w14:ligatures w14:val="none"/>
        </w:rPr>
        <w:footnoteReference w:id="54"/>
      </w:r>
      <w:r w:rsidRPr="00FB4E2D">
        <w:rPr>
          <w:rFonts w:ascii="Times New Roman" w:eastAsia="Yu Mincho" w:hAnsi="Times New Roman" w:cs="Times New Roman"/>
          <w:noProof/>
          <w:color w:val="000000"/>
          <w:kern w:val="0"/>
          <w14:ligatures w14:val="none"/>
        </w:rPr>
        <w:t>)</w:t>
      </w:r>
      <w:r w:rsidRPr="00FB4E2D">
        <w:rPr>
          <w:rFonts w:ascii="Calibri" w:eastAsia="Yu Mincho" w:hAnsi="Calibri" w:cs="Times New Roman"/>
          <w:noProof/>
          <w:color w:val="000000"/>
          <w:kern w:val="0"/>
          <w:sz w:val="22"/>
          <w:szCs w:val="22"/>
          <w14:ligatures w14:val="none"/>
        </w:rPr>
        <w:t xml:space="preserve">. </w:t>
      </w:r>
    </w:p>
    <w:p w14:paraId="316EB7E6"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Times New Roman" w:hAnsi="Times New Roman" w:cs="Times New Roman"/>
          <w:i/>
          <w:noProof/>
          <w:kern w:val="0"/>
          <w14:ligatures w14:val="none"/>
        </w:rPr>
        <w:t>– Competition –</w:t>
      </w:r>
    </w:p>
    <w:p w14:paraId="7F91AF05" w14:textId="388951A5" w:rsidR="00A02C07" w:rsidRPr="00FB4E2D" w:rsidRDefault="00A02C07" w:rsidP="00A02C07">
      <w:pPr>
        <w:spacing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The effective enforcement of competition law is essential for an attractive business environment, as it ensures a level playing field for businesses. It promotes economic initiative</w:t>
      </w:r>
      <w:r w:rsidR="005C0A58" w:rsidRPr="00FB4E2D">
        <w:rPr>
          <w:rFonts w:ascii="Times New Roman" w:eastAsia="Calibri" w:hAnsi="Times New Roman" w:cs="Times New Roman"/>
          <w:noProof/>
        </w:rPr>
        <w:t>, innovation</w:t>
      </w:r>
      <w:r w:rsidRPr="00FB4E2D">
        <w:rPr>
          <w:rFonts w:ascii="Times New Roman" w:eastAsia="Calibri" w:hAnsi="Times New Roman" w:cs="Times New Roman"/>
          <w:noProof/>
        </w:rPr>
        <w:t xml:space="preserve"> and efficiency, and leads to a wider choice for consumers, lower prices and better quality. </w:t>
      </w:r>
      <w:r w:rsidRPr="00FB4E2D">
        <w:rPr>
          <w:rFonts w:ascii="Times New Roman" w:eastAsia="Calibri" w:hAnsi="Times New Roman" w:cs="Times New Roman"/>
          <w:noProof/>
          <w:kern w:val="0"/>
          <w14:ligatures w14:val="none"/>
        </w:rPr>
        <w:t>Figure 15 presents the average length of cases brought against decisions of national competition authorities applying Articles 101 and 102 of the Treaty on the Functioning of the European Union (TFEU) (</w:t>
      </w:r>
      <w:r w:rsidRPr="00FB4E2D">
        <w:rPr>
          <w:rFonts w:ascii="Times New Roman" w:eastAsia="Calibri" w:hAnsi="Times New Roman" w:cs="Times New Roman"/>
          <w:noProof/>
          <w:kern w:val="0"/>
          <w:vertAlign w:val="superscript"/>
          <w14:ligatures w14:val="none"/>
        </w:rPr>
        <w:footnoteReference w:id="55"/>
      </w:r>
      <w:r w:rsidRPr="00FB4E2D">
        <w:rPr>
          <w:rFonts w:ascii="Times New Roman" w:eastAsia="Calibri" w:hAnsi="Times New Roman" w:cs="Times New Roman"/>
          <w:noProof/>
          <w:kern w:val="0"/>
          <w14:ligatures w14:val="none"/>
        </w:rPr>
        <w:t>). Figure 16 presents the average length of proceedings before the national competition authorities applying Articles 101 and 102 TFEU.</w:t>
      </w:r>
    </w:p>
    <w:p w14:paraId="12F44310" w14:textId="284CAC87" w:rsidR="00A02C07" w:rsidRPr="00FB4E2D" w:rsidRDefault="00A02C07" w:rsidP="00A02C07">
      <w:pPr>
        <w:spacing w:before="240" w:after="120" w:line="240" w:lineRule="auto"/>
        <w:jc w:val="both"/>
        <w:rPr>
          <w:rFonts w:ascii="Calibri" w:eastAsia="Yu Mincho" w:hAnsi="Calibri" w:cs="Arial"/>
          <w:noProof/>
          <w:kern w:val="0"/>
          <w:sz w:val="22"/>
          <w:szCs w:val="22"/>
          <w14:ligatures w14:val="none"/>
        </w:rPr>
      </w:pPr>
      <w:bookmarkStart w:id="239" w:name="_Hlk228888184"/>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bookmarkEnd w:id="239"/>
      <w:r w:rsidRPr="00FB4E2D">
        <w:rPr>
          <w:rFonts w:ascii="Times New Roman" w:eastAsia="Calibri" w:hAnsi="Times New Roman" w:cs="Times New Roman"/>
          <w:b/>
          <w:noProof/>
          <w:kern w:val="0"/>
          <w:u w:val="single"/>
          <w14:ligatures w14:val="none"/>
        </w:rPr>
        <w:t>Competition</w:t>
      </w:r>
      <w:r w:rsidRPr="00FB4E2D">
        <w:rPr>
          <w:rFonts w:ascii="Times New Roman" w:eastAsia="Calibri" w:hAnsi="Times New Roman" w:cs="Times New Roman"/>
          <w:b/>
          <w:noProof/>
          <w:kern w:val="0"/>
          <w14:ligatures w14:val="none"/>
        </w:rPr>
        <w:t>: average length of judicial review in 2014</w:t>
      </w:r>
      <w:r w:rsidRPr="00FB4E2D" w:rsidDel="00C4749A">
        <w:rPr>
          <w:rFonts w:ascii="Times New Roman" w:eastAsia="Calibri" w:hAnsi="Times New Roman" w:cs="Times New Roman"/>
          <w:b/>
          <w:noProof/>
          <w:kern w:val="0"/>
          <w14:ligatures w14:val="none"/>
        </w:rPr>
        <w:t>,</w:t>
      </w:r>
      <w:r w:rsidRPr="00FB4E2D">
        <w:rPr>
          <w:rFonts w:ascii="Times New Roman" w:eastAsia="Calibri" w:hAnsi="Times New Roman" w:cs="Times New Roman"/>
          <w:b/>
          <w:noProof/>
          <w:kern w:val="0"/>
          <w14:ligatures w14:val="none"/>
        </w:rPr>
        <w:t xml:space="preserve"> 2022</w:t>
      </w:r>
      <w:r w:rsidRPr="00FB4E2D" w:rsidDel="00C4749A">
        <w:rPr>
          <w:rFonts w:ascii="Times New Roman" w:eastAsia="Calibri" w:hAnsi="Times New Roman" w:cs="Times New Roman"/>
          <w:b/>
          <w:noProof/>
          <w:kern w:val="0"/>
          <w14:ligatures w14:val="none"/>
        </w:rPr>
        <w:t xml:space="preserve"> </w:t>
      </w:r>
      <w:r w:rsidRPr="00FB4E2D" w:rsidDel="00C4749A">
        <w:rPr>
          <w:rFonts w:ascii="Times New Roman" w:eastAsia="Times New Roman" w:hAnsi="Times New Roman" w:cs="Times New Roman"/>
          <w:b/>
          <w:noProof/>
          <w:kern w:val="0"/>
          <w14:ligatures w14:val="none"/>
        </w:rPr>
        <w:t xml:space="preserve">– </w:t>
      </w:r>
      <w:r w:rsidRPr="00FB4E2D">
        <w:rPr>
          <w:rFonts w:ascii="Times New Roman" w:eastAsia="Calibri" w:hAnsi="Times New Roman" w:cs="Times New Roman"/>
          <w:b/>
          <w:noProof/>
          <w:kern w:val="0"/>
          <w14:ligatures w14:val="none"/>
        </w:rPr>
        <w:t>2024</w:t>
      </w:r>
      <w:r w:rsidRPr="00FB4E2D">
        <w:rPr>
          <w:rFonts w:ascii="Times New Roman" w:eastAsia="Calibri" w:hAnsi="Times New Roman" w:cs="Times New Roman"/>
          <w:noProof/>
          <w:kern w:val="0"/>
          <w:sz w:val="22"/>
          <w:szCs w:val="22"/>
          <w14:ligatures w14:val="none"/>
        </w:rPr>
        <w:t xml:space="preserve"> (</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i/>
          <w:noProof/>
          <w:kern w:val="0"/>
          <w14:ligatures w14:val="none"/>
        </w:rPr>
        <w:t xml:space="preserve"> (at first instance/in days) (source: European Commission with the European Competition Network)</w:t>
      </w:r>
    </w:p>
    <w:p w14:paraId="47EC4ECC" w14:textId="0DDDEF1A" w:rsidR="00236DEE" w:rsidRPr="00FB4E2D" w:rsidRDefault="00236DEE" w:rsidP="00A02C07">
      <w:pPr>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lang w:val="en-GB" w:eastAsia="en-GB"/>
          <w14:ligatures w14:val="none"/>
        </w:rPr>
        <w:drawing>
          <wp:inline distT="0" distB="0" distL="0" distR="0" wp14:anchorId="4BB84A08" wp14:editId="3705BBE3">
            <wp:extent cx="5760000" cy="2319980"/>
            <wp:effectExtent l="0" t="0" r="0" b="4445"/>
            <wp:docPr id="1324715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000" cy="2319980"/>
                    </a:xfrm>
                    <a:prstGeom prst="rect">
                      <a:avLst/>
                    </a:prstGeom>
                    <a:noFill/>
                  </pic:spPr>
                </pic:pic>
              </a:graphicData>
            </a:graphic>
          </wp:inline>
        </w:drawing>
      </w:r>
    </w:p>
    <w:p w14:paraId="621F11D4" w14:textId="3C326580" w:rsidR="00A02C07" w:rsidRPr="00FB4E2D" w:rsidRDefault="00A02C07" w:rsidP="00A02C07">
      <w:pPr>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14:ligatures w14:val="none"/>
        </w:rPr>
        <w:t>(*)</w:t>
      </w:r>
      <w:r w:rsidRPr="00FB4E2D" w:rsidDel="00DC1EA7">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i/>
          <w:noProof/>
          <w:kern w:val="0"/>
          <w:sz w:val="20"/>
          <w:szCs w:val="20"/>
          <w14:ligatures w14:val="none"/>
        </w:rPr>
        <w:t xml:space="preserve">The average is weighted by the number of cases in the respective year. </w:t>
      </w:r>
      <w:r w:rsidRPr="00FB4E2D">
        <w:rPr>
          <w:rFonts w:ascii="Times New Roman" w:eastAsia="Calibri" w:hAnsi="Times New Roman" w:cs="Times New Roman"/>
          <w:b/>
          <w:i/>
          <w:noProof/>
          <w:kern w:val="0"/>
          <w:sz w:val="20"/>
          <w:szCs w:val="20"/>
          <w14:ligatures w14:val="none"/>
        </w:rPr>
        <w:t>AT</w:t>
      </w:r>
      <w:r w:rsidRPr="00FB4E2D">
        <w:rPr>
          <w:rFonts w:ascii="Times New Roman" w:eastAsia="Calibri" w:hAnsi="Times New Roman" w:cs="Times New Roman"/>
          <w:i/>
          <w:noProof/>
          <w:kern w:val="0"/>
          <w:sz w:val="20"/>
          <w:szCs w:val="20"/>
          <w14:ligatures w14:val="none"/>
        </w:rPr>
        <w:t>: data for 2014 include decisions of the Cartel Court on the subst</w:t>
      </w:r>
      <w:r w:rsidR="00C1425F" w:rsidRPr="00FB4E2D">
        <w:rPr>
          <w:rFonts w:ascii="Times New Roman" w:eastAsia="Calibri" w:hAnsi="Times New Roman" w:cs="Times New Roman"/>
          <w:i/>
          <w:noProof/>
          <w:kern w:val="0"/>
          <w:sz w:val="20"/>
          <w:szCs w:val="20"/>
          <w14:ligatures w14:val="none"/>
        </w:rPr>
        <w:t>a</w:t>
      </w:r>
      <w:r w:rsidRPr="00FB4E2D">
        <w:rPr>
          <w:rFonts w:ascii="Times New Roman" w:eastAsia="Calibri" w:hAnsi="Times New Roman" w:cs="Times New Roman"/>
          <w:i/>
          <w:noProof/>
          <w:kern w:val="0"/>
          <w:sz w:val="20"/>
          <w:szCs w:val="20"/>
          <w14:ligatures w14:val="none"/>
        </w:rPr>
        <w:t xml:space="preserve">nce, not the judicial review of these decisions by the Supreme Court. Since the 2024 EU Justice Scoreboard, the decisions of the Cartel Court are included in the length of proceedings before the national competition authorities (see below). </w:t>
      </w:r>
      <w:r w:rsidRPr="00FB4E2D" w:rsidDel="009D5B48">
        <w:rPr>
          <w:rFonts w:ascii="Times New Roman" w:eastAsia="Calibri" w:hAnsi="Times New Roman" w:cs="Times New Roman"/>
          <w:b/>
          <w:i/>
          <w:noProof/>
          <w:kern w:val="0"/>
          <w:sz w:val="20"/>
          <w:szCs w:val="20"/>
          <w14:ligatures w14:val="none"/>
        </w:rPr>
        <w:t>IT</w:t>
      </w:r>
      <w:r w:rsidRPr="00FB4E2D">
        <w:rPr>
          <w:rFonts w:ascii="Times New Roman" w:eastAsia="Calibri" w:hAnsi="Times New Roman" w:cs="Times New Roman"/>
          <w:b/>
          <w:i/>
          <w:noProof/>
          <w:kern w:val="0"/>
          <w:sz w:val="20"/>
          <w:szCs w:val="20"/>
          <w14:ligatures w14:val="none"/>
        </w:rPr>
        <w:t>:</w:t>
      </w:r>
      <w:r w:rsidRPr="00FB4E2D">
        <w:rPr>
          <w:rFonts w:ascii="Times New Roman" w:eastAsia="Calibri" w:hAnsi="Times New Roman" w:cs="Times New Roman"/>
          <w:i/>
          <w:noProof/>
          <w:kern w:val="0"/>
          <w:sz w:val="20"/>
          <w:szCs w:val="20"/>
          <w14:ligatures w14:val="none"/>
        </w:rPr>
        <w:t xml:space="preserve"> an estimation of length was used for 2014 and 2022. An empty column can indicate that the Member State reported no cases for the year in question. The number of cases is low (below five a year) in many Member States. This can make the annual data dependent on one exceptionally long or short case (e.g. </w:t>
      </w:r>
      <w:r w:rsidR="0081343E" w:rsidRPr="00FB4E2D">
        <w:rPr>
          <w:rFonts w:ascii="Times New Roman" w:eastAsia="Calibri" w:hAnsi="Times New Roman" w:cs="Times New Roman"/>
          <w:i/>
          <w:noProof/>
          <w:kern w:val="0"/>
          <w:sz w:val="20"/>
          <w:szCs w:val="20"/>
          <w14:ligatures w14:val="none"/>
        </w:rPr>
        <w:t>FI where</w:t>
      </w:r>
      <w:r w:rsidRPr="00FB4E2D">
        <w:rPr>
          <w:rFonts w:ascii="Times New Roman" w:eastAsia="Calibri" w:hAnsi="Times New Roman" w:cs="Times New Roman"/>
          <w:i/>
          <w:noProof/>
          <w:kern w:val="0"/>
          <w:sz w:val="20"/>
          <w:szCs w:val="20"/>
          <w14:ligatures w14:val="none"/>
        </w:rPr>
        <w:t xml:space="preserve"> there was only one case).</w:t>
      </w:r>
      <w:r w:rsidR="0081343E"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b/>
          <w:i/>
          <w:noProof/>
          <w:kern w:val="0"/>
          <w:sz w:val="20"/>
          <w:szCs w:val="20"/>
          <w14:ligatures w14:val="none"/>
        </w:rPr>
        <w:t>ES:</w:t>
      </w:r>
      <w:r w:rsidRPr="00FB4E2D">
        <w:rPr>
          <w:rFonts w:ascii="Times New Roman" w:eastAsia="Calibri" w:hAnsi="Times New Roman" w:cs="Times New Roman"/>
          <w:i/>
          <w:noProof/>
          <w:kern w:val="0"/>
          <w:sz w:val="20"/>
          <w:szCs w:val="20"/>
          <w14:ligatures w14:val="none"/>
        </w:rPr>
        <w:t xml:space="preserve"> The number of appeals corresponds to the number of companies that filed an appeal against each CNMC decision. </w:t>
      </w:r>
      <w:r w:rsidRPr="00FB4E2D">
        <w:rPr>
          <w:rFonts w:ascii="Times New Roman" w:eastAsia="Calibri" w:hAnsi="Times New Roman" w:cs="Times New Roman"/>
          <w:b/>
          <w:i/>
          <w:noProof/>
          <w:kern w:val="0"/>
          <w:sz w:val="20"/>
          <w:szCs w:val="20"/>
          <w14:ligatures w14:val="none"/>
        </w:rPr>
        <w:t>IE:</w:t>
      </w:r>
      <w:r w:rsidRPr="00FB4E2D">
        <w:rPr>
          <w:rFonts w:ascii="Times New Roman" w:eastAsia="Calibri" w:hAnsi="Times New Roman" w:cs="Times New Roman"/>
          <w:i/>
          <w:noProof/>
          <w:kern w:val="0"/>
          <w:sz w:val="20"/>
          <w:szCs w:val="20"/>
          <w14:ligatures w14:val="none"/>
        </w:rPr>
        <w:t xml:space="preserve"> Not applicable for 2020, 2021 and 2022, as </w:t>
      </w:r>
      <w:r w:rsidR="004F4B49" w:rsidRPr="00FB4E2D">
        <w:rPr>
          <w:rFonts w:ascii="Times New Roman" w:eastAsia="Calibri" w:hAnsi="Times New Roman" w:cs="Times New Roman"/>
          <w:i/>
          <w:noProof/>
          <w:kern w:val="0"/>
          <w:sz w:val="20"/>
          <w:szCs w:val="20"/>
          <w14:ligatures w14:val="none"/>
        </w:rPr>
        <w:t xml:space="preserve">before </w:t>
      </w:r>
      <w:r w:rsidRPr="00FB4E2D">
        <w:rPr>
          <w:rFonts w:ascii="Times New Roman" w:eastAsia="Calibri" w:hAnsi="Times New Roman" w:cs="Times New Roman"/>
          <w:i/>
          <w:noProof/>
          <w:kern w:val="0"/>
          <w:sz w:val="20"/>
          <w:szCs w:val="20"/>
          <w14:ligatures w14:val="none"/>
        </w:rPr>
        <w:t>2023 the CCPC was not empowered to make decisions of the relevant type capable of being judicially reviewed.</w:t>
      </w:r>
    </w:p>
    <w:p w14:paraId="5CFBDB4A" w14:textId="266E5895"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w:t>
      </w:r>
      <w:r w:rsidR="00C14543"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Competition</w:t>
      </w:r>
      <w:r w:rsidRPr="00FB4E2D">
        <w:rPr>
          <w:rFonts w:ascii="Times New Roman" w:eastAsia="Calibri" w:hAnsi="Times New Roman" w:cs="Times New Roman"/>
          <w:b/>
          <w:noProof/>
          <w:kern w:val="0"/>
          <w14:ligatures w14:val="none"/>
        </w:rPr>
        <w:t xml:space="preserve">: average length of proceedings before the national competition authorities in 2020, 2022 </w:t>
      </w:r>
      <w:r w:rsidRPr="00FB4E2D" w:rsidDel="00C4749A">
        <w:rPr>
          <w:rFonts w:ascii="Times New Roman" w:eastAsia="Times New Roman" w:hAnsi="Times New Roman" w:cs="Times New Roman"/>
          <w:b/>
          <w:noProof/>
          <w:kern w:val="0"/>
          <w14:ligatures w14:val="none"/>
        </w:rPr>
        <w:t>–</w:t>
      </w:r>
      <w:r w:rsidRPr="00FB4E2D">
        <w:rPr>
          <w:rFonts w:ascii="Times New Roman" w:eastAsia="Times New Roman" w:hAnsi="Times New Roman" w:cs="Times New Roman"/>
          <w:b/>
          <w:noProof/>
          <w:kern w:val="0"/>
          <w14:ligatures w14:val="none"/>
        </w:rPr>
        <w:t xml:space="preserve"> </w:t>
      </w:r>
      <w:r w:rsidRPr="00FB4E2D">
        <w:rPr>
          <w:rFonts w:ascii="Times New Roman" w:eastAsia="Calibri" w:hAnsi="Times New Roman" w:cs="Times New Roman"/>
          <w:b/>
          <w:noProof/>
          <w:kern w:val="0"/>
          <w14:ligatures w14:val="none"/>
        </w:rPr>
        <w:t>2024</w:t>
      </w:r>
      <w:r w:rsidRPr="00FB4E2D">
        <w:rPr>
          <w:rFonts w:ascii="Times New Roman" w:eastAsia="Calibri" w:hAnsi="Times New Roman" w:cs="Times New Roman"/>
          <w:noProof/>
          <w:kern w:val="0"/>
          <w:sz w:val="22"/>
          <w:szCs w:val="22"/>
          <w14:ligatures w14:val="none"/>
        </w:rPr>
        <w:t xml:space="preserve"> (</w:t>
      </w:r>
      <w:r w:rsidRPr="00FB4E2D">
        <w:rPr>
          <w:rFonts w:ascii="Calibri" w:eastAsia="Calibri" w:hAnsi="Calibri" w:cs="Times New Roman"/>
          <w:noProof/>
          <w:kern w:val="0"/>
          <w:sz w:val="22"/>
          <w:szCs w:val="22"/>
          <w14:ligatures w14:val="none"/>
        </w:rPr>
        <w:t xml:space="preserve">*) </w:t>
      </w:r>
      <w:r w:rsidRPr="00FB4E2D">
        <w:rPr>
          <w:rFonts w:ascii="Times New Roman" w:eastAsia="Calibri" w:hAnsi="Times New Roman" w:cs="Times New Roman"/>
          <w:i/>
          <w:noProof/>
          <w:kern w:val="0"/>
          <w14:ligatures w14:val="none"/>
        </w:rPr>
        <w:t>(in days) (source: European Commission with the European Competition Network)</w:t>
      </w:r>
    </w:p>
    <w:p w14:paraId="45188797" w14:textId="16099481" w:rsidR="00A02C07" w:rsidRPr="00FB4E2D" w:rsidRDefault="000148FB" w:rsidP="00A02C07">
      <w:pPr>
        <w:keepNext/>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lang w:val="en-GB" w:eastAsia="en-GB"/>
          <w14:ligatures w14:val="none"/>
        </w:rPr>
        <w:drawing>
          <wp:inline distT="0" distB="0" distL="0" distR="0" wp14:anchorId="715DA14B" wp14:editId="798829EC">
            <wp:extent cx="5760000" cy="2190317"/>
            <wp:effectExtent l="0" t="0" r="0" b="635"/>
            <wp:docPr id="16057237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000" cy="2190317"/>
                    </a:xfrm>
                    <a:prstGeom prst="rect">
                      <a:avLst/>
                    </a:prstGeom>
                    <a:noFill/>
                  </pic:spPr>
                </pic:pic>
              </a:graphicData>
            </a:graphic>
          </wp:inline>
        </w:drawing>
      </w:r>
    </w:p>
    <w:p w14:paraId="5916804C" w14:textId="034D8173" w:rsidR="00A02C07" w:rsidRPr="00FB4E2D" w:rsidRDefault="00A02C07" w:rsidP="00A02C07">
      <w:pPr>
        <w:keepNext/>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14:ligatures w14:val="none"/>
        </w:rPr>
        <w:t>(*)</w:t>
      </w:r>
      <w:r w:rsidRPr="00FB4E2D" w:rsidDel="00A1448F">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i/>
          <w:noProof/>
          <w:kern w:val="0"/>
          <w:sz w:val="20"/>
          <w:szCs w:val="20"/>
          <w14:ligatures w14:val="none"/>
        </w:rPr>
        <w:t xml:space="preserve">The average is weighted by the number of cases in the respective year. Since the 2024 EU Justice Scoreboard, the average length of proceedings before the national competition authorities has been calculated as follows: the number of days between the first formal investigative measure and the adoption of a final decision by the national competition authority (by the administrative authority or, in Member States with a judicial system, by the court that has the power to adopt a prohibition decision and/or impose or confirm fines). For this reason, the data since the 2024 edition in the above figure cannot be compared to the data published in earlier editions. This calculation method allows for comparable data at EU level for the sole purpose of the EU Justice Scoreboard and may differ from the reporting at national level in certain Member States. </w:t>
      </w:r>
      <w:r w:rsidRPr="00FB4E2D">
        <w:rPr>
          <w:rFonts w:ascii="Times New Roman" w:eastAsia="Calibri" w:hAnsi="Times New Roman" w:cs="Times New Roman"/>
          <w:b/>
          <w:i/>
          <w:noProof/>
          <w:kern w:val="0"/>
          <w:sz w:val="20"/>
          <w:szCs w:val="20"/>
          <w14:ligatures w14:val="none"/>
        </w:rPr>
        <w:t xml:space="preserve">CZ </w:t>
      </w:r>
      <w:r w:rsidRPr="00FB4E2D">
        <w:rPr>
          <w:rFonts w:ascii="Times New Roman" w:eastAsia="Calibri" w:hAnsi="Times New Roman" w:cs="Times New Roman"/>
          <w:i/>
          <w:noProof/>
          <w:kern w:val="0"/>
          <w:sz w:val="20"/>
          <w:szCs w:val="20"/>
          <w14:ligatures w14:val="none"/>
        </w:rPr>
        <w:t xml:space="preserve">and </w:t>
      </w:r>
      <w:r w:rsidRPr="00FB4E2D">
        <w:rPr>
          <w:rFonts w:ascii="Times New Roman" w:eastAsia="Calibri" w:hAnsi="Times New Roman" w:cs="Times New Roman"/>
          <w:b/>
          <w:i/>
          <w:noProof/>
          <w:kern w:val="0"/>
          <w:sz w:val="20"/>
          <w:szCs w:val="20"/>
          <w14:ligatures w14:val="none"/>
        </w:rPr>
        <w:t>SK</w:t>
      </w:r>
      <w:r w:rsidRPr="00FB4E2D">
        <w:rPr>
          <w:rFonts w:ascii="Times New Roman" w:eastAsia="Calibri" w:hAnsi="Times New Roman" w:cs="Times New Roman"/>
          <w:i/>
          <w:noProof/>
          <w:kern w:val="0"/>
          <w:sz w:val="20"/>
          <w:szCs w:val="20"/>
          <w14:ligatures w14:val="none"/>
        </w:rPr>
        <w:t xml:space="preserve"> have a two-instance administrative procedure. When appealed, first instances decisions are reviewed by the second instance body of the authority, which may prolong proceedings. </w:t>
      </w:r>
      <w:r w:rsidRPr="00FB4E2D">
        <w:rPr>
          <w:rFonts w:ascii="Times New Roman" w:eastAsia="Calibri" w:hAnsi="Times New Roman" w:cs="Times New Roman"/>
          <w:b/>
          <w:i/>
          <w:noProof/>
          <w:kern w:val="0"/>
          <w:sz w:val="20"/>
          <w:szCs w:val="20"/>
          <w14:ligatures w14:val="none"/>
        </w:rPr>
        <w:t>DK</w:t>
      </w:r>
      <w:r w:rsidRPr="00FB4E2D">
        <w:rPr>
          <w:rFonts w:ascii="Times New Roman" w:eastAsia="Calibri" w:hAnsi="Times New Roman" w:cs="Times New Roman"/>
          <w:i/>
          <w:noProof/>
          <w:kern w:val="0"/>
          <w:sz w:val="20"/>
          <w:szCs w:val="20"/>
          <w14:ligatures w14:val="none"/>
        </w:rPr>
        <w:t xml:space="preserve">: In 2021, following the transposition of the ECN+ Directive, Denmark moved from a purely criminal enforcement system to a system where the Danish competition authority can now directly apply for the imposition of a fine before a civil court and adopt settlement decisions in its own administrative proceedings. This </w:t>
      </w:r>
      <w:r w:rsidR="00DE137F" w:rsidRPr="00FB4E2D">
        <w:rPr>
          <w:rFonts w:ascii="Times New Roman" w:eastAsia="Calibri" w:hAnsi="Times New Roman" w:cs="Times New Roman"/>
          <w:i/>
          <w:noProof/>
          <w:kern w:val="0"/>
          <w:sz w:val="20"/>
          <w:szCs w:val="20"/>
          <w14:ligatures w14:val="none"/>
        </w:rPr>
        <w:t xml:space="preserve">has </w:t>
      </w:r>
      <w:r w:rsidRPr="00FB4E2D">
        <w:rPr>
          <w:rFonts w:ascii="Times New Roman" w:eastAsia="Calibri" w:hAnsi="Times New Roman" w:cs="Times New Roman"/>
          <w:i/>
          <w:noProof/>
          <w:kern w:val="0"/>
          <w:sz w:val="20"/>
          <w:szCs w:val="20"/>
          <w14:ligatures w14:val="none"/>
        </w:rPr>
        <w:t xml:space="preserve">led to an increase </w:t>
      </w:r>
      <w:r w:rsidR="00DE137F" w:rsidRPr="00FB4E2D">
        <w:rPr>
          <w:rFonts w:ascii="Times New Roman" w:eastAsia="Calibri" w:hAnsi="Times New Roman" w:cs="Times New Roman"/>
          <w:i/>
          <w:noProof/>
          <w:kern w:val="0"/>
          <w:sz w:val="20"/>
          <w:szCs w:val="20"/>
          <w14:ligatures w14:val="none"/>
        </w:rPr>
        <w:t xml:space="preserve">in </w:t>
      </w:r>
      <w:r w:rsidRPr="00FB4E2D">
        <w:rPr>
          <w:rFonts w:ascii="Times New Roman" w:eastAsia="Calibri" w:hAnsi="Times New Roman" w:cs="Times New Roman"/>
          <w:i/>
          <w:noProof/>
          <w:kern w:val="0"/>
          <w:sz w:val="20"/>
          <w:szCs w:val="20"/>
          <w14:ligatures w14:val="none"/>
        </w:rPr>
        <w:t xml:space="preserve">decisions since 2022. For </w:t>
      </w:r>
      <w:r w:rsidRPr="00FB4E2D">
        <w:rPr>
          <w:rFonts w:ascii="Times New Roman" w:eastAsia="Calibri" w:hAnsi="Times New Roman" w:cs="Times New Roman"/>
          <w:b/>
          <w:i/>
          <w:noProof/>
          <w:kern w:val="0"/>
          <w:sz w:val="20"/>
          <w:szCs w:val="20"/>
          <w14:ligatures w14:val="none"/>
        </w:rPr>
        <w:t xml:space="preserve">AT, DK </w:t>
      </w:r>
      <w:r w:rsidRPr="00FB4E2D">
        <w:rPr>
          <w:rFonts w:ascii="Times New Roman" w:eastAsia="Calibri" w:hAnsi="Times New Roman" w:cs="Times New Roman"/>
          <w:i/>
          <w:noProof/>
          <w:kern w:val="0"/>
          <w:sz w:val="20"/>
          <w:szCs w:val="20"/>
          <w14:ligatures w14:val="none"/>
        </w:rPr>
        <w:t>and</w:t>
      </w:r>
      <w:r w:rsidRPr="00FB4E2D">
        <w:rPr>
          <w:rFonts w:ascii="Times New Roman" w:eastAsia="Calibri" w:hAnsi="Times New Roman" w:cs="Times New Roman"/>
          <w:b/>
          <w:i/>
          <w:noProof/>
          <w:kern w:val="0"/>
          <w:sz w:val="20"/>
          <w:szCs w:val="20"/>
          <w14:ligatures w14:val="none"/>
        </w:rPr>
        <w:t xml:space="preserve"> FI</w:t>
      </w:r>
      <w:r w:rsidRPr="00FB4E2D">
        <w:rPr>
          <w:rFonts w:ascii="Times New Roman" w:eastAsia="Calibri" w:hAnsi="Times New Roman" w:cs="Times New Roman"/>
          <w:i/>
          <w:noProof/>
          <w:kern w:val="0"/>
          <w:sz w:val="20"/>
          <w:szCs w:val="20"/>
          <w14:ligatures w14:val="none"/>
        </w:rPr>
        <w:t xml:space="preserve">, the length of proceedings covers the combined duration of proceedings before the administrative and judicial national competition authorities. </w:t>
      </w:r>
      <w:r w:rsidRPr="00FB4E2D">
        <w:rPr>
          <w:rFonts w:ascii="Times New Roman" w:eastAsia="Calibri" w:hAnsi="Times New Roman" w:cs="Times New Roman"/>
          <w:b/>
          <w:i/>
          <w:noProof/>
          <w:kern w:val="0"/>
          <w:sz w:val="20"/>
          <w:szCs w:val="20"/>
          <w14:ligatures w14:val="none"/>
        </w:rPr>
        <w:t>AT</w:t>
      </w:r>
      <w:r w:rsidRPr="00FB4E2D">
        <w:rPr>
          <w:rFonts w:ascii="Times New Roman" w:eastAsia="Calibri" w:hAnsi="Times New Roman" w:cs="Times New Roman"/>
          <w:i/>
          <w:noProof/>
          <w:kern w:val="0"/>
          <w:sz w:val="20"/>
          <w:szCs w:val="20"/>
          <w14:ligatures w14:val="none"/>
        </w:rPr>
        <w:t xml:space="preserve">: data include proceedings </w:t>
      </w:r>
      <w:r w:rsidR="00DE137F" w:rsidRPr="00FB4E2D">
        <w:rPr>
          <w:rFonts w:ascii="Times New Roman" w:eastAsia="Calibri" w:hAnsi="Times New Roman" w:cs="Times New Roman"/>
          <w:i/>
          <w:noProof/>
          <w:kern w:val="0"/>
          <w:sz w:val="20"/>
          <w:szCs w:val="20"/>
          <w14:ligatures w14:val="none"/>
        </w:rPr>
        <w:t xml:space="preserve">involving </w:t>
      </w:r>
      <w:r w:rsidRPr="00FB4E2D">
        <w:rPr>
          <w:rFonts w:ascii="Times New Roman" w:eastAsia="Calibri" w:hAnsi="Times New Roman" w:cs="Times New Roman"/>
          <w:i/>
          <w:noProof/>
          <w:kern w:val="0"/>
          <w:sz w:val="20"/>
          <w:szCs w:val="20"/>
          <w14:ligatures w14:val="none"/>
        </w:rPr>
        <w:t>to a large</w:t>
      </w:r>
      <w:r w:rsidR="001030C2"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i/>
          <w:noProof/>
          <w:kern w:val="0"/>
          <w:sz w:val="20"/>
          <w:szCs w:val="20"/>
          <w14:ligatures w14:val="none"/>
        </w:rPr>
        <w:t>scale cartel in the construction sector. Due to the size of this case, proceedings triggered by the same first investigative measure were (and still are</w:t>
      </w:r>
      <w:r w:rsidR="00F51098">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i/>
          <w:noProof/>
          <w:kern w:val="0"/>
          <w:sz w:val="20"/>
          <w:szCs w:val="20"/>
          <w14:ligatures w14:val="none"/>
        </w:rPr>
        <w:t xml:space="preserve"> being led and concluded successively, gradually distorting the average length of proceedings. </w:t>
      </w:r>
      <w:r w:rsidRPr="00FB4E2D">
        <w:rPr>
          <w:rFonts w:ascii="Times New Roman" w:eastAsia="Calibri" w:hAnsi="Times New Roman" w:cs="Times New Roman"/>
          <w:b/>
          <w:i/>
          <w:noProof/>
          <w:kern w:val="0"/>
          <w:sz w:val="20"/>
          <w:szCs w:val="20"/>
          <w14:ligatures w14:val="none"/>
        </w:rPr>
        <w:t>ES</w:t>
      </w:r>
      <w:r w:rsidRPr="00FB4E2D">
        <w:rPr>
          <w:rFonts w:ascii="Times New Roman" w:eastAsia="Calibri" w:hAnsi="Times New Roman" w:cs="Times New Roman"/>
          <w:i/>
          <w:noProof/>
          <w:kern w:val="0"/>
          <w:sz w:val="20"/>
          <w:szCs w:val="20"/>
          <w14:ligatures w14:val="none"/>
        </w:rPr>
        <w:t xml:space="preserve"> and </w:t>
      </w:r>
      <w:r w:rsidRPr="00FB4E2D">
        <w:rPr>
          <w:rFonts w:ascii="Times New Roman" w:eastAsia="Calibri" w:hAnsi="Times New Roman" w:cs="Times New Roman"/>
          <w:b/>
          <w:i/>
          <w:noProof/>
          <w:kern w:val="0"/>
          <w:sz w:val="20"/>
          <w:szCs w:val="20"/>
          <w14:ligatures w14:val="none"/>
        </w:rPr>
        <w:t>IT</w:t>
      </w:r>
      <w:r w:rsidRPr="00FB4E2D">
        <w:rPr>
          <w:rFonts w:ascii="Times New Roman" w:eastAsia="Calibri" w:hAnsi="Times New Roman" w:cs="Times New Roman"/>
          <w:i/>
          <w:noProof/>
          <w:kern w:val="0"/>
          <w:sz w:val="20"/>
          <w:szCs w:val="20"/>
          <w14:ligatures w14:val="none"/>
        </w:rPr>
        <w:t xml:space="preserve">: data excludes commitment decisions adopted by the national competition authority. </w:t>
      </w:r>
      <w:r w:rsidRPr="00FB4E2D">
        <w:rPr>
          <w:rFonts w:ascii="Times New Roman" w:eastAsia="Calibri" w:hAnsi="Times New Roman" w:cs="Times New Roman"/>
          <w:b/>
          <w:i/>
          <w:noProof/>
          <w:kern w:val="0"/>
          <w:sz w:val="20"/>
          <w:szCs w:val="20"/>
          <w14:ligatures w14:val="none"/>
        </w:rPr>
        <w:t>IE:</w:t>
      </w:r>
      <w:r w:rsidRPr="00FB4E2D">
        <w:rPr>
          <w:rFonts w:ascii="Times New Roman" w:eastAsia="Calibri" w:hAnsi="Times New Roman" w:cs="Times New Roman"/>
          <w:i/>
          <w:noProof/>
          <w:kern w:val="0"/>
          <w:sz w:val="20"/>
          <w:szCs w:val="20"/>
          <w14:ligatures w14:val="none"/>
        </w:rPr>
        <w:t xml:space="preserve"> Not applicable for 2020, 2021 and 2022, as the CCPC did not have the power to make its own binding administrative decisions in antitrust cases until September 2023 (prior to that date, it could only take enforcement action in such cases through the courts).</w:t>
      </w:r>
      <w:r w:rsidR="00285DD8" w:rsidRPr="00FB4E2D">
        <w:rPr>
          <w:rFonts w:ascii="Times New Roman" w:eastAsia="Calibri" w:hAnsi="Times New Roman" w:cs="Times New Roman"/>
          <w:i/>
          <w:noProof/>
          <w:kern w:val="0"/>
          <w:sz w:val="20"/>
          <w:szCs w:val="20"/>
          <w14:ligatures w14:val="none"/>
        </w:rPr>
        <w:t xml:space="preserve"> </w:t>
      </w:r>
      <w:r w:rsidR="00285DD8" w:rsidRPr="00FB4E2D">
        <w:rPr>
          <w:rFonts w:ascii="Times New Roman" w:eastAsia="Calibri" w:hAnsi="Times New Roman" w:cs="Times New Roman"/>
          <w:b/>
          <w:bCs/>
          <w:i/>
          <w:noProof/>
          <w:kern w:val="0"/>
          <w:sz w:val="20"/>
          <w:szCs w:val="20"/>
          <w14:ligatures w14:val="none"/>
        </w:rPr>
        <w:t>SK:</w:t>
      </w:r>
      <w:r w:rsidR="00285DD8" w:rsidRPr="00FB4E2D">
        <w:rPr>
          <w:rFonts w:ascii="Times New Roman" w:eastAsia="Calibri" w:hAnsi="Times New Roman" w:cs="Times New Roman"/>
          <w:i/>
          <w:noProof/>
          <w:kern w:val="0"/>
          <w:sz w:val="20"/>
          <w:szCs w:val="20"/>
          <w14:ligatures w14:val="none"/>
        </w:rPr>
        <w:t xml:space="preserve"> Article 102: 4 decisions of first instance and 0 decisions of appellate body (total: 1</w:t>
      </w:r>
      <w:r w:rsidR="005E1249" w:rsidRPr="00FB4E2D">
        <w:rPr>
          <w:rFonts w:ascii="Times New Roman" w:eastAsia="Calibri" w:hAnsi="Times New Roman" w:cs="Times New Roman"/>
          <w:i/>
          <w:noProof/>
          <w:kern w:val="0"/>
          <w:sz w:val="20"/>
          <w:szCs w:val="20"/>
          <w14:ligatures w14:val="none"/>
        </w:rPr>
        <w:t> </w:t>
      </w:r>
      <w:r w:rsidR="00285DD8" w:rsidRPr="00FB4E2D">
        <w:rPr>
          <w:rFonts w:ascii="Times New Roman" w:eastAsia="Calibri" w:hAnsi="Times New Roman" w:cs="Times New Roman"/>
          <w:i/>
          <w:noProof/>
          <w:kern w:val="0"/>
          <w:sz w:val="20"/>
          <w:szCs w:val="20"/>
          <w14:ligatures w14:val="none"/>
        </w:rPr>
        <w:t>117 days); Article 101: 0 decisions of first instance and 1 decision of appellate body (total: 1</w:t>
      </w:r>
      <w:r w:rsidR="005E1249" w:rsidRPr="00FB4E2D">
        <w:rPr>
          <w:rFonts w:ascii="Times New Roman" w:eastAsia="Calibri" w:hAnsi="Times New Roman" w:cs="Times New Roman"/>
          <w:i/>
          <w:noProof/>
          <w:kern w:val="0"/>
          <w:sz w:val="20"/>
          <w:szCs w:val="20"/>
          <w14:ligatures w14:val="none"/>
        </w:rPr>
        <w:t> </w:t>
      </w:r>
      <w:r w:rsidR="00285DD8" w:rsidRPr="00FB4E2D">
        <w:rPr>
          <w:rFonts w:ascii="Times New Roman" w:eastAsia="Calibri" w:hAnsi="Times New Roman" w:cs="Times New Roman"/>
          <w:i/>
          <w:noProof/>
          <w:kern w:val="0"/>
          <w:sz w:val="20"/>
          <w:szCs w:val="20"/>
          <w14:ligatures w14:val="none"/>
        </w:rPr>
        <w:t>730 days). Average length of proceedings is therefore 1</w:t>
      </w:r>
      <w:r w:rsidR="005E1249" w:rsidRPr="00FB4E2D">
        <w:rPr>
          <w:rFonts w:ascii="Times New Roman" w:eastAsia="Calibri" w:hAnsi="Times New Roman" w:cs="Times New Roman"/>
          <w:i/>
          <w:noProof/>
          <w:kern w:val="0"/>
          <w:sz w:val="20"/>
          <w:szCs w:val="20"/>
          <w14:ligatures w14:val="none"/>
        </w:rPr>
        <w:t> </w:t>
      </w:r>
      <w:r w:rsidR="00285DD8" w:rsidRPr="00FB4E2D">
        <w:rPr>
          <w:rFonts w:ascii="Times New Roman" w:eastAsia="Calibri" w:hAnsi="Times New Roman" w:cs="Times New Roman"/>
          <w:i/>
          <w:noProof/>
          <w:kern w:val="0"/>
          <w:sz w:val="20"/>
          <w:szCs w:val="20"/>
          <w14:ligatures w14:val="none"/>
        </w:rPr>
        <w:t>423 days.</w:t>
      </w:r>
    </w:p>
    <w:p w14:paraId="4F44D8A6"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Times New Roman" w:hAnsi="Times New Roman" w:cs="Times New Roman"/>
          <w:i/>
          <w:noProof/>
          <w:kern w:val="0"/>
          <w14:ligatures w14:val="none"/>
        </w:rPr>
        <w:t>– Electronic communications –</w:t>
      </w:r>
    </w:p>
    <w:p w14:paraId="1F382782" w14:textId="6CBD8B78" w:rsidR="00A02C07" w:rsidRPr="00FB4E2D" w:rsidRDefault="00A02C07" w:rsidP="00A02C07">
      <w:pPr>
        <w:spacing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The objective of EU electronic communications </w:t>
      </w:r>
      <w:r w:rsidRPr="00FB4E2D" w:rsidDel="002E3FE5">
        <w:rPr>
          <w:rFonts w:ascii="Times New Roman" w:eastAsia="Calibri" w:hAnsi="Times New Roman" w:cs="Times New Roman"/>
          <w:noProof/>
          <w:kern w:val="0"/>
          <w14:ligatures w14:val="none"/>
        </w:rPr>
        <w:t xml:space="preserve">legislation </w:t>
      </w:r>
      <w:r w:rsidRPr="00FB4E2D">
        <w:rPr>
          <w:rFonts w:ascii="Times New Roman" w:eastAsia="Calibri" w:hAnsi="Times New Roman" w:cs="Times New Roman"/>
          <w:noProof/>
          <w:kern w:val="0"/>
          <w14:ligatures w14:val="none"/>
        </w:rPr>
        <w:t xml:space="preserve">is to encourage competition, contribute to the development of the single market and generate investment, innovation and growth. The positive effects for consumers can be achieved </w:t>
      </w:r>
      <w:r w:rsidRPr="00FB4E2D" w:rsidDel="002E3FE5">
        <w:rPr>
          <w:rFonts w:ascii="Times New Roman" w:eastAsia="Calibri" w:hAnsi="Times New Roman" w:cs="Times New Roman"/>
          <w:noProof/>
          <w:kern w:val="0"/>
          <w14:ligatures w14:val="none"/>
        </w:rPr>
        <w:t xml:space="preserve">through </w:t>
      </w:r>
      <w:r w:rsidRPr="00FB4E2D">
        <w:rPr>
          <w:rFonts w:ascii="Times New Roman" w:eastAsia="Calibri" w:hAnsi="Times New Roman" w:cs="Times New Roman"/>
          <w:noProof/>
          <w:kern w:val="0"/>
          <w14:ligatures w14:val="none"/>
        </w:rPr>
        <w:t>effective enforc</w:t>
      </w:r>
      <w:r w:rsidRPr="00FB4E2D" w:rsidDel="002E3FE5">
        <w:rPr>
          <w:rFonts w:ascii="Times New Roman" w:eastAsia="Calibri" w:hAnsi="Times New Roman" w:cs="Times New Roman"/>
          <w:noProof/>
          <w:kern w:val="0"/>
          <w14:ligatures w14:val="none"/>
        </w:rPr>
        <w:t>ement of this legislation which can</w:t>
      </w:r>
      <w:r w:rsidRPr="00FB4E2D">
        <w:rPr>
          <w:rFonts w:ascii="Times New Roman" w:eastAsia="Calibri" w:hAnsi="Times New Roman" w:cs="Times New Roman"/>
          <w:noProof/>
          <w:kern w:val="0"/>
          <w14:ligatures w14:val="none"/>
        </w:rPr>
        <w:t xml:space="preserve"> lead to lower prices for end users and better</w:t>
      </w:r>
      <w:r w:rsidR="00C65DBA">
        <w:rPr>
          <w:rFonts w:ascii="Times New Roman" w:eastAsia="Calibri" w:hAnsi="Times New Roman" w:cs="Times New Roman"/>
          <w:noProof/>
          <w:kern w:val="0"/>
          <w14:ligatures w14:val="none"/>
        </w:rPr>
        <w:t>-</w:t>
      </w:r>
      <w:r w:rsidRPr="00FB4E2D">
        <w:rPr>
          <w:rFonts w:ascii="Times New Roman" w:eastAsia="Calibri" w:hAnsi="Times New Roman" w:cs="Times New Roman"/>
          <w:noProof/>
          <w:kern w:val="0"/>
          <w14:ligatures w14:val="none"/>
        </w:rPr>
        <w:t>quality services. Figure 17 presents the average length of judicial review cases against the decisions of national regulatory authorities applying EU law on electronic communications (</w:t>
      </w:r>
      <w:r w:rsidRPr="00FB4E2D">
        <w:rPr>
          <w:rFonts w:ascii="Times New Roman" w:eastAsia="Calibri" w:hAnsi="Times New Roman" w:cs="Times New Roman"/>
          <w:noProof/>
          <w:kern w:val="0"/>
          <w:vertAlign w:val="superscript"/>
          <w14:ligatures w14:val="none"/>
        </w:rPr>
        <w:footnoteReference w:id="56"/>
      </w:r>
      <w:r w:rsidRPr="00FB4E2D">
        <w:rPr>
          <w:rFonts w:ascii="Times New Roman" w:eastAsia="Calibri" w:hAnsi="Times New Roman" w:cs="Times New Roman"/>
          <w:noProof/>
          <w:kern w:val="0"/>
          <w14:ligatures w14:val="none"/>
        </w:rPr>
        <w:t xml:space="preserve">). It covers a broad range of cases, from more complex ‘market analysis’ reviews to more straightforward consumer-focused issues. </w:t>
      </w:r>
    </w:p>
    <w:p w14:paraId="4850597A" w14:textId="2D950740" w:rsidR="00A02C07" w:rsidRPr="00FB4E2D" w:rsidRDefault="00A02C07" w:rsidP="00A02C07">
      <w:pPr>
        <w:spacing w:before="240" w:after="120" w:line="259"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Electronic communications</w:t>
      </w:r>
      <w:r w:rsidRPr="00FB4E2D">
        <w:rPr>
          <w:rFonts w:ascii="Times New Roman" w:eastAsia="Calibri" w:hAnsi="Times New Roman" w:cs="Times New Roman"/>
          <w:b/>
          <w:noProof/>
          <w:kern w:val="0"/>
          <w14:ligatures w14:val="none"/>
        </w:rPr>
        <w:t>: average length of judicial review in 2014</w:t>
      </w:r>
      <w:r w:rsidRPr="00FB4E2D" w:rsidDel="002D612E">
        <w:rPr>
          <w:rFonts w:ascii="Times New Roman" w:eastAsia="Calibri" w:hAnsi="Times New Roman" w:cs="Times New Roman"/>
          <w:b/>
          <w:noProof/>
          <w:kern w:val="0"/>
          <w14:ligatures w14:val="none"/>
        </w:rPr>
        <w:t>,</w:t>
      </w:r>
      <w:r w:rsidRPr="00FB4E2D">
        <w:rPr>
          <w:rFonts w:ascii="Times New Roman" w:eastAsia="Calibri" w:hAnsi="Times New Roman" w:cs="Times New Roman"/>
          <w:b/>
          <w:noProof/>
          <w:kern w:val="0"/>
          <w14:ligatures w14:val="none"/>
        </w:rPr>
        <w:t xml:space="preserve"> 2022</w:t>
      </w:r>
      <w:r w:rsidRPr="00FB4E2D" w:rsidDel="002D612E">
        <w:rPr>
          <w:rFonts w:ascii="Times New Roman" w:eastAsia="Calibri" w:hAnsi="Times New Roman" w:cs="Times New Roman"/>
          <w:b/>
          <w:noProof/>
          <w:kern w:val="0"/>
          <w14:ligatures w14:val="none"/>
        </w:rPr>
        <w:t xml:space="preserve"> </w:t>
      </w:r>
      <w:r w:rsidRPr="00FB4E2D" w:rsidDel="002D612E">
        <w:rPr>
          <w:rFonts w:ascii="Times New Roman" w:eastAsia="Times New Roman" w:hAnsi="Times New Roman" w:cs="Times New Roman"/>
          <w:b/>
          <w:noProof/>
          <w:kern w:val="0"/>
          <w14:ligatures w14:val="none"/>
        </w:rPr>
        <w:t xml:space="preserve">– </w:t>
      </w:r>
      <w:r w:rsidRPr="00FB4E2D">
        <w:rPr>
          <w:rFonts w:ascii="Times New Roman" w:eastAsia="Calibri" w:hAnsi="Times New Roman" w:cs="Times New Roman"/>
          <w:b/>
          <w:noProof/>
          <w:kern w:val="0"/>
          <w14:ligatures w14:val="none"/>
        </w:rPr>
        <w:t>2024</w:t>
      </w:r>
      <w:r w:rsidRPr="00FB4E2D">
        <w:rPr>
          <w:rFonts w:ascii="Times New Roman" w:eastAsia="Calibri" w:hAnsi="Times New Roman" w:cs="Times New Roman"/>
          <w:noProof/>
          <w:kern w:val="0"/>
          <w:sz w:val="22"/>
          <w:szCs w:val="22"/>
          <w14:ligatures w14:val="none"/>
        </w:rPr>
        <w:t xml:space="preserve"> (</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i/>
          <w:noProof/>
          <w:kern w:val="0"/>
          <w14:ligatures w14:val="none"/>
        </w:rPr>
        <w:t xml:space="preserve"> (first instance/in days) (source: European Commission with the Communications Committee)</w:t>
      </w:r>
    </w:p>
    <w:p w14:paraId="159DA188" w14:textId="72CB6112" w:rsidR="00A02C07" w:rsidRPr="00FB4E2D" w:rsidRDefault="00A02C07" w:rsidP="000433F7">
      <w:pPr>
        <w:spacing w:before="240" w:after="120" w:line="259" w:lineRule="auto"/>
        <w:jc w:val="both"/>
        <w:rPr>
          <w:rFonts w:ascii="Times New Roman" w:eastAsia="Calibri" w:hAnsi="Times New Roman" w:cs="Times New Roman"/>
          <w:i/>
          <w:noProof/>
          <w:kern w:val="0"/>
          <w:highlight w:val="yellow"/>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40108C7C" wp14:editId="417C331D">
            <wp:extent cx="5760000" cy="2506722"/>
            <wp:effectExtent l="0" t="0" r="0" b="8255"/>
            <wp:docPr id="1779316462" name="Picture 17"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16462" name="Picture 17" descr="A graph with different colored lines&#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000" cy="2506722"/>
                    </a:xfrm>
                    <a:prstGeom prst="rect">
                      <a:avLst/>
                    </a:prstGeom>
                    <a:noFill/>
                  </pic:spPr>
                </pic:pic>
              </a:graphicData>
            </a:graphic>
          </wp:inline>
        </w:drawing>
      </w:r>
      <w:r w:rsidRPr="00FB4E2D">
        <w:rPr>
          <w:rFonts w:ascii="Times New Roman" w:eastAsia="Calibri" w:hAnsi="Times New Roman" w:cs="Times New Roman"/>
          <w:noProof/>
          <w:kern w:val="0"/>
          <w:sz w:val="20"/>
          <w:szCs w:val="20"/>
          <w14:ligatures w14:val="none"/>
        </w:rPr>
        <w:t>(*)</w:t>
      </w:r>
      <w:r w:rsidRPr="00FB4E2D">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i/>
          <w:noProof/>
          <w:kern w:val="0"/>
          <w:sz w:val="20"/>
          <w:szCs w:val="20"/>
          <w14:ligatures w14:val="none"/>
        </w:rPr>
        <w:t>Values for some Member States have been reduced for presentation purposes (</w:t>
      </w:r>
      <w:r w:rsidRPr="00FB4E2D">
        <w:rPr>
          <w:rFonts w:ascii="Times New Roman" w:eastAsia="Calibri" w:hAnsi="Times New Roman" w:cs="Times New Roman"/>
          <w:b/>
          <w:i/>
          <w:noProof/>
          <w:kern w:val="0"/>
          <w:sz w:val="20"/>
          <w:szCs w:val="20"/>
          <w14:ligatures w14:val="none"/>
        </w:rPr>
        <w:t>PT</w:t>
      </w:r>
      <w:r w:rsidRPr="00FB4E2D">
        <w:rPr>
          <w:rFonts w:ascii="Times New Roman" w:eastAsia="Calibri" w:hAnsi="Times New Roman" w:cs="Times New Roman"/>
          <w:i/>
          <w:noProof/>
          <w:kern w:val="0"/>
          <w:sz w:val="20"/>
          <w:szCs w:val="20"/>
          <w14:ligatures w14:val="none"/>
        </w:rPr>
        <w:t xml:space="preserve"> in 2023 = 2.830; </w:t>
      </w:r>
      <w:r w:rsidRPr="00FB4E2D">
        <w:rPr>
          <w:rFonts w:ascii="Times New Roman" w:eastAsia="Calibri" w:hAnsi="Times New Roman" w:cs="Times New Roman"/>
          <w:b/>
          <w:i/>
          <w:noProof/>
          <w:kern w:val="0"/>
          <w:sz w:val="20"/>
          <w:szCs w:val="20"/>
          <w14:ligatures w14:val="none"/>
        </w:rPr>
        <w:t>CY</w:t>
      </w:r>
      <w:r w:rsidRPr="00FB4E2D">
        <w:rPr>
          <w:rFonts w:ascii="Times New Roman" w:eastAsia="Calibri" w:hAnsi="Times New Roman" w:cs="Times New Roman"/>
          <w:i/>
          <w:noProof/>
          <w:kern w:val="0"/>
          <w:sz w:val="20"/>
          <w:szCs w:val="20"/>
          <w14:ligatures w14:val="none"/>
        </w:rPr>
        <w:t xml:space="preserve"> in 2023 = 3.285). The average is weighted by the number of cases in the respective year. </w:t>
      </w:r>
      <w:r w:rsidRPr="00FB4E2D">
        <w:rPr>
          <w:rFonts w:ascii="Times New Roman" w:eastAsia="Times New Roman" w:hAnsi="Times New Roman" w:cs="Times New Roman"/>
          <w:i/>
          <w:noProof/>
          <w:kern w:val="0"/>
          <w:sz w:val="20"/>
          <w:szCs w:val="20"/>
          <w14:ligatures w14:val="none"/>
        </w:rPr>
        <w:t>The number of cases varies from one Member State to another. An empty column indicates that the Member State reported no cases for the year. Sometimes, the limited number of relevant cases (</w:t>
      </w:r>
      <w:r w:rsidRPr="00FB4E2D">
        <w:rPr>
          <w:rFonts w:ascii="Times New Roman" w:eastAsia="Times New Roman" w:hAnsi="Times New Roman" w:cs="Times New Roman"/>
          <w:b/>
          <w:i/>
          <w:noProof/>
          <w:kern w:val="0"/>
          <w:sz w:val="20"/>
          <w:szCs w:val="20"/>
          <w14:ligatures w14:val="none"/>
        </w:rPr>
        <w:t>BE, CY,</w:t>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HU, NL, SK, SE</w:t>
      </w:r>
      <w:r w:rsidRPr="00FB4E2D">
        <w:rPr>
          <w:rFonts w:ascii="Times New Roman" w:eastAsia="Times New Roman" w:hAnsi="Times New Roman" w:cs="Times New Roman"/>
          <w:i/>
          <w:noProof/>
          <w:kern w:val="0"/>
          <w:sz w:val="20"/>
          <w:szCs w:val="20"/>
          <w14:ligatures w14:val="none"/>
        </w:rPr>
        <w:t xml:space="preserve">) can cause the annual data to rely heavily on a single case that is exceptionally long or short; this may result in wide variations in the data from one year to the next. In </w:t>
      </w:r>
      <w:r w:rsidRPr="00FB4E2D">
        <w:rPr>
          <w:rFonts w:ascii="Times New Roman" w:eastAsia="Times New Roman" w:hAnsi="Times New Roman" w:cs="Times New Roman"/>
          <w:b/>
          <w:i/>
          <w:noProof/>
          <w:kern w:val="0"/>
          <w:sz w:val="20"/>
          <w:szCs w:val="20"/>
          <w14:ligatures w14:val="none"/>
        </w:rPr>
        <w:t>DK</w:t>
      </w:r>
      <w:r w:rsidRPr="00FB4E2D">
        <w:rPr>
          <w:rFonts w:ascii="Times New Roman" w:eastAsia="Times New Roman" w:hAnsi="Times New Roman" w:cs="Times New Roman"/>
          <w:i/>
          <w:noProof/>
          <w:kern w:val="0"/>
          <w:sz w:val="20"/>
          <w:szCs w:val="20"/>
          <w14:ligatures w14:val="none"/>
        </w:rPr>
        <w:t>, a quasi-judicial body is in charge of first instance appeals. In</w:t>
      </w:r>
      <w:r w:rsidRPr="00FB4E2D">
        <w:rPr>
          <w:rFonts w:ascii="Times New Roman" w:eastAsia="Times New Roman" w:hAnsi="Times New Roman" w:cs="Times New Roman"/>
          <w:b/>
          <w:i/>
          <w:noProof/>
          <w:kern w:val="0"/>
          <w:sz w:val="20"/>
          <w:szCs w:val="20"/>
          <w14:ligatures w14:val="none"/>
        </w:rPr>
        <w:t xml:space="preserve"> ES</w:t>
      </w:r>
      <w:r w:rsidRPr="00FB4E2D">
        <w:rPr>
          <w:rFonts w:ascii="Times New Roman" w:eastAsia="Times New Roman" w:hAnsi="Times New Roman" w:cs="Times New Roman"/>
          <w:i/>
          <w:noProof/>
          <w:kern w:val="0"/>
          <w:sz w:val="20"/>
          <w:szCs w:val="20"/>
          <w14:ligatures w14:val="none"/>
        </w:rPr>
        <w:t>,</w:t>
      </w:r>
      <w:r w:rsidRPr="00FB4E2D">
        <w:rPr>
          <w:rFonts w:ascii="Times New Roman" w:eastAsia="Times New Roman" w:hAnsi="Times New Roman" w:cs="Times New Roman"/>
          <w:b/>
          <w:i/>
          <w:noProof/>
          <w:kern w:val="0"/>
          <w:sz w:val="20"/>
          <w:szCs w:val="20"/>
          <w14:ligatures w14:val="none"/>
        </w:rPr>
        <w:t xml:space="preserve"> AT</w:t>
      </w:r>
      <w:r w:rsidRPr="00FB4E2D">
        <w:rPr>
          <w:rFonts w:ascii="Times New Roman" w:eastAsia="Times New Roman" w:hAnsi="Times New Roman" w:cs="Times New Roman"/>
          <w:i/>
          <w:noProof/>
          <w:kern w:val="0"/>
          <w:sz w:val="20"/>
          <w:szCs w:val="20"/>
          <w14:ligatures w14:val="none"/>
        </w:rPr>
        <w:t xml:space="preserve">, and </w:t>
      </w:r>
      <w:r w:rsidRPr="00FB4E2D">
        <w:rPr>
          <w:rFonts w:ascii="Times New Roman" w:eastAsia="Times New Roman" w:hAnsi="Times New Roman" w:cs="Times New Roman"/>
          <w:b/>
          <w:i/>
          <w:noProof/>
          <w:kern w:val="0"/>
          <w:sz w:val="20"/>
          <w:szCs w:val="20"/>
          <w14:ligatures w14:val="none"/>
        </w:rPr>
        <w:t>PL</w:t>
      </w:r>
      <w:r w:rsidRPr="00FB4E2D">
        <w:rPr>
          <w:rFonts w:ascii="Times New Roman" w:eastAsia="Times New Roman" w:hAnsi="Times New Roman" w:cs="Times New Roman"/>
          <w:i/>
          <w:noProof/>
          <w:kern w:val="0"/>
          <w:sz w:val="20"/>
          <w:szCs w:val="20"/>
          <w14:ligatures w14:val="none"/>
        </w:rPr>
        <w:t>, different courts are in charge</w:t>
      </w:r>
      <w:r w:rsidR="00E33D61" w:rsidRPr="00FB4E2D">
        <w:rPr>
          <w:rFonts w:ascii="Times New Roman" w:eastAsia="Times New Roman" w:hAnsi="Times New Roman" w:cs="Times New Roman"/>
          <w:i/>
          <w:noProof/>
          <w:sz w:val="20"/>
          <w:szCs w:val="20"/>
        </w:rPr>
        <w:t>,</w:t>
      </w:r>
      <w:r w:rsidRPr="00FB4E2D">
        <w:rPr>
          <w:rFonts w:ascii="Times New Roman" w:eastAsia="Times New Roman" w:hAnsi="Times New Roman" w:cs="Times New Roman"/>
          <w:i/>
          <w:noProof/>
          <w:kern w:val="0"/>
          <w:sz w:val="20"/>
          <w:szCs w:val="20"/>
          <w14:ligatures w14:val="none"/>
        </w:rPr>
        <w:t xml:space="preserve"> depending on the subject matter. </w:t>
      </w:r>
      <w:r w:rsidRPr="00FB4E2D">
        <w:rPr>
          <w:rFonts w:ascii="Times New Roman" w:eastAsia="Times New Roman" w:hAnsi="Times New Roman" w:cs="Times New Roman"/>
          <w:b/>
          <w:i/>
          <w:noProof/>
          <w:kern w:val="0"/>
          <w:sz w:val="20"/>
          <w:szCs w:val="20"/>
          <w14:ligatures w14:val="none"/>
        </w:rPr>
        <w:t xml:space="preserve">NL: </w:t>
      </w:r>
      <w:r w:rsidRPr="00FB4E2D">
        <w:rPr>
          <w:rFonts w:ascii="Times New Roman" w:eastAsia="Times New Roman" w:hAnsi="Times New Roman" w:cs="Times New Roman"/>
          <w:i/>
          <w:noProof/>
          <w:kern w:val="0"/>
          <w:sz w:val="20"/>
          <w:szCs w:val="20"/>
          <w14:ligatures w14:val="none"/>
        </w:rPr>
        <w:t xml:space="preserve">one case withdrawn, one case declared unfounded. </w:t>
      </w:r>
      <w:r w:rsidRPr="00FB4E2D">
        <w:rPr>
          <w:rFonts w:ascii="Times New Roman" w:eastAsia="Times New Roman" w:hAnsi="Times New Roman" w:cs="Times New Roman"/>
          <w:b/>
          <w:i/>
          <w:noProof/>
          <w:kern w:val="0"/>
          <w:sz w:val="20"/>
          <w:szCs w:val="20"/>
          <w14:ligatures w14:val="none"/>
        </w:rPr>
        <w:t>ES:</w:t>
      </w:r>
      <w:r w:rsidRPr="00FB4E2D">
        <w:rPr>
          <w:rFonts w:ascii="Times New Roman" w:eastAsia="Times New Roman" w:hAnsi="Times New Roman" w:cs="Times New Roman"/>
          <w:i/>
          <w:noProof/>
          <w:kern w:val="0"/>
          <w:sz w:val="20"/>
          <w:szCs w:val="20"/>
          <w14:ligatures w14:val="none"/>
        </w:rPr>
        <w:t xml:space="preserve"> Out of 13 cases, 10 concerned </w:t>
      </w:r>
      <w:r w:rsidR="00067E4B" w:rsidRPr="00FB4E2D">
        <w:rPr>
          <w:rFonts w:ascii="Times New Roman" w:eastAsia="Times New Roman" w:hAnsi="Times New Roman" w:cs="Times New Roman"/>
          <w:i/>
          <w:noProof/>
          <w:kern w:val="0"/>
          <w:sz w:val="20"/>
          <w:szCs w:val="20"/>
          <w14:ligatures w14:val="none"/>
        </w:rPr>
        <w:t>telecom</w:t>
      </w:r>
      <w:r w:rsidR="00067E4B" w:rsidRPr="00FB4E2D">
        <w:rPr>
          <w:rFonts w:ascii="Times New Roman" w:eastAsia="Times New Roman" w:hAnsi="Times New Roman" w:cs="Times New Roman"/>
          <w:i/>
          <w:noProof/>
          <w:sz w:val="20"/>
          <w:szCs w:val="20"/>
        </w:rPr>
        <w:t>s.</w:t>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BE</w:t>
      </w:r>
      <w:r w:rsidRPr="00FB4E2D">
        <w:rPr>
          <w:rFonts w:ascii="Times New Roman" w:eastAsia="Times New Roman" w:hAnsi="Times New Roman" w:cs="Times New Roman"/>
          <w:i/>
          <w:noProof/>
          <w:kern w:val="0"/>
          <w:sz w:val="20"/>
          <w:szCs w:val="20"/>
          <w14:ligatures w14:val="none"/>
        </w:rPr>
        <w:t xml:space="preserve">: In the specific case of electronic communications, the Market Court of Brussels is the first instance court. The only possibility for appeal is before the Court de Cassation on the basis of legal arguments (not merits). </w:t>
      </w:r>
      <w:r w:rsidRPr="00FB4E2D">
        <w:rPr>
          <w:rFonts w:ascii="Times New Roman" w:eastAsia="Times New Roman" w:hAnsi="Times New Roman" w:cs="Times New Roman"/>
          <w:b/>
          <w:i/>
          <w:noProof/>
          <w:kern w:val="0"/>
          <w:sz w:val="20"/>
          <w:szCs w:val="20"/>
          <w14:ligatures w14:val="none"/>
        </w:rPr>
        <w:t>FI:</w:t>
      </w:r>
      <w:r w:rsidRPr="00FB4E2D">
        <w:rPr>
          <w:rFonts w:ascii="Times New Roman" w:eastAsia="Times New Roman" w:hAnsi="Times New Roman" w:cs="Times New Roman"/>
          <w:i/>
          <w:noProof/>
          <w:kern w:val="0"/>
          <w:sz w:val="20"/>
          <w:szCs w:val="20"/>
          <w14:ligatures w14:val="none"/>
        </w:rPr>
        <w:t xml:space="preserve"> The Regulator's decisions </w:t>
      </w:r>
      <w:r w:rsidR="00DE137F" w:rsidRPr="00FB4E2D">
        <w:rPr>
          <w:rFonts w:ascii="Times New Roman" w:eastAsia="Times New Roman" w:hAnsi="Times New Roman" w:cs="Times New Roman"/>
          <w:i/>
          <w:noProof/>
          <w:sz w:val="20"/>
          <w:szCs w:val="20"/>
        </w:rPr>
        <w:t xml:space="preserve">on </w:t>
      </w:r>
      <w:r w:rsidRPr="00FB4E2D">
        <w:rPr>
          <w:rFonts w:ascii="Times New Roman" w:eastAsia="Times New Roman" w:hAnsi="Times New Roman" w:cs="Times New Roman"/>
          <w:i/>
          <w:noProof/>
          <w:kern w:val="0"/>
          <w:sz w:val="20"/>
          <w:szCs w:val="20"/>
          <w14:ligatures w14:val="none"/>
        </w:rPr>
        <w:t>significant marke</w:t>
      </w:r>
      <w:r w:rsidR="00FA0A65" w:rsidRPr="00FB4E2D">
        <w:rPr>
          <w:rFonts w:ascii="Times New Roman" w:eastAsia="Times New Roman" w:hAnsi="Times New Roman" w:cs="Times New Roman"/>
          <w:i/>
          <w:noProof/>
          <w:sz w:val="20"/>
          <w:szCs w:val="20"/>
        </w:rPr>
        <w:t xml:space="preserve">t </w:t>
      </w:r>
      <w:r w:rsidRPr="00FB4E2D">
        <w:rPr>
          <w:rFonts w:ascii="Times New Roman" w:eastAsia="Times New Roman" w:hAnsi="Times New Roman" w:cs="Times New Roman"/>
          <w:i/>
          <w:noProof/>
          <w:kern w:val="0"/>
          <w:sz w:val="20"/>
          <w:szCs w:val="20"/>
          <w14:ligatures w14:val="none"/>
        </w:rPr>
        <w:t>power (SMP)</w:t>
      </w:r>
      <w:r w:rsidR="53B1BC59" w:rsidRPr="00FB4E2D">
        <w:rPr>
          <w:rFonts w:ascii="Times New Roman" w:eastAsia="Times New Roman" w:hAnsi="Times New Roman" w:cs="Times New Roman"/>
          <w:i/>
          <w:iCs/>
          <w:noProof/>
          <w:sz w:val="20"/>
          <w:szCs w:val="20"/>
        </w:rPr>
        <w:t xml:space="preserve">, </w:t>
      </w:r>
      <w:r w:rsidR="48768514" w:rsidRPr="00FB4E2D">
        <w:rPr>
          <w:rFonts w:ascii="Times New Roman" w:eastAsia="Times New Roman" w:hAnsi="Times New Roman" w:cs="Times New Roman"/>
          <w:i/>
          <w:iCs/>
          <w:noProof/>
          <w:sz w:val="20"/>
          <w:szCs w:val="20"/>
        </w:rPr>
        <w:t>including decisions related to</w:t>
      </w:r>
      <w:r w:rsidRPr="00FB4E2D">
        <w:rPr>
          <w:rFonts w:ascii="Times New Roman" w:eastAsia="Times New Roman" w:hAnsi="Times New Roman" w:cs="Times New Roman"/>
          <w:i/>
          <w:noProof/>
          <w:sz w:val="20"/>
          <w:szCs w:val="20"/>
        </w:rPr>
        <w:t xml:space="preserve"> </w:t>
      </w:r>
      <w:r w:rsidRPr="00FB4E2D" w:rsidDel="00FA0A65">
        <w:rPr>
          <w:rFonts w:ascii="Times New Roman" w:eastAsia="Times New Roman" w:hAnsi="Times New Roman" w:cs="Times New Roman"/>
          <w:i/>
          <w:noProof/>
          <w:sz w:val="20"/>
          <w:szCs w:val="20"/>
        </w:rPr>
        <w:t xml:space="preserve">the </w:t>
      </w:r>
      <w:r w:rsidR="583CCDCC" w:rsidRPr="00FB4E2D">
        <w:rPr>
          <w:rFonts w:ascii="Times New Roman" w:eastAsia="Times New Roman" w:hAnsi="Times New Roman" w:cs="Times New Roman"/>
          <w:i/>
          <w:iCs/>
          <w:noProof/>
          <w:sz w:val="20"/>
          <w:szCs w:val="20"/>
        </w:rPr>
        <w:t>supervision and enforcement</w:t>
      </w:r>
      <w:r w:rsidRPr="00FB4E2D">
        <w:rPr>
          <w:rFonts w:ascii="Times New Roman" w:eastAsia="Times New Roman" w:hAnsi="Times New Roman" w:cs="Times New Roman"/>
          <w:i/>
          <w:noProof/>
          <w:sz w:val="20"/>
          <w:szCs w:val="20"/>
        </w:rPr>
        <w:t xml:space="preserve"> </w:t>
      </w:r>
      <w:r w:rsidRPr="00FB4E2D" w:rsidDel="00FA0A65">
        <w:rPr>
          <w:rFonts w:ascii="Times New Roman" w:eastAsia="Times New Roman" w:hAnsi="Times New Roman" w:cs="Times New Roman"/>
          <w:i/>
          <w:noProof/>
          <w:sz w:val="20"/>
          <w:szCs w:val="20"/>
        </w:rPr>
        <w:t xml:space="preserve">of </w:t>
      </w:r>
      <w:r w:rsidRPr="00FB4E2D">
        <w:rPr>
          <w:rFonts w:ascii="Times New Roman" w:eastAsia="Times New Roman" w:hAnsi="Times New Roman" w:cs="Times New Roman"/>
          <w:i/>
          <w:noProof/>
          <w:kern w:val="0"/>
          <w:sz w:val="20"/>
          <w:szCs w:val="20"/>
          <w14:ligatures w14:val="none"/>
        </w:rPr>
        <w:t xml:space="preserve">SMP </w:t>
      </w:r>
      <w:r w:rsidR="10E83C0A" w:rsidRPr="00FB4E2D">
        <w:rPr>
          <w:rFonts w:ascii="Times New Roman" w:eastAsia="Times New Roman" w:hAnsi="Times New Roman" w:cs="Times New Roman"/>
          <w:i/>
          <w:iCs/>
          <w:noProof/>
          <w:sz w:val="20"/>
          <w:szCs w:val="20"/>
        </w:rPr>
        <w:t>obligations</w:t>
      </w:r>
      <w:r w:rsidR="003F76A0">
        <w:rPr>
          <w:rFonts w:ascii="Times New Roman" w:eastAsia="Times New Roman" w:hAnsi="Times New Roman" w:cs="Times New Roman"/>
          <w:i/>
          <w:noProof/>
          <w:sz w:val="20"/>
          <w:szCs w:val="20"/>
        </w:rPr>
        <w:t xml:space="preserve"> -</w:t>
      </w:r>
      <w:r w:rsidR="00FA0A65" w:rsidRPr="00FB4E2D">
        <w:rPr>
          <w:rFonts w:ascii="Times New Roman" w:eastAsia="Times New Roman" w:hAnsi="Times New Roman" w:cs="Times New Roman"/>
          <w:i/>
          <w:noProof/>
          <w:sz w:val="20"/>
          <w:szCs w:val="20"/>
        </w:rPr>
        <w:t xml:space="preserve"> </w:t>
      </w:r>
      <w:r w:rsidR="03821479" w:rsidRPr="00FB4E2D">
        <w:rPr>
          <w:rFonts w:ascii="Times New Roman" w:eastAsia="Times New Roman" w:hAnsi="Times New Roman" w:cs="Times New Roman"/>
          <w:noProof/>
          <w:sz w:val="20"/>
          <w:szCs w:val="20"/>
        </w:rPr>
        <w:t xml:space="preserve"> </w:t>
      </w:r>
      <w:r w:rsidR="03821479" w:rsidRPr="00FB4E2D">
        <w:rPr>
          <w:rFonts w:ascii="Times New Roman" w:eastAsia="Times New Roman" w:hAnsi="Times New Roman" w:cs="Times New Roman"/>
          <w:i/>
          <w:noProof/>
          <w:sz w:val="20"/>
          <w:szCs w:val="20"/>
        </w:rPr>
        <w:t>such as compliance with pricing obligations — as well as decisions designating a universal service provider</w:t>
      </w:r>
      <w:r w:rsidR="03821479" w:rsidRPr="00FB4E2D">
        <w:rPr>
          <w:rFonts w:ascii="Times New Roman" w:eastAsia="Times New Roman" w:hAnsi="Times New Roman" w:cs="Times New Roman"/>
          <w:i/>
          <w:iCs/>
          <w:noProof/>
          <w:sz w:val="20"/>
          <w:szCs w:val="20"/>
        </w:rPr>
        <w:t xml:space="preserve"> </w:t>
      </w:r>
      <w:r w:rsidR="004F14CA"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i/>
          <w:noProof/>
          <w:kern w:val="0"/>
          <w:sz w:val="20"/>
          <w:szCs w:val="20"/>
          <w14:ligatures w14:val="none"/>
        </w:rPr>
        <w:t xml:space="preserve"> can be appealed to the Supreme Administrative Court which is the first and only appeal Court in these cases. </w:t>
      </w:r>
      <w:r w:rsidRPr="00FB4E2D">
        <w:rPr>
          <w:rFonts w:ascii="Times New Roman" w:eastAsia="Times New Roman" w:hAnsi="Times New Roman" w:cs="Times New Roman"/>
          <w:b/>
          <w:i/>
          <w:noProof/>
          <w:kern w:val="0"/>
          <w:sz w:val="20"/>
          <w:szCs w:val="20"/>
          <w14:ligatures w14:val="none"/>
        </w:rPr>
        <w:t>HR:</w:t>
      </w:r>
      <w:r w:rsidRPr="00FB4E2D">
        <w:rPr>
          <w:rFonts w:ascii="Times New Roman" w:eastAsia="Times New Roman" w:hAnsi="Times New Roman" w:cs="Times New Roman"/>
          <w:i/>
          <w:noProof/>
          <w:kern w:val="0"/>
          <w:sz w:val="20"/>
          <w:szCs w:val="20"/>
          <w14:ligatures w14:val="none"/>
        </w:rPr>
        <w:t xml:space="preserve"> Includes cases of first instance before the </w:t>
      </w:r>
      <w:r w:rsidR="002A286D" w:rsidRPr="00FB4E2D">
        <w:rPr>
          <w:rFonts w:ascii="Times New Roman" w:eastAsia="Times New Roman" w:hAnsi="Times New Roman" w:cs="Times New Roman"/>
          <w:i/>
          <w:noProof/>
          <w:sz w:val="20"/>
          <w:szCs w:val="20"/>
        </w:rPr>
        <w:t>a</w:t>
      </w:r>
      <w:r w:rsidRPr="00FB4E2D">
        <w:rPr>
          <w:rFonts w:ascii="Times New Roman" w:eastAsia="Times New Roman" w:hAnsi="Times New Roman" w:cs="Times New Roman"/>
          <w:i/>
          <w:noProof/>
          <w:kern w:val="0"/>
          <w:sz w:val="20"/>
          <w:szCs w:val="20"/>
          <w14:ligatures w14:val="none"/>
        </w:rPr>
        <w:t xml:space="preserve">dministrative </w:t>
      </w:r>
      <w:r w:rsidR="002A286D" w:rsidRPr="00FB4E2D">
        <w:rPr>
          <w:rFonts w:ascii="Times New Roman" w:eastAsia="Times New Roman" w:hAnsi="Times New Roman" w:cs="Times New Roman"/>
          <w:i/>
          <w:noProof/>
          <w:sz w:val="20"/>
          <w:szCs w:val="20"/>
        </w:rPr>
        <w:t>c</w:t>
      </w:r>
      <w:r w:rsidRPr="00FB4E2D">
        <w:rPr>
          <w:rFonts w:ascii="Times New Roman" w:eastAsia="Times New Roman" w:hAnsi="Times New Roman" w:cs="Times New Roman"/>
          <w:i/>
          <w:noProof/>
          <w:kern w:val="0"/>
          <w:sz w:val="20"/>
          <w:szCs w:val="20"/>
          <w14:ligatures w14:val="none"/>
        </w:rPr>
        <w:t>ourts and cases before the High Administrative Court.</w:t>
      </w:r>
    </w:p>
    <w:p w14:paraId="5B4AAB82"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bookmarkStart w:id="240" w:name="_Ref441766145"/>
      <w:r w:rsidRPr="00FB4E2D">
        <w:rPr>
          <w:rFonts w:ascii="Times New Roman" w:eastAsia="Times New Roman" w:hAnsi="Times New Roman" w:cs="Times New Roman"/>
          <w:i/>
          <w:noProof/>
          <w:kern w:val="0"/>
          <w14:ligatures w14:val="none"/>
        </w:rPr>
        <w:t>– EU trademark –</w:t>
      </w:r>
    </w:p>
    <w:bookmarkEnd w:id="240"/>
    <w:p w14:paraId="5AA2708B" w14:textId="4214A7AB" w:rsidR="00A02C07" w:rsidRPr="00FB4E2D" w:rsidRDefault="00A02C07" w:rsidP="00A02C07">
      <w:pPr>
        <w:spacing w:after="0" w:line="240" w:lineRule="auto"/>
        <w:jc w:val="both"/>
        <w:rPr>
          <w:rFonts w:ascii="Times New Roman" w:eastAsia="Calibri" w:hAnsi="Times New Roman" w:cs="Times New Roman"/>
          <w:noProof/>
          <w:kern w:val="0"/>
          <w:szCs w:val="22"/>
          <w14:ligatures w14:val="none"/>
        </w:rPr>
      </w:pPr>
      <w:r w:rsidRPr="00FB4E2D">
        <w:rPr>
          <w:rFonts w:ascii="Times New Roman" w:eastAsia="Calibri" w:hAnsi="Times New Roman" w:cs="Times New Roman"/>
          <w:noProof/>
          <w:kern w:val="0"/>
          <w14:ligatures w14:val="none"/>
        </w:rPr>
        <w:t xml:space="preserve">Effective enforcement of intellectual property rights is essential to stimulate investment in innovation. EU </w:t>
      </w:r>
      <w:r w:rsidRPr="00FB4E2D" w:rsidDel="00863CFC">
        <w:rPr>
          <w:rFonts w:ascii="Times New Roman" w:eastAsia="Calibri" w:hAnsi="Times New Roman" w:cs="Times New Roman"/>
          <w:noProof/>
          <w:kern w:val="0"/>
          <w14:ligatures w14:val="none"/>
        </w:rPr>
        <w:t xml:space="preserve">legislation </w:t>
      </w:r>
      <w:r w:rsidRPr="00FB4E2D">
        <w:rPr>
          <w:rFonts w:ascii="Times New Roman" w:eastAsia="Calibri" w:hAnsi="Times New Roman" w:cs="Times New Roman"/>
          <w:noProof/>
          <w:kern w:val="0"/>
          <w14:ligatures w14:val="none"/>
        </w:rPr>
        <w:t>on EU trademarks (</w:t>
      </w:r>
      <w:r w:rsidRPr="00FB4E2D">
        <w:rPr>
          <w:rFonts w:ascii="Times New Roman" w:eastAsia="Calibri" w:hAnsi="Times New Roman" w:cs="Times New Roman"/>
          <w:noProof/>
          <w:kern w:val="0"/>
          <w:vertAlign w:val="superscript"/>
          <w14:ligatures w14:val="none"/>
        </w:rPr>
        <w:footnoteReference w:id="57"/>
      </w:r>
      <w:r w:rsidRPr="00FB4E2D">
        <w:rPr>
          <w:rFonts w:ascii="Times New Roman" w:eastAsia="Calibri" w:hAnsi="Times New Roman" w:cs="Times New Roman"/>
          <w:noProof/>
          <w:kern w:val="0"/>
          <w14:ligatures w14:val="none"/>
        </w:rPr>
        <w:t>) gives the national courts a significant role to play, empowering them to act as EU courts and take decisions that affect the single market. Figure 18 shows the average length of EU trademark infringement cases in litigation between private parties.</w:t>
      </w:r>
    </w:p>
    <w:p w14:paraId="24C467EE" w14:textId="1BEB16BE"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EU trademark</w:t>
      </w:r>
      <w:r w:rsidRPr="00FB4E2D">
        <w:rPr>
          <w:rFonts w:ascii="Times New Roman" w:eastAsia="Calibri" w:hAnsi="Times New Roman" w:cs="Times New Roman"/>
          <w:b/>
          <w:noProof/>
          <w:kern w:val="0"/>
          <w14:ligatures w14:val="none"/>
        </w:rPr>
        <w:t>: average length of EU trademark infringement cases in 2014, 2022</w:t>
      </w:r>
      <w:r w:rsidRPr="00FB4E2D" w:rsidDel="00844350">
        <w:rPr>
          <w:rFonts w:ascii="Times New Roman" w:eastAsia="Calibri" w:hAnsi="Times New Roman" w:cs="Times New Roman"/>
          <w:b/>
          <w:noProof/>
          <w:kern w:val="0"/>
          <w14:ligatures w14:val="none"/>
        </w:rPr>
        <w:t xml:space="preserve"> </w:t>
      </w:r>
      <w:r w:rsidRPr="00FB4E2D" w:rsidDel="00844350">
        <w:rPr>
          <w:rFonts w:ascii="Times New Roman" w:eastAsia="Times New Roman" w:hAnsi="Times New Roman" w:cs="Times New Roman"/>
          <w:b/>
          <w:noProof/>
          <w:kern w:val="0"/>
          <w14:ligatures w14:val="none"/>
        </w:rPr>
        <w:t xml:space="preserve">– </w:t>
      </w:r>
      <w:r w:rsidRPr="00FB4E2D">
        <w:rPr>
          <w:rFonts w:ascii="Times New Roman" w:eastAsia="Calibri" w:hAnsi="Times New Roman" w:cs="Times New Roman"/>
          <w:b/>
          <w:noProof/>
          <w:kern w:val="0"/>
          <w14:ligatures w14:val="none"/>
        </w:rPr>
        <w:t>2024</w:t>
      </w:r>
      <w:r w:rsidRPr="00FB4E2D">
        <w:rPr>
          <w:rFonts w:ascii="Times New Roman" w:eastAsia="Calibri" w:hAnsi="Times New Roman" w:cs="Times New Roman"/>
          <w:noProof/>
          <w:kern w:val="0"/>
          <w:sz w:val="22"/>
          <w:szCs w:val="22"/>
          <w14:ligatures w14:val="none"/>
        </w:rPr>
        <w:t xml:space="preserve"> (</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i/>
          <w:noProof/>
          <w:kern w:val="0"/>
          <w14:ligatures w14:val="none"/>
        </w:rPr>
        <w:t xml:space="preserve"> (at first instance/in days) (source: European Commission with the European Observatory on infringements of intellectual property rights)</w:t>
      </w:r>
    </w:p>
    <w:p w14:paraId="61070E67" w14:textId="11129351" w:rsidR="00A02C07" w:rsidRPr="00FB4E2D" w:rsidRDefault="00A02C07" w:rsidP="00A02C07">
      <w:pPr>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sz w:val="20"/>
          <w:szCs w:val="20"/>
          <w:lang w:val="en-GB" w:eastAsia="en-GB"/>
          <w14:ligatures w14:val="none"/>
        </w:rPr>
        <w:drawing>
          <wp:inline distT="0" distB="0" distL="0" distR="0" wp14:anchorId="16F48766" wp14:editId="028D6A2E">
            <wp:extent cx="5760000" cy="2398912"/>
            <wp:effectExtent l="0" t="0" r="0" b="1905"/>
            <wp:docPr id="1047606124" name="Picture 18"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606124" name="Picture 18" descr="A graph with numbers and lines&#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000" cy="2398912"/>
                    </a:xfrm>
                    <a:prstGeom prst="rect">
                      <a:avLst/>
                    </a:prstGeom>
                    <a:noFill/>
                  </pic:spPr>
                </pic:pic>
              </a:graphicData>
            </a:graphic>
          </wp:inline>
        </w:drawing>
      </w:r>
      <w:r w:rsidRPr="00FB4E2D">
        <w:rPr>
          <w:rFonts w:ascii="Times New Roman" w:eastAsia="Calibri" w:hAnsi="Times New Roman" w:cs="Times New Roman"/>
          <w:i/>
          <w:noProof/>
          <w:kern w:val="0"/>
          <w:sz w:val="20"/>
          <w:szCs w:val="20"/>
          <w14:ligatures w14:val="none"/>
        </w:rPr>
        <w:t xml:space="preserve">(*) The average is weighted by the number of cases in the respective year. </w:t>
      </w:r>
      <w:r w:rsidRPr="00FB4E2D" w:rsidDel="00635845">
        <w:rPr>
          <w:rFonts w:ascii="Times New Roman" w:eastAsia="Calibri" w:hAnsi="Times New Roman" w:cs="Times New Roman"/>
          <w:b/>
          <w:i/>
          <w:noProof/>
          <w:kern w:val="0"/>
          <w:sz w:val="20"/>
          <w:szCs w:val="20"/>
          <w14:ligatures w14:val="none"/>
        </w:rPr>
        <w:t>FR</w:t>
      </w:r>
      <w:r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b/>
          <w:i/>
          <w:noProof/>
          <w:kern w:val="0"/>
          <w:sz w:val="20"/>
          <w:szCs w:val="20"/>
          <w14:ligatures w14:val="none"/>
        </w:rPr>
        <w:t xml:space="preserve"> IT</w:t>
      </w:r>
      <w:r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b/>
          <w:i/>
          <w:noProof/>
          <w:kern w:val="0"/>
          <w:sz w:val="20"/>
          <w:szCs w:val="20"/>
          <w14:ligatures w14:val="none"/>
        </w:rPr>
        <w:t xml:space="preserve"> LT</w:t>
      </w:r>
      <w:r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b/>
          <w:i/>
          <w:noProof/>
          <w:kern w:val="0"/>
          <w:sz w:val="20"/>
          <w:szCs w:val="20"/>
          <w14:ligatures w14:val="none"/>
        </w:rPr>
        <w:t xml:space="preserve"> LU</w:t>
      </w:r>
      <w:r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b/>
          <w:i/>
          <w:noProof/>
          <w:kern w:val="0"/>
          <w:sz w:val="20"/>
          <w:szCs w:val="20"/>
          <w14:ligatures w14:val="none"/>
        </w:rPr>
        <w:t xml:space="preserve"> </w:t>
      </w:r>
      <w:r w:rsidRPr="00FB4E2D">
        <w:rPr>
          <w:rFonts w:ascii="Times New Roman" w:eastAsia="Calibri" w:hAnsi="Times New Roman" w:cs="Times New Roman"/>
          <w:i/>
          <w:noProof/>
          <w:kern w:val="0"/>
          <w:sz w:val="20"/>
          <w:szCs w:val="20"/>
          <w14:ligatures w14:val="none"/>
        </w:rPr>
        <w:t xml:space="preserve">A sample of cases used for data for certain years. </w:t>
      </w:r>
      <w:r w:rsidRPr="00FB4E2D">
        <w:rPr>
          <w:rFonts w:ascii="Times New Roman" w:eastAsia="Calibri" w:hAnsi="Times New Roman" w:cs="Times New Roman"/>
          <w:b/>
          <w:i/>
          <w:noProof/>
          <w:kern w:val="0"/>
          <w:sz w:val="20"/>
          <w:szCs w:val="20"/>
          <w14:ligatures w14:val="none"/>
        </w:rPr>
        <w:t>DK</w:t>
      </w:r>
      <w:r w:rsidRPr="00FB4E2D">
        <w:rPr>
          <w:rFonts w:ascii="Times New Roman" w:eastAsia="Calibri" w:hAnsi="Times New Roman" w:cs="Times New Roman"/>
          <w:i/>
          <w:noProof/>
          <w:kern w:val="0"/>
          <w:sz w:val="20"/>
          <w:szCs w:val="20"/>
          <w14:ligatures w14:val="none"/>
        </w:rPr>
        <w:t>: Data from all trademark cases (not only EU) in commercial and m</w:t>
      </w:r>
      <w:r w:rsidRPr="00FB4E2D" w:rsidDel="00AB678C">
        <w:rPr>
          <w:rFonts w:ascii="Times New Roman" w:eastAsia="Calibri" w:hAnsi="Times New Roman" w:cs="Times New Roman"/>
          <w:i/>
          <w:noProof/>
          <w:kern w:val="0"/>
          <w:sz w:val="20"/>
          <w:szCs w:val="20"/>
          <w14:ligatures w14:val="none"/>
        </w:rPr>
        <w:t xml:space="preserve">aritime </w:t>
      </w:r>
      <w:r w:rsidRPr="00FB4E2D">
        <w:rPr>
          <w:rFonts w:ascii="Times New Roman" w:eastAsia="Calibri" w:hAnsi="Times New Roman" w:cs="Times New Roman"/>
          <w:i/>
          <w:noProof/>
          <w:kern w:val="0"/>
          <w:sz w:val="20"/>
          <w:szCs w:val="20"/>
          <w14:ligatures w14:val="none"/>
        </w:rPr>
        <w:t>h</w:t>
      </w:r>
      <w:r w:rsidRPr="00FB4E2D" w:rsidDel="00AB678C">
        <w:rPr>
          <w:rFonts w:ascii="Times New Roman" w:eastAsia="Calibri" w:hAnsi="Times New Roman" w:cs="Times New Roman"/>
          <w:i/>
          <w:noProof/>
          <w:kern w:val="0"/>
          <w:sz w:val="20"/>
          <w:szCs w:val="20"/>
          <w14:ligatures w14:val="none"/>
        </w:rPr>
        <w:t xml:space="preserve">igh </w:t>
      </w:r>
      <w:r w:rsidRPr="00FB4E2D">
        <w:rPr>
          <w:rFonts w:ascii="Times New Roman" w:eastAsia="Calibri" w:hAnsi="Times New Roman" w:cs="Times New Roman"/>
          <w:i/>
          <w:noProof/>
          <w:kern w:val="0"/>
          <w:sz w:val="20"/>
          <w:szCs w:val="20"/>
          <w14:ligatures w14:val="none"/>
        </w:rPr>
        <w:t xml:space="preserve">courts; for 2023, 372 cases concerning intellectual property law were finalised. 53 were regular civil cases, 275 were handled as small claim procedures and 44 were prohibition proceedings and injunction proceedings. </w:t>
      </w:r>
      <w:r w:rsidR="00345DEF" w:rsidRPr="00FB4E2D">
        <w:rPr>
          <w:rFonts w:ascii="Times New Roman" w:eastAsia="Calibri" w:hAnsi="Times New Roman" w:cs="Times New Roman"/>
          <w:i/>
          <w:noProof/>
          <w:kern w:val="0"/>
          <w:sz w:val="20"/>
          <w:szCs w:val="20"/>
          <w14:ligatures w14:val="none"/>
        </w:rPr>
        <w:t xml:space="preserve">No </w:t>
      </w:r>
      <w:r w:rsidRPr="00FB4E2D">
        <w:rPr>
          <w:rFonts w:ascii="Times New Roman" w:eastAsia="Calibri" w:hAnsi="Times New Roman" w:cs="Times New Roman"/>
          <w:i/>
          <w:noProof/>
          <w:kern w:val="0"/>
          <w:sz w:val="20"/>
          <w:szCs w:val="20"/>
          <w14:ligatures w14:val="none"/>
        </w:rPr>
        <w:t xml:space="preserve">information </w:t>
      </w:r>
      <w:r w:rsidR="00345DEF" w:rsidRPr="00FB4E2D">
        <w:rPr>
          <w:rFonts w:ascii="Times New Roman" w:eastAsia="Calibri" w:hAnsi="Times New Roman" w:cs="Times New Roman"/>
          <w:i/>
          <w:noProof/>
          <w:kern w:val="0"/>
          <w:sz w:val="20"/>
          <w:szCs w:val="20"/>
          <w14:ligatures w14:val="none"/>
        </w:rPr>
        <w:t xml:space="preserve">is available </w:t>
      </w:r>
      <w:r w:rsidRPr="00FB4E2D">
        <w:rPr>
          <w:rFonts w:ascii="Times New Roman" w:eastAsia="Calibri" w:hAnsi="Times New Roman" w:cs="Times New Roman"/>
          <w:i/>
          <w:noProof/>
          <w:kern w:val="0"/>
          <w:sz w:val="20"/>
          <w:szCs w:val="20"/>
          <w14:ligatures w14:val="none"/>
        </w:rPr>
        <w:t xml:space="preserve">on </w:t>
      </w:r>
      <w:r w:rsidR="00E222ED">
        <w:rPr>
          <w:rFonts w:ascii="Times New Roman" w:eastAsia="Calibri" w:hAnsi="Times New Roman" w:cs="Times New Roman"/>
          <w:i/>
          <w:noProof/>
          <w:kern w:val="0"/>
          <w:sz w:val="20"/>
          <w:szCs w:val="20"/>
          <w14:ligatures w14:val="none"/>
        </w:rPr>
        <w:t xml:space="preserve">what </w:t>
      </w:r>
      <w:r w:rsidRPr="00FB4E2D">
        <w:rPr>
          <w:rFonts w:ascii="Times New Roman" w:eastAsia="Calibri" w:hAnsi="Times New Roman" w:cs="Times New Roman"/>
          <w:i/>
          <w:noProof/>
          <w:kern w:val="0"/>
          <w:sz w:val="20"/>
          <w:szCs w:val="20"/>
          <w14:ligatures w14:val="none"/>
        </w:rPr>
        <w:t>the case processing times is.</w:t>
      </w:r>
      <w:r w:rsidRPr="00FB4E2D">
        <w:rPr>
          <w:rFonts w:ascii="Times New Roman" w:eastAsia="Calibri" w:hAnsi="Times New Roman" w:cs="Times New Roman"/>
          <w:b/>
          <w:i/>
          <w:noProof/>
          <w:kern w:val="0"/>
          <w:sz w:val="20"/>
          <w:szCs w:val="20"/>
          <w14:ligatures w14:val="none"/>
        </w:rPr>
        <w:t xml:space="preserve"> EL:</w:t>
      </w:r>
      <w:r w:rsidRPr="00FB4E2D">
        <w:rPr>
          <w:rFonts w:ascii="Times New Roman" w:eastAsia="Calibri" w:hAnsi="Times New Roman" w:cs="Times New Roman"/>
          <w:i/>
          <w:noProof/>
          <w:kern w:val="0"/>
          <w:sz w:val="20"/>
          <w:szCs w:val="20"/>
          <w14:ligatures w14:val="none"/>
        </w:rPr>
        <w:t xml:space="preserve"> Data based on weighted average length from two courts. </w:t>
      </w:r>
      <w:r w:rsidRPr="00FB4E2D">
        <w:rPr>
          <w:rFonts w:ascii="Times New Roman" w:eastAsia="Calibri" w:hAnsi="Times New Roman" w:cs="Times New Roman"/>
          <w:b/>
          <w:i/>
          <w:noProof/>
          <w:kern w:val="0"/>
          <w:sz w:val="20"/>
          <w:szCs w:val="20"/>
          <w14:ligatures w14:val="none"/>
        </w:rPr>
        <w:t>ES</w:t>
      </w:r>
      <w:r w:rsidRPr="00FB4E2D">
        <w:rPr>
          <w:rFonts w:ascii="Times New Roman" w:eastAsia="Calibri" w:hAnsi="Times New Roman" w:cs="Times New Roman"/>
          <w:i/>
          <w:noProof/>
          <w:kern w:val="0"/>
          <w:sz w:val="20"/>
          <w:szCs w:val="20"/>
          <w14:ligatures w14:val="none"/>
        </w:rPr>
        <w:t xml:space="preserve">: Cases concerning other EU IP titles are included in the calculation of average length. </w:t>
      </w:r>
      <w:r w:rsidRPr="00FB4E2D">
        <w:rPr>
          <w:rFonts w:ascii="Times New Roman" w:eastAsia="Calibri" w:hAnsi="Times New Roman" w:cs="Times New Roman"/>
          <w:b/>
          <w:i/>
          <w:noProof/>
          <w:kern w:val="0"/>
          <w:sz w:val="20"/>
          <w:szCs w:val="20"/>
          <w14:ligatures w14:val="none"/>
        </w:rPr>
        <w:t>PL</w:t>
      </w:r>
      <w:r w:rsidRPr="00FB4E2D">
        <w:rPr>
          <w:rFonts w:ascii="Times New Roman" w:eastAsia="Calibri" w:hAnsi="Times New Roman" w:cs="Times New Roman"/>
          <w:i/>
          <w:noProof/>
          <w:kern w:val="0"/>
          <w:sz w:val="20"/>
          <w:szCs w:val="20"/>
          <w14:ligatures w14:val="none"/>
        </w:rPr>
        <w:t xml:space="preserve">: For 2023, the weighted average was calculated on the basis of </w:t>
      </w:r>
      <w:r w:rsidR="00BF2ABF">
        <w:rPr>
          <w:rFonts w:ascii="Times New Roman" w:eastAsia="Calibri" w:hAnsi="Times New Roman" w:cs="Times New Roman"/>
          <w:i/>
          <w:noProof/>
          <w:kern w:val="0"/>
          <w:sz w:val="20"/>
          <w:szCs w:val="20"/>
          <w14:ligatures w14:val="none"/>
        </w:rPr>
        <w:t xml:space="preserve">the </w:t>
      </w:r>
      <w:r w:rsidRPr="00FB4E2D">
        <w:rPr>
          <w:rFonts w:ascii="Times New Roman" w:eastAsia="Calibri" w:hAnsi="Times New Roman" w:cs="Times New Roman"/>
          <w:i/>
          <w:noProof/>
          <w:kern w:val="0"/>
          <w:sz w:val="20"/>
          <w:szCs w:val="20"/>
          <w14:ligatures w14:val="none"/>
        </w:rPr>
        <w:t xml:space="preserve">number of cases resolved. </w:t>
      </w:r>
      <w:r w:rsidRPr="00FB4E2D">
        <w:rPr>
          <w:rFonts w:ascii="Times New Roman" w:eastAsia="Calibri" w:hAnsi="Times New Roman" w:cs="Times New Roman"/>
          <w:b/>
          <w:i/>
          <w:noProof/>
          <w:kern w:val="0"/>
          <w:sz w:val="20"/>
          <w:szCs w:val="20"/>
          <w14:ligatures w14:val="none"/>
        </w:rPr>
        <w:t>FI</w:t>
      </w:r>
      <w:r w:rsidRPr="00FB4E2D">
        <w:rPr>
          <w:rFonts w:ascii="Times New Roman" w:eastAsia="Calibri" w:hAnsi="Times New Roman" w:cs="Times New Roman"/>
          <w:i/>
          <w:noProof/>
          <w:kern w:val="0"/>
          <w:sz w:val="20"/>
          <w:szCs w:val="20"/>
          <w14:ligatures w14:val="none"/>
        </w:rPr>
        <w:t>: For 2023, a preliminary ruling from the Court of Justice was requested in one of the two cases. The time during which the case was pending before the Court of Justice was included in the calculation of the average number of days.</w:t>
      </w:r>
    </w:p>
    <w:p w14:paraId="66C05D3B"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Times New Roman" w:hAnsi="Times New Roman" w:cs="Times New Roman"/>
          <w:i/>
          <w:noProof/>
          <w:kern w:val="0"/>
          <w14:ligatures w14:val="none"/>
        </w:rPr>
        <w:t>– Consumer protection –</w:t>
      </w:r>
    </w:p>
    <w:p w14:paraId="7CC59C23" w14:textId="77777777" w:rsidR="00A02C07" w:rsidRPr="00FB4E2D" w:rsidRDefault="00A02C07" w:rsidP="00A02C07">
      <w:pPr>
        <w:spacing w:after="0" w:line="240" w:lineRule="auto"/>
        <w:jc w:val="both"/>
        <w:rPr>
          <w:rFonts w:ascii="Times New Roman" w:eastAsia="Calibri" w:hAnsi="Times New Roman" w:cs="Times New Roman"/>
          <w:noProof/>
          <w:kern w:val="0"/>
          <w:szCs w:val="22"/>
          <w14:ligatures w14:val="none"/>
        </w:rPr>
      </w:pPr>
      <w:r w:rsidRPr="00FB4E2D">
        <w:rPr>
          <w:rFonts w:ascii="Times New Roman" w:eastAsia="Calibri" w:hAnsi="Times New Roman" w:cs="Times New Roman"/>
          <w:noProof/>
          <w:kern w:val="0"/>
          <w14:ligatures w14:val="none"/>
        </w:rPr>
        <w:t>Effective enforcement of consumer law ensures that consumers’ rights are protected and that companies infringing consumer laws do not gain an unfair advantage. Consumer protection authorities and courts play a key role in enforcing EU consumer law (</w:t>
      </w:r>
      <w:r w:rsidRPr="00FB4E2D">
        <w:rPr>
          <w:rFonts w:ascii="Times New Roman" w:eastAsia="Calibri" w:hAnsi="Times New Roman" w:cs="Times New Roman"/>
          <w:noProof/>
          <w:kern w:val="0"/>
          <w:vertAlign w:val="superscript"/>
          <w14:ligatures w14:val="none"/>
        </w:rPr>
        <w:footnoteReference w:id="58"/>
      </w:r>
      <w:r w:rsidRPr="00FB4E2D">
        <w:rPr>
          <w:rFonts w:ascii="Times New Roman" w:eastAsia="Calibri" w:hAnsi="Times New Roman" w:cs="Times New Roman"/>
          <w:noProof/>
          <w:kern w:val="0"/>
          <w14:ligatures w14:val="none"/>
        </w:rPr>
        <w:t xml:space="preserve">) within the various national enforcement systems. Figure 19 </w:t>
      </w:r>
      <w:r w:rsidRPr="00FB4E2D" w:rsidDel="00BF59AF">
        <w:rPr>
          <w:rFonts w:ascii="Times New Roman" w:eastAsia="Calibri" w:hAnsi="Times New Roman" w:cs="Times New Roman"/>
          <w:noProof/>
          <w:kern w:val="0"/>
          <w14:ligatures w14:val="none"/>
        </w:rPr>
        <w:t>illustrates</w:t>
      </w:r>
      <w:r w:rsidRPr="00FB4E2D">
        <w:rPr>
          <w:rFonts w:ascii="Times New Roman" w:eastAsia="Calibri" w:hAnsi="Times New Roman" w:cs="Times New Roman"/>
          <w:noProof/>
          <w:kern w:val="0"/>
          <w14:ligatures w14:val="none"/>
        </w:rPr>
        <w:t xml:space="preserve"> the average length of judicial review cases against decisions of consumer protection authorities applying EU law. </w:t>
      </w:r>
    </w:p>
    <w:p w14:paraId="4403E6A5" w14:textId="77777777" w:rsidR="00A02C07" w:rsidRPr="00FB4E2D" w:rsidRDefault="00A02C07" w:rsidP="00A02C07">
      <w:pPr>
        <w:spacing w:line="259" w:lineRule="auto"/>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64B43290" w14:textId="1F8447BE"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Consumer protection</w:t>
      </w:r>
      <w:r w:rsidRPr="00FB4E2D">
        <w:rPr>
          <w:rFonts w:ascii="Times New Roman" w:eastAsia="Calibri" w:hAnsi="Times New Roman" w:cs="Times New Roman"/>
          <w:b/>
          <w:noProof/>
          <w:kern w:val="0"/>
          <w14:ligatures w14:val="none"/>
        </w:rPr>
        <w:t xml:space="preserve">: average length of </w:t>
      </w:r>
      <w:r w:rsidRPr="00FB4E2D">
        <w:rPr>
          <w:rFonts w:ascii="Times New Roman" w:eastAsia="Calibri" w:hAnsi="Times New Roman" w:cs="Times New Roman"/>
          <w:b/>
          <w:noProof/>
          <w:kern w:val="0"/>
          <w:u w:val="single"/>
          <w14:ligatures w14:val="none"/>
        </w:rPr>
        <w:t>judicial review</w:t>
      </w:r>
      <w:r w:rsidRPr="00FB4E2D">
        <w:rPr>
          <w:rFonts w:ascii="Times New Roman" w:eastAsia="Calibri" w:hAnsi="Times New Roman" w:cs="Times New Roman"/>
          <w:b/>
          <w:noProof/>
          <w:kern w:val="0"/>
          <w14:ligatures w14:val="none"/>
        </w:rPr>
        <w:t xml:space="preserve"> in 2014</w:t>
      </w:r>
      <w:r w:rsidRPr="00FB4E2D" w:rsidDel="0036406C">
        <w:rPr>
          <w:rFonts w:ascii="Times New Roman" w:eastAsia="Calibri" w:hAnsi="Times New Roman" w:cs="Times New Roman"/>
          <w:b/>
          <w:noProof/>
          <w:kern w:val="0"/>
          <w14:ligatures w14:val="none"/>
        </w:rPr>
        <w:t>,</w:t>
      </w:r>
      <w:r w:rsidRPr="00FB4E2D">
        <w:rPr>
          <w:rFonts w:ascii="Times New Roman" w:eastAsia="Calibri" w:hAnsi="Times New Roman" w:cs="Times New Roman"/>
          <w:b/>
          <w:noProof/>
          <w:kern w:val="0"/>
          <w14:ligatures w14:val="none"/>
        </w:rPr>
        <w:t xml:space="preserve"> 2022</w:t>
      </w:r>
      <w:r w:rsidRPr="00FB4E2D" w:rsidDel="002001DE">
        <w:rPr>
          <w:rFonts w:ascii="Times New Roman" w:eastAsia="Calibri" w:hAnsi="Times New Roman" w:cs="Times New Roman"/>
          <w:b/>
          <w:noProof/>
          <w:kern w:val="0"/>
          <w14:ligatures w14:val="none"/>
        </w:rPr>
        <w:t xml:space="preserve"> – </w:t>
      </w:r>
      <w:r w:rsidRPr="00FB4E2D">
        <w:rPr>
          <w:rFonts w:ascii="Times New Roman" w:eastAsia="Calibri" w:hAnsi="Times New Roman" w:cs="Times New Roman"/>
          <w:b/>
          <w:noProof/>
          <w:kern w:val="0"/>
          <w14:ligatures w14:val="none"/>
        </w:rPr>
        <w:t xml:space="preserve">2024 </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i/>
          <w:noProof/>
          <w:kern w:val="0"/>
          <w14:ligatures w14:val="none"/>
        </w:rPr>
        <w:t xml:space="preserve"> (first instance/in days) (source: European Commission with the Consumer Protection Cooperation Network)</w:t>
      </w:r>
    </w:p>
    <w:p w14:paraId="7E086269" w14:textId="50D7DD49" w:rsidR="00A02C07" w:rsidRPr="00FB4E2D" w:rsidRDefault="00A02C07" w:rsidP="00A02C07">
      <w:pPr>
        <w:spacing w:after="0" w:line="240" w:lineRule="auto"/>
        <w:jc w:val="both"/>
        <w:rPr>
          <w:rFonts w:ascii="Times New Roman" w:eastAsia="Calibri" w:hAnsi="Times New Roman" w:cs="Times New Roman"/>
          <w:b/>
          <w:i/>
          <w:noProof/>
          <w:kern w:val="0"/>
          <w:sz w:val="20"/>
          <w:szCs w:val="22"/>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662E121B" wp14:editId="0647DC2E">
            <wp:extent cx="5760000" cy="2330739"/>
            <wp:effectExtent l="0" t="0" r="0" b="0"/>
            <wp:docPr id="269650513" name="Picture 19" descr="A graph with different colored ba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650513" name="Picture 19" descr="A graph with different colored bars and lines&#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000" cy="2330739"/>
                    </a:xfrm>
                    <a:prstGeom prst="rect">
                      <a:avLst/>
                    </a:prstGeom>
                    <a:noFill/>
                  </pic:spPr>
                </pic:pic>
              </a:graphicData>
            </a:graphic>
          </wp:inline>
        </w:drawing>
      </w: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0"/>
          <w14:ligatures w14:val="none"/>
        </w:rPr>
        <w:t>The average is weighted by the number of cases in the respective year.</w:t>
      </w:r>
      <w:r w:rsidRPr="00FB4E2D">
        <w:rPr>
          <w:rFonts w:ascii="Times New Roman" w:eastAsia="Calibri" w:hAnsi="Times New Roman" w:cs="Times New Roman"/>
          <w:i/>
          <w:noProof/>
          <w:kern w:val="0"/>
          <w:sz w:val="20"/>
          <w:szCs w:val="22"/>
          <w14:ligatures w14:val="none"/>
        </w:rPr>
        <w:t xml:space="preserve"> </w:t>
      </w:r>
      <w:r w:rsidRPr="00FB4E2D" w:rsidDel="00B957D2">
        <w:rPr>
          <w:rFonts w:ascii="Times New Roman" w:eastAsia="Calibri" w:hAnsi="Times New Roman" w:cs="Times New Roman"/>
          <w:b/>
          <w:i/>
          <w:noProof/>
          <w:kern w:val="0"/>
          <w:sz w:val="20"/>
          <w:szCs w:val="22"/>
          <w14:ligatures w14:val="none"/>
        </w:rPr>
        <w:t>DE</w:t>
      </w: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b/>
          <w:i/>
          <w:noProof/>
          <w:kern w:val="0"/>
          <w:sz w:val="20"/>
          <w:szCs w:val="22"/>
          <w14:ligatures w14:val="none"/>
        </w:rPr>
        <w:t>LU, AT</w:t>
      </w:r>
      <w:r w:rsidRPr="00FB4E2D">
        <w:rPr>
          <w:rFonts w:ascii="Times New Roman" w:eastAsia="Calibri" w:hAnsi="Times New Roman" w:cs="Times New Roman"/>
          <w:i/>
          <w:noProof/>
          <w:kern w:val="0"/>
          <w:sz w:val="20"/>
          <w:szCs w:val="22"/>
          <w14:ligatures w14:val="none"/>
        </w:rPr>
        <w:t xml:space="preserve">: scenario is not applicable as consumer authorities are not empowered to decide on infringements of the relevant consumer rules. </w:t>
      </w:r>
      <w:r w:rsidRPr="00FB4E2D" w:rsidDel="00B957D2">
        <w:rPr>
          <w:rFonts w:ascii="Times New Roman" w:eastAsia="Calibri" w:hAnsi="Times New Roman" w:cs="Times New Roman"/>
          <w:i/>
          <w:noProof/>
          <w:kern w:val="0"/>
          <w:sz w:val="20"/>
          <w:szCs w:val="22"/>
          <w14:ligatures w14:val="none"/>
        </w:rPr>
        <w:t>An estimate of average length was provided by</w:t>
      </w:r>
      <w:r w:rsidRPr="00FB4E2D" w:rsidDel="00B957D2">
        <w:rPr>
          <w:rFonts w:ascii="Times New Roman" w:eastAsia="Calibri" w:hAnsi="Times New Roman" w:cs="Times New Roman"/>
          <w:b/>
          <w:i/>
          <w:noProof/>
          <w:kern w:val="0"/>
          <w:sz w:val="20"/>
          <w:szCs w:val="22"/>
          <w14:ligatures w14:val="none"/>
        </w:rPr>
        <w:t xml:space="preserve"> EL </w:t>
      </w:r>
      <w:r w:rsidRPr="00FB4E2D">
        <w:rPr>
          <w:rFonts w:ascii="Times New Roman" w:eastAsia="Calibri" w:hAnsi="Times New Roman" w:cs="Times New Roman"/>
          <w:i/>
          <w:noProof/>
          <w:kern w:val="0"/>
          <w:sz w:val="20"/>
          <w:szCs w:val="22"/>
          <w14:ligatures w14:val="none"/>
        </w:rPr>
        <w:t xml:space="preserve">and </w:t>
      </w:r>
      <w:r w:rsidRPr="00FB4E2D">
        <w:rPr>
          <w:rFonts w:ascii="Times New Roman" w:eastAsia="Calibri" w:hAnsi="Times New Roman" w:cs="Times New Roman"/>
          <w:b/>
          <w:i/>
          <w:noProof/>
          <w:kern w:val="0"/>
          <w:sz w:val="20"/>
          <w:szCs w:val="22"/>
          <w14:ligatures w14:val="none"/>
        </w:rPr>
        <w:t xml:space="preserve">RO </w:t>
      </w:r>
      <w:r w:rsidRPr="00FB4E2D">
        <w:rPr>
          <w:rFonts w:ascii="Times New Roman" w:eastAsia="Calibri" w:hAnsi="Times New Roman" w:cs="Times New Roman"/>
          <w:i/>
          <w:noProof/>
          <w:kern w:val="0"/>
          <w:sz w:val="20"/>
          <w:szCs w:val="22"/>
          <w14:ligatures w14:val="none"/>
        </w:rPr>
        <w:t>for certain years.</w:t>
      </w:r>
    </w:p>
    <w:p w14:paraId="22B45201"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Times New Roman" w:hAnsi="Times New Roman" w:cs="Times New Roman"/>
          <w:i/>
          <w:noProof/>
          <w:kern w:val="0"/>
          <w14:ligatures w14:val="none"/>
        </w:rPr>
        <w:t>– Money laundering –</w:t>
      </w:r>
    </w:p>
    <w:p w14:paraId="7ABAAD94" w14:textId="04511BC1" w:rsidR="00A02C07" w:rsidRPr="00FB4E2D" w:rsidRDefault="00A02C07" w:rsidP="00A02C07">
      <w:pPr>
        <w:spacing w:after="12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Times New Roman"/>
          <w:noProof/>
          <w:kern w:val="0"/>
          <w14:ligatures w14:val="none"/>
        </w:rPr>
        <w:t>In addition to depriving criminals of resources for perpetrating their illicit acts and effectively dismantling organised crime networks, preventing and combating money laundering (</w:t>
      </w:r>
      <w:r w:rsidRPr="00FB4E2D">
        <w:rPr>
          <w:rFonts w:ascii="Times New Roman" w:eastAsia="Calibri" w:hAnsi="Times New Roman" w:cs="Times New Roman"/>
          <w:noProof/>
          <w:kern w:val="0"/>
          <w:vertAlign w:val="superscript"/>
          <w14:ligatures w14:val="none"/>
        </w:rPr>
        <w:footnoteReference w:id="59"/>
      </w:r>
      <w:r w:rsidRPr="00FB4E2D">
        <w:rPr>
          <w:rFonts w:ascii="Times New Roman" w:eastAsia="Calibri" w:hAnsi="Times New Roman" w:cs="Times New Roman"/>
          <w:noProof/>
          <w:kern w:val="0"/>
          <w14:ligatures w14:val="none"/>
        </w:rPr>
        <w:t>) is crucial for the soundness, integrity and stability of the financial sector, confidence in the financial system and fair competition in the single market (</w:t>
      </w:r>
      <w:r w:rsidRPr="00FB4E2D">
        <w:rPr>
          <w:rFonts w:ascii="Times New Roman" w:eastAsia="Calibri" w:hAnsi="Times New Roman" w:cs="Times New Roman"/>
          <w:noProof/>
          <w:kern w:val="0"/>
          <w:vertAlign w:val="superscript"/>
          <w14:ligatures w14:val="none"/>
        </w:rPr>
        <w:footnoteReference w:id="60"/>
      </w:r>
      <w:r w:rsidRPr="00FB4E2D">
        <w:rPr>
          <w:rFonts w:ascii="Times New Roman" w:eastAsia="Calibri" w:hAnsi="Times New Roman" w:cs="Times New Roman"/>
          <w:noProof/>
          <w:kern w:val="0"/>
          <w14:ligatures w14:val="none"/>
        </w:rPr>
        <w:t>). Money laundering can discourage foreign investment, distort international capital flows and negatively affect a country’s macroeconomic performance, resulting in welfare losses, thereby draining resources from more productive economic activities (</w:t>
      </w:r>
      <w:r w:rsidRPr="00FB4E2D">
        <w:rPr>
          <w:rFonts w:ascii="Times New Roman" w:eastAsia="Calibri" w:hAnsi="Times New Roman" w:cs="Times New Roman"/>
          <w:noProof/>
          <w:kern w:val="0"/>
          <w:vertAlign w:val="superscript"/>
          <w14:ligatures w14:val="none"/>
        </w:rPr>
        <w:footnoteReference w:id="61"/>
      </w:r>
      <w:r w:rsidRPr="00FB4E2D">
        <w:rPr>
          <w:rFonts w:ascii="Times New Roman" w:eastAsia="Calibri" w:hAnsi="Times New Roman" w:cs="Times New Roman"/>
          <w:noProof/>
          <w:kern w:val="0"/>
          <w14:ligatures w14:val="none"/>
        </w:rPr>
        <w:t xml:space="preserve">). </w:t>
      </w:r>
      <w:r w:rsidR="008F2281" w:rsidRPr="00FB4E2D">
        <w:rPr>
          <w:rFonts w:ascii="Times New Roman" w:eastAsia="Calibri" w:hAnsi="Times New Roman" w:cs="Times New Roman"/>
          <w:noProof/>
          <w:kern w:val="0"/>
          <w14:ligatures w14:val="none"/>
        </w:rPr>
        <w:t xml:space="preserve">Article 44(1) of Directive (EU) 2015/849 </w:t>
      </w:r>
      <w:r w:rsidRPr="00FB4E2D">
        <w:rPr>
          <w:rFonts w:ascii="Times New Roman" w:eastAsia="Calibri" w:hAnsi="Times New Roman" w:cs="Times New Roman"/>
          <w:noProof/>
          <w:kern w:val="0"/>
          <w14:ligatures w14:val="none"/>
        </w:rPr>
        <w:t>requires Member States to maintain statistics on the effectiveness of their systems to combat money laundering and terrorist financing (</w:t>
      </w:r>
      <w:r w:rsidRPr="00FB4E2D">
        <w:rPr>
          <w:rFonts w:ascii="Times New Roman" w:eastAsia="Calibri" w:hAnsi="Times New Roman" w:cs="Times New Roman"/>
          <w:noProof/>
          <w:kern w:val="0"/>
          <w:vertAlign w:val="superscript"/>
          <w14:ligatures w14:val="none"/>
        </w:rPr>
        <w:footnoteReference w:id="62"/>
      </w:r>
      <w:r w:rsidRPr="00FB4E2D">
        <w:rPr>
          <w:rFonts w:ascii="Times New Roman" w:eastAsia="Calibri" w:hAnsi="Times New Roman" w:cs="Times New Roman"/>
          <w:noProof/>
          <w:kern w:val="0"/>
          <w14:ligatures w14:val="none"/>
        </w:rPr>
        <w:t xml:space="preserve">). In cooperation with Member States, an updated questionnaire was used to collect data on the judicial aspects in national anti-money laundering </w:t>
      </w:r>
      <w:r w:rsidRPr="00FB4E2D" w:rsidDel="00B957D2">
        <w:rPr>
          <w:rFonts w:ascii="Times New Roman" w:eastAsia="Calibri" w:hAnsi="Times New Roman" w:cs="Times New Roman"/>
          <w:noProof/>
          <w:kern w:val="0"/>
          <w14:ligatures w14:val="none"/>
        </w:rPr>
        <w:t>regimes</w:t>
      </w:r>
      <w:r w:rsidRPr="00FB4E2D">
        <w:rPr>
          <w:rFonts w:ascii="Times New Roman" w:eastAsia="Calibri" w:hAnsi="Times New Roman" w:cs="Times New Roman"/>
          <w:noProof/>
          <w:kern w:val="0"/>
          <w14:ligatures w14:val="none"/>
        </w:rPr>
        <w:t xml:space="preserve">. Figure 20 shows the average length of first instance court cases dealing with money laundering criminal offences. </w:t>
      </w:r>
    </w:p>
    <w:p w14:paraId="6CB9D2F2" w14:textId="77777777" w:rsidR="004A0902" w:rsidRDefault="004A0902">
      <w:pPr>
        <w:rPr>
          <w:rFonts w:ascii="Times New Roman" w:eastAsia="Calibri" w:hAnsi="Times New Roman" w:cs="Times New Roman"/>
          <w:b/>
          <w:noProof/>
          <w:spacing w:val="-6"/>
          <w:kern w:val="0"/>
          <w14:ligatures w14:val="none"/>
        </w:rPr>
      </w:pPr>
      <w:bookmarkStart w:id="241" w:name="_Hlk198028516"/>
      <w:r>
        <w:rPr>
          <w:rFonts w:ascii="Times New Roman" w:eastAsia="Calibri" w:hAnsi="Times New Roman" w:cs="Times New Roman"/>
          <w:b/>
          <w:noProof/>
          <w:spacing w:val="-6"/>
          <w:kern w:val="0"/>
          <w14:ligatures w14:val="none"/>
        </w:rPr>
        <w:br w:type="page"/>
      </w:r>
    </w:p>
    <w:p w14:paraId="66A1EFF7" w14:textId="543C009E"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Money laundering</w:t>
      </w:r>
      <w:r w:rsidRPr="00FB4E2D">
        <w:rPr>
          <w:rFonts w:ascii="Times New Roman" w:eastAsia="Calibri" w:hAnsi="Times New Roman" w:cs="Times New Roman"/>
          <w:b/>
          <w:noProof/>
          <w:kern w:val="0"/>
          <w14:ligatures w14:val="none"/>
        </w:rPr>
        <w:t>: average length of court cases in 2014</w:t>
      </w:r>
      <w:r w:rsidR="00345DEF" w:rsidRPr="00FB4E2D">
        <w:rPr>
          <w:rFonts w:ascii="Times New Roman" w:eastAsia="Calibri" w:hAnsi="Times New Roman" w:cs="Times New Roman"/>
          <w:b/>
          <w:noProof/>
          <w:kern w:val="0"/>
          <w14:ligatures w14:val="none"/>
        </w:rPr>
        <w:t xml:space="preserve"> and</w:t>
      </w:r>
      <w:r w:rsidR="00DF1B19">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b/>
          <w:noProof/>
          <w:kern w:val="0"/>
          <w14:ligatures w14:val="none"/>
        </w:rPr>
        <w:t>2022</w:t>
      </w:r>
      <w:r w:rsidRPr="00FB4E2D" w:rsidDel="00B957D2">
        <w:rPr>
          <w:rFonts w:ascii="Times New Roman" w:eastAsia="Calibri" w:hAnsi="Times New Roman" w:cs="Times New Roman"/>
          <w:b/>
          <w:noProof/>
          <w:kern w:val="0"/>
          <w14:ligatures w14:val="none"/>
        </w:rPr>
        <w:t xml:space="preserve"> </w:t>
      </w:r>
      <w:r w:rsidRPr="00FB4E2D" w:rsidDel="00B957D2">
        <w:rPr>
          <w:rFonts w:ascii="Times New Roman" w:eastAsia="Times New Roman" w:hAnsi="Times New Roman" w:cs="Times New Roman"/>
          <w:b/>
          <w:noProof/>
          <w:kern w:val="0"/>
          <w14:ligatures w14:val="none"/>
        </w:rPr>
        <w:t xml:space="preserve">– </w:t>
      </w:r>
      <w:r w:rsidRPr="00FB4E2D">
        <w:rPr>
          <w:rFonts w:ascii="Times New Roman" w:eastAsia="Calibri" w:hAnsi="Times New Roman" w:cs="Times New Roman"/>
          <w:b/>
          <w:noProof/>
          <w:kern w:val="0"/>
          <w14:ligatures w14:val="none"/>
        </w:rPr>
        <w:t>2024</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i/>
          <w:noProof/>
          <w:kern w:val="0"/>
          <w14:ligatures w14:val="none"/>
        </w:rPr>
        <w:t xml:space="preserve"> (at first instance/in days) (source: European Commission with the Expert Group on Money Laundering and Financing of Terrorism)</w:t>
      </w:r>
    </w:p>
    <w:p w14:paraId="54D32A55" w14:textId="56C96B53" w:rsidR="003D4151" w:rsidRDefault="001D359A" w:rsidP="00A02C07">
      <w:pPr>
        <w:spacing w:after="0" w:line="240" w:lineRule="auto"/>
        <w:jc w:val="both"/>
        <w:rPr>
          <w:rFonts w:ascii="Calibri" w:eastAsia="Yu Mincho" w:hAnsi="Calibri" w:cs="Arial"/>
          <w:noProof/>
          <w:kern w:val="0"/>
          <w:sz w:val="22"/>
          <w:szCs w:val="22"/>
          <w14:ligatures w14:val="none"/>
        </w:rPr>
      </w:pPr>
      <w:r>
        <w:rPr>
          <w:rFonts w:ascii="Calibri" w:eastAsia="Yu Mincho" w:hAnsi="Calibri" w:cs="Arial"/>
          <w:noProof/>
          <w:kern w:val="0"/>
          <w:sz w:val="22"/>
          <w:szCs w:val="22"/>
          <w:lang w:val="en-GB" w:eastAsia="en-GB"/>
          <w14:ligatures w14:val="none"/>
        </w:rPr>
        <w:drawing>
          <wp:inline distT="0" distB="0" distL="0" distR="0" wp14:anchorId="4D83F6C4" wp14:editId="6FFD7A97">
            <wp:extent cx="5760000" cy="2959694"/>
            <wp:effectExtent l="0" t="0" r="0" b="0"/>
            <wp:docPr id="1754478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000" cy="2959694"/>
                    </a:xfrm>
                    <a:prstGeom prst="rect">
                      <a:avLst/>
                    </a:prstGeom>
                    <a:noFill/>
                  </pic:spPr>
                </pic:pic>
              </a:graphicData>
            </a:graphic>
          </wp:inline>
        </w:drawing>
      </w:r>
    </w:p>
    <w:p w14:paraId="56C82128" w14:textId="7CF71B64" w:rsidR="00A02C07" w:rsidRPr="00FB4E2D" w:rsidRDefault="00A02C07" w:rsidP="00A02C07">
      <w:pPr>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0"/>
          <w14:ligatures w14:val="none"/>
        </w:rPr>
        <w:t xml:space="preserve">The average is weighted by the number of cases in the respective year. </w:t>
      </w:r>
      <w:r w:rsidRPr="00FB4E2D">
        <w:rPr>
          <w:rFonts w:ascii="Times New Roman" w:eastAsia="Calibri" w:hAnsi="Times New Roman" w:cs="Times New Roman"/>
          <w:i/>
          <w:noProof/>
          <w:kern w:val="0"/>
          <w:sz w:val="20"/>
          <w:szCs w:val="22"/>
          <w14:ligatures w14:val="none"/>
        </w:rPr>
        <w:t xml:space="preserve">For </w:t>
      </w:r>
      <w:r w:rsidRPr="00FB4E2D">
        <w:rPr>
          <w:rFonts w:ascii="Times New Roman" w:eastAsia="Calibri" w:hAnsi="Times New Roman" w:cs="Times New Roman"/>
          <w:b/>
          <w:i/>
          <w:noProof/>
          <w:kern w:val="0"/>
          <w:sz w:val="20"/>
          <w:szCs w:val="22"/>
          <w14:ligatures w14:val="none"/>
        </w:rPr>
        <w:t>PT</w:t>
      </w:r>
      <w:r w:rsidRPr="00FB4E2D">
        <w:rPr>
          <w:rFonts w:ascii="Times New Roman" w:eastAsia="Calibri" w:hAnsi="Times New Roman" w:cs="Times New Roman"/>
          <w:i/>
          <w:noProof/>
          <w:kern w:val="0"/>
          <w:sz w:val="20"/>
          <w:szCs w:val="22"/>
          <w14:ligatures w14:val="none"/>
        </w:rPr>
        <w:t xml:space="preserve">: </w:t>
      </w:r>
      <w:bookmarkStart w:id="242" w:name="_Toc441571131"/>
      <w:bookmarkStart w:id="243" w:name="_Toc441581633"/>
      <w:bookmarkStart w:id="244" w:name="_Toc441585900"/>
      <w:bookmarkStart w:id="245" w:name="_Toc441595835"/>
      <w:bookmarkStart w:id="246" w:name="_Toc441596012"/>
      <w:bookmarkStart w:id="247" w:name="_Toc441748137"/>
      <w:bookmarkStart w:id="248" w:name="_Toc441755422"/>
      <w:bookmarkStart w:id="249" w:name="_Toc441756459"/>
      <w:bookmarkStart w:id="250" w:name="_Toc441757503"/>
      <w:bookmarkStart w:id="251" w:name="_Toc441766632"/>
      <w:bookmarkStart w:id="252" w:name="_Toc441766971"/>
      <w:bookmarkStart w:id="253" w:name="_Toc442187972"/>
      <w:bookmarkStart w:id="254" w:name="_Toc442262064"/>
      <w:bookmarkStart w:id="255" w:name="_Toc442362471"/>
      <w:bookmarkStart w:id="256" w:name="_Toc442374807"/>
      <w:bookmarkStart w:id="257" w:name="_Toc442425947"/>
      <w:bookmarkStart w:id="258" w:name="_Toc442453073"/>
      <w:bookmarkStart w:id="259" w:name="_Toc443484531"/>
      <w:bookmarkStart w:id="260" w:name="_Toc443484753"/>
      <w:bookmarkStart w:id="261" w:name="_Toc443509494"/>
      <w:bookmarkStart w:id="262" w:name="_Toc446014823"/>
      <w:r w:rsidRPr="00FB4E2D">
        <w:rPr>
          <w:rFonts w:ascii="Times New Roman" w:eastAsia="Calibri" w:hAnsi="Times New Roman" w:cs="Times New Roman"/>
          <w:i/>
          <w:noProof/>
          <w:kern w:val="0"/>
          <w:sz w:val="20"/>
          <w:szCs w:val="22"/>
          <w14:ligatures w14:val="none"/>
        </w:rPr>
        <w:t>The database was filtered, for each judicial county, by t</w:t>
      </w:r>
      <w:bookmarkEnd w:id="241"/>
      <w:r w:rsidRPr="00FB4E2D">
        <w:rPr>
          <w:rFonts w:ascii="Times New Roman" w:eastAsia="Calibri" w:hAnsi="Times New Roman" w:cs="Times New Roman"/>
          <w:i/>
          <w:noProof/>
          <w:kern w:val="0"/>
          <w:sz w:val="20"/>
          <w:szCs w:val="22"/>
          <w14:ligatures w14:val="none"/>
        </w:rPr>
        <w:t xml:space="preserve">he relevant criteria to reach the information related to money laundering files; the dates of </w:t>
      </w:r>
      <w:r w:rsidR="00345DEF" w:rsidRPr="00FB4E2D">
        <w:rPr>
          <w:rFonts w:ascii="Times New Roman" w:eastAsia="Calibri" w:hAnsi="Times New Roman" w:cs="Times New Roman"/>
          <w:i/>
          <w:noProof/>
          <w:kern w:val="0"/>
          <w:sz w:val="20"/>
          <w:szCs w:val="22"/>
          <w14:ligatures w14:val="none"/>
        </w:rPr>
        <w:t xml:space="preserve">infringement </w:t>
      </w:r>
      <w:r w:rsidRPr="00FB4E2D">
        <w:rPr>
          <w:rFonts w:ascii="Times New Roman" w:eastAsia="Calibri" w:hAnsi="Times New Roman" w:cs="Times New Roman"/>
          <w:i/>
          <w:noProof/>
          <w:kern w:val="0"/>
          <w:sz w:val="20"/>
          <w:szCs w:val="22"/>
          <w14:ligatures w14:val="none"/>
        </w:rPr>
        <w:t>and the date of final decision or closure were taken into account</w:t>
      </w:r>
      <w:r w:rsidR="00345DEF" w:rsidRPr="00FB4E2D">
        <w:rPr>
          <w:rFonts w:ascii="Times New Roman" w:eastAsia="Calibri" w:hAnsi="Times New Roman" w:cs="Times New Roman"/>
          <w:i/>
          <w:noProof/>
          <w:kern w:val="0"/>
          <w:sz w:val="20"/>
          <w:szCs w:val="22"/>
          <w14:ligatures w14:val="none"/>
        </w:rPr>
        <w:t xml:space="preserve"> in calculating the average number of days</w:t>
      </w: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b/>
          <w:i/>
          <w:noProof/>
          <w:kern w:val="0"/>
          <w:sz w:val="20"/>
          <w:szCs w:val="22"/>
          <w14:ligatures w14:val="none"/>
        </w:rPr>
        <w:t>CY</w:t>
      </w:r>
      <w:r w:rsidRPr="00FB4E2D">
        <w:rPr>
          <w:rFonts w:ascii="Times New Roman" w:eastAsia="Calibri" w:hAnsi="Times New Roman" w:cs="Times New Roman"/>
          <w:i/>
          <w:noProof/>
          <w:kern w:val="0"/>
          <w:sz w:val="20"/>
          <w:szCs w:val="22"/>
          <w14:ligatures w14:val="none"/>
        </w:rPr>
        <w:t>:</w:t>
      </w:r>
      <w:r w:rsidRPr="00FB4E2D">
        <w:rPr>
          <w:rFonts w:ascii="Times New Roman" w:eastAsia="Calibri" w:hAnsi="Times New Roman" w:cs="Times New Roman"/>
          <w:b/>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Serious cases</w:t>
      </w:r>
      <w:r w:rsidRPr="00FB4E2D" w:rsidDel="007A0203">
        <w:rPr>
          <w:rFonts w:ascii="Times New Roman" w:eastAsia="Calibri" w:hAnsi="Times New Roman" w:cs="Times New Roman"/>
          <w:i/>
          <w:noProof/>
          <w:kern w:val="0"/>
          <w:sz w:val="20"/>
          <w:szCs w:val="22"/>
          <w14:ligatures w14:val="none"/>
        </w:rPr>
        <w:t>,</w:t>
      </w:r>
      <w:r w:rsidRPr="00FB4E2D">
        <w:rPr>
          <w:rFonts w:ascii="Times New Roman" w:eastAsia="Calibri" w:hAnsi="Times New Roman" w:cs="Times New Roman"/>
          <w:i/>
          <w:noProof/>
          <w:kern w:val="0"/>
          <w:sz w:val="20"/>
          <w:szCs w:val="22"/>
          <w14:ligatures w14:val="none"/>
        </w:rPr>
        <w:t xml:space="preserve"> before the Assize Court</w:t>
      </w:r>
      <w:r w:rsidRPr="00FB4E2D" w:rsidDel="007A0203">
        <w:rPr>
          <w:rFonts w:ascii="Times New Roman" w:eastAsia="Calibri" w:hAnsi="Times New Roman" w:cs="Times New Roman"/>
          <w:i/>
          <w:noProof/>
          <w:kern w:val="0"/>
          <w:sz w:val="20"/>
          <w:szCs w:val="22"/>
          <w14:ligatures w14:val="none"/>
        </w:rPr>
        <w:t>,</w:t>
      </w:r>
      <w:r w:rsidRPr="00FB4E2D">
        <w:rPr>
          <w:rFonts w:ascii="Times New Roman" w:eastAsia="Calibri" w:hAnsi="Times New Roman" w:cs="Times New Roman"/>
          <w:i/>
          <w:noProof/>
          <w:kern w:val="0"/>
          <w:sz w:val="20"/>
          <w:szCs w:val="22"/>
          <w14:ligatures w14:val="none"/>
        </w:rPr>
        <w:t xml:space="preserve"> are on average tried within a year. Less serious offences, before the district courts, take longer to be tried. </w:t>
      </w:r>
      <w:r w:rsidR="00EB4172" w:rsidRPr="00EB4172">
        <w:rPr>
          <w:rFonts w:ascii="Times New Roman" w:eastAsia="Calibri" w:hAnsi="Times New Roman" w:cs="Times New Roman"/>
          <w:b/>
          <w:bCs/>
          <w:i/>
          <w:noProof/>
          <w:kern w:val="0"/>
          <w:sz w:val="20"/>
          <w:szCs w:val="22"/>
          <w14:ligatures w14:val="none"/>
        </w:rPr>
        <w:t>SI</w:t>
      </w:r>
      <w:r w:rsidR="00EB4172">
        <w:rPr>
          <w:rFonts w:ascii="Times New Roman" w:eastAsia="Calibri" w:hAnsi="Times New Roman" w:cs="Times New Roman"/>
          <w:i/>
          <w:noProof/>
          <w:kern w:val="0"/>
          <w:sz w:val="20"/>
          <w:szCs w:val="22"/>
          <w14:ligatures w14:val="none"/>
        </w:rPr>
        <w:t xml:space="preserve">: </w:t>
      </w:r>
      <w:r w:rsidR="00BB7E03" w:rsidRPr="00BB7E03">
        <w:rPr>
          <w:rFonts w:ascii="Times New Roman" w:eastAsia="Calibri" w:hAnsi="Times New Roman" w:cs="Times New Roman"/>
          <w:i/>
          <w:noProof/>
          <w:kern w:val="0"/>
          <w:sz w:val="20"/>
          <w:szCs w:val="22"/>
          <w14:ligatures w14:val="none"/>
        </w:rPr>
        <w:t>The 2024 data show a slightly longer length</w:t>
      </w:r>
      <w:r w:rsidR="00C84B3B" w:rsidRPr="00C84B3B">
        <w:rPr>
          <w:rFonts w:ascii="Times New Roman" w:eastAsia="Calibri" w:hAnsi="Times New Roman" w:cs="Times New Roman"/>
          <w:i/>
          <w:noProof/>
          <w:kern w:val="0"/>
          <w:sz w:val="20"/>
          <w:szCs w:val="22"/>
          <w14:ligatures w14:val="none"/>
        </w:rPr>
        <w:t>,</w:t>
      </w:r>
      <w:r w:rsidR="00BB7E03" w:rsidRPr="00BB7E03">
        <w:rPr>
          <w:rFonts w:ascii="Times New Roman" w:eastAsia="Calibri" w:hAnsi="Times New Roman" w:cs="Times New Roman"/>
          <w:i/>
          <w:noProof/>
          <w:kern w:val="0"/>
          <w:sz w:val="20"/>
          <w:szCs w:val="22"/>
          <w14:ligatures w14:val="none"/>
        </w:rPr>
        <w:t xml:space="preserve"> calculated from the receipt of the </w:t>
      </w:r>
      <w:r w:rsidR="00C84B3B" w:rsidRPr="00C84B3B">
        <w:rPr>
          <w:rFonts w:ascii="Times New Roman" w:eastAsia="Calibri" w:hAnsi="Times New Roman" w:cs="Times New Roman"/>
          <w:i/>
          <w:noProof/>
          <w:kern w:val="0"/>
          <w:sz w:val="20"/>
          <w:szCs w:val="22"/>
          <w14:ligatures w14:val="none"/>
        </w:rPr>
        <w:t>case</w:t>
      </w:r>
      <w:r w:rsidR="001C5113">
        <w:rPr>
          <w:rFonts w:ascii="Times New Roman" w:eastAsia="Calibri" w:hAnsi="Times New Roman" w:cs="Times New Roman"/>
          <w:i/>
          <w:noProof/>
          <w:kern w:val="0"/>
          <w:sz w:val="20"/>
          <w:szCs w:val="22"/>
          <w14:ligatures w14:val="none"/>
        </w:rPr>
        <w:t>s</w:t>
      </w:r>
      <w:r w:rsidR="00BB7E03" w:rsidRPr="00BB7E03">
        <w:rPr>
          <w:rFonts w:ascii="Times New Roman" w:eastAsia="Calibri" w:hAnsi="Times New Roman" w:cs="Times New Roman"/>
          <w:i/>
          <w:noProof/>
          <w:kern w:val="0"/>
          <w:sz w:val="20"/>
          <w:szCs w:val="22"/>
          <w14:ligatures w14:val="none"/>
        </w:rPr>
        <w:t xml:space="preserve"> at the trial court until they </w:t>
      </w:r>
      <w:r w:rsidR="00C84B3B" w:rsidRPr="00C84B3B">
        <w:rPr>
          <w:rFonts w:ascii="Times New Roman" w:eastAsia="Calibri" w:hAnsi="Times New Roman" w:cs="Times New Roman"/>
          <w:i/>
          <w:noProof/>
          <w:kern w:val="0"/>
          <w:sz w:val="20"/>
          <w:szCs w:val="22"/>
          <w14:ligatures w14:val="none"/>
        </w:rPr>
        <w:t>are classified as finished</w:t>
      </w:r>
      <w:r w:rsidR="00BB7E03">
        <w:rPr>
          <w:rFonts w:ascii="Times New Roman" w:eastAsia="Calibri" w:hAnsi="Times New Roman" w:cs="Times New Roman"/>
          <w:i/>
          <w:noProof/>
          <w:kern w:val="0"/>
          <w:sz w:val="20"/>
          <w:szCs w:val="22"/>
          <w14:ligatures w14:val="none"/>
        </w:rPr>
        <w:t>.</w:t>
      </w:r>
      <w:r w:rsidR="00EB4172">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b/>
          <w:i/>
          <w:noProof/>
          <w:kern w:val="0"/>
          <w:sz w:val="20"/>
          <w:szCs w:val="22"/>
          <w14:ligatures w14:val="none"/>
        </w:rPr>
        <w:t>SK</w:t>
      </w:r>
      <w:r w:rsidRPr="00FB4E2D">
        <w:rPr>
          <w:rFonts w:ascii="Times New Roman" w:eastAsia="Calibri" w:hAnsi="Times New Roman" w:cs="Times New Roman"/>
          <w:i/>
          <w:noProof/>
          <w:kern w:val="0"/>
          <w:sz w:val="20"/>
          <w:szCs w:val="22"/>
          <w14:ligatures w14:val="none"/>
        </w:rPr>
        <w:t xml:space="preserve">: Data correspond to the average length of the whole proceedings, including </w:t>
      </w:r>
      <w:r w:rsidRPr="00FB4E2D" w:rsidDel="007A0203">
        <w:rPr>
          <w:rFonts w:ascii="Times New Roman" w:eastAsia="Calibri" w:hAnsi="Times New Roman" w:cs="Times New Roman"/>
          <w:i/>
          <w:noProof/>
          <w:kern w:val="0"/>
          <w:sz w:val="20"/>
          <w:szCs w:val="22"/>
          <w14:ligatures w14:val="none"/>
        </w:rPr>
        <w:t xml:space="preserve">at </w:t>
      </w:r>
      <w:r w:rsidRPr="00FB4E2D">
        <w:rPr>
          <w:rFonts w:ascii="Times New Roman" w:eastAsia="Calibri" w:hAnsi="Times New Roman" w:cs="Times New Roman"/>
          <w:i/>
          <w:noProof/>
          <w:kern w:val="0"/>
          <w:sz w:val="20"/>
          <w:szCs w:val="22"/>
          <w14:ligatures w14:val="none"/>
        </w:rPr>
        <w:t xml:space="preserve">appeal court. </w:t>
      </w:r>
    </w:p>
    <w:p w14:paraId="56ACF058"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Times New Roman" w:hAnsi="Times New Roman" w:cs="Times New Roman"/>
          <w:i/>
          <w:noProof/>
          <w:kern w:val="0"/>
          <w14:ligatures w14:val="none"/>
        </w:rPr>
        <w:t>– Anti-corruption –</w:t>
      </w:r>
    </w:p>
    <w:p w14:paraId="21C2EEAC" w14:textId="184A6AD9" w:rsidR="006917A9" w:rsidRPr="00FB4E2D" w:rsidRDefault="00A02C07" w:rsidP="00A02C07">
      <w:pPr>
        <w:spacing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Corruption is an impediment to sustainable economic growth, diverting resources from productive outcomes, undermining the efficiency of public spending and deepening social inequalities. It hampers the effective and smooth functioning of the single market, creates uncertainties in doing business and holds back investment. </w:t>
      </w:r>
      <w:r w:rsidR="00561C88" w:rsidRPr="00FB4E2D">
        <w:rPr>
          <w:rFonts w:ascii="Times New Roman" w:eastAsia="Calibri" w:hAnsi="Times New Roman" w:cs="Times New Roman"/>
          <w:noProof/>
          <w:kern w:val="0"/>
          <w14:ligatures w14:val="none"/>
        </w:rPr>
        <w:t xml:space="preserve">Moreover, corruption represents a major threat to our security and democracies. </w:t>
      </w:r>
      <w:r w:rsidRPr="00FB4E2D">
        <w:rPr>
          <w:rFonts w:ascii="Times New Roman" w:eastAsia="Calibri" w:hAnsi="Times New Roman" w:cs="Times New Roman"/>
          <w:noProof/>
          <w:kern w:val="0"/>
          <w14:ligatures w14:val="none"/>
        </w:rPr>
        <w:t xml:space="preserve">Corruption is particularly complex to tackle since, unlike most crimes, both parties involved in a corruption case are generally interested </w:t>
      </w:r>
      <w:r w:rsidR="00CA10F1" w:rsidRPr="00FB4E2D">
        <w:rPr>
          <w:rFonts w:ascii="Times New Roman" w:eastAsia="Calibri" w:hAnsi="Times New Roman" w:cs="Times New Roman"/>
          <w:noProof/>
          <w:kern w:val="0"/>
          <w14:ligatures w14:val="none"/>
        </w:rPr>
        <w:t>keeping it secret.</w:t>
      </w:r>
      <w:r w:rsidRPr="00FB4E2D">
        <w:rPr>
          <w:rFonts w:ascii="Times New Roman" w:eastAsia="Calibri" w:hAnsi="Times New Roman" w:cs="Times New Roman"/>
          <w:noProof/>
          <w:kern w:val="0"/>
          <w14:ligatures w14:val="none"/>
        </w:rPr>
        <w:t xml:space="preserve"> This also contributes to a general difficulty </w:t>
      </w:r>
      <w:r w:rsidR="006917A9" w:rsidRPr="00FB4E2D">
        <w:rPr>
          <w:rFonts w:ascii="Times New Roman" w:eastAsia="Calibri" w:hAnsi="Times New Roman" w:cs="Times New Roman"/>
          <w:noProof/>
          <w:kern w:val="0"/>
          <w14:ligatures w14:val="none"/>
        </w:rPr>
        <w:t xml:space="preserve">in </w:t>
      </w:r>
      <w:r w:rsidRPr="00FB4E2D">
        <w:rPr>
          <w:rFonts w:ascii="Times New Roman" w:eastAsia="Calibri" w:hAnsi="Times New Roman" w:cs="Times New Roman"/>
          <w:noProof/>
          <w:kern w:val="0"/>
          <w14:ligatures w14:val="none"/>
        </w:rPr>
        <w:t>quantify</w:t>
      </w:r>
      <w:r w:rsidR="006917A9" w:rsidRPr="00FB4E2D">
        <w:rPr>
          <w:rFonts w:ascii="Times New Roman" w:eastAsia="Calibri" w:hAnsi="Times New Roman" w:cs="Times New Roman"/>
          <w:noProof/>
          <w:kern w:val="0"/>
          <w14:ligatures w14:val="none"/>
        </w:rPr>
        <w:t xml:space="preserve">ing </w:t>
      </w:r>
      <w:r w:rsidRPr="00FB4E2D">
        <w:rPr>
          <w:rFonts w:ascii="Times New Roman" w:eastAsia="Calibri" w:hAnsi="Times New Roman" w:cs="Times New Roman"/>
          <w:noProof/>
          <w:kern w:val="0"/>
          <w14:ligatures w14:val="none"/>
        </w:rPr>
        <w:t xml:space="preserve">the true magnitude of the corruption phenomenon across the EU. Corruption is a particularly serious crime with a cross-border dimension, as referred to in Article 83(1) TFEU, and can only be effectively tackled by common minimum rules across the European Union. </w:t>
      </w:r>
    </w:p>
    <w:p w14:paraId="438D40A0" w14:textId="59A4F396" w:rsidR="00A02C07" w:rsidRPr="00FB4E2D" w:rsidRDefault="00A02C07" w:rsidP="00A02C07">
      <w:pPr>
        <w:spacing w:line="240" w:lineRule="auto"/>
        <w:jc w:val="both"/>
        <w:rPr>
          <w:rFonts w:ascii="Times New Roman" w:eastAsia="Calibri" w:hAnsi="Times New Roman" w:cs="Times New Roman"/>
          <w:noProof/>
        </w:rPr>
      </w:pPr>
      <w:r w:rsidRPr="00FB4E2D">
        <w:rPr>
          <w:rFonts w:ascii="Times New Roman" w:eastAsia="Calibri" w:hAnsi="Times New Roman" w:cs="Times New Roman"/>
          <w:noProof/>
          <w:kern w:val="0"/>
          <w14:ligatures w14:val="none"/>
        </w:rPr>
        <w:t xml:space="preserve">On </w:t>
      </w:r>
      <w:r w:rsidR="00786248" w:rsidRPr="00FB4E2D">
        <w:rPr>
          <w:rFonts w:ascii="Times New Roman" w:eastAsia="Calibri" w:hAnsi="Times New Roman" w:cs="Times New Roman"/>
          <w:noProof/>
        </w:rPr>
        <w:t>29 April 2026</w:t>
      </w:r>
      <w:r w:rsidRPr="00FB4E2D">
        <w:rPr>
          <w:rFonts w:ascii="Times New Roman" w:eastAsia="Calibri" w:hAnsi="Times New Roman" w:cs="Times New Roman"/>
          <w:noProof/>
          <w:kern w:val="0"/>
          <w14:ligatures w14:val="none"/>
        </w:rPr>
        <w:t>, the European Parliament</w:t>
      </w:r>
      <w:r w:rsidRPr="00FB4E2D">
        <w:rPr>
          <w:rFonts w:ascii="Times New Roman" w:eastAsia="Calibri" w:hAnsi="Times New Roman" w:cs="Times New Roman"/>
          <w:noProof/>
        </w:rPr>
        <w:t xml:space="preserve"> </w:t>
      </w:r>
      <w:r w:rsidR="00786248" w:rsidRPr="00FB4E2D">
        <w:rPr>
          <w:rFonts w:ascii="Times New Roman" w:eastAsia="Calibri" w:hAnsi="Times New Roman" w:cs="Times New Roman"/>
          <w:noProof/>
        </w:rPr>
        <w:t>and</w:t>
      </w:r>
      <w:r w:rsidR="004A2840"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 xml:space="preserve">Council </w:t>
      </w:r>
      <w:r w:rsidR="79076714" w:rsidRPr="00FB4E2D">
        <w:rPr>
          <w:rFonts w:ascii="Times New Roman" w:eastAsia="Calibri" w:hAnsi="Times New Roman" w:cs="Times New Roman"/>
          <w:noProof/>
        </w:rPr>
        <w:t>adopted</w:t>
      </w:r>
      <w:r w:rsidR="00786248" w:rsidRPr="00FB4E2D">
        <w:rPr>
          <w:rFonts w:ascii="Times New Roman" w:eastAsia="Calibri" w:hAnsi="Times New Roman" w:cs="Times New Roman"/>
          <w:noProof/>
        </w:rPr>
        <w:t xml:space="preserve"> the new</w:t>
      </w:r>
      <w:r w:rsidRPr="00FB4E2D">
        <w:rPr>
          <w:rFonts w:ascii="Times New Roman" w:eastAsia="Calibri" w:hAnsi="Times New Roman" w:cs="Times New Roman"/>
          <w:noProof/>
          <w:kern w:val="0"/>
          <w14:ligatures w14:val="none"/>
        </w:rPr>
        <w:t xml:space="preserve"> Directive on combating corruption</w:t>
      </w:r>
      <w:r w:rsidRPr="00FB4E2D">
        <w:rPr>
          <w:rFonts w:ascii="Calibri" w:eastAsia="Yu Mincho" w:hAnsi="Calibri" w:cs="Arial"/>
          <w:noProof/>
          <w:kern w:val="0"/>
          <w14:ligatures w14:val="none"/>
        </w:rPr>
        <w:t xml:space="preserve"> </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noProof/>
          <w:kern w:val="0"/>
          <w:vertAlign w:val="superscript"/>
          <w14:ligatures w14:val="none"/>
        </w:rPr>
        <w:footnoteReference w:id="63"/>
      </w:r>
      <w:r w:rsidRPr="00FB4E2D">
        <w:rPr>
          <w:rFonts w:ascii="Times New Roman" w:eastAsia="Calibri" w:hAnsi="Times New Roman" w:cs="Times New Roman"/>
          <w:noProof/>
          <w:kern w:val="0"/>
          <w14:ligatures w14:val="none"/>
        </w:rPr>
        <w:t xml:space="preserve">). The </w:t>
      </w:r>
      <w:r w:rsidR="00B1580A" w:rsidRPr="00FB4E2D">
        <w:rPr>
          <w:rFonts w:ascii="Times New Roman" w:eastAsia="Calibri" w:hAnsi="Times New Roman" w:cs="Times New Roman"/>
          <w:noProof/>
        </w:rPr>
        <w:t xml:space="preserve">Directive </w:t>
      </w:r>
      <w:r w:rsidRPr="00FB4E2D">
        <w:rPr>
          <w:rFonts w:ascii="Times New Roman" w:eastAsia="Calibri" w:hAnsi="Times New Roman" w:cs="Times New Roman"/>
          <w:noProof/>
          <w:kern w:val="0"/>
          <w14:ligatures w14:val="none"/>
        </w:rPr>
        <w:t xml:space="preserve">updates and </w:t>
      </w:r>
      <w:r w:rsidR="006917A9" w:rsidRPr="00FB4E2D">
        <w:rPr>
          <w:rFonts w:ascii="Times New Roman" w:eastAsia="Calibri" w:hAnsi="Times New Roman" w:cs="Times New Roman"/>
          <w:noProof/>
        </w:rPr>
        <w:t xml:space="preserve">aligns </w:t>
      </w:r>
      <w:r w:rsidRPr="00FB4E2D">
        <w:rPr>
          <w:rFonts w:ascii="Times New Roman" w:eastAsia="Calibri" w:hAnsi="Times New Roman" w:cs="Times New Roman"/>
          <w:noProof/>
          <w:kern w:val="0"/>
          <w14:ligatures w14:val="none"/>
        </w:rPr>
        <w:t>EU rules on the</w:t>
      </w:r>
      <w:r w:rsidRPr="00FB4E2D">
        <w:rPr>
          <w:rFonts w:ascii="Calibri" w:eastAsia="Yu Mincho" w:hAnsi="Calibri" w:cs="Arial"/>
          <w:noProof/>
          <w:kern w:val="0"/>
          <w:sz w:val="22"/>
          <w:szCs w:val="22"/>
          <w14:ligatures w14:val="none"/>
        </w:rPr>
        <w:t xml:space="preserve"> </w:t>
      </w:r>
      <w:r w:rsidRPr="00FB4E2D">
        <w:rPr>
          <w:rFonts w:ascii="Times New Roman" w:eastAsia="Calibri" w:hAnsi="Times New Roman" w:cs="Times New Roman"/>
          <w:noProof/>
          <w:kern w:val="0"/>
          <w14:ligatures w14:val="none"/>
        </w:rPr>
        <w:t>definitions of and penalties for corruption offences, to ensure high standards in the fight against the full range of corruption offences (</w:t>
      </w:r>
      <w:r w:rsidR="00B4759F" w:rsidRPr="00FB4E2D">
        <w:rPr>
          <w:rFonts w:ascii="Times New Roman" w:eastAsia="Calibri" w:hAnsi="Times New Roman" w:cs="Times New Roman"/>
          <w:noProof/>
        </w:rPr>
        <w:t xml:space="preserve">going beyond bribery </w:t>
      </w:r>
      <w:r w:rsidR="004C72BC" w:rsidRPr="00FB4E2D">
        <w:rPr>
          <w:rFonts w:ascii="Times New Roman" w:eastAsia="Calibri" w:hAnsi="Times New Roman" w:cs="Times New Roman"/>
          <w:noProof/>
        </w:rPr>
        <w:t>and</w:t>
      </w:r>
      <w:r w:rsidR="00B4759F" w:rsidRPr="00FB4E2D">
        <w:rPr>
          <w:rFonts w:ascii="Times New Roman" w:eastAsia="Calibri" w:hAnsi="Times New Roman" w:cs="Times New Roman"/>
          <w:noProof/>
        </w:rPr>
        <w:t xml:space="preserve"> covering misappropriation, trading in </w:t>
      </w:r>
      <w:r w:rsidR="00067E4B" w:rsidRPr="00FB4E2D">
        <w:rPr>
          <w:rFonts w:ascii="Times New Roman" w:eastAsia="Calibri" w:hAnsi="Times New Roman" w:cs="Times New Roman"/>
          <w:noProof/>
        </w:rPr>
        <w:t>influence, the</w:t>
      </w:r>
      <w:r w:rsidR="00B4759F" w:rsidRPr="00FB4E2D">
        <w:rPr>
          <w:rFonts w:ascii="Times New Roman" w:eastAsia="Calibri" w:hAnsi="Times New Roman" w:cs="Times New Roman"/>
          <w:noProof/>
        </w:rPr>
        <w:t xml:space="preserve"> unlawful exercise of public functions, as well as obstruction of justice and enrichment related to corruption offences</w:t>
      </w:r>
      <w:r w:rsidRPr="00FB4E2D">
        <w:rPr>
          <w:rFonts w:ascii="Times New Roman" w:eastAsia="Calibri" w:hAnsi="Times New Roman" w:cs="Times New Roman"/>
          <w:noProof/>
          <w:kern w:val="0"/>
          <w14:ligatures w14:val="none"/>
        </w:rPr>
        <w:t>)</w:t>
      </w:r>
      <w:r w:rsidR="00BB770C" w:rsidRPr="00FB4E2D">
        <w:rPr>
          <w:rFonts w:ascii="Times New Roman" w:eastAsia="Calibri" w:hAnsi="Times New Roman" w:cs="Times New Roman"/>
          <w:noProof/>
        </w:rPr>
        <w:t>. It also</w:t>
      </w:r>
      <w:r w:rsidR="00EE0A84" w:rsidRPr="00FB4E2D">
        <w:rPr>
          <w:rFonts w:ascii="Times New Roman" w:eastAsia="Calibri" w:hAnsi="Times New Roman" w:cs="Times New Roman"/>
          <w:noProof/>
        </w:rPr>
        <w:t xml:space="preserve"> </w:t>
      </w:r>
      <w:r w:rsidR="00305E7C" w:rsidRPr="00FB4E2D">
        <w:rPr>
          <w:rFonts w:ascii="Times New Roman" w:eastAsia="Calibri" w:hAnsi="Times New Roman" w:cs="Times New Roman"/>
          <w:noProof/>
        </w:rPr>
        <w:t xml:space="preserve">includes provisions aimed at strengthening preventive and integrity measures in Member States, and </w:t>
      </w:r>
      <w:r w:rsidR="003D40F5" w:rsidRPr="00FB4E2D">
        <w:rPr>
          <w:rFonts w:ascii="Times New Roman" w:eastAsia="Calibri" w:hAnsi="Times New Roman" w:cs="Times New Roman"/>
          <w:noProof/>
        </w:rPr>
        <w:t>contributes to making investigations and the prosecution of corruption more effective</w:t>
      </w:r>
      <w:r w:rsidRPr="00FB4E2D">
        <w:rPr>
          <w:rFonts w:ascii="Times New Roman" w:eastAsia="Calibri" w:hAnsi="Times New Roman" w:cs="Times New Roman"/>
          <w:noProof/>
          <w:kern w:val="0"/>
          <w14:ligatures w14:val="none"/>
        </w:rPr>
        <w:t xml:space="preserve">. In cooperation with Member States, </w:t>
      </w:r>
      <w:r w:rsidR="005C0994" w:rsidRPr="00FB4E2D">
        <w:rPr>
          <w:rFonts w:ascii="Times New Roman" w:eastAsia="Calibri" w:hAnsi="Times New Roman" w:cs="Times New Roman"/>
          <w:noProof/>
          <w:kern w:val="0"/>
          <w14:ligatures w14:val="none"/>
        </w:rPr>
        <w:t xml:space="preserve">a </w:t>
      </w:r>
      <w:r w:rsidRPr="00FB4E2D">
        <w:rPr>
          <w:rFonts w:ascii="Times New Roman" w:eastAsia="Calibri" w:hAnsi="Times New Roman" w:cs="Times New Roman"/>
          <w:noProof/>
          <w:kern w:val="0"/>
          <w14:ligatures w14:val="none"/>
        </w:rPr>
        <w:t>questionnaire was developed in 2022 to collect data on the length of court proceedings before first instance courts in bribery cases, which is presented in Figure 21 below (</w:t>
      </w:r>
      <w:r w:rsidRPr="00FB4E2D">
        <w:rPr>
          <w:rFonts w:ascii="Times New Roman" w:eastAsia="Calibri" w:hAnsi="Times New Roman" w:cs="Times New Roman"/>
          <w:noProof/>
          <w:kern w:val="0"/>
          <w:vertAlign w:val="superscript"/>
          <w14:ligatures w14:val="none"/>
        </w:rPr>
        <w:footnoteReference w:id="64"/>
      </w:r>
      <w:r w:rsidRPr="00FB4E2D">
        <w:rPr>
          <w:rFonts w:ascii="Times New Roman" w:eastAsia="Calibri" w:hAnsi="Times New Roman" w:cs="Times New Roman"/>
          <w:noProof/>
          <w:kern w:val="0"/>
          <w14:ligatures w14:val="none"/>
        </w:rPr>
        <w:t xml:space="preserve">). </w:t>
      </w:r>
    </w:p>
    <w:p w14:paraId="1CF5201B"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Corruption (bribery)</w:t>
      </w:r>
      <w:r w:rsidRPr="00FB4E2D">
        <w:rPr>
          <w:rFonts w:ascii="Times New Roman" w:eastAsia="Calibri" w:hAnsi="Times New Roman" w:cs="Times New Roman"/>
          <w:b/>
          <w:noProof/>
          <w:kern w:val="0"/>
          <w14:ligatures w14:val="none"/>
        </w:rPr>
        <w:t xml:space="preserve">: average length of court cases from 2021 </w:t>
      </w:r>
      <w:r w:rsidRPr="00FB4E2D" w:rsidDel="00B957D2">
        <w:rPr>
          <w:rFonts w:ascii="Times New Roman" w:eastAsia="Times New Roman" w:hAnsi="Times New Roman" w:cs="Times New Roman"/>
          <w:b/>
          <w:noProof/>
          <w:kern w:val="0"/>
          <w14:ligatures w14:val="none"/>
        </w:rPr>
        <w:t>–</w:t>
      </w:r>
      <w:r w:rsidRPr="00FB4E2D">
        <w:rPr>
          <w:rFonts w:ascii="Times New Roman" w:eastAsia="Calibri" w:hAnsi="Times New Roman" w:cs="Times New Roman"/>
          <w:b/>
          <w:noProof/>
          <w:kern w:val="0"/>
          <w14:ligatures w14:val="none"/>
        </w:rPr>
        <w:t xml:space="preserve"> 2024 </w:t>
      </w:r>
      <w:r w:rsidRPr="00FB4E2D">
        <w:rPr>
          <w:rFonts w:ascii="Times New Roman" w:eastAsia="Calibri" w:hAnsi="Times New Roman" w:cs="Times New Roman"/>
          <w:noProof/>
          <w:kern w:val="0"/>
          <w:sz w:val="22"/>
          <w:szCs w:val="22"/>
          <w14:ligatures w14:val="none"/>
        </w:rPr>
        <w:t>(</w:t>
      </w:r>
      <w:r w:rsidRPr="00FB4E2D">
        <w:rPr>
          <w:rFonts w:ascii="Calibri" w:eastAsia="Calibri" w:hAnsi="Calibri" w:cs="Times New Roman"/>
          <w:noProof/>
          <w:kern w:val="0"/>
          <w:sz w:val="22"/>
          <w:szCs w:val="22"/>
          <w14:ligatures w14:val="none"/>
        </w:rPr>
        <w:t>*</w:t>
      </w:r>
      <w:r w:rsidRPr="00FB4E2D">
        <w:rPr>
          <w:rFonts w:ascii="Times New Roman" w:eastAsia="Calibri" w:hAnsi="Times New Roman" w:cs="Times New Roman"/>
          <w:noProof/>
          <w:kern w:val="0"/>
          <w:sz w:val="22"/>
          <w:szCs w:val="22"/>
          <w14:ligatures w14:val="none"/>
        </w:rPr>
        <w:t>)</w:t>
      </w:r>
      <w:r w:rsidRPr="00FB4E2D">
        <w:rPr>
          <w:rFonts w:ascii="Times New Roman" w:eastAsia="Calibri" w:hAnsi="Times New Roman" w:cs="Times New Roman"/>
          <w:i/>
          <w:noProof/>
          <w:kern w:val="0"/>
          <w14:ligatures w14:val="none"/>
        </w:rPr>
        <w:t xml:space="preserve"> (at first instance/in days) (source: European Commission with the National Contact Points for Anti-corruption)</w:t>
      </w:r>
    </w:p>
    <w:p w14:paraId="02D69719" w14:textId="3B7DEF78" w:rsidR="00A02C07" w:rsidRPr="00FB4E2D" w:rsidRDefault="00DD5AAE" w:rsidP="00A02C07">
      <w:pPr>
        <w:spacing w:after="0" w:line="240" w:lineRule="auto"/>
        <w:jc w:val="both"/>
        <w:rPr>
          <w:rFonts w:ascii="Times New Roman" w:eastAsia="Calibri" w:hAnsi="Times New Roman" w:cs="Times New Roman"/>
          <w:i/>
          <w:noProof/>
          <w:kern w:val="0"/>
          <w:sz w:val="18"/>
          <w:szCs w:val="20"/>
          <w:highlight w:val="yellow"/>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5CB1852D" wp14:editId="4AA1B3A5">
            <wp:extent cx="5760000" cy="2680014"/>
            <wp:effectExtent l="0" t="0" r="0" b="6350"/>
            <wp:docPr id="311228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000" cy="2680014"/>
                    </a:xfrm>
                    <a:prstGeom prst="rect">
                      <a:avLst/>
                    </a:prstGeom>
                    <a:noFill/>
                  </pic:spPr>
                </pic:pic>
              </a:graphicData>
            </a:graphic>
          </wp:inline>
        </w:drawing>
      </w:r>
      <w:r w:rsidR="00A02C07" w:rsidRPr="00FB4E2D">
        <w:rPr>
          <w:rFonts w:ascii="Times New Roman" w:eastAsia="Calibri" w:hAnsi="Times New Roman" w:cs="Times New Roman"/>
          <w:i/>
          <w:noProof/>
          <w:kern w:val="0"/>
          <w:sz w:val="20"/>
          <w:szCs w:val="22"/>
          <w14:ligatures w14:val="none"/>
        </w:rPr>
        <w:t xml:space="preserve">(*) </w:t>
      </w:r>
      <w:r w:rsidR="00A02C07" w:rsidRPr="00FB4E2D">
        <w:rPr>
          <w:rFonts w:ascii="Times New Roman" w:eastAsia="Calibri" w:hAnsi="Times New Roman" w:cs="Times New Roman"/>
          <w:i/>
          <w:noProof/>
          <w:kern w:val="0"/>
          <w:sz w:val="20"/>
          <w:szCs w:val="20"/>
          <w14:ligatures w14:val="none"/>
        </w:rPr>
        <w:t xml:space="preserve">The average is weighted by the number of cases in the respective year. </w:t>
      </w:r>
      <w:r w:rsidR="00A02C07" w:rsidRPr="00FB4E2D">
        <w:rPr>
          <w:rFonts w:ascii="Times New Roman" w:eastAsia="Calibri" w:hAnsi="Times New Roman" w:cs="Times New Roman"/>
          <w:i/>
          <w:noProof/>
          <w:kern w:val="0"/>
          <w:sz w:val="20"/>
          <w:szCs w:val="22"/>
          <w14:ligatures w14:val="none"/>
        </w:rPr>
        <w:t xml:space="preserve">No reply to this question from </w:t>
      </w:r>
      <w:r w:rsidR="00A02C07" w:rsidRPr="00FB4E2D">
        <w:rPr>
          <w:rFonts w:ascii="Times New Roman" w:eastAsia="Calibri" w:hAnsi="Times New Roman" w:cs="Times New Roman"/>
          <w:b/>
          <w:i/>
          <w:noProof/>
          <w:kern w:val="0"/>
          <w:sz w:val="20"/>
          <w:szCs w:val="22"/>
          <w14:ligatures w14:val="none"/>
        </w:rPr>
        <w:t>DE</w:t>
      </w:r>
      <w:r w:rsidR="00A02C07" w:rsidRPr="00FB4E2D">
        <w:rPr>
          <w:rFonts w:ascii="Times New Roman" w:eastAsia="Calibri" w:hAnsi="Times New Roman" w:cs="Times New Roman"/>
          <w:i/>
          <w:noProof/>
          <w:kern w:val="0"/>
          <w:sz w:val="20"/>
          <w:szCs w:val="22"/>
          <w14:ligatures w14:val="none"/>
        </w:rPr>
        <w:t xml:space="preserve">, </w:t>
      </w:r>
      <w:r w:rsidR="00A02C07" w:rsidRPr="00FB4E2D">
        <w:rPr>
          <w:rFonts w:ascii="Times New Roman" w:eastAsia="Calibri" w:hAnsi="Times New Roman" w:cs="Times New Roman"/>
          <w:b/>
          <w:i/>
          <w:noProof/>
          <w:kern w:val="0"/>
          <w:sz w:val="20"/>
          <w:szCs w:val="22"/>
          <w14:ligatures w14:val="none"/>
        </w:rPr>
        <w:t>IE</w:t>
      </w:r>
      <w:r w:rsidR="00A02C07" w:rsidRPr="00FB4E2D">
        <w:rPr>
          <w:rFonts w:ascii="Times New Roman" w:eastAsia="Calibri" w:hAnsi="Times New Roman" w:cs="Times New Roman"/>
          <w:i/>
          <w:noProof/>
          <w:kern w:val="0"/>
          <w:sz w:val="20"/>
          <w:szCs w:val="22"/>
          <w14:ligatures w14:val="none"/>
        </w:rPr>
        <w:t xml:space="preserve">, </w:t>
      </w:r>
      <w:r w:rsidR="00A02C07" w:rsidRPr="00FB4E2D">
        <w:rPr>
          <w:rFonts w:ascii="Times New Roman" w:eastAsia="Calibri" w:hAnsi="Times New Roman" w:cs="Times New Roman"/>
          <w:b/>
          <w:i/>
          <w:noProof/>
          <w:kern w:val="0"/>
          <w:sz w:val="20"/>
          <w:szCs w:val="22"/>
          <w14:ligatures w14:val="none"/>
        </w:rPr>
        <w:t>ES</w:t>
      </w:r>
      <w:r w:rsidR="00A02C07" w:rsidRPr="00FB4E2D">
        <w:rPr>
          <w:rFonts w:ascii="Times New Roman" w:eastAsia="Calibri" w:hAnsi="Times New Roman" w:cs="Times New Roman"/>
          <w:i/>
          <w:noProof/>
          <w:kern w:val="0"/>
          <w:sz w:val="20"/>
          <w:szCs w:val="22"/>
          <w14:ligatures w14:val="none"/>
        </w:rPr>
        <w:t xml:space="preserve">, </w:t>
      </w:r>
      <w:r w:rsidR="00A02C07" w:rsidRPr="00FB4E2D">
        <w:rPr>
          <w:rFonts w:ascii="Times New Roman" w:eastAsia="Calibri" w:hAnsi="Times New Roman" w:cs="Times New Roman"/>
          <w:b/>
          <w:i/>
          <w:noProof/>
          <w:kern w:val="0"/>
          <w:sz w:val="20"/>
          <w:szCs w:val="22"/>
          <w14:ligatures w14:val="none"/>
        </w:rPr>
        <w:t>IT</w:t>
      </w:r>
      <w:r w:rsidR="00A02C07" w:rsidRPr="00FB4E2D">
        <w:rPr>
          <w:rFonts w:ascii="Times New Roman" w:eastAsia="Calibri" w:hAnsi="Times New Roman" w:cs="Times New Roman"/>
          <w:i/>
          <w:noProof/>
          <w:kern w:val="0"/>
          <w:sz w:val="20"/>
          <w:szCs w:val="22"/>
          <w14:ligatures w14:val="none"/>
        </w:rPr>
        <w:t xml:space="preserve">, </w:t>
      </w:r>
      <w:r w:rsidR="00A02C07" w:rsidRPr="00FB4E2D">
        <w:rPr>
          <w:rFonts w:ascii="Times New Roman" w:eastAsia="Calibri" w:hAnsi="Times New Roman" w:cs="Times New Roman"/>
          <w:b/>
          <w:i/>
          <w:noProof/>
          <w:kern w:val="0"/>
          <w:sz w:val="20"/>
          <w:szCs w:val="22"/>
          <w14:ligatures w14:val="none"/>
        </w:rPr>
        <w:t>CY</w:t>
      </w:r>
      <w:r w:rsidR="00A02C07" w:rsidRPr="00FB4E2D">
        <w:rPr>
          <w:rFonts w:ascii="Times New Roman" w:eastAsia="Calibri" w:hAnsi="Times New Roman" w:cs="Times New Roman"/>
          <w:i/>
          <w:noProof/>
          <w:kern w:val="0"/>
          <w:sz w:val="20"/>
          <w:szCs w:val="22"/>
          <w14:ligatures w14:val="none"/>
        </w:rPr>
        <w:t xml:space="preserve">, </w:t>
      </w:r>
      <w:r w:rsidR="00A02C07" w:rsidRPr="00FB4E2D">
        <w:rPr>
          <w:rFonts w:ascii="Times New Roman" w:eastAsia="Calibri" w:hAnsi="Times New Roman" w:cs="Times New Roman"/>
          <w:b/>
          <w:i/>
          <w:noProof/>
          <w:kern w:val="0"/>
          <w:sz w:val="20"/>
          <w:szCs w:val="22"/>
          <w14:ligatures w14:val="none"/>
        </w:rPr>
        <w:t>MT</w:t>
      </w:r>
      <w:r w:rsidR="00A02C07" w:rsidRPr="00FB4E2D">
        <w:rPr>
          <w:rFonts w:ascii="Times New Roman" w:eastAsia="Calibri" w:hAnsi="Times New Roman" w:cs="Times New Roman"/>
          <w:i/>
          <w:noProof/>
          <w:kern w:val="0"/>
          <w:sz w:val="20"/>
          <w:szCs w:val="22"/>
          <w14:ligatures w14:val="none"/>
        </w:rPr>
        <w:t xml:space="preserve">. </w:t>
      </w:r>
      <w:r w:rsidR="00A02C07" w:rsidRPr="00FB4E2D">
        <w:rPr>
          <w:rFonts w:ascii="Times New Roman" w:eastAsia="Calibri" w:hAnsi="Times New Roman" w:cs="Times New Roman"/>
          <w:b/>
          <w:i/>
          <w:noProof/>
          <w:kern w:val="0"/>
          <w:sz w:val="20"/>
          <w:szCs w:val="22"/>
          <w14:ligatures w14:val="none"/>
        </w:rPr>
        <w:t>NL</w:t>
      </w:r>
      <w:r w:rsidR="00A02C07" w:rsidRPr="00FB4E2D">
        <w:rPr>
          <w:rFonts w:ascii="Times New Roman" w:eastAsia="Calibri" w:hAnsi="Times New Roman" w:cs="Times New Roman"/>
          <w:i/>
          <w:noProof/>
          <w:kern w:val="0"/>
          <w:sz w:val="20"/>
          <w:szCs w:val="22"/>
          <w14:ligatures w14:val="none"/>
        </w:rPr>
        <w:t>: In this calculation for 2022, the period starts to run from the date the public prosecution service summons the defendant to appear in court; the period ends on the day when the judge of first instance delivers the final verdict. The average processing time for the aforementioned 35 cases is 645 days. However, account must be taken of the fact that a case is often not ready for the hearing at the moment the period starts to run. As a result, it takes some time before the case is presented for hearing. The average length from first hearing until delivery of the final verdict is 194 days.</w:t>
      </w:r>
      <w:r w:rsidR="008A4E08" w:rsidRPr="00FB4E2D">
        <w:rPr>
          <w:rFonts w:ascii="Times New Roman" w:eastAsia="Calibri" w:hAnsi="Times New Roman" w:cs="Times New Roman"/>
          <w:i/>
          <w:noProof/>
          <w:kern w:val="0"/>
          <w:sz w:val="20"/>
          <w:szCs w:val="22"/>
          <w14:ligatures w14:val="none"/>
        </w:rPr>
        <w:t xml:space="preserve"> </w:t>
      </w:r>
      <w:r w:rsidR="00BE7274" w:rsidRPr="00FB4E2D">
        <w:rPr>
          <w:rFonts w:ascii="Times New Roman" w:eastAsia="Calibri" w:hAnsi="Times New Roman" w:cs="Times New Roman"/>
          <w:b/>
          <w:bCs/>
          <w:i/>
          <w:noProof/>
          <w:kern w:val="0"/>
          <w:sz w:val="20"/>
          <w:szCs w:val="22"/>
          <w14:ligatures w14:val="none"/>
        </w:rPr>
        <w:t>FR</w:t>
      </w:r>
      <w:r w:rsidR="00E9021C" w:rsidRPr="00FB4E2D">
        <w:rPr>
          <w:rFonts w:ascii="Times New Roman" w:eastAsia="Calibri" w:hAnsi="Times New Roman" w:cs="Times New Roman"/>
          <w:b/>
          <w:bCs/>
          <w:i/>
          <w:noProof/>
          <w:kern w:val="0"/>
          <w:sz w:val="20"/>
          <w:szCs w:val="22"/>
          <w14:ligatures w14:val="none"/>
        </w:rPr>
        <w:t>:</w:t>
      </w:r>
      <w:r w:rsidR="00BE7274" w:rsidRPr="00FB4E2D">
        <w:rPr>
          <w:rFonts w:ascii="Times New Roman" w:eastAsia="Calibri" w:hAnsi="Times New Roman" w:cs="Times New Roman"/>
          <w:b/>
          <w:bCs/>
          <w:i/>
          <w:noProof/>
          <w:kern w:val="0"/>
          <w:sz w:val="20"/>
          <w:szCs w:val="22"/>
          <w14:ligatures w14:val="none"/>
        </w:rPr>
        <w:t xml:space="preserve"> </w:t>
      </w:r>
      <w:r w:rsidR="00E9021C" w:rsidRPr="006C173B">
        <w:rPr>
          <w:rFonts w:ascii="Times New Roman" w:eastAsia="Calibri" w:hAnsi="Times New Roman" w:cs="Times New Roman"/>
          <w:i/>
          <w:noProof/>
          <w:kern w:val="0"/>
          <w:sz w:val="20"/>
          <w:szCs w:val="22"/>
          <w14:ligatures w14:val="none"/>
        </w:rPr>
        <w:t>D</w:t>
      </w:r>
      <w:r w:rsidR="00E9021C" w:rsidRPr="00FB4E2D">
        <w:rPr>
          <w:rFonts w:ascii="Times New Roman" w:eastAsia="Calibri" w:hAnsi="Times New Roman" w:cs="Times New Roman"/>
          <w:i/>
          <w:noProof/>
          <w:kern w:val="0"/>
          <w:sz w:val="20"/>
          <w:szCs w:val="22"/>
          <w14:ligatures w14:val="none"/>
        </w:rPr>
        <w:t>ata from 2024 w</w:t>
      </w:r>
      <w:r w:rsidR="00B0308D" w:rsidRPr="00FB4E2D">
        <w:rPr>
          <w:rFonts w:ascii="Times New Roman" w:eastAsia="Calibri" w:hAnsi="Times New Roman" w:cs="Times New Roman"/>
          <w:i/>
          <w:noProof/>
          <w:kern w:val="0"/>
          <w:sz w:val="20"/>
          <w:szCs w:val="22"/>
          <w14:ligatures w14:val="none"/>
        </w:rPr>
        <w:t>ere</w:t>
      </w:r>
      <w:r w:rsidR="00E9021C" w:rsidRPr="00FB4E2D">
        <w:rPr>
          <w:rFonts w:ascii="Times New Roman" w:eastAsia="Calibri" w:hAnsi="Times New Roman" w:cs="Times New Roman"/>
          <w:i/>
          <w:noProof/>
          <w:kern w:val="0"/>
          <w:sz w:val="20"/>
          <w:szCs w:val="22"/>
          <w14:ligatures w14:val="none"/>
        </w:rPr>
        <w:t xml:space="preserve"> calculated using a new method, therefore the multiannual average is not possible. </w:t>
      </w:r>
      <w:r w:rsidR="00B74A88" w:rsidRPr="00FB4E2D">
        <w:rPr>
          <w:rFonts w:ascii="Times New Roman" w:eastAsia="Calibri" w:hAnsi="Times New Roman" w:cs="Times New Roman"/>
          <w:i/>
          <w:noProof/>
          <w:kern w:val="0"/>
          <w:sz w:val="20"/>
          <w:szCs w:val="22"/>
          <w14:ligatures w14:val="none"/>
        </w:rPr>
        <w:t>The average delay is calculated from the</w:t>
      </w:r>
      <w:r w:rsidR="00110A1F" w:rsidRPr="00FB4E2D">
        <w:rPr>
          <w:rFonts w:ascii="Times New Roman" w:eastAsia="Calibri" w:hAnsi="Times New Roman" w:cs="Times New Roman"/>
          <w:i/>
          <w:noProof/>
          <w:kern w:val="0"/>
          <w:sz w:val="20"/>
          <w:szCs w:val="22"/>
          <w14:ligatures w14:val="none"/>
        </w:rPr>
        <w:t xml:space="preserve"> prosecution decision by the prosecutor and not from the referral to the trial court. </w:t>
      </w:r>
      <w:r w:rsidR="00426BE0" w:rsidRPr="00FB4E2D">
        <w:rPr>
          <w:rFonts w:ascii="Times New Roman" w:eastAsia="Calibri" w:hAnsi="Times New Roman" w:cs="Times New Roman"/>
          <w:i/>
          <w:noProof/>
          <w:kern w:val="0"/>
          <w:sz w:val="20"/>
          <w:szCs w:val="22"/>
          <w14:ligatures w14:val="none"/>
        </w:rPr>
        <w:t>The opening of the judicial information is considered</w:t>
      </w:r>
      <w:r w:rsidR="00CC239A" w:rsidRPr="00FB4E2D">
        <w:rPr>
          <w:rFonts w:ascii="Times New Roman" w:eastAsia="Calibri" w:hAnsi="Times New Roman" w:cs="Times New Roman"/>
          <w:i/>
          <w:noProof/>
          <w:kern w:val="0"/>
          <w:sz w:val="20"/>
          <w:szCs w:val="22"/>
          <w14:ligatures w14:val="none"/>
        </w:rPr>
        <w:t xml:space="preserve"> as a decision to initiate prosecution.</w:t>
      </w:r>
      <w:r w:rsidR="002A6CE6" w:rsidRPr="00FB4E2D">
        <w:rPr>
          <w:rFonts w:ascii="Times New Roman" w:eastAsia="Calibri" w:hAnsi="Times New Roman" w:cs="Times New Roman"/>
          <w:i/>
          <w:noProof/>
          <w:kern w:val="0"/>
          <w:sz w:val="20"/>
          <w:szCs w:val="22"/>
          <w14:ligatures w14:val="none"/>
        </w:rPr>
        <w:t xml:space="preserve"> The figure provided corresponds to the average duration reported by the French authorities (which reflects the duration from prosecution to judgment, excluding and including the “instruction” proceedings). It is not possible in all cases to calculate a timeframe by taking as the starting point the moment when the charges become final, as certain procedures (particularly those involving an “instruction”) can take several years and may sometimes result in the case being dropped. </w:t>
      </w:r>
      <w:r w:rsidR="00A02C07" w:rsidRPr="00FB4E2D">
        <w:rPr>
          <w:rFonts w:ascii="Times New Roman" w:eastAsia="Calibri" w:hAnsi="Times New Roman" w:cs="Times New Roman"/>
          <w:i/>
          <w:noProof/>
          <w:kern w:val="0"/>
          <w:sz w:val="18"/>
          <w:szCs w:val="20"/>
          <w:highlight w:val="yellow"/>
          <w14:ligatures w14:val="none"/>
        </w:rPr>
        <w:br w:type="page"/>
      </w:r>
    </w:p>
    <w:p w14:paraId="7D6F5845" w14:textId="77777777" w:rsidR="00A02C07" w:rsidRPr="00FB4E2D" w:rsidRDefault="00A02C07" w:rsidP="00A02C07">
      <w:pPr>
        <w:keepNext/>
        <w:spacing w:before="360" w:after="120" w:line="240" w:lineRule="auto"/>
        <w:jc w:val="both"/>
        <w:outlineLvl w:val="1"/>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2.2. Quality of justice systems</w:t>
      </w:r>
    </w:p>
    <w:p w14:paraId="339A5D20" w14:textId="77777777"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There is no single way to measure the quality of justice systems. The 2026 EU Justice Scoreboard continues to examine factors that are generally accepted as relevant for improving the quality of justice. They fall into four categories:</w:t>
      </w:r>
    </w:p>
    <w:p w14:paraId="43F375F5" w14:textId="77777777"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1) access to justice for the public and businesses;</w:t>
      </w:r>
    </w:p>
    <w:p w14:paraId="6E010FF8" w14:textId="77777777"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2) adequate financial and human resources;</w:t>
      </w:r>
    </w:p>
    <w:p w14:paraId="421FB047" w14:textId="2C02A72C" w:rsidR="00A02C07" w:rsidRPr="00FB4E2D" w:rsidRDefault="00051FC5" w:rsidP="00A02C07">
      <w:pPr>
        <w:spacing w:after="120" w:line="240" w:lineRule="auto"/>
        <w:jc w:val="both"/>
        <w:rPr>
          <w:rFonts w:ascii="Times New Roman" w:eastAsia="Calibri" w:hAnsi="Times New Roman" w:cs="Times New Roman"/>
          <w:noProof/>
          <w:kern w:val="0"/>
          <w14:ligatures w14:val="none"/>
        </w:rPr>
      </w:pPr>
      <w:r>
        <w:rPr>
          <w:rFonts w:ascii="Times New Roman" w:eastAsia="Calibri" w:hAnsi="Times New Roman" w:cs="Times New Roman"/>
          <w:noProof/>
          <w:kern w:val="0"/>
          <w14:ligatures w14:val="none"/>
        </w:rPr>
        <w:t>3</w:t>
      </w:r>
      <w:r w:rsidR="00A02C07" w:rsidRPr="00FB4E2D">
        <w:rPr>
          <w:rFonts w:ascii="Times New Roman" w:eastAsia="Calibri" w:hAnsi="Times New Roman" w:cs="Times New Roman"/>
          <w:noProof/>
          <w:kern w:val="0"/>
          <w14:ligatures w14:val="none"/>
        </w:rPr>
        <w:t>) digitalisation.</w:t>
      </w:r>
    </w:p>
    <w:p w14:paraId="54BA5F9F" w14:textId="77777777" w:rsidR="00A02C07" w:rsidRPr="00FB4E2D" w:rsidRDefault="00A02C07" w:rsidP="00A02C07">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2.2.1. Summary on the quality of justice systems</w:t>
      </w: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16"/>
      </w:tblGrid>
      <w:tr w:rsidR="00A02C07" w:rsidRPr="00FB4E2D" w14:paraId="0A1B473D" w14:textId="77777777" w:rsidTr="000A7E6E">
        <w:trPr>
          <w:trHeight w:val="839"/>
        </w:trPr>
        <w:tc>
          <w:tcPr>
            <w:tcW w:w="9450" w:type="dxa"/>
            <w:tcBorders>
              <w:bottom w:val="single" w:sz="4" w:space="0" w:color="auto"/>
            </w:tcBorders>
          </w:tcPr>
          <w:p w14:paraId="0CF329B6" w14:textId="77777777" w:rsidR="00A02C07" w:rsidRPr="00FB4E2D" w:rsidRDefault="00A02C07" w:rsidP="00A02C07">
            <w:pPr>
              <w:widowControl w:val="0"/>
              <w:spacing w:before="120" w:after="0" w:line="240" w:lineRule="auto"/>
              <w:jc w:val="both"/>
              <w:rPr>
                <w:rFonts w:ascii="Times New Roman" w:eastAsia="Calibri" w:hAnsi="Times New Roman" w:cs="Times New Roman"/>
                <w:noProof/>
                <w:kern w:val="0"/>
                <w:szCs w:val="22"/>
                <w14:ligatures w14:val="none"/>
              </w:rPr>
            </w:pPr>
            <w:r w:rsidRPr="00FB4E2D">
              <w:rPr>
                <w:rFonts w:ascii="Times New Roman" w:eastAsia="Calibri" w:hAnsi="Times New Roman" w:cs="Times New Roman"/>
                <w:noProof/>
                <w:kern w:val="0"/>
                <w14:ligatures w14:val="none"/>
              </w:rPr>
              <w:t>Easy access, sufficient resources, effective assessment tools and digitalisation all contribute to a high-quality justice system. The public and businesses expect high-quality decisions from an effective justice system. The 2026 EU Justice Scoreboard makes a comparative analysis of these factors.</w:t>
            </w:r>
          </w:p>
          <w:p w14:paraId="6793E183" w14:textId="77777777" w:rsidR="00A02C07" w:rsidRPr="00FB4E2D" w:rsidRDefault="00A02C07" w:rsidP="00A02C07">
            <w:pPr>
              <w:widowControl w:val="0"/>
              <w:spacing w:before="240" w:after="0" w:line="240" w:lineRule="auto"/>
              <w:jc w:val="both"/>
              <w:rPr>
                <w:rFonts w:ascii="Times New Roman" w:eastAsia="Calibri" w:hAnsi="Times New Roman" w:cs="Times New Roman"/>
                <w:i/>
                <w:noProof/>
                <w:kern w:val="0"/>
                <w:szCs w:val="22"/>
                <w14:ligatures w14:val="none"/>
              </w:rPr>
            </w:pPr>
            <w:r w:rsidRPr="00FB4E2D">
              <w:rPr>
                <w:rFonts w:ascii="Times New Roman" w:eastAsia="Calibri" w:hAnsi="Times New Roman" w:cs="Times New Roman"/>
                <w:i/>
                <w:noProof/>
                <w:kern w:val="0"/>
                <w:szCs w:val="22"/>
                <w14:ligatures w14:val="none"/>
              </w:rPr>
              <w:t>Accessibility</w:t>
            </w:r>
          </w:p>
          <w:p w14:paraId="2F3F59D9" w14:textId="2EF26B1A" w:rsidR="00A02C07" w:rsidRPr="00FB4E2D" w:rsidRDefault="0088624B" w:rsidP="00A02C07">
            <w:pPr>
              <w:widowControl w:val="0"/>
              <w:spacing w:before="120"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The 2026 EU Justice </w:t>
            </w:r>
            <w:r w:rsidR="00A02C07" w:rsidRPr="00FB4E2D">
              <w:rPr>
                <w:rFonts w:ascii="Times New Roman" w:eastAsia="Calibri" w:hAnsi="Times New Roman" w:cs="Times New Roman"/>
                <w:noProof/>
                <w:kern w:val="0"/>
                <w14:ligatures w14:val="none"/>
              </w:rPr>
              <w:t>Scoreboard looks again at a number of elements that contribute to a people-friendly justice system:</w:t>
            </w:r>
          </w:p>
          <w:p w14:paraId="576E6800" w14:textId="3EEB6D7D" w:rsidR="007B7E62" w:rsidRPr="00FB4E2D" w:rsidRDefault="00A02C07" w:rsidP="007B7E62">
            <w:pPr>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w:t>
            </w:r>
            <w:r w:rsidRPr="00FB4E2D">
              <w:rPr>
                <w:rFonts w:ascii="Times New Roman" w:eastAsia="Times New Roman" w:hAnsi="Times New Roman" w:cs="Times New Roman"/>
                <w:b/>
                <w:noProof/>
                <w:kern w:val="0"/>
                <w14:ligatures w14:val="none"/>
              </w:rPr>
              <w:t>availability of legal aid</w:t>
            </w:r>
            <w:r w:rsidRPr="00FB4E2D">
              <w:rPr>
                <w:rFonts w:ascii="Times New Roman" w:eastAsia="Times New Roman" w:hAnsi="Times New Roman" w:cs="Times New Roman"/>
                <w:noProof/>
                <w:kern w:val="0"/>
                <w14:ligatures w14:val="none"/>
              </w:rPr>
              <w:t xml:space="preserve"> and the </w:t>
            </w:r>
            <w:r w:rsidRPr="00FB4E2D">
              <w:rPr>
                <w:rFonts w:ascii="Times New Roman" w:eastAsia="Times New Roman" w:hAnsi="Times New Roman" w:cs="Times New Roman"/>
                <w:b/>
                <w:noProof/>
                <w:kern w:val="0"/>
                <w14:ligatures w14:val="none"/>
              </w:rPr>
              <w:t>level of court fees</w:t>
            </w:r>
            <w:r w:rsidRPr="00FB4E2D">
              <w:rPr>
                <w:rFonts w:ascii="Times New Roman" w:eastAsia="Times New Roman" w:hAnsi="Times New Roman" w:cs="Times New Roman"/>
                <w:noProof/>
                <w:kern w:val="0"/>
                <w14:ligatures w14:val="none"/>
              </w:rPr>
              <w:t xml:space="preserve"> have a major impact on access to justice, in particular for people living in poverty or at risk of poverty. Figure 22 shows that in three Member States, people whose income is below the Eurostat poverty threshold cannot receive legal aid. The level of court fees (Figure 23) has remained largely stable since 2016, although in four Member States court fees were higher than in 2024, in particular for low-value claims. The burden of court fees continues to be proportionally higher for low-value claims. Difficulties in claiming legal aid combined with high court fees in two Member States could discourage people living in poverty from accessing justice.</w:t>
            </w:r>
            <w:r w:rsidR="007B7E62" w:rsidRPr="00FB4E2D">
              <w:rPr>
                <w:rFonts w:ascii="Times New Roman" w:eastAsia="Times New Roman" w:hAnsi="Times New Roman" w:cs="Times New Roman"/>
                <w:noProof/>
                <w:kern w:val="0"/>
                <w14:ligatures w14:val="none"/>
              </w:rPr>
              <w:t xml:space="preserve"> The 2026 EU Justice Scoreboard presents, for the third time, the </w:t>
            </w:r>
            <w:r w:rsidR="007B7E62" w:rsidRPr="00FB4E2D">
              <w:rPr>
                <w:rFonts w:ascii="Times New Roman" w:eastAsia="Times New Roman" w:hAnsi="Times New Roman" w:cs="Times New Roman"/>
                <w:b/>
                <w:noProof/>
                <w:kern w:val="0"/>
                <w14:ligatures w14:val="none"/>
              </w:rPr>
              <w:t>rate of legal aid paid to criminal defence lawyers</w:t>
            </w:r>
            <w:r w:rsidR="007B7E62" w:rsidRPr="00FB4E2D">
              <w:rPr>
                <w:rFonts w:ascii="Times New Roman" w:eastAsia="Times New Roman" w:hAnsi="Times New Roman" w:cs="Times New Roman"/>
                <w:noProof/>
                <w:kern w:val="0"/>
                <w14:ligatures w14:val="none"/>
              </w:rPr>
              <w:t xml:space="preserve"> in a specific criminal case</w:t>
            </w:r>
            <w:r w:rsidR="008A64D1" w:rsidRPr="00FB4E2D">
              <w:rPr>
                <w:rFonts w:ascii="Times New Roman" w:eastAsia="Times New Roman" w:hAnsi="Times New Roman" w:cs="Times New Roman"/>
                <w:noProof/>
                <w:kern w:val="0"/>
                <w14:ligatures w14:val="none"/>
              </w:rPr>
              <w:t xml:space="preserve"> (Figure 24)</w:t>
            </w:r>
            <w:r w:rsidR="007B7E62" w:rsidRPr="00FB4E2D">
              <w:rPr>
                <w:rFonts w:ascii="Times New Roman" w:eastAsia="Times New Roman" w:hAnsi="Times New Roman" w:cs="Times New Roman"/>
                <w:noProof/>
                <w:kern w:val="0"/>
                <w14:ligatures w14:val="none"/>
              </w:rPr>
              <w:t xml:space="preserve">, </w:t>
            </w:r>
            <w:r w:rsidR="008A64D1" w:rsidRPr="00FB4E2D">
              <w:rPr>
                <w:rFonts w:ascii="Times New Roman" w:eastAsia="Times New Roman" w:hAnsi="Times New Roman" w:cs="Times New Roman"/>
                <w:noProof/>
                <w:kern w:val="0"/>
                <w14:ligatures w14:val="none"/>
              </w:rPr>
              <w:t xml:space="preserve">and for the first time </w:t>
            </w:r>
            <w:r w:rsidR="008A64D1" w:rsidRPr="00FB4E2D">
              <w:rPr>
                <w:rFonts w:ascii="Times New Roman" w:eastAsia="Times New Roman" w:hAnsi="Times New Roman" w:cs="Times New Roman"/>
                <w:b/>
                <w:bCs/>
                <w:noProof/>
                <w:kern w:val="0"/>
                <w14:ligatures w14:val="none"/>
              </w:rPr>
              <w:t>rate of legal aid fees for lawyers in a civil case</w:t>
            </w:r>
            <w:r w:rsidR="008A64D1" w:rsidRPr="00FB4E2D">
              <w:rPr>
                <w:rFonts w:ascii="Times New Roman" w:eastAsia="Times New Roman" w:hAnsi="Times New Roman" w:cs="Times New Roman"/>
                <w:noProof/>
                <w:kern w:val="0"/>
                <w14:ligatures w14:val="none"/>
              </w:rPr>
              <w:t xml:space="preserve"> (Figure 25). Both figures </w:t>
            </w:r>
            <w:r w:rsidR="007B7E62" w:rsidRPr="00FB4E2D">
              <w:rPr>
                <w:rFonts w:ascii="Times New Roman" w:eastAsia="Times New Roman" w:hAnsi="Times New Roman" w:cs="Times New Roman"/>
                <w:noProof/>
                <w:kern w:val="0"/>
                <w14:ligatures w14:val="none"/>
              </w:rPr>
              <w:t>show that a wide disparity exists between Member States in the amounts lawyers would be paid from the public budget</w:t>
            </w:r>
            <w:r w:rsidR="008A64D1" w:rsidRPr="00FB4E2D">
              <w:rPr>
                <w:rFonts w:ascii="Times New Roman" w:eastAsia="Times New Roman" w:hAnsi="Times New Roman" w:cs="Times New Roman"/>
                <w:noProof/>
                <w:kern w:val="0"/>
                <w14:ligatures w14:val="none"/>
              </w:rPr>
              <w:t xml:space="preserve">. </w:t>
            </w:r>
          </w:p>
          <w:p w14:paraId="79DF8C79" w14:textId="77777777" w:rsidR="00A02C07" w:rsidRPr="00FB4E2D" w:rsidRDefault="00A02C07" w:rsidP="00A02C07">
            <w:pPr>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The 2026 EU Justice Scoreboard provides a mapping of the authorities involved in non-contentious judicial procedures in the area of divorce procedures in Figure 26.</w:t>
            </w:r>
          </w:p>
          <w:p w14:paraId="101D0030" w14:textId="2FDC74F7" w:rsidR="00A02C07" w:rsidRPr="00FB4E2D" w:rsidRDefault="00A02C07" w:rsidP="00A02C07">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2026 EU Justice Scoreboard continues to analyse the ways in which Member States promote voluntary use of </w:t>
            </w:r>
            <w:r w:rsidRPr="00FB4E2D">
              <w:rPr>
                <w:rFonts w:ascii="Times New Roman" w:eastAsia="Times New Roman" w:hAnsi="Times New Roman" w:cs="Times New Roman"/>
                <w:b/>
                <w:noProof/>
                <w:kern w:val="0"/>
                <w14:ligatures w14:val="none"/>
              </w:rPr>
              <w:t>alternative dispute resolution methods (ADR)</w:t>
            </w:r>
            <w:r w:rsidRPr="00FB4E2D">
              <w:rPr>
                <w:rFonts w:ascii="Times New Roman" w:eastAsia="Times New Roman" w:hAnsi="Times New Roman" w:cs="Times New Roman"/>
                <w:noProof/>
                <w:kern w:val="0"/>
                <w14:ligatures w14:val="none"/>
              </w:rPr>
              <w:t xml:space="preserve"> (Figure 27), including the possibility of using digital technologies. </w:t>
            </w:r>
            <w:r w:rsidR="00816F28" w:rsidRPr="00FB4E2D">
              <w:rPr>
                <w:rFonts w:ascii="Times New Roman" w:eastAsia="Times New Roman" w:hAnsi="Times New Roman" w:cs="Times New Roman"/>
                <w:noProof/>
                <w:kern w:val="0"/>
                <w14:ligatures w14:val="none"/>
              </w:rPr>
              <w:t>In 2025, the overall promotion effort increased</w:t>
            </w:r>
            <w:r w:rsidR="00F6126D" w:rsidRPr="00FB4E2D">
              <w:rPr>
                <w:rFonts w:ascii="Times New Roman" w:eastAsia="Times New Roman" w:hAnsi="Times New Roman" w:cs="Times New Roman"/>
                <w:noProof/>
                <w:kern w:val="0"/>
                <w14:ligatures w14:val="none"/>
              </w:rPr>
              <w:t xml:space="preserve"> in comparison to 2024</w:t>
            </w:r>
            <w:r w:rsidR="00816F28" w:rsidRPr="00FB4E2D">
              <w:rPr>
                <w:rFonts w:ascii="Times New Roman" w:eastAsia="Times New Roman" w:hAnsi="Times New Roman" w:cs="Times New Roman"/>
                <w:noProof/>
                <w:kern w:val="0"/>
                <w14:ligatures w14:val="none"/>
              </w:rPr>
              <w:t xml:space="preserve">, with </w:t>
            </w:r>
            <w:r w:rsidR="006917A9" w:rsidRPr="00FB4E2D">
              <w:rPr>
                <w:rFonts w:ascii="Times New Roman" w:eastAsia="Times New Roman" w:hAnsi="Times New Roman" w:cs="Times New Roman"/>
                <w:noProof/>
                <w:kern w:val="0"/>
                <w14:ligatures w14:val="none"/>
              </w:rPr>
              <w:t>three</w:t>
            </w:r>
            <w:r w:rsidR="00816F28" w:rsidRPr="00FB4E2D">
              <w:rPr>
                <w:rFonts w:ascii="Times New Roman" w:eastAsia="Times New Roman" w:hAnsi="Times New Roman" w:cs="Times New Roman"/>
                <w:noProof/>
                <w:kern w:val="0"/>
                <w14:ligatures w14:val="none"/>
              </w:rPr>
              <w:t xml:space="preserve"> Member States reporting more means of promotion, particular</w:t>
            </w:r>
            <w:r w:rsidR="00970CCB" w:rsidRPr="00FB4E2D">
              <w:rPr>
                <w:rFonts w:ascii="Times New Roman" w:eastAsia="Times New Roman" w:hAnsi="Times New Roman" w:cs="Times New Roman"/>
                <w:noProof/>
                <w:kern w:val="0"/>
                <w14:ligatures w14:val="none"/>
              </w:rPr>
              <w:t>ly</w:t>
            </w:r>
            <w:r w:rsidR="00816F28" w:rsidRPr="00FB4E2D">
              <w:rPr>
                <w:rFonts w:ascii="Times New Roman" w:eastAsia="Times New Roman" w:hAnsi="Times New Roman" w:cs="Times New Roman"/>
                <w:noProof/>
                <w:kern w:val="0"/>
                <w14:ligatures w14:val="none"/>
              </w:rPr>
              <w:t xml:space="preserve"> for ADR methods in consumer disputes. </w:t>
            </w:r>
            <w:r w:rsidRPr="00FB4E2D">
              <w:rPr>
                <w:rFonts w:ascii="Times New Roman" w:eastAsia="Times New Roman" w:hAnsi="Times New Roman" w:cs="Times New Roman"/>
                <w:noProof/>
                <w:kern w:val="0"/>
                <w14:ligatures w14:val="none"/>
              </w:rPr>
              <w:t>The number of ways used to promote ADR methods for administrative disputes is still lower than for other disputes, but has also increased since 2023.</w:t>
            </w:r>
          </w:p>
          <w:p w14:paraId="439CD939" w14:textId="648B3033" w:rsidR="00A02C07" w:rsidRPr="00FB4E2D" w:rsidRDefault="00A02C07" w:rsidP="00A02C07">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2026 EU Justice Scoreboard takes stock of specific arrangements for </w:t>
            </w:r>
            <w:r w:rsidRPr="00FB4E2D">
              <w:rPr>
                <w:rFonts w:ascii="Times New Roman" w:eastAsia="Times New Roman" w:hAnsi="Times New Roman" w:cs="Times New Roman"/>
                <w:b/>
                <w:bCs/>
                <w:noProof/>
                <w:kern w:val="0"/>
                <w14:ligatures w14:val="none"/>
              </w:rPr>
              <w:t xml:space="preserve">accessible digital solution for persons with disabilities </w:t>
            </w:r>
            <w:r w:rsidRPr="00FB4E2D">
              <w:rPr>
                <w:rFonts w:ascii="Times New Roman" w:eastAsia="Times New Roman" w:hAnsi="Times New Roman" w:cs="Times New Roman"/>
                <w:noProof/>
                <w:kern w:val="0"/>
                <w14:ligatures w14:val="none"/>
              </w:rPr>
              <w:t>which comply with the relevant accessibility standards and legislation at first instance courts.</w:t>
            </w:r>
            <w:r w:rsidRPr="00FB4E2D">
              <w:rPr>
                <w:rFonts w:ascii="Times New Roman" w:eastAsia="Times New Roman" w:hAnsi="Times New Roman" w:cs="Times New Roman"/>
                <w:b/>
                <w:bCs/>
                <w:noProof/>
                <w:kern w:val="0"/>
                <w14:ligatures w14:val="none"/>
              </w:rPr>
              <w:t xml:space="preserve"> </w:t>
            </w:r>
            <w:r w:rsidRPr="00FB4E2D">
              <w:rPr>
                <w:rFonts w:ascii="Times New Roman" w:eastAsia="Times New Roman" w:hAnsi="Times New Roman" w:cs="Times New Roman"/>
                <w:noProof/>
                <w:kern w:val="0"/>
                <w14:ligatures w14:val="none"/>
              </w:rPr>
              <w:t>Figure 28 shows that 5 Member States provide a full range of digital solutions covering both criminal, civil and commercial and administrative justice. 23 Member States have taken steps to ensure accessible publication of judgments online for persons with disabilities. 17 Member States provide for accessible online payment of court fees.</w:t>
            </w:r>
          </w:p>
          <w:p w14:paraId="73464ADA" w14:textId="77777777" w:rsidR="00A02C07" w:rsidRPr="00FB4E2D" w:rsidRDefault="00A02C07" w:rsidP="00A02C07">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For the third time, the 2026 EU Justice Scoreboard presents </w:t>
            </w:r>
            <w:r w:rsidRPr="00FB4E2D">
              <w:rPr>
                <w:rFonts w:ascii="Times New Roman" w:eastAsia="Times New Roman" w:hAnsi="Times New Roman" w:cs="Times New Roman"/>
                <w:b/>
                <w:noProof/>
                <w:kern w:val="0"/>
                <w14:ligatures w14:val="none"/>
              </w:rPr>
              <w:t>specific selected measures for representative actions</w:t>
            </w:r>
            <w:r w:rsidRPr="00FB4E2D">
              <w:rPr>
                <w:rFonts w:ascii="Times New Roman" w:eastAsia="Times New Roman" w:hAnsi="Times New Roman" w:cs="Times New Roman"/>
                <w:noProof/>
                <w:kern w:val="0"/>
                <w14:ligatures w14:val="none"/>
              </w:rPr>
              <w:t xml:space="preserve"> protecting the collective interests of consumers. Figure 29 shows that 24 Member States have at least one such measure in place. From among the selected measures, specific arrangements to inform consumers about the actions and the outcomes</w:t>
            </w:r>
            <w:r w:rsidRPr="00FB4E2D">
              <w:rPr>
                <w:rFonts w:ascii="Calibri" w:eastAsia="Calibri" w:hAnsi="Calibri" w:cs="Times New Roman"/>
                <w:noProof/>
                <w:kern w:val="0"/>
                <w:sz w:val="22"/>
                <w:szCs w:val="22"/>
                <w14:ligatures w14:val="none"/>
              </w:rPr>
              <w:t xml:space="preserve"> </w:t>
            </w:r>
            <w:r w:rsidRPr="00FB4E2D">
              <w:rPr>
                <w:rFonts w:ascii="Times New Roman" w:eastAsia="Times New Roman" w:hAnsi="Times New Roman" w:cs="Times New Roman"/>
                <w:noProof/>
                <w:kern w:val="0"/>
                <w14:ligatures w14:val="none"/>
              </w:rPr>
              <w:t>is the most widespread, being in place in 18 Member States.</w:t>
            </w:r>
          </w:p>
          <w:p w14:paraId="6AB283A8" w14:textId="3203E60D" w:rsidR="00A02C07" w:rsidRPr="00FB4E2D" w:rsidRDefault="00A02C07" w:rsidP="00A02C07">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 30 shows that all Member States have some </w:t>
            </w:r>
            <w:r w:rsidRPr="00FB4E2D">
              <w:rPr>
                <w:rFonts w:ascii="Times New Roman" w:eastAsia="Times New Roman" w:hAnsi="Times New Roman" w:cs="Times New Roman"/>
                <w:b/>
                <w:noProof/>
                <w:kern w:val="0"/>
                <w14:ligatures w14:val="none"/>
              </w:rPr>
              <w:t>specific arrangements for child-friendly justice and proceedings, for both civil and criminal/juvenile justice proceedings</w:t>
            </w:r>
            <w:r w:rsidRPr="00FB4E2D">
              <w:rPr>
                <w:rFonts w:ascii="Times New Roman" w:eastAsia="Times New Roman" w:hAnsi="Times New Roman" w:cs="Times New Roman"/>
                <w:noProof/>
                <w:kern w:val="0"/>
                <w14:ligatures w14:val="none"/>
              </w:rPr>
              <w:t xml:space="preserve">. 11 Member States have all </w:t>
            </w:r>
            <w:r w:rsidR="006A03EF" w:rsidRPr="00FB4E2D">
              <w:rPr>
                <w:rFonts w:ascii="Times New Roman" w:eastAsia="Times New Roman" w:hAnsi="Times New Roman" w:cs="Times New Roman"/>
                <w:noProof/>
                <w:kern w:val="0"/>
                <w14:ligatures w14:val="none"/>
              </w:rPr>
              <w:t xml:space="preserve">nine </w:t>
            </w:r>
            <w:r w:rsidRPr="00FB4E2D">
              <w:rPr>
                <w:rFonts w:ascii="Times New Roman" w:eastAsia="Times New Roman" w:hAnsi="Times New Roman" w:cs="Times New Roman"/>
                <w:noProof/>
                <w:kern w:val="0"/>
                <w14:ligatures w14:val="none"/>
              </w:rPr>
              <w:t>of the monitored specific arrangements in place, including, for example, a website specifically designed to be child-friendly and helplines to provide information about the justice system or measures in place to hold children separately from adults when they are deprived of their liberty. In all Member States, the privacy and personal data of children involved in judicial or non-judicial proceedings are protected in accordance with national law. Furthermore, all Member States have child-friendly specialised settings/hearing</w:t>
            </w:r>
            <w:r w:rsidR="0065513B" w:rsidRPr="00FB4E2D">
              <w:rPr>
                <w:rFonts w:ascii="Times New Roman" w:eastAsia="Times New Roman" w:hAnsi="Times New Roman" w:cs="Times New Roman"/>
                <w:noProof/>
                <w:kern w:val="0"/>
                <w14:ligatures w14:val="none"/>
              </w:rPr>
              <w:t>, where</w:t>
            </w:r>
            <w:r w:rsidRPr="00FB4E2D">
              <w:rPr>
                <w:rFonts w:ascii="Times New Roman" w:eastAsia="Times New Roman" w:hAnsi="Times New Roman" w:cs="Times New Roman"/>
                <w:noProof/>
                <w:kern w:val="0"/>
                <w14:ligatures w14:val="none"/>
              </w:rPr>
              <w:t xml:space="preserve"> children </w:t>
            </w:r>
            <w:r w:rsidR="0065513B" w:rsidRPr="00FB4E2D">
              <w:rPr>
                <w:rFonts w:ascii="Times New Roman" w:eastAsia="Times New Roman" w:hAnsi="Times New Roman" w:cs="Times New Roman"/>
                <w:noProof/>
                <w:kern w:val="0"/>
                <w14:ligatures w14:val="none"/>
              </w:rPr>
              <w:t xml:space="preserve">can </w:t>
            </w:r>
            <w:r w:rsidRPr="00FB4E2D">
              <w:rPr>
                <w:rFonts w:ascii="Times New Roman" w:eastAsia="Times New Roman" w:hAnsi="Times New Roman" w:cs="Times New Roman"/>
                <w:noProof/>
                <w:kern w:val="0"/>
                <w14:ligatures w14:val="none"/>
              </w:rPr>
              <w:t xml:space="preserve">be heard. A mapping of </w:t>
            </w:r>
            <w:r w:rsidRPr="00FB4E2D">
              <w:rPr>
                <w:rFonts w:ascii="Times New Roman" w:eastAsia="Times New Roman" w:hAnsi="Times New Roman" w:cs="Times New Roman"/>
                <w:b/>
                <w:noProof/>
                <w:kern w:val="0"/>
                <w14:ligatures w14:val="none"/>
              </w:rPr>
              <w:t xml:space="preserve">specific arrangements for children involved in criminal proceedings as victims or suspects and accused persons </w:t>
            </w:r>
            <w:r w:rsidRPr="00FB4E2D">
              <w:rPr>
                <w:rFonts w:ascii="Times New Roman" w:eastAsia="Times New Roman" w:hAnsi="Times New Roman" w:cs="Times New Roman"/>
                <w:noProof/>
                <w:kern w:val="0"/>
                <w14:ligatures w14:val="none"/>
              </w:rPr>
              <w:t>(Figure 31) shows, for example, that all Member States provide information about the victim’s or suspect’s rights and the proceedings in a child-friendly way and in 25 Member States, any form of deprivation of liberty of children is used as a measure of last resort and for the shortest appropriate period of time.</w:t>
            </w:r>
          </w:p>
          <w:p w14:paraId="5D71A49D" w14:textId="5A9D5876" w:rsidR="00A02C07" w:rsidRPr="00FB4E2D" w:rsidRDefault="00A02C07" w:rsidP="00A02C07">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 32 illustrates the </w:t>
            </w:r>
            <w:r w:rsidRPr="00FB4E2D">
              <w:rPr>
                <w:rFonts w:ascii="Times New Roman" w:eastAsia="Times New Roman" w:hAnsi="Times New Roman" w:cs="Times New Roman"/>
                <w:b/>
                <w:bCs/>
                <w:noProof/>
                <w:kern w:val="0"/>
                <w14:ligatures w14:val="none"/>
              </w:rPr>
              <w:t>selected powers that equality bodies</w:t>
            </w:r>
            <w:r w:rsidRPr="00FB4E2D">
              <w:rPr>
                <w:rFonts w:ascii="Times New Roman" w:eastAsia="Times New Roman" w:hAnsi="Times New Roman" w:cs="Times New Roman"/>
                <w:noProof/>
                <w:kern w:val="0"/>
                <w14:ligatures w14:val="none"/>
              </w:rPr>
              <w:t xml:space="preserve">—or, in certain cases, other designated bodies—possess in each Member State to address discrimination cases. In 19 Member States, equality bodies are empowered to offer </w:t>
            </w:r>
            <w:r w:rsidR="006A03EF" w:rsidRPr="00FB4E2D">
              <w:rPr>
                <w:rFonts w:ascii="Times New Roman" w:eastAsia="Times New Roman" w:hAnsi="Times New Roman" w:cs="Times New Roman"/>
                <w:noProof/>
                <w:kern w:val="0"/>
                <w14:ligatures w14:val="none"/>
              </w:rPr>
              <w:t>ADR</w:t>
            </w:r>
            <w:r w:rsidRPr="00FB4E2D">
              <w:rPr>
                <w:rFonts w:ascii="Times New Roman" w:eastAsia="Times New Roman" w:hAnsi="Times New Roman" w:cs="Times New Roman"/>
                <w:noProof/>
                <w:kern w:val="0"/>
                <w14:ligatures w14:val="none"/>
              </w:rPr>
              <w:t xml:space="preserve"> mechanisms directly to the parties involved. In 11 Member States, they also have the authority to initiate court proceedings in their own name to defend the public interest.</w:t>
            </w:r>
          </w:p>
          <w:p w14:paraId="6BC4FA0B" w14:textId="77777777" w:rsidR="00A02C07" w:rsidRPr="00FB4E2D" w:rsidRDefault="00A02C07" w:rsidP="00A02C07">
            <w:pPr>
              <w:widowControl w:val="0"/>
              <w:spacing w:before="240" w:after="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14:ligatures w14:val="none"/>
              </w:rPr>
              <w:t>Resources</w:t>
            </w:r>
          </w:p>
          <w:p w14:paraId="7EB95E1F" w14:textId="0A45F43F" w:rsidR="00A02C07" w:rsidRPr="00FB4E2D" w:rsidRDefault="00A02C07" w:rsidP="00A02C07">
            <w:pPr>
              <w:widowControl w:val="0"/>
              <w:spacing w:before="120" w:after="0" w:line="240" w:lineRule="auto"/>
              <w:ind w:left="-20"/>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High-quality justice systems in Member States depend on sufficient financial and human resources. This requires appropriate investment in physical and technical infrastructure, initial and continuing training, and diversity among judges, including gender balance. The 2026 EU Justice Scoreboard shows the following</w:t>
            </w:r>
            <w:r w:rsidR="00816F28" w:rsidRPr="00FB4E2D">
              <w:rPr>
                <w:rFonts w:ascii="Times New Roman" w:eastAsia="Calibri" w:hAnsi="Times New Roman" w:cs="Times New Roman"/>
                <w:noProof/>
                <w:kern w:val="0"/>
                <w14:ligatures w14:val="none"/>
              </w:rPr>
              <w:t>:</w:t>
            </w:r>
          </w:p>
          <w:p w14:paraId="285CBB48" w14:textId="023B3AF1" w:rsidR="00A02C07" w:rsidRPr="00FB4E2D" w:rsidRDefault="00A02C07" w:rsidP="00A02C07">
            <w:pPr>
              <w:widowControl w:val="0"/>
              <w:numPr>
                <w:ilvl w:val="0"/>
                <w:numId w:val="11"/>
              </w:numPr>
              <w:spacing w:before="120"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In terms of</w:t>
            </w:r>
            <w:r w:rsidRPr="00FB4E2D">
              <w:rPr>
                <w:rFonts w:ascii="Times New Roman" w:eastAsia="Calibri" w:hAnsi="Times New Roman" w:cs="Times New Roman"/>
                <w:i/>
                <w:noProof/>
                <w:kern w:val="0"/>
                <w14:ligatures w14:val="none"/>
              </w:rPr>
              <w:t xml:space="preserve"> </w:t>
            </w:r>
            <w:r w:rsidRPr="00FB4E2D">
              <w:rPr>
                <w:rFonts w:ascii="Times New Roman" w:eastAsia="Calibri" w:hAnsi="Times New Roman" w:cs="Times New Roman"/>
                <w:b/>
                <w:noProof/>
                <w:kern w:val="0"/>
                <w14:ligatures w14:val="none"/>
              </w:rPr>
              <w:t>financial resources</w:t>
            </w:r>
            <w:r w:rsidRPr="00FB4E2D">
              <w:rPr>
                <w:rFonts w:ascii="Times New Roman" w:eastAsia="Calibri" w:hAnsi="Times New Roman" w:cs="Times New Roman"/>
                <w:noProof/>
                <w:kern w:val="0"/>
                <w14:ligatures w14:val="none"/>
              </w:rPr>
              <w:t xml:space="preserve">, overall in 2024 general government spending on law courts increased in all </w:t>
            </w:r>
            <w:r w:rsidR="00822262" w:rsidRPr="00FB4E2D">
              <w:rPr>
                <w:rFonts w:ascii="Times New Roman" w:eastAsia="Calibri" w:hAnsi="Times New Roman" w:cs="Times New Roman"/>
                <w:noProof/>
                <w:kern w:val="0"/>
                <w14:ligatures w14:val="none"/>
              </w:rPr>
              <w:t xml:space="preserve">but one </w:t>
            </w:r>
            <w:r w:rsidRPr="00FB4E2D">
              <w:rPr>
                <w:rFonts w:ascii="Times New Roman" w:eastAsia="Calibri" w:hAnsi="Times New Roman" w:cs="Times New Roman"/>
                <w:noProof/>
                <w:kern w:val="0"/>
                <w14:ligatures w14:val="none"/>
              </w:rPr>
              <w:t xml:space="preserve">Member State taking into account the number of inhabitants, while it decreased in </w:t>
            </w:r>
            <w:r w:rsidR="006A03EF" w:rsidRPr="00FB4E2D">
              <w:rPr>
                <w:rFonts w:ascii="Times New Roman" w:eastAsia="Calibri" w:hAnsi="Times New Roman" w:cs="Times New Roman"/>
                <w:noProof/>
                <w:kern w:val="0"/>
                <w14:ligatures w14:val="none"/>
              </w:rPr>
              <w:t>five</w:t>
            </w:r>
            <w:r w:rsidRPr="00FB4E2D">
              <w:rPr>
                <w:rFonts w:ascii="Times New Roman" w:eastAsia="Calibri" w:hAnsi="Times New Roman" w:cs="Times New Roman"/>
                <w:noProof/>
                <w:kern w:val="0"/>
                <w14:ligatures w14:val="none"/>
              </w:rPr>
              <w:t xml:space="preserve"> Member States as compared to GDP. It still shows significant differences between Member States in spending levels, both per inhabitant and as a percentage of GDP (Figures </w:t>
            </w:r>
            <w:r w:rsidR="0012031D" w:rsidRPr="00FB4E2D">
              <w:rPr>
                <w:rFonts w:ascii="Times New Roman" w:eastAsia="Calibri" w:hAnsi="Times New Roman" w:cs="Times New Roman"/>
                <w:noProof/>
                <w:kern w:val="0"/>
                <w14:ligatures w14:val="none"/>
              </w:rPr>
              <w:t>33 and 34</w:t>
            </w:r>
            <w:r w:rsidRPr="00FB4E2D">
              <w:rPr>
                <w:rFonts w:ascii="Times New Roman" w:eastAsia="Calibri" w:hAnsi="Times New Roman" w:cs="Times New Roman"/>
                <w:noProof/>
                <w:kern w:val="0"/>
                <w14:ligatures w14:val="none"/>
              </w:rPr>
              <w:t xml:space="preserve">). </w:t>
            </w:r>
          </w:p>
          <w:p w14:paraId="088981EA" w14:textId="13A296D6" w:rsidR="00A02C07" w:rsidRPr="00FB4E2D" w:rsidRDefault="00A02C07" w:rsidP="00A02C07">
            <w:pPr>
              <w:widowControl w:val="0"/>
              <w:numPr>
                <w:ilvl w:val="0"/>
                <w:numId w:val="11"/>
              </w:numPr>
              <w:spacing w:before="120" w:after="0" w:line="240" w:lineRule="auto"/>
              <w:contextualSpacing/>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The 2026 EU Justice Scoreboard continues to explore the situation in the Member States as regards salaries in the justice system. It presents, for the fourth time, the ratio of annual </w:t>
            </w:r>
            <w:r w:rsidRPr="00FB4E2D">
              <w:rPr>
                <w:rFonts w:ascii="Times New Roman" w:eastAsia="Calibri" w:hAnsi="Times New Roman" w:cs="Times New Roman"/>
                <w:b/>
                <w:noProof/>
                <w:kern w:val="0"/>
                <w14:ligatures w14:val="none"/>
              </w:rPr>
              <w:t>salaries of judges and prosecutors</w:t>
            </w:r>
            <w:r w:rsidRPr="00FB4E2D">
              <w:rPr>
                <w:rFonts w:ascii="Times New Roman" w:eastAsia="Calibri" w:hAnsi="Times New Roman" w:cs="Times New Roman"/>
                <w:noProof/>
                <w:kern w:val="0"/>
                <w14:ligatures w14:val="none"/>
              </w:rPr>
              <w:t xml:space="preserve"> to the average annual salary in the country (Figure 35). This figure shows wide-ranging differences among the Member States. </w:t>
            </w:r>
          </w:p>
          <w:p w14:paraId="1E49AFCC" w14:textId="0E7D1FFB" w:rsidR="00A02C07" w:rsidRPr="00FB4E2D" w:rsidRDefault="00A02C07" w:rsidP="00A02C07">
            <w:pPr>
              <w:widowControl w:val="0"/>
              <w:numPr>
                <w:ilvl w:val="0"/>
                <w:numId w:val="11"/>
              </w:numPr>
              <w:spacing w:before="120" w:after="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Times New Roman"/>
                <w:b/>
                <w:noProof/>
                <w:kern w:val="0"/>
                <w14:ligatures w14:val="none"/>
              </w:rPr>
              <w:t xml:space="preserve">Women </w:t>
            </w:r>
            <w:r w:rsidRPr="00FB4E2D">
              <w:rPr>
                <w:rFonts w:ascii="Times New Roman" w:eastAsia="Calibri" w:hAnsi="Times New Roman" w:cs="Times New Roman"/>
                <w:noProof/>
                <w:kern w:val="0"/>
                <w14:ligatures w14:val="none"/>
              </w:rPr>
              <w:t xml:space="preserve">still account for fewer than 50% of judges at supreme court level in 18 Member States (Figure 37), while in </w:t>
            </w:r>
            <w:r w:rsidR="006A03EF" w:rsidRPr="00FB4E2D">
              <w:rPr>
                <w:rFonts w:ascii="Times New Roman" w:eastAsia="Calibri" w:hAnsi="Times New Roman" w:cs="Times New Roman"/>
                <w:noProof/>
                <w:kern w:val="0"/>
                <w14:ligatures w14:val="none"/>
              </w:rPr>
              <w:t>nine</w:t>
            </w:r>
            <w:r w:rsidRPr="00FB4E2D">
              <w:rPr>
                <w:rFonts w:ascii="Times New Roman" w:eastAsia="Calibri" w:hAnsi="Times New Roman" w:cs="Times New Roman"/>
                <w:noProof/>
                <w:kern w:val="0"/>
                <w14:ligatures w14:val="none"/>
              </w:rPr>
              <w:t xml:space="preserve"> Member States at least half the judges at supreme court level are female. Figures for 202</w:t>
            </w:r>
            <w:r w:rsidR="00973A65" w:rsidRPr="00FB4E2D">
              <w:rPr>
                <w:rFonts w:ascii="Times New Roman" w:eastAsia="Calibri" w:hAnsi="Times New Roman" w:cs="Times New Roman"/>
                <w:noProof/>
                <w:kern w:val="0"/>
                <w14:ligatures w14:val="none"/>
              </w:rPr>
              <w:t>3</w:t>
            </w:r>
            <w:r w:rsidRPr="00FB4E2D">
              <w:rPr>
                <w:rFonts w:ascii="Times New Roman" w:eastAsia="Calibri" w:hAnsi="Times New Roman" w:cs="Times New Roman"/>
                <w:noProof/>
                <w:kern w:val="0"/>
                <w14:ligatures w14:val="none"/>
              </w:rPr>
              <w:t xml:space="preserve"> </w:t>
            </w:r>
            <w:r w:rsidR="009F503F"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2025 show diverging levels and trends between Member States.</w:t>
            </w:r>
          </w:p>
          <w:p w14:paraId="0BE9EB05"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Times New Roman" w:hAnsi="Times New Roman" w:cs="Times New Roman"/>
                <w:i/>
                <w:noProof/>
                <w:kern w:val="0"/>
                <w14:ligatures w14:val="none"/>
              </w:rPr>
              <w:t>Digitalisation</w:t>
            </w:r>
          </w:p>
          <w:p w14:paraId="27E9E45A" w14:textId="77777777" w:rsidR="00A02C07" w:rsidRPr="00FB4E2D" w:rsidRDefault="00A02C07" w:rsidP="00A02C07">
            <w:pPr>
              <w:spacing w:line="257" w:lineRule="auto"/>
              <w:jc w:val="both"/>
              <w:rPr>
                <w:rFonts w:ascii="Times New Roman" w:eastAsia="Calibri" w:hAnsi="Times New Roman" w:cs="Times New Roman"/>
                <w:noProof/>
                <w:kern w:val="0"/>
                <w:sz w:val="22"/>
                <w:szCs w:val="22"/>
                <w14:ligatures w14:val="none"/>
              </w:rPr>
            </w:pPr>
            <w:r w:rsidRPr="00FB4E2D">
              <w:rPr>
                <w:rFonts w:ascii="Times New Roman" w:eastAsia="Times New Roman" w:hAnsi="Times New Roman" w:cs="Times New Roman"/>
                <w:noProof/>
                <w:kern w:val="0"/>
                <w14:ligatures w14:val="none"/>
              </w:rPr>
              <w:t>Since 2021, the EU Justice Scoreboard has included a large, detailed section on aspects related to the digitalisation of justice. Although Member States already use digital solutions in different contexts and to varying degrees, there is significant room for improvement.</w:t>
            </w:r>
          </w:p>
          <w:p w14:paraId="79EAB868" w14:textId="42188913" w:rsidR="00A02C07" w:rsidRPr="00FB4E2D" w:rsidRDefault="00A02C07" w:rsidP="00F12F09">
            <w:pPr>
              <w:numPr>
                <w:ilvl w:val="0"/>
                <w:numId w:val="11"/>
              </w:numPr>
              <w:spacing w:before="120" w:after="0" w:line="240" w:lineRule="auto"/>
              <w:contextualSpacing/>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All 27 Member States provide some </w:t>
            </w:r>
            <w:r w:rsidRPr="00FB4E2D">
              <w:rPr>
                <w:rFonts w:ascii="Times New Roman" w:eastAsia="Times New Roman" w:hAnsi="Times New Roman" w:cs="Times New Roman"/>
                <w:b/>
                <w:noProof/>
                <w:kern w:val="0"/>
                <w14:ligatures w14:val="none"/>
              </w:rPr>
              <w:t>online information about their judicial system</w:t>
            </w:r>
            <w:r w:rsidRPr="00FB4E2D">
              <w:rPr>
                <w:rFonts w:ascii="Times New Roman" w:eastAsia="Times New Roman" w:hAnsi="Times New Roman" w:cs="Times New Roman"/>
                <w:noProof/>
                <w:kern w:val="0"/>
                <w14:ligatures w14:val="none"/>
              </w:rPr>
              <w:t xml:space="preserve">, including websites with clear information on accessing legal aid, on court fees and on eligibility criteria for reduced fees </w:t>
            </w:r>
            <w:r w:rsidRPr="00FB4E2D">
              <w:rPr>
                <w:rFonts w:ascii="Times New Roman" w:eastAsia="Yu Mincho" w:hAnsi="Times New Roman" w:cs="Times New Roman"/>
                <w:noProof/>
                <w:kern w:val="0"/>
                <w14:ligatures w14:val="none"/>
              </w:rPr>
              <w:t>(Figure 39).</w:t>
            </w:r>
            <w:r w:rsidRPr="00FB4E2D">
              <w:rPr>
                <w:rFonts w:ascii="Times New Roman" w:eastAsia="Times New Roman" w:hAnsi="Times New Roman" w:cs="Times New Roman"/>
                <w:noProof/>
                <w:kern w:val="0"/>
                <w14:ligatures w14:val="none"/>
              </w:rPr>
              <w:t xml:space="preserve"> The situation remains stable compared to last year</w:t>
            </w:r>
            <w:r w:rsidR="003433F2">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noProof/>
                <w:kern w:val="0"/>
                <w14:ligatures w14:val="none"/>
              </w:rPr>
              <w:t xml:space="preserve"> but some differences still exist between Member States as regards information and the degree to which it responds to people’s needs. For example, </w:t>
            </w:r>
            <w:r w:rsidR="009F503F" w:rsidRPr="00FB4E2D">
              <w:rPr>
                <w:rFonts w:ascii="Times New Roman" w:eastAsia="Times New Roman" w:hAnsi="Times New Roman" w:cs="Times New Roman"/>
                <w:noProof/>
                <w:kern w:val="0"/>
                <w14:ligatures w14:val="none"/>
              </w:rPr>
              <w:t xml:space="preserve">nine </w:t>
            </w:r>
            <w:r w:rsidRPr="00FB4E2D">
              <w:rPr>
                <w:rFonts w:ascii="Times New Roman" w:eastAsia="Times New Roman" w:hAnsi="Times New Roman" w:cs="Times New Roman"/>
                <w:noProof/>
                <w:kern w:val="0"/>
                <w14:ligatures w14:val="none"/>
              </w:rPr>
              <w:t xml:space="preserve">Member States employ chatbots </w:t>
            </w:r>
            <w:r w:rsidR="009F503F" w:rsidRPr="00FB4E2D">
              <w:rPr>
                <w:rFonts w:ascii="Times New Roman" w:eastAsia="Times New Roman" w:hAnsi="Times New Roman" w:cs="Times New Roman"/>
                <w:noProof/>
                <w:kern w:val="0"/>
                <w14:ligatures w14:val="none"/>
              </w:rPr>
              <w:t>to help the public find</w:t>
            </w:r>
            <w:r w:rsidRPr="00FB4E2D">
              <w:rPr>
                <w:rFonts w:ascii="Times New Roman" w:eastAsia="Times New Roman" w:hAnsi="Times New Roman" w:cs="Times New Roman"/>
                <w:noProof/>
                <w:kern w:val="0"/>
                <w14:ligatures w14:val="none"/>
              </w:rPr>
              <w:t xml:space="preserve"> information about the justice system. 22 Member States provide clearly visible and understandable information on compensation for victims.</w:t>
            </w:r>
          </w:p>
          <w:p w14:paraId="3CB16FEF" w14:textId="77777777" w:rsidR="00A02C07" w:rsidRPr="00FB4E2D" w:rsidRDefault="00A02C07" w:rsidP="00A02C07">
            <w:pPr>
              <w:spacing w:before="120" w:after="0" w:line="240" w:lineRule="auto"/>
              <w:ind w:left="360"/>
              <w:contextualSpacing/>
              <w:jc w:val="both"/>
              <w:rPr>
                <w:rFonts w:ascii="Times New Roman" w:eastAsia="Times New Roman" w:hAnsi="Times New Roman" w:cs="Times New Roman"/>
                <w:b/>
                <w:noProof/>
                <w:kern w:val="0"/>
                <w14:ligatures w14:val="none"/>
              </w:rPr>
            </w:pPr>
          </w:p>
          <w:p w14:paraId="7E1FEAED" w14:textId="24C26741" w:rsidR="00A02C07" w:rsidRPr="00FB4E2D" w:rsidRDefault="00A02C07" w:rsidP="00A02C07">
            <w:pPr>
              <w:numPr>
                <w:ilvl w:val="0"/>
                <w:numId w:val="11"/>
              </w:numPr>
              <w:spacing w:line="259" w:lineRule="auto"/>
              <w:contextualSpacing/>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Six Member States have </w:t>
            </w:r>
            <w:r w:rsidRPr="00FB4E2D">
              <w:rPr>
                <w:rFonts w:ascii="Times New Roman" w:eastAsia="Times New Roman" w:hAnsi="Times New Roman" w:cs="Times New Roman"/>
                <w:b/>
                <w:bCs/>
                <w:noProof/>
                <w:kern w:val="0"/>
                <w14:ligatures w14:val="none"/>
              </w:rPr>
              <w:t>digital-ready procedural rules</w:t>
            </w:r>
            <w:r w:rsidRPr="00FB4E2D">
              <w:rPr>
                <w:rFonts w:ascii="Times New Roman" w:eastAsia="Times New Roman" w:hAnsi="Times New Roman" w:cs="Times New Roman"/>
                <w:noProof/>
                <w:kern w:val="0"/>
                <w14:ligatures w14:val="none"/>
              </w:rPr>
              <w:t xml:space="preserve"> (Figure 40), which allow fully for the use of distance communication and for the admissibility of evidence in digital format only. In 20 Member States, this is possible only in a limited number of situations. Nonetheless, there has been steady overall progress in this regard since 2020. </w:t>
            </w:r>
          </w:p>
          <w:p w14:paraId="298494C3" w14:textId="58E3CEE7" w:rsidR="00A02C07" w:rsidRPr="00FB4E2D" w:rsidRDefault="00A02C07" w:rsidP="00A02C07">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 41 reveals the </w:t>
            </w:r>
            <w:r w:rsidRPr="00FB4E2D">
              <w:rPr>
                <w:rFonts w:ascii="Times New Roman" w:eastAsia="Times New Roman" w:hAnsi="Times New Roman" w:cs="Times New Roman"/>
                <w:b/>
                <w:noProof/>
                <w:kern w:val="0"/>
                <w14:ligatures w14:val="none"/>
              </w:rPr>
              <w:t>use of digital technology by courts and prosecution services</w:t>
            </w:r>
            <w:r w:rsidRPr="00FB4E2D">
              <w:rPr>
                <w:rFonts w:ascii="Times New Roman" w:eastAsia="Times New Roman" w:hAnsi="Times New Roman" w:cs="Times New Roman"/>
                <w:noProof/>
                <w:kern w:val="0"/>
                <w14:ligatures w14:val="none"/>
              </w:rPr>
              <w:t>. It shows that Member States do not fully use the potential allowed by their procedural rules (</w:t>
            </w:r>
            <w:r w:rsidR="009F503F" w:rsidRPr="00FB4E2D">
              <w:rPr>
                <w:rFonts w:ascii="Times New Roman" w:eastAsia="Times New Roman" w:hAnsi="Times New Roman" w:cs="Times New Roman"/>
                <w:noProof/>
                <w:kern w:val="0"/>
                <w14:ligatures w14:val="none"/>
              </w:rPr>
              <w:t>see</w:t>
            </w:r>
            <w:r w:rsidRPr="00FB4E2D">
              <w:rPr>
                <w:rFonts w:ascii="Times New Roman" w:eastAsia="Times New Roman" w:hAnsi="Times New Roman" w:cs="Times New Roman"/>
                <w:noProof/>
                <w:kern w:val="0"/>
                <w14:ligatures w14:val="none"/>
              </w:rPr>
              <w:t xml:space="preserve"> Figure 40). Member State</w:t>
            </w:r>
            <w:r w:rsidR="009F503F"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courts, prosecutors and court staff already have various digital tools at their disposal, such as case-management systems, videoconferencing systems and teleworking arrangements. However, further progress could still be achieved in the use of distributed ledger technologies (blockchain).</w:t>
            </w:r>
          </w:p>
          <w:p w14:paraId="23E12A14" w14:textId="012C6ECE" w:rsidR="00850166" w:rsidRPr="00FB4E2D" w:rsidRDefault="00A02C07" w:rsidP="00850166">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Courts in all Member States have some</w:t>
            </w:r>
            <w:r w:rsidRPr="00FB4E2D">
              <w:rPr>
                <w:rFonts w:ascii="Times New Roman" w:eastAsia="Times New Roman" w:hAnsi="Times New Roman" w:cs="Times New Roman"/>
                <w:b/>
                <w:noProof/>
                <w:kern w:val="0"/>
                <w14:ligatures w14:val="none"/>
              </w:rPr>
              <w:t xml:space="preserve"> secure electronic tools for communication</w:t>
            </w:r>
            <w:r w:rsidRPr="00FB4E2D">
              <w:rPr>
                <w:rFonts w:ascii="Times New Roman" w:eastAsia="Times New Roman" w:hAnsi="Times New Roman" w:cs="Times New Roman"/>
                <w:noProof/>
                <w:kern w:val="0"/>
                <w14:ligatures w14:val="none"/>
              </w:rPr>
              <w:t xml:space="preserve"> at their disposal although only 14 Member States have such tools for all types of communication that are monitored and for all cases (Figure 42). Five Member States still lack tools for digital communication with notaries, detention facilities or bailiffs/judicial officers. All Member States also provide for </w:t>
            </w:r>
            <w:r w:rsidRPr="00FB4E2D">
              <w:rPr>
                <w:rFonts w:ascii="Times New Roman" w:eastAsia="Times New Roman" w:hAnsi="Times New Roman" w:cs="Times New Roman"/>
                <w:b/>
                <w:noProof/>
                <w:kern w:val="0"/>
                <w14:ligatures w14:val="none"/>
              </w:rPr>
              <w:t>secure electronic communication within the prosecution services</w:t>
            </w:r>
            <w:r w:rsidRPr="00FB4E2D">
              <w:rPr>
                <w:rFonts w:ascii="Times New Roman" w:eastAsia="Times New Roman" w:hAnsi="Times New Roman" w:cs="Times New Roman"/>
                <w:noProof/>
                <w:kern w:val="0"/>
                <w14:ligatures w14:val="none"/>
              </w:rPr>
              <w:t xml:space="preserve"> (Figure 43). All Member States except for two provide for secure electronic communication between prosecution services and courts.</w:t>
            </w:r>
            <w:r w:rsidR="00850166" w:rsidRPr="00FB4E2D">
              <w:rPr>
                <w:rFonts w:ascii="Times New Roman" w:eastAsia="Times New Roman" w:hAnsi="Times New Roman" w:cs="Times New Roman"/>
                <w:noProof/>
                <w:kern w:val="0"/>
                <w14:ligatures w14:val="none"/>
              </w:rPr>
              <w:t xml:space="preserve"> Seven Member States still lack tools for electronic communication between the prosecution services and defence lawyers.</w:t>
            </w:r>
          </w:p>
          <w:p w14:paraId="1D91AD3B" w14:textId="77777777" w:rsidR="00A02C07" w:rsidRPr="00FB4E2D" w:rsidRDefault="00A02C07" w:rsidP="00A02C07">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In civil/commercial and administrative cases, 23 Member States provide individuals and businesses (or their legal representatives) with </w:t>
            </w:r>
            <w:r w:rsidRPr="00FB4E2D">
              <w:rPr>
                <w:rFonts w:ascii="Times New Roman" w:eastAsia="Times New Roman" w:hAnsi="Times New Roman" w:cs="Times New Roman"/>
                <w:b/>
                <w:noProof/>
                <w:kern w:val="0"/>
                <w14:ligatures w14:val="none"/>
              </w:rPr>
              <w:t>online access to their ongoing or closed cases</w:t>
            </w:r>
            <w:r w:rsidRPr="00FB4E2D">
              <w:rPr>
                <w:rFonts w:ascii="Times New Roman" w:eastAsia="Times New Roman" w:hAnsi="Times New Roman" w:cs="Times New Roman"/>
                <w:noProof/>
                <w:kern w:val="0"/>
                <w14:ligatures w14:val="none"/>
              </w:rPr>
              <w:t xml:space="preserve"> (Figure 44), albeit to varying degrees. As regards digital solutions to conduct and follow court proceedings in criminal cases, Figure 45 shows that victims can submit written statements online either partly or fully in 18 Member States. However, in 10 Member States, defendants and victims do not have the possibility to follow or pursue their case electronically.</w:t>
            </w:r>
          </w:p>
          <w:p w14:paraId="78AF7A3C" w14:textId="77777777" w:rsidR="00A02C07" w:rsidRPr="00FB4E2D" w:rsidRDefault="00A02C07" w:rsidP="00A02C07">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b/>
                <w:noProof/>
                <w:kern w:val="0"/>
                <w14:ligatures w14:val="none"/>
              </w:rPr>
              <w:t>Online access to court judgments</w:t>
            </w:r>
            <w:r w:rsidRPr="00FB4E2D">
              <w:rPr>
                <w:rFonts w:ascii="Times New Roman" w:eastAsia="Times New Roman" w:hAnsi="Times New Roman" w:cs="Times New Roman"/>
                <w:noProof/>
                <w:kern w:val="0"/>
                <w14:ligatures w14:val="none"/>
              </w:rPr>
              <w:t xml:space="preserve"> </w:t>
            </w:r>
            <w:r w:rsidRPr="00FB4E2D">
              <w:rPr>
                <w:rFonts w:ascii="Times New Roman" w:eastAsia="Yu Mincho" w:hAnsi="Times New Roman" w:cs="Times New Roman"/>
                <w:noProof/>
                <w:kern w:val="0"/>
                <w14:ligatures w14:val="none"/>
              </w:rPr>
              <w:t>(Figure 46)</w:t>
            </w:r>
            <w:r w:rsidRPr="00FB4E2D">
              <w:rPr>
                <w:rFonts w:ascii="Times New Roman" w:eastAsia="Times New Roman" w:hAnsi="Times New Roman" w:cs="Times New Roman"/>
                <w:noProof/>
                <w:kern w:val="0"/>
                <w14:ligatures w14:val="none"/>
              </w:rPr>
              <w:t xml:space="preserve"> has remained stable compared to last year. It is mainly judgments from the highest instances that are made accessible online.</w:t>
            </w:r>
          </w:p>
          <w:p w14:paraId="7EF14CC6" w14:textId="07947391" w:rsidR="00A02C07" w:rsidRPr="00FB4E2D" w:rsidRDefault="00A02C07" w:rsidP="00A02C07">
            <w:pPr>
              <w:widowControl w:val="0"/>
              <w:numPr>
                <w:ilvl w:val="0"/>
                <w:numId w:val="11"/>
              </w:numP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As in previous years, the 2026 EU Justice Scoreboard analyses </w:t>
            </w:r>
            <w:r w:rsidRPr="00FB4E2D">
              <w:rPr>
                <w:rFonts w:ascii="Times New Roman" w:eastAsia="Times New Roman" w:hAnsi="Times New Roman" w:cs="Times New Roman"/>
                <w:b/>
                <w:noProof/>
                <w:kern w:val="0"/>
                <w14:ligatures w14:val="none"/>
              </w:rPr>
              <w:t>arrangements for producing machine-readable judicial decisions</w:t>
            </w:r>
            <w:r w:rsidRPr="00FB4E2D">
              <w:rPr>
                <w:rFonts w:ascii="Times New Roman" w:eastAsia="Times New Roman" w:hAnsi="Times New Roman" w:cs="Times New Roman"/>
                <w:noProof/>
                <w:kern w:val="0"/>
                <w14:ligatures w14:val="none"/>
              </w:rPr>
              <w:t xml:space="preserve"> (Figure 47). All Member States have at least some arrangements in place for civil/commercial, administrative and criminal cases, although there is considerable variation between them. In general, there is a tendency to introduce more arrangements, particularly for downloading the judgments free of charge (databases and other automated solutions), for modelling judgments to make them machine-readable, or for anonymising/pseudonymising judgments using algorithms. In 2025, </w:t>
            </w:r>
            <w:r w:rsidR="008757F9" w:rsidRPr="00FB4E2D">
              <w:rPr>
                <w:rFonts w:ascii="Times New Roman" w:eastAsia="Times New Roman" w:hAnsi="Times New Roman" w:cs="Times New Roman"/>
                <w:noProof/>
                <w:kern w:val="0"/>
                <w14:ligatures w14:val="none"/>
              </w:rPr>
              <w:t>four</w:t>
            </w:r>
            <w:r w:rsidRPr="00FB4E2D">
              <w:rPr>
                <w:rFonts w:ascii="Times New Roman" w:eastAsia="Times New Roman" w:hAnsi="Times New Roman" w:cs="Times New Roman"/>
                <w:noProof/>
                <w:kern w:val="0"/>
                <w14:ligatures w14:val="none"/>
              </w:rPr>
              <w:t xml:space="preserve"> Member States reported improvement compared to the previous year, while the situation in </w:t>
            </w:r>
            <w:r w:rsidR="00182530" w:rsidRPr="00FB4E2D">
              <w:rPr>
                <w:rFonts w:ascii="Times New Roman" w:eastAsia="Times New Roman" w:hAnsi="Times New Roman" w:cs="Times New Roman"/>
                <w:noProof/>
                <w:kern w:val="0"/>
                <w14:ligatures w14:val="none"/>
              </w:rPr>
              <w:t>six</w:t>
            </w:r>
            <w:r w:rsidRPr="00FB4E2D">
              <w:rPr>
                <w:rFonts w:ascii="Times New Roman" w:eastAsia="Times New Roman" w:hAnsi="Times New Roman" w:cs="Times New Roman"/>
                <w:noProof/>
                <w:kern w:val="0"/>
                <w14:ligatures w14:val="none"/>
              </w:rPr>
              <w:t xml:space="preserve"> Member States remained stable. Justice systems with arrangements for modelling judgments in line with standards to make them machine-readable seem to have the potential to achieve better results in the future.</w:t>
            </w:r>
          </w:p>
        </w:tc>
      </w:tr>
    </w:tbl>
    <w:p w14:paraId="538893A6" w14:textId="4937305E" w:rsidR="00A02C07" w:rsidRPr="00FB4E2D" w:rsidRDefault="00BA39CD" w:rsidP="00BA39CD">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bookmarkStart w:id="263" w:name="_Toc440017699"/>
      <w:bookmarkStart w:id="264" w:name="_Toc440018083"/>
      <w:bookmarkStart w:id="265" w:name="_Toc440033381"/>
      <w:bookmarkStart w:id="266" w:name="_Toc440035232"/>
      <w:bookmarkStart w:id="267" w:name="_Toc440036527"/>
      <w:bookmarkStart w:id="268" w:name="_Toc440042469"/>
      <w:bookmarkStart w:id="269" w:name="_Toc440291122"/>
      <w:bookmarkStart w:id="270" w:name="_Toc440294685"/>
      <w:bookmarkStart w:id="271" w:name="_Toc440295187"/>
      <w:bookmarkStart w:id="272" w:name="_Toc440296592"/>
      <w:bookmarkStart w:id="273" w:name="_Toc440625076"/>
      <w:bookmarkStart w:id="274" w:name="_Toc440626406"/>
      <w:bookmarkStart w:id="275" w:name="_Toc440628860"/>
      <w:bookmarkStart w:id="276" w:name="_Toc441571133"/>
      <w:bookmarkStart w:id="277" w:name="_Toc441581635"/>
      <w:bookmarkStart w:id="278" w:name="_Toc441585902"/>
      <w:bookmarkStart w:id="279" w:name="_Toc441595837"/>
      <w:bookmarkStart w:id="280" w:name="_Toc441596014"/>
      <w:bookmarkStart w:id="281" w:name="_Toc441748139"/>
      <w:bookmarkStart w:id="282" w:name="_Toc441755424"/>
      <w:bookmarkStart w:id="283" w:name="_Toc441756461"/>
      <w:bookmarkStart w:id="284" w:name="_Toc441757505"/>
      <w:bookmarkStart w:id="285" w:name="_Toc441766634"/>
      <w:bookmarkStart w:id="286" w:name="_Toc441766973"/>
      <w:bookmarkStart w:id="287" w:name="_Toc442187974"/>
      <w:bookmarkStart w:id="288" w:name="_Toc442262066"/>
      <w:bookmarkStart w:id="289" w:name="_Toc442362473"/>
      <w:bookmarkStart w:id="290" w:name="_Toc442374809"/>
      <w:bookmarkStart w:id="291" w:name="_Toc442425949"/>
      <w:bookmarkStart w:id="292" w:name="_Toc442453075"/>
      <w:bookmarkStart w:id="293" w:name="_Toc443484533"/>
      <w:bookmarkStart w:id="294" w:name="_Toc443484755"/>
      <w:bookmarkStart w:id="295" w:name="_Toc443509496"/>
      <w:bookmarkStart w:id="296" w:name="_Toc446014825"/>
      <w:bookmarkStart w:id="297" w:name="_Toc409530223"/>
      <w:bookmarkStart w:id="298" w:name="_Toc438545673"/>
      <w:bookmarkStart w:id="299" w:name="_Toc438548323"/>
      <w:bookmarkStart w:id="300" w:name="_Toc438548509"/>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FB4E2D">
        <w:rPr>
          <w:rFonts w:ascii="Times New Roman" w:eastAsia="Times New Roman" w:hAnsi="Times New Roman" w:cs="Times New Roman"/>
          <w:b/>
          <w:noProof/>
          <w:kern w:val="0"/>
          <w14:ligatures w14:val="none"/>
        </w:rPr>
        <w:t xml:space="preserve">2.2.2. </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00A02C07" w:rsidRPr="00FB4E2D">
        <w:rPr>
          <w:rFonts w:ascii="Times New Roman" w:eastAsia="Times New Roman" w:hAnsi="Times New Roman" w:cs="Times New Roman"/>
          <w:b/>
          <w:noProof/>
          <w:kern w:val="0"/>
          <w14:ligatures w14:val="none"/>
        </w:rPr>
        <w:t>Access to justice</w:t>
      </w:r>
    </w:p>
    <w:bookmarkEnd w:id="297"/>
    <w:bookmarkEnd w:id="298"/>
    <w:bookmarkEnd w:id="299"/>
    <w:bookmarkEnd w:id="300"/>
    <w:p w14:paraId="399532C1" w14:textId="65222A5C"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Accessibility is required throughout the whole justice chain to enable all people, including </w:t>
      </w:r>
      <w:r w:rsidRPr="00FB4E2D">
        <w:rPr>
          <w:rFonts w:ascii="Times New Roman" w:eastAsia="Calibri" w:hAnsi="Times New Roman" w:cs="Times New Roman"/>
          <w:noProof/>
          <w:kern w:val="0"/>
          <w14:ligatures w14:val="none"/>
        </w:rPr>
        <w:t xml:space="preserve">people </w:t>
      </w:r>
      <w:r w:rsidRPr="00FB4E2D">
        <w:rPr>
          <w:rFonts w:ascii="Times New Roman" w:eastAsia="Times New Roman" w:hAnsi="Times New Roman" w:cs="Times New Roman"/>
          <w:noProof/>
          <w:kern w:val="0"/>
          <w14:ligatures w14:val="none"/>
        </w:rPr>
        <w:t xml:space="preserve">at risk of discrimination, older persons and victims of crime, to obtain relevant information – about the justice system, about how to make a claim and the related financial aspects, </w:t>
      </w:r>
      <w:r w:rsidR="009F503F" w:rsidRPr="00FB4E2D">
        <w:rPr>
          <w:rFonts w:ascii="Times New Roman" w:eastAsia="Times New Roman" w:hAnsi="Times New Roman" w:cs="Times New Roman"/>
          <w:noProof/>
          <w:kern w:val="0"/>
          <w14:ligatures w14:val="none"/>
        </w:rPr>
        <w:t xml:space="preserve">and </w:t>
      </w:r>
      <w:r w:rsidRPr="00FB4E2D">
        <w:rPr>
          <w:rFonts w:ascii="Times New Roman" w:eastAsia="Times New Roman" w:hAnsi="Times New Roman" w:cs="Times New Roman"/>
          <w:noProof/>
          <w:kern w:val="0"/>
          <w14:ligatures w14:val="none"/>
        </w:rPr>
        <w:t xml:space="preserve">about </w:t>
      </w:r>
      <w:r w:rsidR="009F503F" w:rsidRPr="00FB4E2D">
        <w:rPr>
          <w:rFonts w:ascii="Times New Roman" w:eastAsia="Times New Roman" w:hAnsi="Times New Roman" w:cs="Times New Roman"/>
          <w:noProof/>
          <w:kern w:val="0"/>
          <w14:ligatures w14:val="none"/>
        </w:rPr>
        <w:t>how</w:t>
      </w:r>
      <w:r w:rsidRPr="00FB4E2D">
        <w:rPr>
          <w:rFonts w:ascii="Times New Roman" w:eastAsia="Times New Roman" w:hAnsi="Times New Roman" w:cs="Times New Roman"/>
          <w:noProof/>
          <w:kern w:val="0"/>
          <w14:ligatures w14:val="none"/>
        </w:rPr>
        <w:t xml:space="preserve"> proceedings </w:t>
      </w:r>
      <w:r w:rsidR="009F503F" w:rsidRPr="00FB4E2D">
        <w:rPr>
          <w:rFonts w:ascii="Times New Roman" w:eastAsia="Times New Roman" w:hAnsi="Times New Roman" w:cs="Times New Roman"/>
          <w:noProof/>
          <w:kern w:val="0"/>
          <w14:ligatures w14:val="none"/>
        </w:rPr>
        <w:t>are advancing (</w:t>
      </w:r>
      <w:r w:rsidRPr="00FB4E2D">
        <w:rPr>
          <w:rFonts w:ascii="Times New Roman" w:eastAsia="Times New Roman" w:hAnsi="Times New Roman" w:cs="Times New Roman"/>
          <w:noProof/>
          <w:kern w:val="0"/>
          <w14:ligatures w14:val="none"/>
        </w:rPr>
        <w:t>up until they are complete</w:t>
      </w:r>
      <w:r w:rsidR="009F503F"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noProof/>
          <w:kern w:val="0"/>
          <w14:ligatures w14:val="none"/>
        </w:rPr>
        <w:t xml:space="preserve"> – and to access the judgments online.</w:t>
      </w:r>
    </w:p>
    <w:p w14:paraId="2BC8DBB9"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sz w:val="22"/>
          <w:szCs w:val="22"/>
          <w14:ligatures w14:val="none"/>
        </w:rPr>
        <w:t xml:space="preserve">– </w:t>
      </w:r>
      <w:r w:rsidRPr="00FB4E2D">
        <w:rPr>
          <w:rFonts w:ascii="Times New Roman" w:eastAsia="Calibri" w:hAnsi="Times New Roman" w:cs="Times New Roman"/>
          <w:i/>
          <w:noProof/>
          <w:kern w:val="0"/>
          <w14:ligatures w14:val="none"/>
        </w:rPr>
        <w:t xml:space="preserve">Legal aid, court fees and legal fees </w:t>
      </w:r>
      <w:r w:rsidRPr="00FB4E2D">
        <w:rPr>
          <w:rFonts w:ascii="Times New Roman" w:eastAsia="Calibri" w:hAnsi="Times New Roman" w:cs="Times New Roman"/>
          <w:i/>
          <w:noProof/>
          <w:kern w:val="0"/>
          <w:sz w:val="22"/>
          <w:szCs w:val="22"/>
          <w14:ligatures w14:val="none"/>
        </w:rPr>
        <w:t>–</w:t>
      </w:r>
    </w:p>
    <w:p w14:paraId="53A2183B" w14:textId="6ABFFD76" w:rsidR="00A02C07" w:rsidRPr="00FB4E2D" w:rsidRDefault="00A02C07" w:rsidP="00A02C07">
      <w:pPr>
        <w:spacing w:before="120"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The cost of litigation is a key factor that determines access to justice. High litigation costs, including court fees (</w:t>
      </w:r>
      <w:r w:rsidRPr="00FB4E2D">
        <w:rPr>
          <w:rFonts w:ascii="Times New Roman" w:eastAsia="Calibri" w:hAnsi="Times New Roman" w:cs="Times New Roman"/>
          <w:noProof/>
          <w:kern w:val="0"/>
          <w:vertAlign w:val="superscript"/>
          <w14:ligatures w14:val="none"/>
        </w:rPr>
        <w:footnoteReference w:id="65"/>
      </w:r>
      <w:r w:rsidRPr="00FB4E2D">
        <w:rPr>
          <w:rFonts w:ascii="Times New Roman" w:eastAsia="Calibri" w:hAnsi="Times New Roman" w:cs="Times New Roman"/>
          <w:noProof/>
          <w:kern w:val="0"/>
          <w14:ligatures w14:val="none"/>
        </w:rPr>
        <w:t>) and legal fees (</w:t>
      </w:r>
      <w:r w:rsidRPr="00FB4E2D">
        <w:rPr>
          <w:rFonts w:ascii="Times New Roman" w:eastAsia="Calibri" w:hAnsi="Times New Roman" w:cs="Times New Roman"/>
          <w:noProof/>
          <w:kern w:val="0"/>
          <w:vertAlign w:val="superscript"/>
          <w14:ligatures w14:val="none"/>
        </w:rPr>
        <w:footnoteReference w:id="66"/>
      </w:r>
      <w:r w:rsidRPr="00FB4E2D">
        <w:rPr>
          <w:rFonts w:ascii="Times New Roman" w:eastAsia="Calibri" w:hAnsi="Times New Roman" w:cs="Times New Roman"/>
          <w:noProof/>
          <w:kern w:val="0"/>
          <w14:ligatures w14:val="none"/>
        </w:rPr>
        <w:t xml:space="preserve">), may hinder access to justice. Litigation costs in civil and commercial matters are </w:t>
      </w:r>
      <w:r w:rsidRPr="00FB4E2D">
        <w:rPr>
          <w:rFonts w:ascii="Times New Roman" w:eastAsia="Times New Roman" w:hAnsi="Times New Roman" w:cs="Times New Roman"/>
          <w:noProof/>
          <w:color w:val="000000"/>
          <w:kern w:val="0"/>
          <w14:ligatures w14:val="none"/>
        </w:rPr>
        <w:t xml:space="preserve">not </w:t>
      </w:r>
      <w:r w:rsidR="009F503F" w:rsidRPr="00FB4E2D">
        <w:rPr>
          <w:rFonts w:ascii="Times New Roman" w:eastAsia="Times New Roman" w:hAnsi="Times New Roman" w:cs="Times New Roman"/>
          <w:noProof/>
          <w:color w:val="000000"/>
          <w:kern w:val="0"/>
          <w14:ligatures w14:val="none"/>
        </w:rPr>
        <w:t xml:space="preserve">aligned </w:t>
      </w:r>
      <w:r w:rsidRPr="00FB4E2D">
        <w:rPr>
          <w:rFonts w:ascii="Times New Roman" w:eastAsia="Times New Roman" w:hAnsi="Times New Roman" w:cs="Times New Roman"/>
          <w:noProof/>
          <w:color w:val="000000"/>
          <w:kern w:val="0"/>
          <w14:ligatures w14:val="none"/>
        </w:rPr>
        <w:t>at EU level. They are g</w:t>
      </w:r>
      <w:r w:rsidRPr="00FB4E2D">
        <w:rPr>
          <w:rFonts w:ascii="Times New Roman" w:eastAsia="Calibri" w:hAnsi="Times New Roman" w:cs="Times New Roman"/>
          <w:noProof/>
          <w:kern w:val="0"/>
          <w14:ligatures w14:val="none"/>
        </w:rPr>
        <w:t>overned by national legislation and vary from one Member State to another.</w:t>
      </w:r>
    </w:p>
    <w:p w14:paraId="0C8868FA" w14:textId="77777777" w:rsidR="00A02C07" w:rsidRPr="00FB4E2D" w:rsidRDefault="00A02C07" w:rsidP="00A02C07">
      <w:pPr>
        <w:spacing w:after="120" w:line="240" w:lineRule="auto"/>
        <w:jc w:val="both"/>
        <w:rPr>
          <w:rFonts w:ascii="Times New Roman" w:eastAsia="Calibri" w:hAnsi="Times New Roman" w:cs="Times New Roman"/>
          <w:noProof/>
          <w:kern w:val="0"/>
          <w14:ligatures w14:val="none"/>
        </w:rPr>
      </w:pPr>
      <w:bookmarkStart w:id="301" w:name="_Ref441218501"/>
      <w:r w:rsidRPr="00FB4E2D">
        <w:rPr>
          <w:rFonts w:ascii="Times New Roman" w:eastAsia="Calibri" w:hAnsi="Times New Roman" w:cs="Times New Roman"/>
          <w:noProof/>
          <w:kern w:val="0"/>
          <w14:ligatures w14:val="none"/>
        </w:rPr>
        <w:t>Access to legal aid is a fundamental right enshrined in the Charter of Fundamental Rights of the EU (</w:t>
      </w:r>
      <w:r w:rsidRPr="00FB4E2D">
        <w:rPr>
          <w:rFonts w:ascii="Times New Roman" w:eastAsia="Calibri" w:hAnsi="Times New Roman" w:cs="Times New Roman"/>
          <w:noProof/>
          <w:kern w:val="0"/>
          <w:vertAlign w:val="superscript"/>
          <w14:ligatures w14:val="none"/>
        </w:rPr>
        <w:footnoteReference w:id="67"/>
      </w:r>
      <w:r w:rsidRPr="00FB4E2D">
        <w:rPr>
          <w:rFonts w:ascii="Times New Roman" w:eastAsia="Calibri" w:hAnsi="Times New Roman" w:cs="Times New Roman"/>
          <w:noProof/>
          <w:kern w:val="0"/>
          <w14:ligatures w14:val="none"/>
        </w:rPr>
        <w:t>). It allows access to justice to people who would not otherwise be able to bear or advance the costs of litigation. Most Member States grant legal aid based on the applicant’s income (</w:t>
      </w:r>
      <w:r w:rsidRPr="00FB4E2D">
        <w:rPr>
          <w:rFonts w:ascii="Times New Roman" w:eastAsia="Calibri" w:hAnsi="Times New Roman" w:cs="Times New Roman"/>
          <w:noProof/>
          <w:kern w:val="0"/>
          <w:vertAlign w:val="superscript"/>
          <w14:ligatures w14:val="none"/>
        </w:rPr>
        <w:footnoteReference w:id="68"/>
      </w:r>
      <w:r w:rsidRPr="00FB4E2D">
        <w:rPr>
          <w:rFonts w:ascii="Times New Roman" w:eastAsia="Calibri" w:hAnsi="Times New Roman" w:cs="Times New Roman"/>
          <w:noProof/>
          <w:kern w:val="0"/>
          <w14:ligatures w14:val="none"/>
        </w:rPr>
        <w:t>).</w:t>
      </w:r>
    </w:p>
    <w:p w14:paraId="682FF49E" w14:textId="0B2E5685"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Figure 22 shows the availability of full or partial legal aid in a specific consumer case involving a claim of EUR 6 000. It compares the income thresholds for granting legal aid, expressed as a percentage of the Eurostat poverty threshold for each Member State (</w:t>
      </w:r>
      <w:r w:rsidRPr="00FB4E2D">
        <w:rPr>
          <w:rFonts w:ascii="Times New Roman" w:eastAsia="Calibri" w:hAnsi="Times New Roman" w:cs="Times New Roman"/>
          <w:noProof/>
          <w:kern w:val="0"/>
          <w:vertAlign w:val="superscript"/>
          <w14:ligatures w14:val="none"/>
        </w:rPr>
        <w:footnoteReference w:id="69"/>
      </w:r>
      <w:r w:rsidRPr="00FB4E2D">
        <w:rPr>
          <w:rFonts w:ascii="Times New Roman" w:eastAsia="Calibri" w:hAnsi="Times New Roman" w:cs="Times New Roman"/>
          <w:noProof/>
          <w:kern w:val="0"/>
          <w14:ligatures w14:val="none"/>
        </w:rPr>
        <w:t xml:space="preserve">). For example, if the threshold for legal aid is 20% it means that an applicant with an income 20% higher than the Eurostat poverty threshold for their Member State will still be eligible for legal aid. However, if the threshold for legal aid is below </w:t>
      </w:r>
      <w:r w:rsidR="0032405A">
        <w:rPr>
          <w:rFonts w:ascii="Times New Roman" w:eastAsia="Calibri" w:hAnsi="Times New Roman" w:cs="Times New Roman"/>
          <w:noProof/>
          <w:kern w:val="0"/>
          <w14:ligatures w14:val="none"/>
        </w:rPr>
        <w:t>zero</w:t>
      </w:r>
      <w:r w:rsidRPr="00FB4E2D">
        <w:rPr>
          <w:rFonts w:ascii="Times New Roman" w:eastAsia="Calibri" w:hAnsi="Times New Roman" w:cs="Times New Roman"/>
          <w:noProof/>
          <w:kern w:val="0"/>
          <w14:ligatures w14:val="none"/>
        </w:rPr>
        <w:t>, this means that a person with an income below the poverty threshold may not be eligible for legal aid.</w:t>
      </w:r>
    </w:p>
    <w:p w14:paraId="12C83B46" w14:textId="608B3B37" w:rsidR="00A02C07" w:rsidRPr="00FB4E2D" w:rsidRDefault="00A02C07" w:rsidP="00A02C07">
      <w:pPr>
        <w:spacing w:after="120" w:line="240" w:lineRule="auto"/>
        <w:jc w:val="both"/>
        <w:rPr>
          <w:rFonts w:ascii="Times New Roman" w:eastAsia="Calibri" w:hAnsi="Times New Roman" w:cs="Times New Roman"/>
          <w:noProof/>
          <w:kern w:val="0"/>
          <w:highlight w:val="yellow"/>
          <w14:ligatures w14:val="none"/>
        </w:rPr>
      </w:pPr>
      <w:r w:rsidRPr="00FB4E2D">
        <w:rPr>
          <w:rFonts w:ascii="Times New Roman" w:eastAsia="Calibri" w:hAnsi="Times New Roman" w:cs="Times New Roman"/>
          <w:noProof/>
          <w:kern w:val="0"/>
          <w14:ligatures w14:val="none"/>
        </w:rPr>
        <w:t xml:space="preserve">In 13 Member States there is a legal aid system that provides for 100% coverage of the costs linked to litigation (full legal aid), complemented by a system covering partial costs (partial legal aid) which applies different eligibility criteria. In 10 Member States there is both a full or partial legal aid system, but not both. In two Member States, the courts have discretion over granting legal aid. </w:t>
      </w:r>
    </w:p>
    <w:bookmarkEnd w:id="301"/>
    <w:p w14:paraId="2696B928"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 xml:space="preserve">Income threshold for legal </w:t>
      </w:r>
      <w:r w:rsidRPr="00FB4E2D">
        <w:rPr>
          <w:rFonts w:ascii="Times New Roman" w:eastAsia="Calibri" w:hAnsi="Times New Roman" w:cs="Times New Roman"/>
          <w:b/>
          <w:noProof/>
          <w:kern w:val="0"/>
          <w14:ligatures w14:val="none"/>
        </w:rPr>
        <w:t xml:space="preserve">aid in a specific consumer case, 2025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(differences in % from Eurostat poverty threshold) (source: European Commission with the Council of Bar and Law Societies in Europe (CCBE) (</w:t>
      </w:r>
      <w:r w:rsidRPr="00FB4E2D">
        <w:rPr>
          <w:rFonts w:ascii="Times New Roman" w:eastAsia="Calibri" w:hAnsi="Times New Roman" w:cs="Times New Roman"/>
          <w:i/>
          <w:noProof/>
          <w:kern w:val="0"/>
          <w:vertAlign w:val="superscript"/>
          <w14:ligatures w14:val="none"/>
        </w:rPr>
        <w:footnoteReference w:id="70"/>
      </w:r>
      <w:r w:rsidRPr="00FB4E2D">
        <w:rPr>
          <w:rFonts w:ascii="Times New Roman" w:eastAsia="Calibri" w:hAnsi="Times New Roman" w:cs="Times New Roman"/>
          <w:i/>
          <w:noProof/>
          <w:kern w:val="0"/>
          <w14:ligatures w14:val="none"/>
        </w:rPr>
        <w:t xml:space="preserve">)) </w:t>
      </w:r>
    </w:p>
    <w:p w14:paraId="7F4A0D5E" w14:textId="77777777" w:rsidR="00A02C07" w:rsidRPr="00FB4E2D" w:rsidRDefault="00A02C07" w:rsidP="00A02C07">
      <w:pPr>
        <w:spacing w:after="120" w:line="240" w:lineRule="auto"/>
        <w:jc w:val="both"/>
        <w:rPr>
          <w:rFonts w:ascii="Times New Roman" w:eastAsia="Calibri" w:hAnsi="Times New Roman" w:cs="Times New Roman"/>
          <w:i/>
          <w:noProof/>
          <w:color w:val="000000"/>
          <w:kern w:val="0"/>
          <w:sz w:val="20"/>
          <w:szCs w:val="22"/>
          <w:lang w:eastAsia="en-GB"/>
          <w14:ligatures w14:val="none"/>
        </w:rPr>
      </w:pPr>
      <w:r w:rsidRPr="00FB4E2D">
        <w:rPr>
          <w:rFonts w:ascii="Calibri" w:eastAsia="Yu Mincho" w:hAnsi="Calibri" w:cs="Arial"/>
          <w:noProof/>
          <w:kern w:val="0"/>
          <w:sz w:val="22"/>
          <w:szCs w:val="22"/>
          <w:lang w:val="en-GB" w:eastAsia="en-GB"/>
          <w14:ligatures w14:val="none"/>
        </w:rPr>
        <w:drawing>
          <wp:inline distT="0" distB="0" distL="0" distR="0" wp14:anchorId="23B22D29" wp14:editId="1867EFAE">
            <wp:extent cx="5760000" cy="2322867"/>
            <wp:effectExtent l="0" t="0" r="0" b="1270"/>
            <wp:docPr id="364748641" name="Picture 20" descr="A graph of income ba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48641" name="Picture 20" descr="A graph of income based&#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60000" cy="2322867"/>
                    </a:xfrm>
                    <a:prstGeom prst="rect">
                      <a:avLst/>
                    </a:prstGeom>
                    <a:noFill/>
                  </pic:spPr>
                </pic:pic>
              </a:graphicData>
            </a:graphic>
          </wp:inline>
        </w:drawing>
      </w:r>
      <w:r w:rsidRPr="00FB4E2D">
        <w:rPr>
          <w:rFonts w:ascii="Times New Roman" w:eastAsia="Calibri" w:hAnsi="Times New Roman" w:cs="Times New Roman"/>
          <w:i/>
          <w:noProof/>
          <w:color w:val="000000"/>
          <w:kern w:val="0"/>
          <w:sz w:val="20"/>
          <w:szCs w:val="22"/>
          <w:lang w:eastAsia="en-GB"/>
          <w14:ligatures w14:val="none"/>
        </w:rPr>
        <w:t xml:space="preserve">(*) Calculations are based on 2023 at-risk-of-poverty (AROP) threshold values. </w:t>
      </w:r>
      <w:r w:rsidRPr="00FB4E2D">
        <w:rPr>
          <w:rFonts w:ascii="Times New Roman" w:eastAsia="Calibri" w:hAnsi="Times New Roman" w:cs="Times New Roman"/>
          <w:b/>
          <w:i/>
          <w:noProof/>
          <w:kern w:val="0"/>
          <w:sz w:val="20"/>
          <w:szCs w:val="22"/>
          <w:lang w:eastAsia="en-GB"/>
          <w14:ligatures w14:val="none"/>
        </w:rPr>
        <w:t>BE, DE, ES, FI, FR, IE, IT, LT, LU, NL, SE, SI, SK:</w:t>
      </w:r>
      <w:r w:rsidRPr="00FB4E2D">
        <w:rPr>
          <w:rFonts w:ascii="Times New Roman" w:eastAsia="Calibri" w:hAnsi="Times New Roman" w:cs="Times New Roman"/>
          <w:i/>
          <w:noProof/>
          <w:kern w:val="0"/>
          <w:sz w:val="20"/>
          <w:szCs w:val="22"/>
          <w:lang w:eastAsia="en-GB"/>
          <w14:ligatures w14:val="none"/>
        </w:rPr>
        <w:t xml:space="preserve"> Legal aid also has to take into account the applicant’s disposable assets. </w:t>
      </w:r>
      <w:r w:rsidRPr="00FB4E2D">
        <w:rPr>
          <w:rFonts w:ascii="Times New Roman" w:eastAsia="Calibri" w:hAnsi="Times New Roman" w:cs="Times New Roman"/>
          <w:b/>
          <w:i/>
          <w:noProof/>
          <w:kern w:val="0"/>
          <w:sz w:val="20"/>
          <w:szCs w:val="22"/>
          <w:lang w:eastAsia="en-GB"/>
          <w14:ligatures w14:val="none"/>
        </w:rPr>
        <w:t>EL</w:t>
      </w:r>
      <w:r w:rsidRPr="00FB4E2D">
        <w:rPr>
          <w:rFonts w:ascii="Times New Roman" w:eastAsia="Calibri" w:hAnsi="Times New Roman" w:cs="Times New Roman"/>
          <w:i/>
          <w:noProof/>
          <w:kern w:val="0"/>
          <w:sz w:val="20"/>
          <w:szCs w:val="22"/>
          <w:lang w:eastAsia="en-GB"/>
          <w14:ligatures w14:val="none"/>
        </w:rPr>
        <w:t xml:space="preserve">: Beneficiary of legal aid is a person whose capital annual income does not exceed 2/3 of the lowest annual salaries as provided for by the existing legislation. </w:t>
      </w:r>
      <w:r w:rsidRPr="00FB4E2D">
        <w:rPr>
          <w:rFonts w:ascii="Times New Roman" w:eastAsia="Calibri" w:hAnsi="Times New Roman" w:cs="Times New Roman"/>
          <w:b/>
          <w:i/>
          <w:noProof/>
          <w:kern w:val="0"/>
          <w:sz w:val="20"/>
          <w:szCs w:val="22"/>
          <w:lang w:eastAsia="en-GB"/>
          <w14:ligatures w14:val="none"/>
        </w:rPr>
        <w:t xml:space="preserve">EE, CY </w:t>
      </w:r>
      <w:r w:rsidRPr="00FB4E2D">
        <w:rPr>
          <w:rFonts w:ascii="Times New Roman" w:eastAsia="Calibri" w:hAnsi="Times New Roman" w:cs="Times New Roman"/>
          <w:i/>
          <w:noProof/>
          <w:kern w:val="0"/>
          <w:sz w:val="20"/>
          <w:szCs w:val="22"/>
          <w:lang w:eastAsia="en-GB"/>
          <w14:ligatures w14:val="none"/>
        </w:rPr>
        <w:t>and</w:t>
      </w:r>
      <w:r w:rsidRPr="00FB4E2D">
        <w:rPr>
          <w:rFonts w:ascii="Times New Roman" w:eastAsia="Calibri" w:hAnsi="Times New Roman" w:cs="Times New Roman"/>
          <w:b/>
          <w:i/>
          <w:noProof/>
          <w:kern w:val="0"/>
          <w:sz w:val="20"/>
          <w:szCs w:val="22"/>
          <w:lang w:eastAsia="en-GB"/>
          <w14:ligatures w14:val="none"/>
        </w:rPr>
        <w:t xml:space="preserve"> CZ</w:t>
      </w:r>
      <w:r w:rsidRPr="00FB4E2D">
        <w:rPr>
          <w:rFonts w:ascii="Times New Roman" w:eastAsia="Calibri" w:hAnsi="Times New Roman" w:cs="Times New Roman"/>
          <w:i/>
          <w:noProof/>
          <w:kern w:val="0"/>
          <w:sz w:val="20"/>
          <w:szCs w:val="22"/>
          <w:lang w:eastAsia="en-GB"/>
          <w14:ligatures w14:val="none"/>
        </w:rPr>
        <w:t xml:space="preserve">: no legal aid in scenario. </w:t>
      </w:r>
      <w:r w:rsidRPr="00FB4E2D">
        <w:rPr>
          <w:rFonts w:ascii="Times New Roman" w:eastAsia="Calibri" w:hAnsi="Times New Roman" w:cs="Times New Roman"/>
          <w:b/>
          <w:i/>
          <w:noProof/>
          <w:kern w:val="0"/>
          <w:sz w:val="20"/>
          <w:szCs w:val="22"/>
          <w:lang w:eastAsia="en-GB"/>
          <w14:ligatures w14:val="none"/>
        </w:rPr>
        <w:t>AT</w:t>
      </w:r>
      <w:r w:rsidRPr="00FB4E2D">
        <w:rPr>
          <w:rFonts w:ascii="Times New Roman" w:eastAsia="Calibri" w:hAnsi="Times New Roman" w:cs="Times New Roman"/>
          <w:i/>
          <w:noProof/>
          <w:kern w:val="0"/>
          <w:sz w:val="20"/>
          <w:szCs w:val="22"/>
          <w:lang w:eastAsia="en-GB"/>
          <w14:ligatures w14:val="none"/>
        </w:rPr>
        <w:t xml:space="preserve"> and </w:t>
      </w:r>
      <w:r w:rsidRPr="00FB4E2D">
        <w:rPr>
          <w:rFonts w:ascii="Times New Roman" w:eastAsia="Calibri" w:hAnsi="Times New Roman" w:cs="Times New Roman"/>
          <w:b/>
          <w:i/>
          <w:noProof/>
          <w:kern w:val="0"/>
          <w:sz w:val="20"/>
          <w:szCs w:val="22"/>
          <w:lang w:eastAsia="en-GB"/>
          <w14:ligatures w14:val="none"/>
        </w:rPr>
        <w:t>PL</w:t>
      </w:r>
      <w:r w:rsidRPr="00FB4E2D">
        <w:rPr>
          <w:rFonts w:ascii="Times New Roman" w:eastAsia="Calibri" w:hAnsi="Times New Roman" w:cs="Times New Roman"/>
          <w:i/>
          <w:noProof/>
          <w:kern w:val="0"/>
          <w:sz w:val="20"/>
          <w:szCs w:val="22"/>
          <w:lang w:eastAsia="en-GB"/>
          <w14:ligatures w14:val="none"/>
        </w:rPr>
        <w:t xml:space="preserve">: Court's discretion. </w:t>
      </w:r>
      <w:r w:rsidRPr="00FB4E2D">
        <w:rPr>
          <w:rFonts w:ascii="Times New Roman" w:eastAsia="Calibri" w:hAnsi="Times New Roman" w:cs="Times New Roman"/>
          <w:b/>
          <w:i/>
          <w:noProof/>
          <w:kern w:val="0"/>
          <w:sz w:val="20"/>
          <w:szCs w:val="22"/>
          <w:lang w:eastAsia="en-GB"/>
          <w14:ligatures w14:val="none"/>
        </w:rPr>
        <w:t xml:space="preserve">HR, LV </w:t>
      </w:r>
      <w:r w:rsidRPr="0091148C">
        <w:rPr>
          <w:rFonts w:ascii="Times New Roman" w:eastAsia="Calibri" w:hAnsi="Times New Roman" w:cs="Times New Roman"/>
          <w:i/>
          <w:noProof/>
          <w:kern w:val="0"/>
          <w:sz w:val="20"/>
          <w:szCs w:val="22"/>
          <w:lang w:eastAsia="en-GB"/>
          <w14:ligatures w14:val="none"/>
        </w:rPr>
        <w:t>and</w:t>
      </w:r>
      <w:r w:rsidRPr="00FB4E2D">
        <w:rPr>
          <w:rFonts w:ascii="Times New Roman" w:eastAsia="Calibri" w:hAnsi="Times New Roman" w:cs="Times New Roman"/>
          <w:b/>
          <w:i/>
          <w:noProof/>
          <w:kern w:val="0"/>
          <w:sz w:val="20"/>
          <w:szCs w:val="22"/>
          <w:lang w:eastAsia="en-GB"/>
          <w14:ligatures w14:val="none"/>
        </w:rPr>
        <w:t xml:space="preserve"> DK:</w:t>
      </w:r>
      <w:r w:rsidRPr="00FB4E2D">
        <w:rPr>
          <w:rFonts w:ascii="Times New Roman" w:eastAsia="Calibri" w:hAnsi="Times New Roman" w:cs="Times New Roman"/>
          <w:i/>
          <w:noProof/>
          <w:kern w:val="0"/>
          <w:sz w:val="20"/>
          <w:szCs w:val="22"/>
          <w:lang w:eastAsia="en-GB"/>
          <w14:ligatures w14:val="none"/>
        </w:rPr>
        <w:t xml:space="preserve"> No data provided.</w:t>
      </w:r>
    </w:p>
    <w:p w14:paraId="56EFC72F" w14:textId="626B833D"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Recipients of legal aid are often exempt from paying court fees. Only in five Member States are recipients of legal aid not automatically exempt from paying court fees. In Czechia, the court decides on a case-by-case basis whether or not to exempt a legal aid recipient from paying court fees. In Luxembourg, litigants who benefit from legal aid do not have to pay bailiff fees. Figure 23 compares, for two scenarios, the amount of the court fee presented as a proportion of the value of the claim. For example, if the court fee in the figure below is 10% of a EUR 6 000 claim, the consumer will have to pay a EUR 600 court fee to start judicial proceedings. The low</w:t>
      </w:r>
      <w:r w:rsidR="008B2512"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noProof/>
          <w:kern w:val="0"/>
          <w14:ligatures w14:val="none"/>
        </w:rPr>
        <w:t>value claim is based on the Eurostat at-risk-of-poverty</w:t>
      </w:r>
      <w:r w:rsidRPr="00FB4E2D" w:rsidDel="00083401">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(AROP) threshold for each Member State.</w:t>
      </w:r>
      <w:bookmarkStart w:id="302" w:name="_Toc409530224"/>
      <w:bookmarkStart w:id="303" w:name="_Toc438545674"/>
      <w:bookmarkStart w:id="304" w:name="_Toc438548324"/>
      <w:bookmarkStart w:id="305" w:name="_Toc438548510"/>
      <w:r w:rsidRPr="00FB4E2D">
        <w:rPr>
          <w:rFonts w:ascii="Times New Roman" w:eastAsia="Calibri" w:hAnsi="Times New Roman" w:cs="Times New Roman"/>
          <w:noProof/>
          <w:kern w:val="0"/>
          <w14:ligatures w14:val="none"/>
        </w:rPr>
        <w:t xml:space="preserve"> </w:t>
      </w:r>
    </w:p>
    <w:p w14:paraId="47B92F9D" w14:textId="77777777" w:rsidR="00A02C07" w:rsidRPr="00FB4E2D" w:rsidRDefault="00A02C07" w:rsidP="00A02C07">
      <w:pPr>
        <w:spacing w:line="259" w:lineRule="auto"/>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26647633" w14:textId="3D7CB2AB"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Court fee to start judicial proceeding</w:t>
      </w:r>
      <w:r w:rsidRPr="00FB4E2D">
        <w:rPr>
          <w:rFonts w:ascii="Times New Roman" w:eastAsia="Calibri" w:hAnsi="Times New Roman" w:cs="Times New Roman"/>
          <w:b/>
          <w:noProof/>
          <w:kern w:val="0"/>
          <w14:ligatures w14:val="none"/>
        </w:rPr>
        <w:t xml:space="preserve">s in a specific consumer case, 2025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i/>
          <w:noProof/>
          <w:kern w:val="0"/>
          <w14:ligatures w14:val="none"/>
        </w:rPr>
        <w:t>amount of court fee as a proportion of the value of the claim</w:t>
      </w:r>
      <w:r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i/>
          <w:noProof/>
          <w:kern w:val="0"/>
          <w14:ligatures w14:val="none"/>
        </w:rPr>
        <w:t>(source: European Commission with the Council of Bar and Law Societies in Europe (CCBE) (</w:t>
      </w:r>
      <w:r w:rsidRPr="00FB4E2D">
        <w:rPr>
          <w:rFonts w:ascii="Times New Roman" w:eastAsia="Calibri" w:hAnsi="Times New Roman" w:cs="Times New Roman"/>
          <w:i/>
          <w:noProof/>
          <w:kern w:val="0"/>
          <w:vertAlign w:val="superscript"/>
          <w14:ligatures w14:val="none"/>
        </w:rPr>
        <w:footnoteReference w:id="71"/>
      </w:r>
      <w:r w:rsidRPr="00FB4E2D">
        <w:rPr>
          <w:rFonts w:ascii="Times New Roman" w:eastAsia="Calibri" w:hAnsi="Times New Roman" w:cs="Times New Roman"/>
          <w:i/>
          <w:noProof/>
          <w:kern w:val="0"/>
          <w14:ligatures w14:val="none"/>
        </w:rPr>
        <w:t>))</w:t>
      </w:r>
    </w:p>
    <w:p w14:paraId="77174609" w14:textId="2261602B" w:rsidR="00A02C07" w:rsidRPr="00FB4E2D" w:rsidRDefault="00A02C07" w:rsidP="00A02C07">
      <w:pPr>
        <w:keepNext/>
        <w:spacing w:after="0" w:line="240" w:lineRule="auto"/>
        <w:jc w:val="both"/>
        <w:rPr>
          <w:rFonts w:ascii="Times New Roman" w:eastAsia="Times New Roman" w:hAnsi="Times New Roman" w:cs="Times New Roman"/>
          <w:noProof/>
          <w:kern w:val="0"/>
          <w14:ligatures w14:val="none"/>
        </w:rPr>
      </w:pPr>
      <w:r w:rsidRPr="00FB4E2D">
        <w:rPr>
          <w:rFonts w:ascii="Times New Roman" w:eastAsia="Calibri" w:hAnsi="Times New Roman" w:cs="Times New Roman"/>
          <w:i/>
          <w:noProof/>
          <w:color w:val="000000"/>
          <w:kern w:val="0"/>
          <w:sz w:val="20"/>
          <w:szCs w:val="20"/>
          <w:lang w:val="en-GB" w:eastAsia="en-GB"/>
          <w14:ligatures w14:val="none"/>
        </w:rPr>
        <w:drawing>
          <wp:inline distT="0" distB="0" distL="0" distR="0" wp14:anchorId="658BB3DE" wp14:editId="225D14BB">
            <wp:extent cx="5760000" cy="2607954"/>
            <wp:effectExtent l="0" t="0" r="0" b="1905"/>
            <wp:docPr id="1443603866" name="Picture 2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03866" name="Picture 21" descr="A graph of a number of people&#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000" cy="2607954"/>
                    </a:xfrm>
                    <a:prstGeom prst="rect">
                      <a:avLst/>
                    </a:prstGeom>
                    <a:noFill/>
                  </pic:spPr>
                </pic:pic>
              </a:graphicData>
            </a:graphic>
          </wp:inline>
        </w:drawing>
      </w:r>
      <w:r w:rsidRPr="00FB4E2D">
        <w:rPr>
          <w:rFonts w:ascii="Times New Roman" w:eastAsia="Calibri" w:hAnsi="Times New Roman" w:cs="Times New Roman"/>
          <w:i/>
          <w:noProof/>
          <w:color w:val="000000"/>
          <w:kern w:val="0"/>
          <w:sz w:val="20"/>
          <w:szCs w:val="20"/>
          <w:lang w:eastAsia="en-GB"/>
          <w14:ligatures w14:val="none"/>
        </w:rPr>
        <w:t xml:space="preserve">(*) Calculations are based on 2024 at-risk-of-poverty (AROP) threshold values. A ‘low-value claim’ is a claim corresponding to the Eurostat poverty threshold for a single person in each Member State, converted to monthly income (e.g. in 2022, this value ranged from EUR 326 in </w:t>
      </w:r>
      <w:r w:rsidRPr="00FB4E2D">
        <w:rPr>
          <w:rFonts w:ascii="Times New Roman" w:eastAsia="Calibri" w:hAnsi="Times New Roman" w:cs="Times New Roman"/>
          <w:b/>
          <w:i/>
          <w:noProof/>
          <w:color w:val="000000"/>
          <w:kern w:val="0"/>
          <w:sz w:val="20"/>
          <w:szCs w:val="20"/>
          <w:lang w:eastAsia="en-GB"/>
          <w14:ligatures w14:val="none"/>
        </w:rPr>
        <w:t xml:space="preserve">BG </w:t>
      </w:r>
      <w:r w:rsidRPr="00FB4E2D">
        <w:rPr>
          <w:rFonts w:ascii="Times New Roman" w:eastAsia="Calibri" w:hAnsi="Times New Roman" w:cs="Times New Roman"/>
          <w:i/>
          <w:noProof/>
          <w:color w:val="000000"/>
          <w:kern w:val="0"/>
          <w:sz w:val="20"/>
          <w:szCs w:val="20"/>
          <w:lang w:eastAsia="en-GB"/>
          <w14:ligatures w14:val="none"/>
        </w:rPr>
        <w:t xml:space="preserve">to EUR 2 381 in </w:t>
      </w:r>
      <w:r w:rsidRPr="00FB4E2D">
        <w:rPr>
          <w:rFonts w:ascii="Times New Roman" w:eastAsia="Calibri" w:hAnsi="Times New Roman" w:cs="Times New Roman"/>
          <w:b/>
          <w:i/>
          <w:noProof/>
          <w:color w:val="000000"/>
          <w:kern w:val="0"/>
          <w:sz w:val="20"/>
          <w:szCs w:val="20"/>
          <w:lang w:eastAsia="en-GB"/>
          <w14:ligatures w14:val="none"/>
        </w:rPr>
        <w:t>LU</w:t>
      </w:r>
      <w:r w:rsidRPr="00FB4E2D">
        <w:rPr>
          <w:rFonts w:ascii="Times New Roman" w:eastAsia="Calibri" w:hAnsi="Times New Roman" w:cs="Times New Roman"/>
          <w:i/>
          <w:noProof/>
          <w:color w:val="000000"/>
          <w:kern w:val="0"/>
          <w:sz w:val="20"/>
          <w:szCs w:val="20"/>
          <w:lang w:eastAsia="en-GB"/>
          <w14:ligatures w14:val="none"/>
        </w:rPr>
        <w:t xml:space="preserve">). </w:t>
      </w:r>
      <w:r w:rsidRPr="00FB4E2D">
        <w:rPr>
          <w:rFonts w:ascii="Times New Roman" w:eastAsia="Calibri" w:hAnsi="Times New Roman" w:cs="Times New Roman"/>
          <w:b/>
          <w:i/>
          <w:noProof/>
          <w:color w:val="000000"/>
          <w:kern w:val="0"/>
          <w:sz w:val="20"/>
          <w:szCs w:val="20"/>
          <w:lang w:eastAsia="en-GB"/>
          <w14:ligatures w14:val="none"/>
        </w:rPr>
        <w:t>BE</w:t>
      </w:r>
      <w:r w:rsidRPr="00FB4E2D">
        <w:rPr>
          <w:rFonts w:ascii="Times New Roman" w:eastAsia="Calibri" w:hAnsi="Times New Roman" w:cs="Times New Roman"/>
          <w:i/>
          <w:noProof/>
          <w:color w:val="000000"/>
          <w:kern w:val="0"/>
          <w:sz w:val="20"/>
          <w:szCs w:val="20"/>
          <w:lang w:eastAsia="en-GB"/>
          <w14:ligatures w14:val="none"/>
        </w:rPr>
        <w:t xml:space="preserve">: EUR 26 contribution to the Fund for the second line legal aid; Court registry fees: EUR 50 or EUR 165. Afterwards, if dismissed/convicted: possibly EUR 1 350 for procedural indemnity. </w:t>
      </w:r>
      <w:r w:rsidRPr="00FB4E2D">
        <w:rPr>
          <w:rFonts w:ascii="Times New Roman" w:eastAsia="Calibri" w:hAnsi="Times New Roman" w:cs="Times New Roman"/>
          <w:b/>
          <w:i/>
          <w:noProof/>
          <w:color w:val="000000"/>
          <w:kern w:val="0"/>
          <w:sz w:val="20"/>
          <w:szCs w:val="20"/>
          <w:lang w:eastAsia="en-GB"/>
          <w14:ligatures w14:val="none"/>
        </w:rPr>
        <w:t>NL</w:t>
      </w:r>
      <w:r w:rsidRPr="00FB4E2D">
        <w:rPr>
          <w:rFonts w:ascii="Times New Roman" w:eastAsia="Calibri" w:hAnsi="Times New Roman" w:cs="Times New Roman"/>
          <w:i/>
          <w:noProof/>
          <w:color w:val="000000"/>
          <w:kern w:val="0"/>
          <w:sz w:val="20"/>
          <w:szCs w:val="20"/>
          <w:lang w:eastAsia="en-GB"/>
          <w14:ligatures w14:val="none"/>
        </w:rPr>
        <w:t>: Court fees values correspond to a litigant with</w:t>
      </w:r>
      <w:r w:rsidR="00E9048E" w:rsidRPr="00FB4E2D">
        <w:rPr>
          <w:rFonts w:ascii="Times New Roman" w:eastAsia="Calibri" w:hAnsi="Times New Roman" w:cs="Times New Roman"/>
          <w:i/>
          <w:noProof/>
          <w:color w:val="000000"/>
          <w:kern w:val="0"/>
          <w:sz w:val="20"/>
          <w:szCs w:val="20"/>
          <w:lang w:eastAsia="en-GB"/>
          <w14:ligatures w14:val="none"/>
        </w:rPr>
        <w:t xml:space="preserve"> an annual income of</w:t>
      </w:r>
      <w:r w:rsidRPr="00FB4E2D">
        <w:rPr>
          <w:rFonts w:ascii="Times New Roman" w:eastAsia="Calibri" w:hAnsi="Times New Roman" w:cs="Times New Roman"/>
          <w:i/>
          <w:noProof/>
          <w:color w:val="000000"/>
          <w:kern w:val="0"/>
          <w:sz w:val="20"/>
          <w:szCs w:val="20"/>
          <w:lang w:eastAsia="en-GB"/>
          <w14:ligatures w14:val="none"/>
        </w:rPr>
        <w:t xml:space="preserve"> less than EUR 30 200. </w:t>
      </w:r>
      <w:r w:rsidRPr="00FB4E2D">
        <w:rPr>
          <w:rFonts w:ascii="Times New Roman" w:eastAsia="Calibri" w:hAnsi="Times New Roman" w:cs="Times New Roman"/>
          <w:b/>
          <w:i/>
          <w:noProof/>
          <w:color w:val="000000"/>
          <w:kern w:val="0"/>
          <w:sz w:val="20"/>
          <w:szCs w:val="20"/>
          <w:lang w:eastAsia="en-GB"/>
          <w14:ligatures w14:val="none"/>
        </w:rPr>
        <w:t>SE</w:t>
      </w:r>
      <w:r w:rsidRPr="00FB4E2D">
        <w:rPr>
          <w:rFonts w:ascii="Times New Roman" w:eastAsia="Calibri" w:hAnsi="Times New Roman" w:cs="Times New Roman"/>
          <w:i/>
          <w:noProof/>
          <w:color w:val="000000"/>
          <w:kern w:val="0"/>
          <w:sz w:val="20"/>
          <w:szCs w:val="20"/>
          <w:lang w:eastAsia="en-GB"/>
          <w14:ligatures w14:val="none"/>
        </w:rPr>
        <w:t>:</w:t>
      </w:r>
      <w:r w:rsidRPr="00FB4E2D">
        <w:rPr>
          <w:rFonts w:ascii="Calibri" w:eastAsia="Yu Mincho" w:hAnsi="Calibri" w:cs="Arial"/>
          <w:noProof/>
          <w:kern w:val="0"/>
          <w:sz w:val="22"/>
          <w:szCs w:val="22"/>
          <w14:ligatures w14:val="none"/>
        </w:rPr>
        <w:t xml:space="preserve"> </w:t>
      </w:r>
      <w:r w:rsidRPr="00FB4E2D">
        <w:rPr>
          <w:rFonts w:ascii="Times New Roman" w:eastAsia="Calibri" w:hAnsi="Times New Roman" w:cs="Times New Roman"/>
          <w:i/>
          <w:noProof/>
          <w:color w:val="000000"/>
          <w:kern w:val="0"/>
          <w:sz w:val="20"/>
          <w:szCs w:val="20"/>
          <w:lang w:eastAsia="en-GB"/>
          <w14:ligatures w14:val="none"/>
        </w:rPr>
        <w:t>The court fee applies if the value of the claim exceeds EUR 2 673.</w:t>
      </w:r>
      <w:r w:rsidRPr="00FB4E2D">
        <w:rPr>
          <w:rFonts w:ascii="Calibri" w:eastAsia="Yu Mincho" w:hAnsi="Calibri" w:cs="Calibri"/>
          <w:noProof/>
          <w:color w:val="000000"/>
          <w:kern w:val="0"/>
          <w:sz w:val="22"/>
          <w:szCs w:val="22"/>
          <w:shd w:val="clear" w:color="auto" w:fill="FFFFFF"/>
          <w14:ligatures w14:val="none"/>
        </w:rPr>
        <w:t xml:space="preserve"> </w:t>
      </w:r>
      <w:r w:rsidRPr="00FB4E2D">
        <w:rPr>
          <w:rFonts w:ascii="Times New Roman" w:eastAsia="Calibri" w:hAnsi="Times New Roman" w:cs="Times New Roman"/>
          <w:b/>
          <w:bCs/>
          <w:i/>
          <w:noProof/>
          <w:color w:val="000000"/>
          <w:kern w:val="0"/>
          <w:sz w:val="20"/>
          <w:szCs w:val="20"/>
          <w:lang w:eastAsia="en-GB"/>
          <w14:ligatures w14:val="none"/>
        </w:rPr>
        <w:t>LV</w:t>
      </w:r>
      <w:r w:rsidRPr="00FB4E2D">
        <w:rPr>
          <w:rFonts w:ascii="Times New Roman" w:eastAsia="Calibri" w:hAnsi="Times New Roman" w:cs="Times New Roman"/>
          <w:i/>
          <w:noProof/>
          <w:color w:val="000000"/>
          <w:kern w:val="0"/>
          <w:sz w:val="20"/>
          <w:szCs w:val="20"/>
          <w:lang w:eastAsia="en-GB"/>
          <w14:ligatures w14:val="none"/>
        </w:rPr>
        <w:t>: Court fee calculated for a claim of up to EUR 1000.</w:t>
      </w:r>
    </w:p>
    <w:p w14:paraId="52E6BA5C" w14:textId="77777777" w:rsidR="00A02C07" w:rsidRPr="00FB4E2D" w:rsidRDefault="00A02C07" w:rsidP="00A02C07">
      <w:pPr>
        <w:spacing w:line="259" w:lineRule="auto"/>
        <w:rPr>
          <w:rFonts w:ascii="Times New Roman" w:eastAsia="Calibri" w:hAnsi="Times New Roman" w:cs="Times New Roman"/>
          <w:noProof/>
          <w:spacing w:val="-6"/>
          <w:kern w:val="0"/>
          <w14:ligatures w14:val="none"/>
        </w:rPr>
      </w:pPr>
      <w:r w:rsidRPr="00FB4E2D">
        <w:rPr>
          <w:rFonts w:ascii="Times New Roman" w:eastAsia="Calibri" w:hAnsi="Times New Roman" w:cs="Times New Roman"/>
          <w:noProof/>
          <w:spacing w:val="-6"/>
          <w:kern w:val="0"/>
          <w14:ligatures w14:val="none"/>
        </w:rPr>
        <w:br w:type="page"/>
      </w:r>
    </w:p>
    <w:p w14:paraId="78883542" w14:textId="77777777" w:rsidR="00A02C07" w:rsidRPr="00FB4E2D" w:rsidRDefault="00A02C07" w:rsidP="00A02C07">
      <w:pPr>
        <w:spacing w:before="240" w:after="120" w:line="240" w:lineRule="auto"/>
        <w:jc w:val="both"/>
        <w:rPr>
          <w:rFonts w:ascii="Times New Roman" w:eastAsia="Calibri" w:hAnsi="Times New Roman" w:cs="Times New Roman"/>
          <w:noProof/>
          <w:spacing w:val="-6"/>
          <w:kern w:val="0"/>
          <w14:ligatures w14:val="none"/>
        </w:rPr>
      </w:pPr>
      <w:r w:rsidRPr="00FB4E2D">
        <w:rPr>
          <w:rFonts w:ascii="Times New Roman" w:eastAsia="Calibri" w:hAnsi="Times New Roman" w:cs="Times New Roman"/>
          <w:noProof/>
          <w:spacing w:val="-6"/>
          <w:kern w:val="0"/>
          <w14:ligatures w14:val="none"/>
        </w:rPr>
        <w:t>Figure 24 presents the rate of legal aid paid to criminal defence lawyers in a specific criminal case based on a case study (</w:t>
      </w:r>
      <w:r w:rsidRPr="00FB4E2D">
        <w:rPr>
          <w:rFonts w:ascii="Times New Roman" w:eastAsia="Calibri" w:hAnsi="Times New Roman" w:cs="Times New Roman"/>
          <w:noProof/>
          <w:color w:val="000000"/>
          <w:kern w:val="0"/>
          <w:vertAlign w:val="superscript"/>
          <w:lang w:eastAsia="en-GB"/>
          <w14:ligatures w14:val="none"/>
        </w:rPr>
        <w:footnoteReference w:id="72"/>
      </w:r>
      <w:r w:rsidRPr="00FB4E2D">
        <w:rPr>
          <w:rFonts w:ascii="Times New Roman" w:eastAsia="Calibri" w:hAnsi="Times New Roman" w:cs="Times New Roman"/>
          <w:noProof/>
          <w:spacing w:val="-6"/>
          <w:kern w:val="0"/>
          <w14:ligatures w14:val="none"/>
        </w:rPr>
        <w:t xml:space="preserve">). Respondents have </w:t>
      </w:r>
      <w:r w:rsidRPr="00FB4E2D">
        <w:rPr>
          <w:rFonts w:ascii="Times New Roman" w:eastAsia="Calibri" w:hAnsi="Times New Roman" w:cs="Times New Roman"/>
          <w:noProof/>
          <w:kern w:val="0"/>
          <w14:ligatures w14:val="none"/>
        </w:rPr>
        <w:t xml:space="preserve">indicated </w:t>
      </w:r>
      <w:r w:rsidRPr="00FB4E2D">
        <w:rPr>
          <w:rFonts w:ascii="Times New Roman" w:eastAsia="Calibri" w:hAnsi="Times New Roman" w:cs="Times New Roman"/>
          <w:noProof/>
          <w:spacing w:val="-6"/>
          <w:kern w:val="0"/>
          <w14:ligatures w14:val="none"/>
        </w:rPr>
        <w:t xml:space="preserve">how much lawyers would </w:t>
      </w:r>
      <w:r w:rsidRPr="00FB4E2D">
        <w:rPr>
          <w:rFonts w:ascii="Times New Roman" w:eastAsia="Calibri" w:hAnsi="Times New Roman" w:cs="Times New Roman"/>
          <w:noProof/>
          <w:kern w:val="0"/>
          <w14:ligatures w14:val="none"/>
        </w:rPr>
        <w:t>be</w:t>
      </w:r>
      <w:r w:rsidRPr="00FB4E2D">
        <w:rPr>
          <w:rFonts w:ascii="Times New Roman" w:eastAsia="Calibri" w:hAnsi="Times New Roman" w:cs="Times New Roman"/>
          <w:noProof/>
          <w:spacing w:val="-6"/>
          <w:kern w:val="0"/>
          <w14:ligatures w14:val="none"/>
        </w:rPr>
        <w:t xml:space="preserve"> paid from the public budget in the fictional scenario</w:t>
      </w:r>
      <w:r w:rsidRPr="00FB4E2D">
        <w:rPr>
          <w:rFonts w:ascii="Times New Roman" w:eastAsia="Calibri" w:hAnsi="Times New Roman" w:cs="Times New Roman"/>
          <w:noProof/>
          <w:kern w:val="0"/>
          <w14:ligatures w14:val="none"/>
        </w:rPr>
        <w:t xml:space="preserve"> described</w:t>
      </w:r>
      <w:r w:rsidRPr="00FB4E2D">
        <w:rPr>
          <w:rFonts w:ascii="Times New Roman" w:eastAsia="Calibri" w:hAnsi="Times New Roman" w:cs="Times New Roman"/>
          <w:noProof/>
          <w:spacing w:val="-6"/>
          <w:kern w:val="0"/>
          <w14:ligatures w14:val="none"/>
        </w:rPr>
        <w:t>.</w:t>
      </w:r>
    </w:p>
    <w:p w14:paraId="1C701D04" w14:textId="77777777" w:rsidR="00A02C07" w:rsidRPr="00FB4E2D" w:rsidRDefault="00A02C07" w:rsidP="00A02C07">
      <w:pPr>
        <w:spacing w:before="240" w:after="12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Rate of legal aid paid to criminal defence lawyers</w:t>
      </w:r>
      <w:r w:rsidRPr="00FB4E2D">
        <w:rPr>
          <w:rFonts w:ascii="Times New Roman" w:eastAsia="Calibri" w:hAnsi="Times New Roman" w:cs="Times New Roman"/>
          <w:b/>
          <w:noProof/>
          <w:kern w:val="0"/>
          <w14:ligatures w14:val="none"/>
        </w:rPr>
        <w:t xml:space="preserve"> in a specific criminal case, 2025 </w:t>
      </w:r>
      <w:r w:rsidRPr="00FB4E2D">
        <w:rPr>
          <w:rFonts w:ascii="Times New Roman" w:eastAsia="Calibri" w:hAnsi="Times New Roman" w:cs="Times New Roman"/>
          <w:i/>
          <w:noProof/>
          <w:kern w:val="0"/>
          <w14:ligatures w14:val="none"/>
        </w:rPr>
        <w:t>(*) (source: European Commission with the Council of Bar and Law Societies in Europe (CCBE) (</w:t>
      </w:r>
      <w:r w:rsidRPr="00FB4E2D">
        <w:rPr>
          <w:rFonts w:ascii="Times New Roman" w:eastAsia="Calibri" w:hAnsi="Times New Roman" w:cs="Times New Roman"/>
          <w:i/>
          <w:noProof/>
          <w:kern w:val="0"/>
          <w:vertAlign w:val="superscript"/>
          <w14:ligatures w14:val="none"/>
        </w:rPr>
        <w:footnoteReference w:id="73"/>
      </w:r>
      <w:r w:rsidRPr="00FB4E2D">
        <w:rPr>
          <w:rFonts w:ascii="Times New Roman" w:eastAsia="Calibri" w:hAnsi="Times New Roman" w:cs="Times New Roman"/>
          <w:i/>
          <w:noProof/>
          <w:kern w:val="0"/>
          <w14:ligatures w14:val="none"/>
        </w:rPr>
        <w:t>))</w:t>
      </w:r>
    </w:p>
    <w:p w14:paraId="5EC6AFA1" w14:textId="3989D22F" w:rsidR="000433F7" w:rsidRPr="00FB4E2D" w:rsidRDefault="00A02C07" w:rsidP="00067E4B">
      <w:pPr>
        <w:spacing w:after="0" w:line="240" w:lineRule="auto"/>
        <w:jc w:val="both"/>
        <w:rPr>
          <w:rFonts w:ascii="Times New Roman" w:eastAsia="Calibri" w:hAnsi="Times New Roman" w:cs="Times New Roman"/>
          <w:i/>
          <w:noProof/>
          <w:color w:val="000000"/>
          <w:kern w:val="0"/>
          <w:sz w:val="20"/>
          <w:szCs w:val="20"/>
          <w:lang w:eastAsia="en-GB"/>
          <w14:ligatures w14:val="none"/>
        </w:rPr>
      </w:pPr>
      <w:r w:rsidRPr="00FB4E2D">
        <w:rPr>
          <w:rFonts w:ascii="Times New Roman" w:eastAsia="Calibri" w:hAnsi="Times New Roman" w:cs="Times New Roman"/>
          <w:b/>
          <w:noProof/>
          <w:kern w:val="0"/>
          <w:lang w:val="en-GB" w:eastAsia="en-GB"/>
          <w14:ligatures w14:val="none"/>
        </w:rPr>
        <w:drawing>
          <wp:inline distT="0" distB="0" distL="0" distR="0" wp14:anchorId="4013A819" wp14:editId="5C281BE0">
            <wp:extent cx="5760000" cy="2342943"/>
            <wp:effectExtent l="0" t="0" r="0" b="635"/>
            <wp:docPr id="1128420669" name="Picture 23"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420669" name="Picture 23" descr="A graph of a bar chart&#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60000" cy="2342943"/>
                    </a:xfrm>
                    <a:prstGeom prst="rect">
                      <a:avLst/>
                    </a:prstGeom>
                    <a:noFill/>
                  </pic:spPr>
                </pic:pic>
              </a:graphicData>
            </a:graphic>
          </wp:inline>
        </w:drawing>
      </w:r>
      <w:r w:rsidRPr="00FB4E2D">
        <w:rPr>
          <w:rFonts w:ascii="Times New Roman" w:eastAsia="Calibri" w:hAnsi="Times New Roman" w:cs="Times New Roman"/>
          <w:i/>
          <w:noProof/>
          <w:color w:val="000000"/>
          <w:kern w:val="0"/>
          <w:sz w:val="20"/>
          <w:szCs w:val="20"/>
          <w:lang w:eastAsia="en-GB"/>
          <w14:ligatures w14:val="none"/>
        </w:rPr>
        <w:t xml:space="preserve">(*) The data are gathered </w:t>
      </w:r>
      <w:r w:rsidRPr="00FB4E2D">
        <w:rPr>
          <w:rFonts w:ascii="Times New Roman" w:eastAsia="Calibri" w:hAnsi="Times New Roman" w:cs="Times New Roman"/>
          <w:i/>
          <w:noProof/>
          <w:color w:val="000000"/>
          <w:kern w:val="0"/>
          <w:sz w:val="20"/>
          <w:szCs w:val="22"/>
          <w:lang w:eastAsia="en-GB"/>
          <w14:ligatures w14:val="none"/>
        </w:rPr>
        <w:t>based on a specific case study. The amounts are all in EUR, and where needed they were converted from national currencies</w:t>
      </w:r>
      <w:r w:rsidRPr="00FB4E2D">
        <w:rPr>
          <w:rFonts w:ascii="Times New Roman" w:eastAsia="Calibri" w:hAnsi="Times New Roman" w:cs="Times New Roman"/>
          <w:i/>
          <w:noProof/>
          <w:color w:val="000000"/>
          <w:kern w:val="0"/>
          <w:sz w:val="20"/>
          <w:szCs w:val="22"/>
          <w:vertAlign w:val="superscript"/>
          <w:lang w:eastAsia="en-GB"/>
          <w14:ligatures w14:val="none"/>
        </w:rPr>
        <w:footnoteReference w:id="74"/>
      </w:r>
      <w:r w:rsidRPr="00FB4E2D">
        <w:rPr>
          <w:rFonts w:ascii="Times New Roman" w:eastAsia="Calibri" w:hAnsi="Times New Roman" w:cs="Times New Roman"/>
          <w:i/>
          <w:noProof/>
          <w:color w:val="000000"/>
          <w:kern w:val="0"/>
          <w:sz w:val="20"/>
          <w:szCs w:val="22"/>
          <w:lang w:eastAsia="en-GB"/>
          <w14:ligatures w14:val="none"/>
        </w:rPr>
        <w:t xml:space="preserve">. To take account of the economic differences between Member States the added value of the fee and expense were divided by the comparative price level indices expressed in percentage where the EU average is 100%, DK is 141%. </w:t>
      </w:r>
      <w:r w:rsidRPr="00FB4E2D">
        <w:rPr>
          <w:rFonts w:ascii="Times New Roman" w:eastAsia="Calibri" w:hAnsi="Times New Roman" w:cs="Times New Roman"/>
          <w:i/>
          <w:noProof/>
          <w:color w:val="000000"/>
          <w:kern w:val="0"/>
          <w:sz w:val="20"/>
          <w:szCs w:val="20"/>
          <w:lang w:eastAsia="en-GB"/>
          <w14:ligatures w14:val="none"/>
        </w:rPr>
        <w:t xml:space="preserve">This adjusts the sum of fees </w:t>
      </w:r>
      <w:r w:rsidRPr="00FB4E2D">
        <w:rPr>
          <w:rFonts w:ascii="Times New Roman" w:eastAsia="Calibri" w:hAnsi="Times New Roman" w:cs="Times New Roman"/>
          <w:i/>
          <w:noProof/>
          <w:color w:val="000000"/>
          <w:kern w:val="0"/>
          <w:sz w:val="20"/>
          <w:szCs w:val="22"/>
          <w:lang w:eastAsia="en-GB"/>
          <w14:ligatures w14:val="none"/>
        </w:rPr>
        <w:t xml:space="preserve">and expenses that the lawyers receive. </w:t>
      </w:r>
      <w:r w:rsidR="003D26AE" w:rsidRPr="00FB4E2D">
        <w:rPr>
          <w:rFonts w:ascii="Times New Roman" w:eastAsia="Calibri" w:hAnsi="Times New Roman" w:cs="Times New Roman"/>
          <w:b/>
          <w:bCs/>
          <w:i/>
          <w:noProof/>
          <w:color w:val="000000"/>
          <w:kern w:val="0"/>
          <w:sz w:val="20"/>
          <w:szCs w:val="22"/>
          <w:lang w:eastAsia="en-GB"/>
          <w14:ligatures w14:val="none"/>
        </w:rPr>
        <w:t>IE</w:t>
      </w:r>
      <w:r w:rsidR="003D26AE" w:rsidRPr="00FB4E2D">
        <w:rPr>
          <w:rFonts w:ascii="Times New Roman" w:eastAsia="Calibri" w:hAnsi="Times New Roman" w:cs="Times New Roman"/>
          <w:i/>
          <w:noProof/>
          <w:color w:val="000000"/>
          <w:kern w:val="0"/>
          <w:sz w:val="20"/>
          <w:szCs w:val="22"/>
          <w:lang w:eastAsia="en-GB"/>
          <w14:ligatures w14:val="none"/>
        </w:rPr>
        <w:t xml:space="preserve">: </w:t>
      </w:r>
      <w:r w:rsidR="003D26AE" w:rsidRPr="00FB4E2D">
        <w:rPr>
          <w:rFonts w:ascii="Times New Roman" w:eastAsia="Calibri" w:hAnsi="Times New Roman" w:cs="Times New Roman"/>
          <w:i/>
          <w:noProof/>
          <w:color w:val="000000"/>
          <w:kern w:val="0"/>
          <w:sz w:val="20"/>
          <w:szCs w:val="20"/>
          <w:lang w:eastAsia="en-GB"/>
          <w14:ligatures w14:val="none"/>
        </w:rPr>
        <w:t>In Ireland, legal representation is divided between solicitors and barristers. Under the Legal Aid Scheme, their fees are calculated separately (solicitors have a fixed case fee structure for family law matters, while barristers (Junior or Senior Counsel) have their own case fees and additional allowances for interim or enforcement applications). This distinction is relevant when determining the total claim under the legal aid system. The calculation is based on the Legal Aid Board Schedule of Fees for counsel (barristers) in the Circuit Court, which is the court of jurisdiction for divorce proceedings in Ireland. Solicitors are not paid expenses or outlays, barristers receive driving expenses.</w:t>
      </w:r>
      <w:r w:rsidR="00770F38">
        <w:rPr>
          <w:rFonts w:ascii="Times New Roman" w:eastAsia="Calibri" w:hAnsi="Times New Roman" w:cs="Times New Roman"/>
          <w:i/>
          <w:noProof/>
          <w:color w:val="000000"/>
          <w:kern w:val="0"/>
          <w:sz w:val="20"/>
          <w:szCs w:val="20"/>
          <w:lang w:eastAsia="en-GB"/>
          <w14:ligatures w14:val="none"/>
        </w:rPr>
        <w:t xml:space="preserve"> </w:t>
      </w:r>
      <w:r w:rsidRPr="00FB4E2D">
        <w:rPr>
          <w:rFonts w:ascii="Times New Roman" w:eastAsia="Calibri" w:hAnsi="Times New Roman" w:cs="Times New Roman"/>
          <w:b/>
          <w:i/>
          <w:noProof/>
          <w:color w:val="000000"/>
          <w:kern w:val="0"/>
          <w:sz w:val="20"/>
          <w:szCs w:val="22"/>
          <w:lang w:eastAsia="en-GB"/>
          <w14:ligatures w14:val="none"/>
        </w:rPr>
        <w:t>AT</w:t>
      </w:r>
      <w:r w:rsidRPr="00FB4E2D">
        <w:rPr>
          <w:rFonts w:ascii="Times New Roman" w:eastAsia="Calibri" w:hAnsi="Times New Roman" w:cs="Times New Roman"/>
          <w:i/>
          <w:noProof/>
          <w:color w:val="000000"/>
          <w:kern w:val="0"/>
          <w:sz w:val="20"/>
          <w:szCs w:val="22"/>
          <w:lang w:eastAsia="en-GB"/>
          <w14:ligatures w14:val="none"/>
        </w:rPr>
        <w:t xml:space="preserve">: The Austrian legal aid system is state funded and based on the solidarity of </w:t>
      </w:r>
      <w:r w:rsidRPr="00FB4E2D">
        <w:rPr>
          <w:rFonts w:ascii="Times New Roman" w:eastAsia="Calibri" w:hAnsi="Times New Roman" w:cs="Times New Roman"/>
          <w:i/>
          <w:noProof/>
          <w:color w:val="000000"/>
          <w:kern w:val="0"/>
          <w:sz w:val="20"/>
          <w:szCs w:val="22"/>
          <w:u w:val="single"/>
          <w:lang w:eastAsia="en-GB"/>
          <w14:ligatures w14:val="none"/>
        </w:rPr>
        <w:t>all</w:t>
      </w:r>
      <w:r w:rsidRPr="00FB4E2D">
        <w:rPr>
          <w:rFonts w:ascii="Times New Roman" w:eastAsia="Calibri" w:hAnsi="Times New Roman" w:cs="Times New Roman"/>
          <w:i/>
          <w:noProof/>
          <w:color w:val="000000"/>
          <w:kern w:val="0"/>
          <w:sz w:val="20"/>
          <w:szCs w:val="22"/>
          <w:lang w:eastAsia="en-GB"/>
          <w14:ligatures w14:val="none"/>
        </w:rPr>
        <w:t xml:space="preserve"> Austrian lawyers who </w:t>
      </w:r>
      <w:r w:rsidRPr="00FB4E2D">
        <w:rPr>
          <w:rFonts w:ascii="Times New Roman" w:eastAsia="Calibri" w:hAnsi="Times New Roman" w:cs="Times New Roman"/>
          <w:i/>
          <w:noProof/>
          <w:color w:val="000000"/>
          <w:kern w:val="0"/>
          <w:sz w:val="20"/>
          <w:szCs w:val="22"/>
          <w:u w:val="single"/>
          <w:lang w:eastAsia="en-GB"/>
          <w14:ligatures w14:val="none"/>
        </w:rPr>
        <w:t>all</w:t>
      </w:r>
      <w:r w:rsidRPr="00FB4E2D">
        <w:rPr>
          <w:rFonts w:ascii="Times New Roman" w:eastAsia="Calibri" w:hAnsi="Times New Roman" w:cs="Times New Roman"/>
          <w:i/>
          <w:noProof/>
          <w:color w:val="000000"/>
          <w:kern w:val="0"/>
          <w:sz w:val="20"/>
          <w:szCs w:val="22"/>
          <w:lang w:eastAsia="en-GB"/>
          <w14:ligatures w14:val="none"/>
        </w:rPr>
        <w:t xml:space="preserve"> participate on </w:t>
      </w:r>
      <w:r w:rsidRPr="00FB4E2D">
        <w:rPr>
          <w:rFonts w:ascii="Times New Roman" w:eastAsia="Calibri" w:hAnsi="Times New Roman" w:cs="Times New Roman"/>
          <w:i/>
          <w:noProof/>
          <w:color w:val="000000"/>
          <w:kern w:val="0"/>
          <w:sz w:val="20"/>
          <w:szCs w:val="20"/>
          <w:lang w:eastAsia="en-GB"/>
          <w14:ligatures w14:val="none"/>
        </w:rPr>
        <w:t>a rotation-based system in the legal aid system. In general, the individual lawyer does not receive any direct remuneration for legal aid services. Instead, the Austrian state pays a yearly lump sum to the Austrian Bar for the total of legal aid services rendered by all lawyers. The Austrian Bar distributes this sum to the regional bars on the basis of the number of registered lawyers who provided legal aid services and on the basis of the number of legal aid cases which were handled by the regional bars. The money is used for the lawyers’ social security and pension scheme, which is not state funded.</w:t>
      </w:r>
      <w:bookmarkStart w:id="306" w:name="_Toc409530226"/>
      <w:bookmarkStart w:id="307" w:name="_Toc438545676"/>
      <w:bookmarkStart w:id="308" w:name="_Toc438548326"/>
      <w:bookmarkStart w:id="309" w:name="_Toc438548512"/>
      <w:bookmarkEnd w:id="302"/>
      <w:bookmarkEnd w:id="303"/>
      <w:bookmarkEnd w:id="304"/>
      <w:bookmarkEnd w:id="305"/>
      <w:r w:rsidRPr="00FB4E2D">
        <w:rPr>
          <w:rFonts w:ascii="Times New Roman" w:eastAsia="Calibri" w:hAnsi="Times New Roman" w:cs="Times New Roman"/>
          <w:i/>
          <w:noProof/>
          <w:color w:val="000000"/>
          <w:kern w:val="0"/>
          <w:sz w:val="20"/>
          <w:szCs w:val="20"/>
          <w:lang w:eastAsia="en-GB"/>
          <w14:ligatures w14:val="none"/>
        </w:rPr>
        <w:t xml:space="preserve"> The legal </w:t>
      </w:r>
      <w:r w:rsidR="001B6692" w:rsidRPr="00FB4E2D">
        <w:rPr>
          <w:rFonts w:ascii="Times New Roman" w:eastAsia="Calibri" w:hAnsi="Times New Roman" w:cs="Times New Roman"/>
          <w:i/>
          <w:noProof/>
          <w:color w:val="000000"/>
          <w:kern w:val="0"/>
          <w:sz w:val="20"/>
          <w:szCs w:val="20"/>
          <w:lang w:eastAsia="en-GB"/>
          <w14:ligatures w14:val="none"/>
        </w:rPr>
        <w:t>aid for access to the services</w:t>
      </w:r>
      <w:r w:rsidRPr="00FB4E2D">
        <w:rPr>
          <w:rFonts w:ascii="Times New Roman" w:eastAsia="Calibri" w:hAnsi="Times New Roman" w:cs="Times New Roman"/>
          <w:i/>
          <w:noProof/>
          <w:color w:val="000000"/>
          <w:kern w:val="0"/>
          <w:sz w:val="20"/>
          <w:szCs w:val="20"/>
          <w:lang w:eastAsia="en-GB"/>
          <w14:ligatures w14:val="none"/>
        </w:rPr>
        <w:t xml:space="preserve"> of each of the professions differs. The figure above presents the maximum that could be charged as a fee under the legal aid scheme in the particular scenario. </w:t>
      </w:r>
      <w:r w:rsidRPr="00FB4E2D">
        <w:rPr>
          <w:rFonts w:ascii="Times New Roman" w:eastAsia="Calibri" w:hAnsi="Times New Roman" w:cs="Times New Roman"/>
          <w:b/>
          <w:i/>
          <w:noProof/>
          <w:color w:val="000000"/>
          <w:kern w:val="0"/>
          <w:sz w:val="20"/>
          <w:szCs w:val="20"/>
          <w:lang w:eastAsia="en-GB"/>
          <w14:ligatures w14:val="none"/>
        </w:rPr>
        <w:t>ES</w:t>
      </w:r>
      <w:r w:rsidRPr="00FB4E2D">
        <w:rPr>
          <w:rFonts w:ascii="Times New Roman" w:eastAsia="Calibri" w:hAnsi="Times New Roman" w:cs="Times New Roman"/>
          <w:i/>
          <w:noProof/>
          <w:color w:val="000000"/>
          <w:kern w:val="0"/>
          <w:sz w:val="20"/>
          <w:szCs w:val="20"/>
          <w:lang w:eastAsia="en-GB"/>
          <w14:ligatures w14:val="none"/>
        </w:rPr>
        <w:t xml:space="preserve">: Fees calculated for free legal aid in Spanish regions that have not been transferred competence for justice matters. The other regions may provide different compensations. </w:t>
      </w:r>
      <w:r w:rsidRPr="00FB4E2D">
        <w:rPr>
          <w:rFonts w:ascii="Times New Roman" w:eastAsia="Calibri" w:hAnsi="Times New Roman" w:cs="Times New Roman"/>
          <w:b/>
          <w:i/>
          <w:noProof/>
          <w:color w:val="000000"/>
          <w:kern w:val="0"/>
          <w:sz w:val="20"/>
          <w:szCs w:val="20"/>
          <w:lang w:eastAsia="en-GB"/>
          <w14:ligatures w14:val="none"/>
        </w:rPr>
        <w:t>RO</w:t>
      </w:r>
      <w:r w:rsidRPr="00FB4E2D">
        <w:rPr>
          <w:rFonts w:ascii="Times New Roman" w:eastAsia="Calibri" w:hAnsi="Times New Roman" w:cs="Times New Roman"/>
          <w:i/>
          <w:noProof/>
          <w:color w:val="000000"/>
          <w:kern w:val="0"/>
          <w:sz w:val="20"/>
          <w:szCs w:val="20"/>
          <w:lang w:eastAsia="en-GB"/>
          <w14:ligatures w14:val="none"/>
        </w:rPr>
        <w:t xml:space="preserve"> and </w:t>
      </w:r>
      <w:r w:rsidRPr="00FB4E2D">
        <w:rPr>
          <w:rFonts w:ascii="Times New Roman" w:eastAsia="Calibri" w:hAnsi="Times New Roman" w:cs="Times New Roman"/>
          <w:b/>
          <w:i/>
          <w:noProof/>
          <w:color w:val="000000"/>
          <w:kern w:val="0"/>
          <w:sz w:val="20"/>
          <w:szCs w:val="20"/>
          <w:lang w:eastAsia="en-GB"/>
          <w14:ligatures w14:val="none"/>
        </w:rPr>
        <w:t>SK</w:t>
      </w:r>
      <w:r w:rsidRPr="00FB4E2D">
        <w:rPr>
          <w:rFonts w:ascii="Times New Roman" w:eastAsia="Calibri" w:hAnsi="Times New Roman" w:cs="Times New Roman"/>
          <w:i/>
          <w:noProof/>
          <w:color w:val="000000"/>
          <w:kern w:val="0"/>
          <w:sz w:val="20"/>
          <w:szCs w:val="20"/>
          <w:lang w:eastAsia="en-GB"/>
          <w14:ligatures w14:val="none"/>
        </w:rPr>
        <w:t>: Reimbursement of expenses requires the submission of receipts, for SK it is capped at EUR 240.</w:t>
      </w:r>
    </w:p>
    <w:p w14:paraId="4362932E" w14:textId="3AB8CE14"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Rate of legal aid paid to lawyers</w:t>
      </w:r>
      <w:r w:rsidRPr="00FB4E2D">
        <w:rPr>
          <w:rFonts w:ascii="Times New Roman" w:eastAsia="Calibri" w:hAnsi="Times New Roman" w:cs="Times New Roman"/>
          <w:b/>
          <w:noProof/>
          <w:kern w:val="0"/>
          <w14:ligatures w14:val="none"/>
        </w:rPr>
        <w:t xml:space="preserve"> in a specific civil case, 2025 </w:t>
      </w:r>
      <w:r w:rsidRPr="00FB4E2D">
        <w:rPr>
          <w:rFonts w:ascii="Times New Roman" w:eastAsia="Calibri" w:hAnsi="Times New Roman" w:cs="Times New Roman"/>
          <w:i/>
          <w:noProof/>
          <w:kern w:val="0"/>
          <w14:ligatures w14:val="none"/>
        </w:rPr>
        <w:t>(*) (source: European Commission with the Council of Bar and Law Societies in Europe (CCBE) (</w:t>
      </w:r>
      <w:r w:rsidRPr="00FB4E2D">
        <w:rPr>
          <w:rFonts w:ascii="Times New Roman" w:eastAsia="Calibri" w:hAnsi="Times New Roman" w:cs="Times New Roman"/>
          <w:i/>
          <w:noProof/>
          <w:kern w:val="0"/>
          <w:vertAlign w:val="superscript"/>
          <w14:ligatures w14:val="none"/>
        </w:rPr>
        <w:footnoteReference w:id="75"/>
      </w:r>
      <w:r w:rsidRPr="00FB4E2D">
        <w:rPr>
          <w:rFonts w:ascii="Times New Roman" w:eastAsia="Calibri" w:hAnsi="Times New Roman" w:cs="Times New Roman"/>
          <w:i/>
          <w:noProof/>
          <w:kern w:val="0"/>
          <w14:ligatures w14:val="none"/>
        </w:rPr>
        <w:t>))</w:t>
      </w:r>
    </w:p>
    <w:p w14:paraId="37B51870" w14:textId="4F0756F6" w:rsidR="00A02C07" w:rsidRPr="00FB4E2D" w:rsidRDefault="00A02C07" w:rsidP="00A02C07">
      <w:pPr>
        <w:spacing w:before="240" w:after="120" w:line="240" w:lineRule="auto"/>
        <w:jc w:val="both"/>
        <w:rPr>
          <w:rFonts w:ascii="Times New Roman" w:eastAsia="Calibri" w:hAnsi="Times New Roman" w:cs="Times New Roman"/>
          <w:i/>
          <w:noProof/>
          <w:color w:val="000000"/>
          <w:kern w:val="0"/>
          <w:sz w:val="20"/>
          <w:szCs w:val="20"/>
          <w:lang w:eastAsia="en-GB"/>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0FABE184" wp14:editId="2BD6DA70">
            <wp:extent cx="5760000" cy="2360387"/>
            <wp:effectExtent l="0" t="0" r="0" b="1905"/>
            <wp:docPr id="1727448276" name="Picture 24" descr="A graph of a graph with green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448276" name="Picture 24" descr="A graph of a graph with green and white bars&#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60000" cy="2360387"/>
                    </a:xfrm>
                    <a:prstGeom prst="rect">
                      <a:avLst/>
                    </a:prstGeom>
                    <a:noFill/>
                  </pic:spPr>
                </pic:pic>
              </a:graphicData>
            </a:graphic>
          </wp:inline>
        </w:drawing>
      </w:r>
      <w:r w:rsidRPr="00FB4E2D">
        <w:rPr>
          <w:rFonts w:ascii="Times New Roman" w:eastAsia="Calibri" w:hAnsi="Times New Roman" w:cs="Times New Roman"/>
          <w:i/>
          <w:noProof/>
          <w:color w:val="000000"/>
          <w:kern w:val="0"/>
          <w:sz w:val="20"/>
          <w:szCs w:val="20"/>
          <w:lang w:eastAsia="en-GB"/>
          <w14:ligatures w14:val="none"/>
        </w:rPr>
        <w:t xml:space="preserve">(*) </w:t>
      </w:r>
      <w:r w:rsidRPr="00FB4E2D">
        <w:rPr>
          <w:rFonts w:ascii="Times New Roman" w:eastAsia="Calibri" w:hAnsi="Times New Roman" w:cs="Times New Roman"/>
          <w:b/>
          <w:i/>
          <w:noProof/>
          <w:color w:val="000000"/>
          <w:kern w:val="0"/>
          <w:sz w:val="20"/>
          <w:szCs w:val="20"/>
          <w:lang w:eastAsia="en-GB"/>
          <w14:ligatures w14:val="none"/>
        </w:rPr>
        <w:t>BG, CY, SE</w:t>
      </w:r>
      <w:r w:rsidRPr="00FB4E2D">
        <w:rPr>
          <w:rFonts w:ascii="Times New Roman" w:eastAsia="Calibri" w:hAnsi="Times New Roman" w:cs="Times New Roman"/>
          <w:i/>
          <w:noProof/>
          <w:color w:val="000000"/>
          <w:kern w:val="0"/>
          <w:sz w:val="20"/>
          <w:szCs w:val="20"/>
          <w:lang w:eastAsia="en-GB"/>
          <w14:ligatures w14:val="none"/>
        </w:rPr>
        <w:t xml:space="preserve">: no legal aid in scenario. </w:t>
      </w:r>
      <w:r w:rsidRPr="00FB4E2D">
        <w:rPr>
          <w:rFonts w:ascii="Times New Roman" w:eastAsia="Calibri" w:hAnsi="Times New Roman" w:cs="Times New Roman"/>
          <w:b/>
          <w:bCs/>
          <w:i/>
          <w:noProof/>
          <w:color w:val="000000"/>
          <w:kern w:val="0"/>
          <w:sz w:val="20"/>
          <w:szCs w:val="20"/>
          <w:lang w:eastAsia="en-GB"/>
          <w14:ligatures w14:val="none"/>
        </w:rPr>
        <w:t>LV, AT, FI</w:t>
      </w:r>
      <w:r w:rsidRPr="00FB4E2D">
        <w:rPr>
          <w:rFonts w:ascii="Times New Roman" w:eastAsia="Calibri" w:hAnsi="Times New Roman" w:cs="Times New Roman"/>
          <w:i/>
          <w:noProof/>
          <w:color w:val="000000"/>
          <w:kern w:val="0"/>
          <w:sz w:val="20"/>
          <w:szCs w:val="20"/>
          <w:lang w:eastAsia="en-GB"/>
          <w14:ligatures w14:val="none"/>
        </w:rPr>
        <w:t xml:space="preserve">: no data provided. </w:t>
      </w:r>
      <w:r w:rsidRPr="00FB4E2D">
        <w:rPr>
          <w:rFonts w:ascii="Times New Roman" w:eastAsia="Calibri" w:hAnsi="Times New Roman" w:cs="Times New Roman"/>
          <w:b/>
          <w:i/>
          <w:noProof/>
          <w:color w:val="000000"/>
          <w:kern w:val="0"/>
          <w:sz w:val="20"/>
          <w:szCs w:val="20"/>
          <w:lang w:eastAsia="en-GB"/>
          <w14:ligatures w14:val="none"/>
        </w:rPr>
        <w:t>DE</w:t>
      </w:r>
      <w:r w:rsidRPr="00FB4E2D">
        <w:rPr>
          <w:rFonts w:ascii="Times New Roman" w:eastAsia="Calibri" w:hAnsi="Times New Roman" w:cs="Times New Roman"/>
          <w:i/>
          <w:noProof/>
          <w:color w:val="000000"/>
          <w:kern w:val="0"/>
          <w:sz w:val="20"/>
          <w:szCs w:val="20"/>
          <w:lang w:eastAsia="en-GB"/>
          <w14:ligatures w14:val="none"/>
        </w:rPr>
        <w:t xml:space="preserve">: the fee is calculated based on a </w:t>
      </w:r>
      <w:r w:rsidR="00785557" w:rsidRPr="00FB4E2D">
        <w:rPr>
          <w:rFonts w:ascii="Times New Roman" w:eastAsia="Calibri" w:hAnsi="Times New Roman" w:cs="Times New Roman"/>
          <w:i/>
          <w:noProof/>
          <w:color w:val="000000"/>
          <w:kern w:val="0"/>
          <w:sz w:val="20"/>
          <w:szCs w:val="20"/>
          <w:lang w:eastAsia="en-GB"/>
          <w14:ligatures w14:val="none"/>
        </w:rPr>
        <w:t>‘</w:t>
      </w:r>
      <w:r w:rsidRPr="00FB4E2D">
        <w:rPr>
          <w:rFonts w:ascii="Times New Roman" w:eastAsia="Calibri" w:hAnsi="Times New Roman" w:cs="Times New Roman"/>
          <w:i/>
          <w:noProof/>
          <w:color w:val="000000"/>
          <w:kern w:val="0"/>
          <w:sz w:val="20"/>
          <w:szCs w:val="20"/>
          <w:lang w:eastAsia="en-GB"/>
          <w14:ligatures w14:val="none"/>
        </w:rPr>
        <w:t>value in dispute</w:t>
      </w:r>
      <w:r w:rsidR="00F83595" w:rsidRPr="00FB4E2D">
        <w:rPr>
          <w:rFonts w:ascii="Times New Roman" w:eastAsia="Calibri" w:hAnsi="Times New Roman" w:cs="Times New Roman"/>
          <w:i/>
          <w:noProof/>
          <w:color w:val="000000"/>
          <w:kern w:val="0"/>
          <w:sz w:val="20"/>
          <w:szCs w:val="20"/>
          <w:lang w:eastAsia="en-GB"/>
          <w14:ligatures w14:val="none"/>
        </w:rPr>
        <w:t>’</w:t>
      </w:r>
      <w:r w:rsidRPr="00FB4E2D">
        <w:rPr>
          <w:rFonts w:ascii="Times New Roman" w:eastAsia="Calibri" w:hAnsi="Times New Roman" w:cs="Times New Roman"/>
          <w:i/>
          <w:noProof/>
          <w:color w:val="000000"/>
          <w:kern w:val="0"/>
          <w:sz w:val="20"/>
          <w:szCs w:val="20"/>
          <w:lang w:eastAsia="en-GB"/>
          <w14:ligatures w14:val="none"/>
        </w:rPr>
        <w:t xml:space="preserve"> of EUR 2 000 net per month. </w:t>
      </w:r>
      <w:r w:rsidRPr="00FB4E2D">
        <w:rPr>
          <w:rFonts w:ascii="Times New Roman" w:eastAsia="Calibri" w:hAnsi="Times New Roman" w:cs="Times New Roman"/>
          <w:b/>
          <w:i/>
          <w:noProof/>
          <w:color w:val="000000"/>
          <w:kern w:val="0"/>
          <w:sz w:val="20"/>
          <w:szCs w:val="20"/>
          <w:lang w:eastAsia="en-GB"/>
          <w14:ligatures w14:val="none"/>
        </w:rPr>
        <w:t>IE</w:t>
      </w:r>
      <w:r w:rsidRPr="00FB4E2D">
        <w:rPr>
          <w:rFonts w:ascii="Times New Roman" w:eastAsia="Calibri" w:hAnsi="Times New Roman" w:cs="Times New Roman"/>
          <w:i/>
          <w:noProof/>
          <w:color w:val="000000"/>
          <w:kern w:val="0"/>
          <w:sz w:val="20"/>
          <w:szCs w:val="20"/>
          <w:lang w:eastAsia="en-GB"/>
          <w14:ligatures w14:val="none"/>
        </w:rPr>
        <w:t xml:space="preserve">: The legal profession is split into barristers and solicitors. The legal aid fees each of the professions are entitled to differs. The figure above represents the sum of the fees charged by one junior solicitor and one junior barrister as counsel fee under the legal aid scheme in the particular scenario. </w:t>
      </w:r>
      <w:r w:rsidRPr="00FB4E2D">
        <w:rPr>
          <w:rFonts w:ascii="Times New Roman" w:eastAsia="Calibri" w:hAnsi="Times New Roman" w:cs="Times New Roman"/>
          <w:b/>
          <w:i/>
          <w:noProof/>
          <w:color w:val="000000"/>
          <w:kern w:val="0"/>
          <w:sz w:val="20"/>
          <w:szCs w:val="20"/>
          <w:lang w:eastAsia="en-GB"/>
          <w14:ligatures w14:val="none"/>
        </w:rPr>
        <w:t>ES</w:t>
      </w:r>
      <w:r w:rsidRPr="00FB4E2D">
        <w:rPr>
          <w:rFonts w:ascii="Times New Roman" w:eastAsia="Calibri" w:hAnsi="Times New Roman" w:cs="Times New Roman"/>
          <w:i/>
          <w:noProof/>
          <w:color w:val="000000"/>
          <w:kern w:val="0"/>
          <w:sz w:val="20"/>
          <w:szCs w:val="20"/>
          <w:lang w:eastAsia="en-GB"/>
          <w14:ligatures w14:val="none"/>
        </w:rPr>
        <w:t>: the fee is calculated without considering the execution of measures after the divorce or the compulsory mediation. Only some regions that have been transferred competence for justice matters</w:t>
      </w:r>
      <w:r w:rsidR="002550CE" w:rsidRPr="00FB4E2D">
        <w:rPr>
          <w:rFonts w:ascii="Times New Roman" w:eastAsia="Calibri" w:hAnsi="Times New Roman" w:cs="Times New Roman"/>
          <w:i/>
          <w:noProof/>
          <w:color w:val="000000"/>
          <w:kern w:val="0"/>
          <w:sz w:val="20"/>
          <w:szCs w:val="20"/>
          <w:lang w:eastAsia="en-GB"/>
          <w14:ligatures w14:val="none"/>
        </w:rPr>
        <w:t xml:space="preserve"> </w:t>
      </w:r>
      <w:r w:rsidRPr="00FB4E2D">
        <w:rPr>
          <w:rFonts w:ascii="Times New Roman" w:eastAsia="Calibri" w:hAnsi="Times New Roman" w:cs="Times New Roman"/>
          <w:i/>
          <w:noProof/>
          <w:color w:val="000000"/>
          <w:kern w:val="0"/>
          <w:sz w:val="20"/>
          <w:szCs w:val="20"/>
          <w:lang w:eastAsia="en-GB"/>
          <w14:ligatures w14:val="none"/>
        </w:rPr>
        <w:t xml:space="preserve">cover them. </w:t>
      </w:r>
      <w:r w:rsidRPr="00FB4E2D">
        <w:rPr>
          <w:rFonts w:ascii="Times New Roman" w:eastAsia="Calibri" w:hAnsi="Times New Roman" w:cs="Times New Roman"/>
          <w:b/>
          <w:i/>
          <w:noProof/>
          <w:color w:val="000000"/>
          <w:kern w:val="0"/>
          <w:sz w:val="20"/>
          <w:szCs w:val="20"/>
          <w:lang w:eastAsia="en-GB"/>
          <w14:ligatures w14:val="none"/>
        </w:rPr>
        <w:t>RO, SK</w:t>
      </w:r>
      <w:r w:rsidRPr="00FB4E2D">
        <w:rPr>
          <w:rFonts w:ascii="Times New Roman" w:eastAsia="Calibri" w:hAnsi="Times New Roman" w:cs="Times New Roman"/>
          <w:i/>
          <w:noProof/>
          <w:color w:val="000000"/>
          <w:kern w:val="0"/>
          <w:sz w:val="20"/>
          <w:szCs w:val="20"/>
          <w:lang w:eastAsia="en-GB"/>
          <w14:ligatures w14:val="none"/>
        </w:rPr>
        <w:t>: Reimbursement of expenses requires the submission of receipts, for SK capped at</w:t>
      </w:r>
      <w:r w:rsidR="00566A7F" w:rsidRPr="00FB4E2D">
        <w:rPr>
          <w:rFonts w:ascii="Times New Roman" w:eastAsia="Calibri" w:hAnsi="Times New Roman" w:cs="Times New Roman"/>
          <w:i/>
          <w:noProof/>
          <w:color w:val="000000"/>
          <w:kern w:val="0"/>
          <w:sz w:val="20"/>
          <w:szCs w:val="20"/>
          <w:lang w:eastAsia="en-GB"/>
          <w14:ligatures w14:val="none"/>
        </w:rPr>
        <w:t xml:space="preserve"> EUR</w:t>
      </w:r>
      <w:r w:rsidRPr="00FB4E2D">
        <w:rPr>
          <w:rFonts w:ascii="Times New Roman" w:eastAsia="Calibri" w:hAnsi="Times New Roman" w:cs="Times New Roman"/>
          <w:i/>
          <w:noProof/>
          <w:color w:val="000000"/>
          <w:kern w:val="0"/>
          <w:sz w:val="20"/>
          <w:szCs w:val="20"/>
          <w:lang w:eastAsia="en-GB"/>
          <w14:ligatures w14:val="none"/>
        </w:rPr>
        <w:t xml:space="preserve"> 250. </w:t>
      </w:r>
      <w:r w:rsidRPr="00FB4E2D">
        <w:rPr>
          <w:rFonts w:ascii="Times New Roman" w:eastAsia="Calibri" w:hAnsi="Times New Roman" w:cs="Times New Roman"/>
          <w:b/>
          <w:i/>
          <w:noProof/>
          <w:color w:val="000000"/>
          <w:kern w:val="0"/>
          <w:sz w:val="20"/>
          <w:szCs w:val="20"/>
          <w:lang w:eastAsia="en-GB"/>
          <w14:ligatures w14:val="none"/>
        </w:rPr>
        <w:t>CZ</w:t>
      </w:r>
      <w:r w:rsidRPr="00FB4E2D">
        <w:rPr>
          <w:rFonts w:ascii="Times New Roman" w:eastAsia="Calibri" w:hAnsi="Times New Roman" w:cs="Times New Roman"/>
          <w:i/>
          <w:noProof/>
          <w:color w:val="000000"/>
          <w:kern w:val="0"/>
          <w:sz w:val="20"/>
          <w:szCs w:val="20"/>
          <w:lang w:eastAsia="en-GB"/>
          <w14:ligatures w14:val="none"/>
        </w:rPr>
        <w:t xml:space="preserve">: According to § 30 of Act No. 99/1963 Coll., Civil Procedure Code, the court can appoint a representative at the request of a court hearing participant who meets the conditions for being exempted from court fees by the court, if this is absolutely necessary to protect </w:t>
      </w:r>
      <w:r w:rsidR="009A69CF" w:rsidRPr="00FB4E2D">
        <w:rPr>
          <w:rFonts w:ascii="Times New Roman" w:eastAsia="Calibri" w:hAnsi="Times New Roman" w:cs="Times New Roman"/>
          <w:i/>
          <w:noProof/>
          <w:color w:val="000000"/>
          <w:kern w:val="0"/>
          <w:sz w:val="20"/>
          <w:szCs w:val="20"/>
          <w:lang w:eastAsia="en-GB"/>
          <w14:ligatures w14:val="none"/>
        </w:rPr>
        <w:t>their</w:t>
      </w:r>
      <w:r w:rsidRPr="00FB4E2D">
        <w:rPr>
          <w:rFonts w:ascii="Times New Roman" w:eastAsia="Calibri" w:hAnsi="Times New Roman" w:cs="Times New Roman"/>
          <w:i/>
          <w:noProof/>
          <w:color w:val="000000"/>
          <w:kern w:val="0"/>
          <w:sz w:val="20"/>
          <w:szCs w:val="20"/>
          <w:lang w:eastAsia="en-GB"/>
          <w14:ligatures w14:val="none"/>
        </w:rPr>
        <w:t xml:space="preserve"> interests. If it is required to protect the interests of the participant or if it concerns the appointment of a representative for proceedings in which representation by an attorney (notary) is mandatory, the court appoint</w:t>
      </w:r>
      <w:r w:rsidR="0038441B" w:rsidRPr="00FB4E2D">
        <w:rPr>
          <w:rFonts w:ascii="Times New Roman" w:eastAsia="Calibri" w:hAnsi="Times New Roman" w:cs="Times New Roman"/>
          <w:i/>
          <w:noProof/>
          <w:color w:val="000000"/>
          <w:kern w:val="0"/>
          <w:sz w:val="20"/>
          <w:szCs w:val="20"/>
          <w:lang w:eastAsia="en-GB"/>
          <w14:ligatures w14:val="none"/>
        </w:rPr>
        <w:t>s</w:t>
      </w:r>
      <w:r w:rsidRPr="00FB4E2D">
        <w:rPr>
          <w:rFonts w:ascii="Times New Roman" w:eastAsia="Calibri" w:hAnsi="Times New Roman" w:cs="Times New Roman"/>
          <w:i/>
          <w:noProof/>
          <w:color w:val="000000"/>
          <w:kern w:val="0"/>
          <w:sz w:val="20"/>
          <w:szCs w:val="20"/>
          <w:lang w:eastAsia="en-GB"/>
          <w14:ligatures w14:val="none"/>
        </w:rPr>
        <w:t xml:space="preserve"> a representative from among the attorneys. </w:t>
      </w:r>
      <w:r w:rsidR="009A69CF" w:rsidRPr="00FB4E2D">
        <w:rPr>
          <w:rFonts w:ascii="Times New Roman" w:eastAsia="Calibri" w:hAnsi="Times New Roman" w:cs="Times New Roman"/>
          <w:i/>
          <w:noProof/>
          <w:color w:val="000000"/>
          <w:kern w:val="0"/>
          <w:sz w:val="20"/>
          <w:szCs w:val="20"/>
          <w:lang w:eastAsia="en-GB"/>
          <w14:ligatures w14:val="none"/>
        </w:rPr>
        <w:t>For</w:t>
      </w:r>
      <w:r w:rsidRPr="00FB4E2D">
        <w:rPr>
          <w:rFonts w:ascii="Times New Roman" w:eastAsia="Calibri" w:hAnsi="Times New Roman" w:cs="Times New Roman"/>
          <w:i/>
          <w:noProof/>
          <w:color w:val="000000"/>
          <w:kern w:val="0"/>
          <w:sz w:val="20"/>
          <w:szCs w:val="20"/>
          <w:lang w:eastAsia="en-GB"/>
          <w14:ligatures w14:val="none"/>
        </w:rPr>
        <w:t xml:space="preserve"> a lawyer (an attorney) appointed by the court for divorce proceedings, the fee for one legal act, according to </w:t>
      </w:r>
      <w:r w:rsidR="009B5E26" w:rsidRPr="00FB4E2D">
        <w:rPr>
          <w:rFonts w:ascii="Times New Roman" w:eastAsia="Calibri" w:hAnsi="Times New Roman" w:cs="Times New Roman"/>
          <w:i/>
          <w:noProof/>
          <w:color w:val="000000"/>
          <w:kern w:val="0"/>
          <w:sz w:val="20"/>
          <w:szCs w:val="20"/>
          <w:lang w:eastAsia="en-GB"/>
          <w14:ligatures w14:val="none"/>
        </w:rPr>
        <w:t xml:space="preserve">the </w:t>
      </w:r>
      <w:r w:rsidRPr="00FB4E2D">
        <w:rPr>
          <w:rFonts w:ascii="Times New Roman" w:eastAsia="Calibri" w:hAnsi="Times New Roman" w:cs="Times New Roman"/>
          <w:i/>
          <w:noProof/>
          <w:color w:val="000000"/>
          <w:kern w:val="0"/>
          <w:sz w:val="20"/>
          <w:szCs w:val="20"/>
          <w:lang w:eastAsia="en-GB"/>
          <w14:ligatures w14:val="none"/>
        </w:rPr>
        <w:t>law, is EUR 95, plus additional administrative expenditures fee of EUR 18</w:t>
      </w:r>
      <w:r w:rsidR="009B5E26" w:rsidRPr="00FB4E2D">
        <w:rPr>
          <w:rFonts w:ascii="Times New Roman" w:eastAsia="Calibri" w:hAnsi="Times New Roman" w:cs="Times New Roman"/>
          <w:i/>
          <w:noProof/>
          <w:color w:val="000000"/>
          <w:kern w:val="0"/>
          <w:sz w:val="20"/>
          <w:szCs w:val="20"/>
          <w:lang w:eastAsia="en-GB"/>
          <w14:ligatures w14:val="none"/>
        </w:rPr>
        <w:t>.</w:t>
      </w:r>
      <w:r w:rsidRPr="00FB4E2D">
        <w:rPr>
          <w:rFonts w:ascii="Times New Roman" w:eastAsia="Calibri" w:hAnsi="Times New Roman" w:cs="Times New Roman"/>
          <w:i/>
          <w:noProof/>
          <w:color w:val="000000"/>
          <w:kern w:val="0"/>
          <w:sz w:val="20"/>
          <w:szCs w:val="20"/>
          <w:lang w:eastAsia="en-GB"/>
          <w14:ligatures w14:val="none"/>
        </w:rPr>
        <w:t>60 for each legal act performed. The lawyer made</w:t>
      </w:r>
      <w:r w:rsidR="009A69CF" w:rsidRPr="00FB4E2D">
        <w:rPr>
          <w:rFonts w:ascii="Times New Roman" w:eastAsia="Calibri" w:hAnsi="Times New Roman" w:cs="Times New Roman"/>
          <w:i/>
          <w:noProof/>
          <w:color w:val="000000"/>
          <w:kern w:val="0"/>
          <w:sz w:val="20"/>
          <w:szCs w:val="20"/>
          <w:lang w:eastAsia="en-GB"/>
          <w14:ligatures w14:val="none"/>
        </w:rPr>
        <w:t xml:space="preserve"> </w:t>
      </w:r>
      <w:r w:rsidR="00BB10EA" w:rsidRPr="00FB4E2D">
        <w:rPr>
          <w:rFonts w:ascii="Times New Roman" w:eastAsia="Calibri" w:hAnsi="Times New Roman" w:cs="Times New Roman"/>
          <w:i/>
          <w:noProof/>
          <w:color w:val="000000"/>
          <w:kern w:val="0"/>
          <w:sz w:val="20"/>
          <w:szCs w:val="20"/>
          <w:lang w:eastAsia="en-GB"/>
          <w14:ligatures w14:val="none"/>
        </w:rPr>
        <w:t>six legal</w:t>
      </w:r>
      <w:r w:rsidRPr="00FB4E2D">
        <w:rPr>
          <w:rFonts w:ascii="Times New Roman" w:eastAsia="Calibri" w:hAnsi="Times New Roman" w:cs="Times New Roman"/>
          <w:i/>
          <w:noProof/>
          <w:color w:val="000000"/>
          <w:kern w:val="0"/>
          <w:sz w:val="20"/>
          <w:szCs w:val="20"/>
          <w:lang w:eastAsia="en-GB"/>
          <w14:ligatures w14:val="none"/>
        </w:rPr>
        <w:t xml:space="preserve"> acts: 1) </w:t>
      </w:r>
      <w:r w:rsidR="009A69CF" w:rsidRPr="00FB4E2D">
        <w:rPr>
          <w:rFonts w:ascii="Times New Roman" w:eastAsia="Calibri" w:hAnsi="Times New Roman" w:cs="Times New Roman"/>
          <w:i/>
          <w:noProof/>
          <w:color w:val="000000"/>
          <w:kern w:val="0"/>
          <w:sz w:val="20"/>
          <w:szCs w:val="20"/>
          <w:lang w:eastAsia="en-GB"/>
          <w14:ligatures w14:val="none"/>
        </w:rPr>
        <w:t>acceptance</w:t>
      </w:r>
      <w:r w:rsidRPr="00FB4E2D">
        <w:rPr>
          <w:rFonts w:ascii="Times New Roman" w:eastAsia="Calibri" w:hAnsi="Times New Roman" w:cs="Times New Roman"/>
          <w:i/>
          <w:noProof/>
          <w:color w:val="000000"/>
          <w:kern w:val="0"/>
          <w:sz w:val="20"/>
          <w:szCs w:val="20"/>
          <w:lang w:eastAsia="en-GB"/>
          <w14:ligatures w14:val="none"/>
        </w:rPr>
        <w:t xml:space="preserve"> of representation and advising client, 2) drafting and filing divorce petition, 3-4) attending court hearings, 5) drafting and filing an enforcement claim and 6) attending enforcement court hearing. The rest of the acts above remain unpaid. The travelling expenses for each half hour, even if only begun, are EUR 6</w:t>
      </w:r>
      <w:r w:rsidR="009B5E26" w:rsidRPr="00FB4E2D">
        <w:rPr>
          <w:rFonts w:ascii="Times New Roman" w:eastAsia="Calibri" w:hAnsi="Times New Roman" w:cs="Times New Roman"/>
          <w:i/>
          <w:noProof/>
          <w:color w:val="000000"/>
          <w:kern w:val="0"/>
          <w:sz w:val="20"/>
          <w:szCs w:val="20"/>
          <w:lang w:eastAsia="en-GB"/>
          <w14:ligatures w14:val="none"/>
        </w:rPr>
        <w:t>.</w:t>
      </w:r>
      <w:r w:rsidRPr="00FB4E2D">
        <w:rPr>
          <w:rFonts w:ascii="Times New Roman" w:eastAsia="Calibri" w:hAnsi="Times New Roman" w:cs="Times New Roman"/>
          <w:i/>
          <w:noProof/>
          <w:color w:val="000000"/>
          <w:kern w:val="0"/>
          <w:sz w:val="20"/>
          <w:szCs w:val="20"/>
          <w:lang w:eastAsia="en-GB"/>
          <w14:ligatures w14:val="none"/>
        </w:rPr>
        <w:t xml:space="preserve">20, provided the lawyer travels to a place that is not in </w:t>
      </w:r>
      <w:r w:rsidR="00296EFA" w:rsidRPr="00FB4E2D">
        <w:rPr>
          <w:rFonts w:ascii="Times New Roman" w:eastAsia="Calibri" w:hAnsi="Times New Roman" w:cs="Times New Roman"/>
          <w:i/>
          <w:noProof/>
          <w:color w:val="000000"/>
          <w:kern w:val="0"/>
          <w:sz w:val="20"/>
          <w:szCs w:val="20"/>
          <w:lang w:eastAsia="en-GB"/>
          <w14:ligatures w14:val="none"/>
        </w:rPr>
        <w:t xml:space="preserve">the </w:t>
      </w:r>
      <w:r w:rsidRPr="00FB4E2D">
        <w:rPr>
          <w:rFonts w:ascii="Times New Roman" w:eastAsia="Calibri" w:hAnsi="Times New Roman" w:cs="Times New Roman"/>
          <w:i/>
          <w:noProof/>
          <w:color w:val="000000"/>
          <w:kern w:val="0"/>
          <w:sz w:val="20"/>
          <w:szCs w:val="20"/>
          <w:lang w:eastAsia="en-GB"/>
          <w14:ligatures w14:val="none"/>
        </w:rPr>
        <w:t xml:space="preserve">city/town of </w:t>
      </w:r>
      <w:r w:rsidR="00296EFA" w:rsidRPr="00FB4E2D">
        <w:rPr>
          <w:rFonts w:ascii="Times New Roman" w:eastAsia="Calibri" w:hAnsi="Times New Roman" w:cs="Times New Roman"/>
          <w:i/>
          <w:noProof/>
          <w:color w:val="000000"/>
          <w:kern w:val="0"/>
          <w:sz w:val="20"/>
          <w:szCs w:val="20"/>
          <w:lang w:eastAsia="en-GB"/>
          <w14:ligatures w14:val="none"/>
        </w:rPr>
        <w:t>their</w:t>
      </w:r>
      <w:r w:rsidRPr="00FB4E2D">
        <w:rPr>
          <w:rFonts w:ascii="Times New Roman" w:eastAsia="Calibri" w:hAnsi="Times New Roman" w:cs="Times New Roman"/>
          <w:i/>
          <w:noProof/>
          <w:color w:val="000000"/>
          <w:kern w:val="0"/>
          <w:sz w:val="20"/>
          <w:szCs w:val="20"/>
          <w:lang w:eastAsia="en-GB"/>
          <w14:ligatures w14:val="none"/>
        </w:rPr>
        <w:t xml:space="preserve"> workplace. However, we cannot calculate the total amount of expenses, because we do not know exact electricity consumption of the electric car. </w:t>
      </w:r>
      <w:r w:rsidRPr="00FB4E2D">
        <w:rPr>
          <w:rFonts w:ascii="Times New Roman" w:eastAsia="Calibri" w:hAnsi="Times New Roman" w:cs="Times New Roman"/>
          <w:b/>
          <w:i/>
          <w:noProof/>
          <w:color w:val="000000"/>
          <w:kern w:val="0"/>
          <w:sz w:val="20"/>
          <w:szCs w:val="20"/>
          <w:lang w:eastAsia="en-GB"/>
          <w14:ligatures w14:val="none"/>
        </w:rPr>
        <w:t>EE</w:t>
      </w:r>
      <w:r w:rsidRPr="00FB4E2D">
        <w:rPr>
          <w:rFonts w:ascii="Times New Roman" w:eastAsia="Calibri" w:hAnsi="Times New Roman" w:cs="Times New Roman"/>
          <w:i/>
          <w:noProof/>
          <w:color w:val="000000"/>
          <w:kern w:val="0"/>
          <w:sz w:val="20"/>
          <w:szCs w:val="20"/>
          <w:lang w:eastAsia="en-GB"/>
          <w14:ligatures w14:val="none"/>
        </w:rPr>
        <w:t xml:space="preserve">: Remunerations: For pre-trial proceedings - </w:t>
      </w:r>
      <w:r w:rsidR="00296EFA" w:rsidRPr="00FB4E2D">
        <w:rPr>
          <w:rFonts w:ascii="Times New Roman" w:eastAsia="Calibri" w:hAnsi="Times New Roman" w:cs="Times New Roman"/>
          <w:i/>
          <w:noProof/>
          <w:color w:val="000000"/>
          <w:kern w:val="0"/>
          <w:sz w:val="20"/>
          <w:szCs w:val="20"/>
          <w:lang w:eastAsia="en-GB"/>
          <w14:ligatures w14:val="none"/>
        </w:rPr>
        <w:t xml:space="preserve">EUR </w:t>
      </w:r>
      <w:r w:rsidRPr="00FB4E2D">
        <w:rPr>
          <w:rFonts w:ascii="Times New Roman" w:eastAsia="Calibri" w:hAnsi="Times New Roman" w:cs="Times New Roman"/>
          <w:i/>
          <w:noProof/>
          <w:color w:val="000000"/>
          <w:kern w:val="0"/>
          <w:sz w:val="20"/>
          <w:szCs w:val="20"/>
          <w:lang w:eastAsia="en-GB"/>
          <w14:ligatures w14:val="none"/>
        </w:rPr>
        <w:t xml:space="preserve">104, for court proceedings phase in this case limit is reached (attorney receives max </w:t>
      </w:r>
      <w:r w:rsidR="009B5E26" w:rsidRPr="00FB4E2D">
        <w:rPr>
          <w:rFonts w:ascii="Times New Roman" w:eastAsia="Calibri" w:hAnsi="Times New Roman" w:cs="Times New Roman"/>
          <w:i/>
          <w:noProof/>
          <w:color w:val="000000"/>
          <w:kern w:val="0"/>
          <w:sz w:val="20"/>
          <w:szCs w:val="20"/>
          <w:lang w:eastAsia="en-GB"/>
          <w14:ligatures w14:val="none"/>
        </w:rPr>
        <w:t xml:space="preserve">EUR </w:t>
      </w:r>
      <w:r w:rsidRPr="00FB4E2D">
        <w:rPr>
          <w:rFonts w:ascii="Times New Roman" w:eastAsia="Calibri" w:hAnsi="Times New Roman" w:cs="Times New Roman"/>
          <w:i/>
          <w:noProof/>
          <w:color w:val="000000"/>
          <w:kern w:val="0"/>
          <w:sz w:val="20"/>
          <w:szCs w:val="20"/>
          <w:lang w:eastAsia="en-GB"/>
          <w14:ligatures w14:val="none"/>
        </w:rPr>
        <w:t xml:space="preserve">720), for court hearings </w:t>
      </w:r>
      <w:r w:rsidR="00296EFA" w:rsidRPr="00FB4E2D">
        <w:rPr>
          <w:rFonts w:ascii="Times New Roman" w:eastAsia="Calibri" w:hAnsi="Times New Roman" w:cs="Times New Roman"/>
          <w:i/>
          <w:noProof/>
          <w:color w:val="000000"/>
          <w:kern w:val="0"/>
          <w:sz w:val="20"/>
          <w:szCs w:val="20"/>
          <w:lang w:eastAsia="en-GB"/>
          <w14:ligatures w14:val="none"/>
        </w:rPr>
        <w:t>–</w:t>
      </w:r>
      <w:r w:rsidRPr="00FB4E2D">
        <w:rPr>
          <w:rFonts w:ascii="Times New Roman" w:eastAsia="Calibri" w:hAnsi="Times New Roman" w:cs="Times New Roman"/>
          <w:i/>
          <w:noProof/>
          <w:color w:val="000000"/>
          <w:kern w:val="0"/>
          <w:sz w:val="20"/>
          <w:szCs w:val="20"/>
          <w:lang w:eastAsia="en-GB"/>
          <w14:ligatures w14:val="none"/>
        </w:rPr>
        <w:t xml:space="preserve"> </w:t>
      </w:r>
      <w:r w:rsidR="00296EFA" w:rsidRPr="00FB4E2D">
        <w:rPr>
          <w:rFonts w:ascii="Times New Roman" w:eastAsia="Calibri" w:hAnsi="Times New Roman" w:cs="Times New Roman"/>
          <w:i/>
          <w:noProof/>
          <w:color w:val="000000"/>
          <w:kern w:val="0"/>
          <w:sz w:val="20"/>
          <w:szCs w:val="20"/>
          <w:lang w:eastAsia="en-GB"/>
          <w14:ligatures w14:val="none"/>
        </w:rPr>
        <w:t xml:space="preserve">EUR </w:t>
      </w:r>
      <w:r w:rsidRPr="00FB4E2D">
        <w:rPr>
          <w:rFonts w:ascii="Times New Roman" w:eastAsia="Calibri" w:hAnsi="Times New Roman" w:cs="Times New Roman"/>
          <w:i/>
          <w:noProof/>
          <w:color w:val="000000"/>
          <w:kern w:val="0"/>
          <w:sz w:val="20"/>
          <w:szCs w:val="20"/>
          <w:lang w:eastAsia="en-GB"/>
          <w14:ligatures w14:val="none"/>
        </w:rPr>
        <w:t xml:space="preserve">216. If preparing for a client meeting was in pre-trial phase, then maximum limit will not be met and then the attorney would receive </w:t>
      </w:r>
      <w:r w:rsidR="002F2E79" w:rsidRPr="00FB4E2D">
        <w:rPr>
          <w:rFonts w:ascii="Times New Roman" w:eastAsia="Calibri" w:hAnsi="Times New Roman" w:cs="Times New Roman"/>
          <w:i/>
          <w:noProof/>
          <w:color w:val="000000"/>
          <w:kern w:val="0"/>
          <w:sz w:val="20"/>
          <w:szCs w:val="20"/>
          <w:lang w:eastAsia="en-GB"/>
          <w14:ligatures w14:val="none"/>
        </w:rPr>
        <w:t xml:space="preserve">a </w:t>
      </w:r>
      <w:r w:rsidRPr="00FB4E2D">
        <w:rPr>
          <w:rFonts w:ascii="Times New Roman" w:eastAsia="Calibri" w:hAnsi="Times New Roman" w:cs="Times New Roman"/>
          <w:i/>
          <w:noProof/>
          <w:color w:val="000000"/>
          <w:kern w:val="0"/>
          <w:sz w:val="20"/>
          <w:szCs w:val="20"/>
          <w:lang w:eastAsia="en-GB"/>
          <w14:ligatures w14:val="none"/>
        </w:rPr>
        <w:t>total</w:t>
      </w:r>
      <w:r w:rsidR="002F2E79" w:rsidRPr="00FB4E2D">
        <w:rPr>
          <w:rFonts w:ascii="Times New Roman" w:eastAsia="Calibri" w:hAnsi="Times New Roman" w:cs="Times New Roman"/>
          <w:i/>
          <w:noProof/>
          <w:color w:val="000000"/>
          <w:kern w:val="0"/>
          <w:sz w:val="20"/>
          <w:szCs w:val="20"/>
          <w:lang w:eastAsia="en-GB"/>
          <w14:ligatures w14:val="none"/>
        </w:rPr>
        <w:t xml:space="preserve"> of EUR</w:t>
      </w:r>
      <w:r w:rsidRPr="00FB4E2D">
        <w:rPr>
          <w:rFonts w:ascii="Times New Roman" w:eastAsia="Calibri" w:hAnsi="Times New Roman" w:cs="Times New Roman"/>
          <w:i/>
          <w:noProof/>
          <w:color w:val="000000"/>
          <w:kern w:val="0"/>
          <w:sz w:val="20"/>
          <w:szCs w:val="20"/>
          <w:lang w:eastAsia="en-GB"/>
          <w14:ligatures w14:val="none"/>
        </w:rPr>
        <w:t xml:space="preserve"> 1</w:t>
      </w:r>
      <w:r w:rsidR="009B5E26" w:rsidRPr="00FB4E2D">
        <w:rPr>
          <w:rFonts w:ascii="Times New Roman" w:eastAsia="Calibri" w:hAnsi="Times New Roman" w:cs="Times New Roman"/>
          <w:i/>
          <w:noProof/>
          <w:color w:val="000000"/>
          <w:kern w:val="0"/>
          <w:sz w:val="20"/>
          <w:szCs w:val="20"/>
          <w:lang w:eastAsia="en-GB"/>
          <w14:ligatures w14:val="none"/>
        </w:rPr>
        <w:t> </w:t>
      </w:r>
      <w:r w:rsidRPr="00FB4E2D">
        <w:rPr>
          <w:rFonts w:ascii="Times New Roman" w:eastAsia="Calibri" w:hAnsi="Times New Roman" w:cs="Times New Roman"/>
          <w:i/>
          <w:noProof/>
          <w:color w:val="000000"/>
          <w:kern w:val="0"/>
          <w:sz w:val="20"/>
          <w:szCs w:val="20"/>
          <w:lang w:eastAsia="en-GB"/>
          <w14:ligatures w14:val="none"/>
        </w:rPr>
        <w:t xml:space="preserve">260 as </w:t>
      </w:r>
      <w:r w:rsidR="002F2E79" w:rsidRPr="00FB4E2D">
        <w:rPr>
          <w:rFonts w:ascii="Times New Roman" w:eastAsia="Calibri" w:hAnsi="Times New Roman" w:cs="Times New Roman"/>
          <w:i/>
          <w:noProof/>
          <w:color w:val="000000"/>
          <w:kern w:val="0"/>
          <w:sz w:val="20"/>
          <w:szCs w:val="20"/>
          <w:lang w:eastAsia="en-GB"/>
          <w14:ligatures w14:val="none"/>
        </w:rPr>
        <w:t xml:space="preserve">a </w:t>
      </w:r>
      <w:r w:rsidRPr="00FB4E2D">
        <w:rPr>
          <w:rFonts w:ascii="Times New Roman" w:eastAsia="Calibri" w:hAnsi="Times New Roman" w:cs="Times New Roman"/>
          <w:i/>
          <w:noProof/>
          <w:color w:val="000000"/>
          <w:kern w:val="0"/>
          <w:sz w:val="20"/>
          <w:szCs w:val="20"/>
          <w:lang w:eastAsia="en-GB"/>
          <w14:ligatures w14:val="none"/>
        </w:rPr>
        <w:t xml:space="preserve">fee. Also, enforcement court hearing and trips related are not taken into account as in Estonia there are no court hearings for enforcement proceedings. </w:t>
      </w:r>
      <w:r w:rsidRPr="00FB4E2D">
        <w:rPr>
          <w:rFonts w:ascii="Times New Roman" w:eastAsia="Calibri" w:hAnsi="Times New Roman" w:cs="Times New Roman"/>
          <w:b/>
          <w:i/>
          <w:noProof/>
          <w:color w:val="000000"/>
          <w:kern w:val="0"/>
          <w:sz w:val="20"/>
          <w:szCs w:val="20"/>
          <w:lang w:eastAsia="en-GB"/>
          <w14:ligatures w14:val="none"/>
        </w:rPr>
        <w:t>IE</w:t>
      </w:r>
      <w:r w:rsidRPr="00FB4E2D">
        <w:rPr>
          <w:rFonts w:ascii="Times New Roman" w:eastAsia="Calibri" w:hAnsi="Times New Roman" w:cs="Times New Roman"/>
          <w:i/>
          <w:noProof/>
          <w:color w:val="000000"/>
          <w:kern w:val="0"/>
          <w:sz w:val="20"/>
          <w:szCs w:val="20"/>
          <w:lang w:eastAsia="en-GB"/>
          <w14:ligatures w14:val="none"/>
        </w:rPr>
        <w:t xml:space="preserve">: In Ireland, legal representation is divided between solicitors and barristers. Under the Legal Aid Scheme, their fees are calculated separately (solicitors have a fixed case fee structure for family law matters, while barristers (Junior or Senior Counsel) have their own case fees and additional allowances for interim or enforcement applications). This distinction is relevant when determining the total claim under the legal aid system. The calculation is based on the Legal Aid Board Schedule of Fees for counsel (barristers) in the Circuit Court, which is the court of jurisdiction for divorce proceedings. Solicitors are not paid expenses or outlays, </w:t>
      </w:r>
      <w:r w:rsidR="000A1C9C" w:rsidRPr="00FB4E2D">
        <w:rPr>
          <w:rFonts w:ascii="Times New Roman" w:eastAsia="Calibri" w:hAnsi="Times New Roman" w:cs="Times New Roman"/>
          <w:i/>
          <w:noProof/>
          <w:color w:val="000000"/>
          <w:kern w:val="0"/>
          <w:sz w:val="20"/>
          <w:szCs w:val="20"/>
          <w:lang w:eastAsia="en-GB"/>
          <w14:ligatures w14:val="none"/>
        </w:rPr>
        <w:t xml:space="preserve">(additional costs or disbursements incurred by the lawyer in handling a case, separate from the lawyer’s professional fee) </w:t>
      </w:r>
      <w:r w:rsidRPr="00FB4E2D">
        <w:rPr>
          <w:rFonts w:ascii="Times New Roman" w:eastAsia="Calibri" w:hAnsi="Times New Roman" w:cs="Times New Roman"/>
          <w:i/>
          <w:noProof/>
          <w:color w:val="000000"/>
          <w:kern w:val="0"/>
          <w:sz w:val="20"/>
          <w:szCs w:val="20"/>
          <w:lang w:eastAsia="en-GB"/>
          <w14:ligatures w14:val="none"/>
        </w:rPr>
        <w:t xml:space="preserve">barristers receive driving expenses. </w:t>
      </w:r>
      <w:r w:rsidRPr="00FB4E2D">
        <w:rPr>
          <w:rFonts w:ascii="Times New Roman" w:eastAsia="Calibri" w:hAnsi="Times New Roman" w:cs="Times New Roman"/>
          <w:b/>
          <w:i/>
          <w:noProof/>
          <w:color w:val="000000"/>
          <w:kern w:val="0"/>
          <w:sz w:val="20"/>
          <w:szCs w:val="20"/>
          <w:lang w:eastAsia="en-GB"/>
          <w14:ligatures w14:val="none"/>
        </w:rPr>
        <w:t>EL</w:t>
      </w:r>
      <w:r w:rsidRPr="00FB4E2D">
        <w:rPr>
          <w:rFonts w:ascii="Times New Roman" w:eastAsia="Calibri" w:hAnsi="Times New Roman" w:cs="Times New Roman"/>
          <w:i/>
          <w:noProof/>
          <w:color w:val="000000"/>
          <w:kern w:val="0"/>
          <w:sz w:val="20"/>
          <w:szCs w:val="20"/>
          <w:lang w:eastAsia="en-GB"/>
          <w14:ligatures w14:val="none"/>
        </w:rPr>
        <w:t xml:space="preserve">: From the legal aid scheme it can be claimed the lowest lawyer fees as provided in the Code of Lawyers. Moreover, proven expenses (expenses with receipts) can be claimed. There is also fee for extrajudicial employment 80 euro/per hour according to the Code of Lawyers which can be claimed. </w:t>
      </w:r>
      <w:r w:rsidRPr="00FB4E2D">
        <w:rPr>
          <w:rFonts w:ascii="Times New Roman" w:eastAsia="Calibri" w:hAnsi="Times New Roman" w:cs="Times New Roman"/>
          <w:b/>
          <w:i/>
          <w:noProof/>
          <w:color w:val="000000"/>
          <w:kern w:val="0"/>
          <w:sz w:val="20"/>
          <w:szCs w:val="20"/>
          <w:lang w:eastAsia="en-GB"/>
          <w14:ligatures w14:val="none"/>
        </w:rPr>
        <w:t>ES</w:t>
      </w:r>
      <w:r w:rsidRPr="00FB4E2D">
        <w:rPr>
          <w:rFonts w:ascii="Times New Roman" w:eastAsia="Calibri" w:hAnsi="Times New Roman" w:cs="Times New Roman"/>
          <w:i/>
          <w:noProof/>
          <w:color w:val="000000"/>
          <w:kern w:val="0"/>
          <w:sz w:val="20"/>
          <w:szCs w:val="20"/>
          <w:lang w:eastAsia="en-GB"/>
          <w14:ligatures w14:val="none"/>
        </w:rPr>
        <w:t xml:space="preserve">: The tables do not include either the enforcement of measures after the divorce or mandatory mediation (which is covered by some regions but still not in the common territory). </w:t>
      </w:r>
      <w:r w:rsidRPr="00FB4E2D">
        <w:rPr>
          <w:rFonts w:ascii="Times New Roman" w:eastAsia="Calibri" w:hAnsi="Times New Roman" w:cs="Times New Roman"/>
          <w:b/>
          <w:i/>
          <w:noProof/>
          <w:color w:val="000000"/>
          <w:kern w:val="0"/>
          <w:sz w:val="20"/>
          <w:szCs w:val="20"/>
          <w:lang w:eastAsia="en-GB"/>
          <w14:ligatures w14:val="none"/>
        </w:rPr>
        <w:t>CY</w:t>
      </w:r>
      <w:r w:rsidRPr="00FB4E2D">
        <w:rPr>
          <w:rFonts w:ascii="Times New Roman" w:eastAsia="Calibri" w:hAnsi="Times New Roman" w:cs="Times New Roman"/>
          <w:i/>
          <w:noProof/>
          <w:color w:val="000000"/>
          <w:kern w:val="0"/>
          <w:sz w:val="20"/>
          <w:szCs w:val="20"/>
          <w:lang w:eastAsia="en-GB"/>
          <w14:ligatures w14:val="none"/>
        </w:rPr>
        <w:t xml:space="preserve">: The scenario does not apply in Cyprus, because the Legal Aid Law does not cover civil and/or commercial cases. According to the Law, legal aid is not granted in civil proceedings in Cyprus between consumer and companies. </w:t>
      </w:r>
      <w:r w:rsidRPr="00FB4E2D">
        <w:rPr>
          <w:rFonts w:ascii="Times New Roman" w:eastAsia="Calibri" w:hAnsi="Times New Roman" w:cs="Times New Roman"/>
          <w:b/>
          <w:i/>
          <w:noProof/>
          <w:color w:val="000000"/>
          <w:kern w:val="0"/>
          <w:sz w:val="20"/>
          <w:szCs w:val="20"/>
          <w:lang w:eastAsia="en-GB"/>
          <w14:ligatures w14:val="none"/>
        </w:rPr>
        <w:t>LT</w:t>
      </w:r>
      <w:r w:rsidRPr="00FB4E2D">
        <w:rPr>
          <w:rFonts w:ascii="Times New Roman" w:eastAsia="Calibri" w:hAnsi="Times New Roman" w:cs="Times New Roman"/>
          <w:i/>
          <w:noProof/>
          <w:color w:val="000000"/>
          <w:kern w:val="0"/>
          <w:sz w:val="20"/>
          <w:szCs w:val="20"/>
          <w:lang w:eastAsia="en-GB"/>
          <w14:ligatures w14:val="none"/>
        </w:rPr>
        <w:t xml:space="preserve">: </w:t>
      </w:r>
      <w:r w:rsidR="002F2E79" w:rsidRPr="00FB4E2D">
        <w:rPr>
          <w:rFonts w:ascii="Times New Roman" w:eastAsia="Calibri" w:hAnsi="Times New Roman" w:cs="Times New Roman"/>
          <w:i/>
          <w:noProof/>
          <w:color w:val="000000"/>
          <w:kern w:val="0"/>
          <w:sz w:val="20"/>
          <w:szCs w:val="20"/>
          <w:lang w:eastAsia="en-GB"/>
          <w14:ligatures w14:val="none"/>
        </w:rPr>
        <w:t>In</w:t>
      </w:r>
      <w:r w:rsidRPr="00FB4E2D">
        <w:rPr>
          <w:rFonts w:ascii="Times New Roman" w:eastAsia="Calibri" w:hAnsi="Times New Roman" w:cs="Times New Roman"/>
          <w:i/>
          <w:noProof/>
          <w:color w:val="000000"/>
          <w:kern w:val="0"/>
          <w:sz w:val="20"/>
          <w:szCs w:val="20"/>
          <w:lang w:eastAsia="en-GB"/>
          <w14:ligatures w14:val="none"/>
        </w:rPr>
        <w:t xml:space="preserve"> divorce proceedings where there is no dispute, the statutory legal fee is 175 EUR. </w:t>
      </w:r>
      <w:r w:rsidRPr="00FB4E2D">
        <w:rPr>
          <w:rFonts w:ascii="Times New Roman" w:eastAsia="Calibri" w:hAnsi="Times New Roman" w:cs="Times New Roman"/>
          <w:b/>
          <w:i/>
          <w:noProof/>
          <w:color w:val="000000"/>
          <w:kern w:val="0"/>
          <w:sz w:val="20"/>
          <w:szCs w:val="20"/>
          <w:lang w:eastAsia="en-GB"/>
          <w14:ligatures w14:val="none"/>
        </w:rPr>
        <w:t>HU</w:t>
      </w:r>
      <w:r w:rsidRPr="00FB4E2D">
        <w:rPr>
          <w:rFonts w:ascii="Times New Roman" w:eastAsia="Calibri" w:hAnsi="Times New Roman" w:cs="Times New Roman"/>
          <w:i/>
          <w:noProof/>
          <w:color w:val="000000"/>
          <w:kern w:val="0"/>
          <w:sz w:val="20"/>
          <w:szCs w:val="20"/>
          <w:lang w:eastAsia="en-GB"/>
          <w14:ligatures w14:val="none"/>
        </w:rPr>
        <w:t xml:space="preserve">: The fee of legal aid counsel is based on 11/2004 (III.30.) IM decree on the remuneration of legal aid counsel: </w:t>
      </w:r>
      <w:r w:rsidR="002F2E79" w:rsidRPr="00FB4E2D">
        <w:rPr>
          <w:rFonts w:ascii="Times New Roman" w:eastAsia="Calibri" w:hAnsi="Times New Roman" w:cs="Times New Roman"/>
          <w:i/>
          <w:noProof/>
          <w:color w:val="000000"/>
          <w:kern w:val="0"/>
          <w:sz w:val="20"/>
          <w:szCs w:val="20"/>
          <w:lang w:eastAsia="en-GB"/>
          <w14:ligatures w14:val="none"/>
        </w:rPr>
        <w:t xml:space="preserve">HUF </w:t>
      </w:r>
      <w:r w:rsidRPr="00FB4E2D">
        <w:rPr>
          <w:rFonts w:ascii="Times New Roman" w:eastAsia="Calibri" w:hAnsi="Times New Roman" w:cs="Times New Roman"/>
          <w:i/>
          <w:noProof/>
          <w:color w:val="000000"/>
          <w:kern w:val="0"/>
          <w:sz w:val="20"/>
          <w:szCs w:val="20"/>
          <w:lang w:eastAsia="en-GB"/>
          <w14:ligatures w14:val="none"/>
        </w:rPr>
        <w:t xml:space="preserve">7000 hourly fee and 25% expenses, plus VAT. </w:t>
      </w:r>
      <w:r w:rsidRPr="00FB4E2D">
        <w:rPr>
          <w:rFonts w:ascii="Times New Roman" w:eastAsia="Calibri" w:hAnsi="Times New Roman" w:cs="Times New Roman"/>
          <w:b/>
          <w:i/>
          <w:noProof/>
          <w:color w:val="000000"/>
          <w:kern w:val="0"/>
          <w:sz w:val="20"/>
          <w:szCs w:val="20"/>
          <w:lang w:eastAsia="en-GB"/>
          <w14:ligatures w14:val="none"/>
        </w:rPr>
        <w:t>SE</w:t>
      </w:r>
      <w:r w:rsidRPr="00FB4E2D">
        <w:rPr>
          <w:rFonts w:ascii="Times New Roman" w:eastAsia="Calibri" w:hAnsi="Times New Roman" w:cs="Times New Roman"/>
          <w:i/>
          <w:noProof/>
          <w:color w:val="000000"/>
          <w:kern w:val="0"/>
          <w:sz w:val="20"/>
          <w:szCs w:val="20"/>
          <w:lang w:eastAsia="en-GB"/>
          <w14:ligatures w14:val="none"/>
        </w:rPr>
        <w:t xml:space="preserve">: In Sweden, legal aid is not usually granted in divorce cases. It is only granted if more extensive assistance from a legal representative is required, which is unusual. </w:t>
      </w:r>
      <w:r w:rsidRPr="00FB4E2D">
        <w:rPr>
          <w:rFonts w:ascii="Times New Roman" w:eastAsia="Calibri" w:hAnsi="Times New Roman" w:cs="Times New Roman"/>
          <w:b/>
          <w:bCs/>
          <w:i/>
          <w:noProof/>
          <w:color w:val="000000"/>
          <w:kern w:val="0"/>
          <w:sz w:val="20"/>
          <w:szCs w:val="20"/>
          <w:lang w:eastAsia="en-GB"/>
          <w14:ligatures w14:val="none"/>
        </w:rPr>
        <w:t>PL:</w:t>
      </w:r>
      <w:r w:rsidRPr="00FB4E2D">
        <w:rPr>
          <w:rFonts w:ascii="Times New Roman" w:eastAsia="Calibri" w:hAnsi="Times New Roman" w:cs="Times New Roman"/>
          <w:i/>
          <w:noProof/>
          <w:color w:val="000000"/>
          <w:kern w:val="0"/>
          <w:sz w:val="20"/>
          <w:szCs w:val="20"/>
          <w:lang w:eastAsia="en-GB"/>
          <w14:ligatures w14:val="none"/>
        </w:rPr>
        <w:t xml:space="preserve"> The divorce fee is fixed (lump-sum) and does not depend on hours spent. For a divorce case, the fixed legal-aid fee is PLN 720 (EUR 169.65.). Enforcement after the decree (egzekucja): under legal-aid rules this is generally value-linked (it is calculated as a percentage of the fee table that depends on the value of the claim). Because the case description does not give the value of what is being enforced, there is no single </w:t>
      </w:r>
      <w:r w:rsidR="00EE314A" w:rsidRPr="00FB4E2D">
        <w:rPr>
          <w:rFonts w:ascii="Times New Roman" w:eastAsia="Calibri" w:hAnsi="Times New Roman" w:cs="Times New Roman"/>
          <w:i/>
          <w:noProof/>
          <w:color w:val="000000"/>
          <w:kern w:val="0"/>
          <w:sz w:val="20"/>
          <w:szCs w:val="20"/>
          <w:lang w:eastAsia="en-GB"/>
          <w14:ligatures w14:val="none"/>
        </w:rPr>
        <w:t>‘</w:t>
      </w:r>
      <w:r w:rsidRPr="00FB4E2D">
        <w:rPr>
          <w:rFonts w:ascii="Times New Roman" w:eastAsia="Calibri" w:hAnsi="Times New Roman" w:cs="Times New Roman"/>
          <w:i/>
          <w:noProof/>
          <w:color w:val="000000"/>
          <w:kern w:val="0"/>
          <w:sz w:val="20"/>
          <w:szCs w:val="20"/>
          <w:lang w:eastAsia="en-GB"/>
          <w14:ligatures w14:val="none"/>
        </w:rPr>
        <w:t>certain</w:t>
      </w:r>
      <w:r w:rsidR="002F2E79" w:rsidRPr="00FB4E2D">
        <w:rPr>
          <w:rFonts w:ascii="Times New Roman" w:eastAsia="Calibri" w:hAnsi="Times New Roman" w:cs="Times New Roman"/>
          <w:i/>
          <w:noProof/>
          <w:color w:val="000000"/>
          <w:kern w:val="0"/>
          <w:sz w:val="20"/>
          <w:szCs w:val="20"/>
          <w:lang w:eastAsia="en-GB"/>
          <w14:ligatures w14:val="none"/>
        </w:rPr>
        <w:t xml:space="preserve">’ </w:t>
      </w:r>
      <w:r w:rsidRPr="00FB4E2D">
        <w:rPr>
          <w:rFonts w:ascii="Times New Roman" w:eastAsia="Calibri" w:hAnsi="Times New Roman" w:cs="Times New Roman"/>
          <w:i/>
          <w:noProof/>
          <w:color w:val="000000"/>
          <w:kern w:val="0"/>
          <w:sz w:val="20"/>
          <w:szCs w:val="20"/>
          <w:lang w:eastAsia="en-GB"/>
          <w14:ligatures w14:val="none"/>
        </w:rPr>
        <w:t>amount without an assumption.</w:t>
      </w:r>
    </w:p>
    <w:p w14:paraId="39775A87" w14:textId="77777777" w:rsidR="00A02C07" w:rsidRPr="00FB4E2D" w:rsidRDefault="00A02C07" w:rsidP="00A02C07">
      <w:pPr>
        <w:spacing w:before="240" w:after="120" w:line="240" w:lineRule="auto"/>
        <w:jc w:val="both"/>
        <w:rPr>
          <w:rFonts w:ascii="Times New Roman" w:eastAsia="Calibri" w:hAnsi="Times New Roman" w:cs="Times New Roman"/>
          <w:noProof/>
          <w:spacing w:val="-6"/>
          <w:kern w:val="0"/>
          <w14:ligatures w14:val="none"/>
        </w:rPr>
      </w:pPr>
      <w:r w:rsidRPr="00FB4E2D">
        <w:rPr>
          <w:rFonts w:ascii="Times New Roman" w:eastAsia="Calibri" w:hAnsi="Times New Roman" w:cs="Times New Roman"/>
          <w:noProof/>
          <w:spacing w:val="-6"/>
          <w:kern w:val="0"/>
          <w14:ligatures w14:val="none"/>
        </w:rPr>
        <w:t>Non-contentious judicial procedures, such as in the area of divorce law, are frequently done by notaries, aiming at unburdening courts and in that way potentially enhancing the efficiency and quality of the justice system. Figure 26 serves as an initial exploration in this regard, mapping which authorities are involved in consensual divorce procedures in the Member States.</w:t>
      </w:r>
    </w:p>
    <w:p w14:paraId="32D8BEB7" w14:textId="4E5748AC" w:rsidR="00A02C07" w:rsidRPr="00FB4E2D" w:rsidRDefault="00A02C07" w:rsidP="00A02C07">
      <w:pPr>
        <w:spacing w:before="240" w:after="120" w:line="240" w:lineRule="auto"/>
        <w:jc w:val="both"/>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Authorities involved in non-contentious divorce procedures</w:t>
      </w:r>
      <w:r w:rsidRPr="00FB4E2D">
        <w:rPr>
          <w:rFonts w:ascii="Times New Roman" w:eastAsia="Calibri" w:hAnsi="Times New Roman" w:cs="Times New Roman"/>
          <w:b/>
          <w:noProof/>
          <w:kern w:val="0"/>
          <w14:ligatures w14:val="none"/>
        </w:rPr>
        <w:t xml:space="preserve">, 2025 </w:t>
      </w:r>
      <w:r w:rsidR="00F13B66" w:rsidRPr="00FB4E2D">
        <w:rPr>
          <w:rFonts w:ascii="Times New Roman" w:eastAsia="Calibri" w:hAnsi="Times New Roman" w:cs="Times New Roman"/>
          <w:i/>
          <w:noProof/>
          <w:kern w:val="0"/>
          <w14:ligatures w14:val="none"/>
        </w:rPr>
        <w:t xml:space="preserve">(*) </w:t>
      </w:r>
      <w:r w:rsidRPr="00FB4E2D">
        <w:rPr>
          <w:rFonts w:ascii="Times New Roman" w:eastAsia="Calibri" w:hAnsi="Times New Roman" w:cs="Times New Roman"/>
          <w:i/>
          <w:noProof/>
          <w:kern w:val="0"/>
          <w14:ligatures w14:val="none"/>
        </w:rPr>
        <w:t>(source: European Commission and Council of the Notariats of the European Union (CNUE) (</w:t>
      </w:r>
      <w:r w:rsidRPr="00FB4E2D">
        <w:rPr>
          <w:rFonts w:ascii="Times New Roman" w:eastAsia="Calibri" w:hAnsi="Times New Roman" w:cs="Times New Roman"/>
          <w:i/>
          <w:noProof/>
          <w:kern w:val="0"/>
          <w:vertAlign w:val="superscript"/>
          <w14:ligatures w14:val="none"/>
        </w:rPr>
        <w:footnoteReference w:id="76"/>
      </w:r>
      <w:r w:rsidRPr="00FB4E2D">
        <w:rPr>
          <w:rFonts w:ascii="Times New Roman" w:eastAsia="Calibri" w:hAnsi="Times New Roman" w:cs="Times New Roman"/>
          <w:i/>
          <w:noProof/>
          <w:kern w:val="0"/>
          <w14:ligatures w14:val="none"/>
        </w:rPr>
        <w:t>))</w:t>
      </w:r>
    </w:p>
    <w:p w14:paraId="40194BDF" w14:textId="77777777" w:rsidR="00A02C07" w:rsidRPr="00FB4E2D" w:rsidRDefault="00A02C07" w:rsidP="00A02C07">
      <w:pPr>
        <w:spacing w:after="12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Times New Roman"/>
          <w:b/>
          <w:noProof/>
          <w:kern w:val="0"/>
          <w:lang w:val="en-GB" w:eastAsia="en-GB"/>
          <w14:ligatures w14:val="none"/>
        </w:rPr>
        <w:drawing>
          <wp:inline distT="0" distB="0" distL="0" distR="0" wp14:anchorId="5A64E3D2" wp14:editId="2BB4F206">
            <wp:extent cx="5760000" cy="2981568"/>
            <wp:effectExtent l="0" t="0" r="0" b="0"/>
            <wp:docPr id="1033153638" name="Picture 1" descr="A graph of a divor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153638" name="Picture 1" descr="A graph of a divorce&#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0000" cy="2981568"/>
                    </a:xfrm>
                    <a:prstGeom prst="rect">
                      <a:avLst/>
                    </a:prstGeom>
                    <a:noFill/>
                  </pic:spPr>
                </pic:pic>
              </a:graphicData>
            </a:graphic>
          </wp:inline>
        </w:drawing>
      </w:r>
    </w:p>
    <w:p w14:paraId="2580783D" w14:textId="76874843" w:rsidR="00A02C07" w:rsidRPr="00FB4E2D" w:rsidRDefault="00A02C07" w:rsidP="00A02C07">
      <w:pPr>
        <w:spacing w:line="259" w:lineRule="auto"/>
        <w:jc w:val="both"/>
        <w:rPr>
          <w:rFonts w:ascii="Times New Roman" w:eastAsia="Calibri" w:hAnsi="Times New Roman" w:cs="Times New Roman"/>
          <w:i/>
          <w:noProof/>
          <w:color w:val="000000"/>
          <w:kern w:val="0"/>
          <w:sz w:val="20"/>
          <w:szCs w:val="20"/>
          <w:lang w:eastAsia="en-GB"/>
          <w14:ligatures w14:val="none"/>
        </w:rPr>
      </w:pPr>
      <w:r w:rsidRPr="00FB4E2D">
        <w:rPr>
          <w:rFonts w:ascii="Times New Roman" w:eastAsia="Calibri" w:hAnsi="Times New Roman" w:cs="Times New Roman"/>
          <w:i/>
          <w:noProof/>
          <w:color w:val="000000"/>
          <w:kern w:val="0"/>
          <w:sz w:val="20"/>
          <w:szCs w:val="20"/>
          <w:lang w:eastAsia="en-GB"/>
          <w14:ligatures w14:val="none"/>
        </w:rPr>
        <w:t xml:space="preserve">(*) Data are based on the Justice Without Litigation II project, which covers the 22 Member States in which the profession of civil law notaries is established. Among the Member States that replied to the questionnaire </w:t>
      </w:r>
      <w:r w:rsidRPr="00FB4E2D">
        <w:rPr>
          <w:rFonts w:ascii="Times New Roman" w:eastAsia="Calibri" w:hAnsi="Times New Roman" w:cs="Times New Roman"/>
          <w:b/>
          <w:bCs/>
          <w:i/>
          <w:noProof/>
          <w:color w:val="000000"/>
          <w:kern w:val="0"/>
          <w:sz w:val="20"/>
          <w:szCs w:val="20"/>
          <w:lang w:eastAsia="en-GB"/>
          <w14:ligatures w14:val="none"/>
        </w:rPr>
        <w:t>PL</w:t>
      </w:r>
      <w:r w:rsidRPr="00FB4E2D">
        <w:rPr>
          <w:rFonts w:ascii="Times New Roman" w:eastAsia="Calibri" w:hAnsi="Times New Roman" w:cs="Times New Roman"/>
          <w:i/>
          <w:noProof/>
          <w:color w:val="000000"/>
          <w:kern w:val="0"/>
          <w:sz w:val="20"/>
          <w:szCs w:val="20"/>
          <w:lang w:eastAsia="en-GB"/>
          <w14:ligatures w14:val="none"/>
        </w:rPr>
        <w:t xml:space="preserve"> and </w:t>
      </w:r>
      <w:r w:rsidRPr="00FB4E2D">
        <w:rPr>
          <w:rFonts w:ascii="Times New Roman" w:eastAsia="Calibri" w:hAnsi="Times New Roman" w:cs="Times New Roman"/>
          <w:b/>
          <w:bCs/>
          <w:i/>
          <w:noProof/>
          <w:color w:val="000000"/>
          <w:kern w:val="0"/>
          <w:sz w:val="20"/>
          <w:szCs w:val="20"/>
          <w:lang w:eastAsia="en-GB"/>
          <w14:ligatures w14:val="none"/>
        </w:rPr>
        <w:t>SK</w:t>
      </w:r>
      <w:r w:rsidRPr="00FB4E2D">
        <w:rPr>
          <w:rFonts w:ascii="Times New Roman" w:eastAsia="Calibri" w:hAnsi="Times New Roman" w:cs="Times New Roman"/>
          <w:i/>
          <w:noProof/>
          <w:color w:val="000000"/>
          <w:kern w:val="0"/>
          <w:sz w:val="20"/>
          <w:szCs w:val="20"/>
          <w:lang w:eastAsia="en-GB"/>
          <w14:ligatures w14:val="none"/>
        </w:rPr>
        <w:t xml:space="preserve"> do not have </w:t>
      </w:r>
      <w:r w:rsidR="000433F7" w:rsidRPr="00FB4E2D">
        <w:rPr>
          <w:rFonts w:ascii="Times New Roman" w:eastAsia="Calibri" w:hAnsi="Times New Roman" w:cs="Times New Roman"/>
          <w:i/>
          <w:noProof/>
          <w:color w:val="000000"/>
          <w:kern w:val="0"/>
          <w:sz w:val="20"/>
          <w:szCs w:val="20"/>
          <w:lang w:eastAsia="en-GB"/>
          <w14:ligatures w14:val="none"/>
        </w:rPr>
        <w:t xml:space="preserve">a </w:t>
      </w:r>
      <w:r w:rsidRPr="00FB4E2D">
        <w:rPr>
          <w:rFonts w:ascii="Times New Roman" w:eastAsia="Calibri" w:hAnsi="Times New Roman" w:cs="Times New Roman"/>
          <w:i/>
          <w:noProof/>
          <w:color w:val="000000"/>
          <w:kern w:val="0"/>
          <w:sz w:val="20"/>
          <w:szCs w:val="20"/>
          <w:lang w:eastAsia="en-GB"/>
          <w14:ligatures w14:val="none"/>
        </w:rPr>
        <w:t>consensual divorce</w:t>
      </w:r>
      <w:r w:rsidR="000433F7" w:rsidRPr="00FB4E2D">
        <w:rPr>
          <w:rFonts w:ascii="Times New Roman" w:eastAsia="Calibri" w:hAnsi="Times New Roman" w:cs="Times New Roman"/>
          <w:i/>
          <w:noProof/>
          <w:color w:val="000000"/>
          <w:kern w:val="0"/>
          <w:sz w:val="20"/>
          <w:szCs w:val="20"/>
          <w:lang w:eastAsia="en-GB"/>
          <w14:ligatures w14:val="none"/>
        </w:rPr>
        <w:t xml:space="preserve"> procedure</w:t>
      </w:r>
      <w:r w:rsidRPr="00FB4E2D">
        <w:rPr>
          <w:rFonts w:ascii="Times New Roman" w:eastAsia="Calibri" w:hAnsi="Times New Roman" w:cs="Times New Roman"/>
          <w:i/>
          <w:noProof/>
          <w:color w:val="000000"/>
          <w:kern w:val="0"/>
          <w:sz w:val="20"/>
          <w:szCs w:val="20"/>
          <w:lang w:eastAsia="en-GB"/>
          <w14:ligatures w14:val="none"/>
        </w:rPr>
        <w:t xml:space="preserve">. </w:t>
      </w:r>
      <w:r w:rsidRPr="00FB4E2D">
        <w:rPr>
          <w:rFonts w:ascii="Times New Roman" w:eastAsia="Calibri" w:hAnsi="Times New Roman" w:cs="Times New Roman"/>
          <w:b/>
          <w:bCs/>
          <w:i/>
          <w:noProof/>
          <w:color w:val="000000"/>
          <w:kern w:val="0"/>
          <w:sz w:val="20"/>
          <w:szCs w:val="20"/>
          <w:lang w:eastAsia="en-GB"/>
          <w14:ligatures w14:val="none"/>
        </w:rPr>
        <w:t>EE</w:t>
      </w:r>
      <w:r w:rsidRPr="00FB4E2D">
        <w:rPr>
          <w:rFonts w:ascii="Times New Roman" w:eastAsia="Calibri" w:hAnsi="Times New Roman" w:cs="Times New Roman"/>
          <w:i/>
          <w:noProof/>
          <w:color w:val="000000"/>
          <w:kern w:val="0"/>
          <w:sz w:val="20"/>
          <w:szCs w:val="20"/>
          <w:lang w:eastAsia="en-GB"/>
          <w14:ligatures w14:val="none"/>
        </w:rPr>
        <w:t xml:space="preserve">: Notary, civil registrar and as concerns courts: a consensual divorce before the court is only possible when the parties cannot submit </w:t>
      </w:r>
      <w:r w:rsidR="007C4AD5" w:rsidRPr="002C111E">
        <w:rPr>
          <w:rFonts w:ascii="Times New Roman" w:eastAsia="Calibri" w:hAnsi="Times New Roman" w:cs="Times New Roman"/>
          <w:i/>
          <w:noProof/>
          <w:kern w:val="0"/>
          <w:sz w:val="20"/>
          <w:szCs w:val="20"/>
          <w:lang w:eastAsia="en-GB"/>
          <w14:ligatures w14:val="none"/>
        </w:rPr>
        <w:t>a</w:t>
      </w:r>
      <w:r w:rsidR="007C4AD5">
        <w:rPr>
          <w:rFonts w:ascii="Times New Roman" w:eastAsia="Calibri" w:hAnsi="Times New Roman" w:cs="Times New Roman"/>
          <w:i/>
          <w:noProof/>
          <w:color w:val="000000"/>
          <w:kern w:val="0"/>
          <w:sz w:val="20"/>
          <w:szCs w:val="20"/>
          <w:lang w:eastAsia="en-GB"/>
          <w14:ligatures w14:val="none"/>
        </w:rPr>
        <w:t xml:space="preserve"> </w:t>
      </w:r>
      <w:r w:rsidRPr="00FB4E2D">
        <w:rPr>
          <w:rFonts w:ascii="Times New Roman" w:eastAsia="Calibri" w:hAnsi="Times New Roman" w:cs="Times New Roman"/>
          <w:i/>
          <w:noProof/>
          <w:color w:val="000000"/>
          <w:kern w:val="0"/>
          <w:sz w:val="20"/>
          <w:szCs w:val="20"/>
          <w:lang w:eastAsia="en-GB"/>
          <w14:ligatures w14:val="none"/>
        </w:rPr>
        <w:t xml:space="preserve">joint application for the divorce (for example when one of the spouses is abroad and does not have an Estonian digital identity). </w:t>
      </w:r>
      <w:r w:rsidRPr="00FB4E2D">
        <w:rPr>
          <w:rFonts w:ascii="Times New Roman" w:eastAsia="Calibri" w:hAnsi="Times New Roman" w:cs="Times New Roman"/>
          <w:b/>
          <w:bCs/>
          <w:i/>
          <w:noProof/>
          <w:color w:val="000000"/>
          <w:kern w:val="0"/>
          <w:sz w:val="20"/>
          <w:szCs w:val="20"/>
          <w:lang w:eastAsia="en-GB"/>
          <w14:ligatures w14:val="none"/>
        </w:rPr>
        <w:t>ES</w:t>
      </w:r>
      <w:r w:rsidRPr="00FB4E2D">
        <w:rPr>
          <w:rFonts w:ascii="Times New Roman" w:eastAsia="Calibri" w:hAnsi="Times New Roman" w:cs="Times New Roman"/>
          <w:i/>
          <w:noProof/>
          <w:color w:val="000000"/>
          <w:kern w:val="0"/>
          <w:sz w:val="20"/>
          <w:szCs w:val="20"/>
          <w:lang w:eastAsia="en-GB"/>
          <w14:ligatures w14:val="none"/>
        </w:rPr>
        <w:t xml:space="preserve">: court, notary or the Council of the administration of justice. </w:t>
      </w:r>
      <w:r w:rsidRPr="00FB4E2D">
        <w:rPr>
          <w:rFonts w:ascii="Times New Roman" w:eastAsia="Calibri" w:hAnsi="Times New Roman" w:cs="Times New Roman"/>
          <w:b/>
          <w:bCs/>
          <w:i/>
          <w:noProof/>
          <w:color w:val="000000"/>
          <w:kern w:val="0"/>
          <w:sz w:val="20"/>
          <w:szCs w:val="20"/>
          <w:lang w:eastAsia="en-GB"/>
          <w14:ligatures w14:val="none"/>
        </w:rPr>
        <w:t>FR</w:t>
      </w:r>
      <w:r w:rsidRPr="00FB4E2D">
        <w:rPr>
          <w:rFonts w:ascii="Times New Roman" w:eastAsia="Calibri" w:hAnsi="Times New Roman" w:cs="Times New Roman"/>
          <w:i/>
          <w:noProof/>
          <w:color w:val="000000"/>
          <w:kern w:val="0"/>
          <w:sz w:val="20"/>
          <w:szCs w:val="20"/>
          <w:lang w:eastAsia="en-GB"/>
          <w14:ligatures w14:val="none"/>
        </w:rPr>
        <w:t xml:space="preserve">: the consensual divorce is only dealt with by the court when a hearing </w:t>
      </w:r>
      <w:r w:rsidR="00AE6F1E" w:rsidRPr="00FB4E2D">
        <w:rPr>
          <w:rFonts w:ascii="Times New Roman" w:eastAsia="Calibri" w:hAnsi="Times New Roman" w:cs="Times New Roman"/>
          <w:i/>
          <w:noProof/>
          <w:color w:val="000000"/>
          <w:kern w:val="0"/>
          <w:sz w:val="20"/>
          <w:szCs w:val="20"/>
          <w:lang w:eastAsia="en-GB"/>
          <w14:ligatures w14:val="none"/>
        </w:rPr>
        <w:t>for</w:t>
      </w:r>
      <w:r w:rsidRPr="00FB4E2D">
        <w:rPr>
          <w:rFonts w:ascii="Times New Roman" w:eastAsia="Calibri" w:hAnsi="Times New Roman" w:cs="Times New Roman"/>
          <w:i/>
          <w:noProof/>
          <w:color w:val="000000"/>
          <w:kern w:val="0"/>
          <w:sz w:val="20"/>
          <w:szCs w:val="20"/>
          <w:lang w:eastAsia="en-GB"/>
          <w14:ligatures w14:val="none"/>
        </w:rPr>
        <w:t xml:space="preserve"> a minor child is requested. </w:t>
      </w:r>
      <w:r w:rsidRPr="00FB4E2D">
        <w:rPr>
          <w:rFonts w:ascii="Times New Roman" w:eastAsia="Calibri" w:hAnsi="Times New Roman" w:cs="Times New Roman"/>
          <w:b/>
          <w:bCs/>
          <w:i/>
          <w:noProof/>
          <w:color w:val="000000"/>
          <w:kern w:val="0"/>
          <w:sz w:val="20"/>
          <w:szCs w:val="20"/>
          <w:lang w:eastAsia="en-GB"/>
          <w14:ligatures w14:val="none"/>
        </w:rPr>
        <w:t>RO</w:t>
      </w:r>
      <w:r w:rsidRPr="00FB4E2D">
        <w:rPr>
          <w:rFonts w:ascii="Times New Roman" w:eastAsia="Calibri" w:hAnsi="Times New Roman" w:cs="Times New Roman"/>
          <w:i/>
          <w:noProof/>
          <w:color w:val="000000"/>
          <w:kern w:val="0"/>
          <w:sz w:val="20"/>
          <w:szCs w:val="20"/>
          <w:lang w:eastAsia="en-GB"/>
          <w14:ligatures w14:val="none"/>
        </w:rPr>
        <w:t xml:space="preserve">: court, notary or civil registrar. </w:t>
      </w:r>
    </w:p>
    <w:p w14:paraId="4C9187EA" w14:textId="77777777" w:rsidR="00A02C07" w:rsidRPr="00FB4E2D" w:rsidRDefault="00A02C07" w:rsidP="00A02C07">
      <w:pPr>
        <w:keepNext/>
        <w:spacing w:before="240" w:after="120" w:line="240" w:lineRule="auto"/>
        <w:jc w:val="both"/>
        <w:rPr>
          <w:rFonts w:ascii="Times New Roman" w:eastAsia="Calibri" w:hAnsi="Times New Roman" w:cs="Helvetica Neue"/>
          <w:i/>
          <w:noProof/>
          <w:color w:val="000000"/>
          <w:kern w:val="0"/>
          <w14:ligatures w14:val="none"/>
        </w:rPr>
      </w:pPr>
      <w:r w:rsidRPr="00FB4E2D">
        <w:rPr>
          <w:rFonts w:ascii="Times New Roman" w:eastAsia="Calibri" w:hAnsi="Times New Roman" w:cs="Times New Roman"/>
          <w:i/>
          <w:noProof/>
          <w:kern w:val="0"/>
          <w:sz w:val="22"/>
          <w:szCs w:val="22"/>
          <w14:ligatures w14:val="none"/>
        </w:rPr>
        <w:t>–</w:t>
      </w:r>
      <w:r w:rsidRPr="00FB4E2D">
        <w:rPr>
          <w:rFonts w:ascii="Times New Roman" w:eastAsia="Calibri" w:hAnsi="Times New Roman" w:cs="Helvetica Neue"/>
          <w:i/>
          <w:noProof/>
          <w:color w:val="000000"/>
          <w:kern w:val="0"/>
          <w14:ligatures w14:val="none"/>
        </w:rPr>
        <w:t xml:space="preserve"> Accessing alternative dispute resolution methods</w:t>
      </w:r>
      <w:bookmarkEnd w:id="306"/>
      <w:bookmarkEnd w:id="307"/>
      <w:bookmarkEnd w:id="308"/>
      <w:bookmarkEnd w:id="309"/>
      <w:r w:rsidRPr="00FB4E2D">
        <w:rPr>
          <w:rFonts w:ascii="Times New Roman" w:eastAsia="Calibri" w:hAnsi="Times New Roman" w:cs="Helvetica Neue"/>
          <w:i/>
          <w:noProof/>
          <w:color w:val="000000"/>
          <w:kern w:val="0"/>
          <w14:ligatures w14:val="none"/>
        </w:rPr>
        <w:t xml:space="preserve"> </w:t>
      </w:r>
      <w:r w:rsidRPr="00FB4E2D">
        <w:rPr>
          <w:rFonts w:ascii="Times New Roman" w:eastAsia="Calibri" w:hAnsi="Times New Roman" w:cs="Times New Roman"/>
          <w:i/>
          <w:noProof/>
          <w:kern w:val="0"/>
          <w:sz w:val="22"/>
          <w:szCs w:val="22"/>
          <w14:ligatures w14:val="none"/>
        </w:rPr>
        <w:t>–</w:t>
      </w:r>
    </w:p>
    <w:p w14:paraId="0617E7FD" w14:textId="77777777" w:rsidR="00A02C07" w:rsidRPr="00FB4E2D" w:rsidRDefault="00A02C07" w:rsidP="00A02C07">
      <w:pPr>
        <w:spacing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Figure 27 shows Member States’ efforts to promote the voluntary use of alternative dispute resolution (ADR) methods with specific incentives. These may vary depending on the area of law (</w:t>
      </w:r>
      <w:r w:rsidRPr="00FB4E2D">
        <w:rPr>
          <w:rFonts w:ascii="Times New Roman" w:eastAsia="Calibri" w:hAnsi="Times New Roman" w:cs="Times New Roman"/>
          <w:noProof/>
          <w:kern w:val="0"/>
          <w:vertAlign w:val="superscript"/>
          <w14:ligatures w14:val="none"/>
        </w:rPr>
        <w:footnoteReference w:id="77"/>
      </w:r>
      <w:r w:rsidRPr="00FB4E2D">
        <w:rPr>
          <w:rFonts w:ascii="Times New Roman" w:eastAsia="Calibri" w:hAnsi="Times New Roman" w:cs="Times New Roman"/>
          <w:noProof/>
          <w:kern w:val="0"/>
          <w14:ligatures w14:val="none"/>
        </w:rPr>
        <w:t xml:space="preserve">). </w:t>
      </w:r>
      <w:bookmarkStart w:id="310" w:name="_Ref441218564"/>
      <w:bookmarkStart w:id="311" w:name="_Ref442346571"/>
    </w:p>
    <w:bookmarkEnd w:id="310"/>
    <w:bookmarkEnd w:id="311"/>
    <w:p w14:paraId="5E2B8F6D"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Promotion of and incentives for using </w:t>
      </w:r>
      <w:r w:rsidRPr="00FB4E2D">
        <w:rPr>
          <w:rFonts w:ascii="Times New Roman" w:eastAsia="Calibri" w:hAnsi="Times New Roman" w:cs="Times New Roman"/>
          <w:b/>
          <w:noProof/>
          <w:kern w:val="0"/>
          <w:u w:val="single"/>
          <w14:ligatures w14:val="none"/>
        </w:rPr>
        <w:t>ADR methods</w:t>
      </w:r>
      <w:r w:rsidRPr="00FB4E2D">
        <w:rPr>
          <w:rFonts w:ascii="Times New Roman" w:eastAsia="Calibri" w:hAnsi="Times New Roman" w:cs="Times New Roman"/>
          <w:b/>
          <w:noProof/>
          <w:kern w:val="0"/>
          <w14:ligatures w14:val="none"/>
        </w:rPr>
        <w:t xml:space="preserve">, 2025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(source: European Commission (</w:t>
      </w:r>
      <w:r w:rsidRPr="00FB4E2D">
        <w:rPr>
          <w:rFonts w:ascii="Times New Roman" w:eastAsia="Calibri" w:hAnsi="Times New Roman" w:cs="Times New Roman"/>
          <w:i/>
          <w:iCs/>
          <w:noProof/>
          <w:kern w:val="0"/>
          <w:vertAlign w:val="superscript"/>
          <w14:ligatures w14:val="none"/>
        </w:rPr>
        <w:footnoteReference w:id="78"/>
      </w:r>
      <w:r w:rsidRPr="00FB4E2D">
        <w:rPr>
          <w:rFonts w:ascii="Times New Roman" w:eastAsia="Calibri" w:hAnsi="Times New Roman" w:cs="Times New Roman"/>
          <w:i/>
          <w:noProof/>
          <w:kern w:val="0"/>
          <w14:ligatures w14:val="none"/>
        </w:rPr>
        <w:t>))</w:t>
      </w:r>
    </w:p>
    <w:p w14:paraId="186B9B54" w14:textId="00CDF14A" w:rsidR="00A02C07" w:rsidRPr="00FB4E2D" w:rsidRDefault="00A02C07" w:rsidP="000433F7">
      <w:pPr>
        <w:spacing w:after="0" w:line="240" w:lineRule="auto"/>
        <w:jc w:val="both"/>
        <w:rPr>
          <w:rFonts w:ascii="Times New Roman" w:eastAsia="Calibri" w:hAnsi="Times New Roman" w:cs="Times New Roman"/>
          <w:i/>
          <w:noProof/>
          <w:kern w:val="0"/>
          <w:sz w:val="20"/>
          <w:szCs w:val="22"/>
          <w:lang w:eastAsia="en-GB"/>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62EDA896" wp14:editId="56DD09E4">
            <wp:extent cx="5760000" cy="3257066"/>
            <wp:effectExtent l="0" t="0" r="0" b="635"/>
            <wp:docPr id="1605616988" name="Picture 22"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16988" name="Picture 22" descr="A graph of different colored bars&#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000" cy="3257066"/>
                    </a:xfrm>
                    <a:prstGeom prst="rect">
                      <a:avLst/>
                    </a:prstGeom>
                    <a:noFill/>
                  </pic:spPr>
                </pic:pic>
              </a:graphicData>
            </a:graphic>
          </wp:inline>
        </w:drawing>
      </w: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Calibri" w:hAnsi="Times New Roman" w:cs="Times New Roman"/>
          <w:i/>
          <w:noProof/>
          <w:kern w:val="0"/>
          <w:sz w:val="20"/>
          <w:szCs w:val="22"/>
          <w:lang w:eastAsia="en-GB"/>
          <w14:ligatures w14:val="none"/>
        </w:rPr>
        <w:t xml:space="preserve">Maximum possible: 68 points. Aggregated indicators based on the following indicators: 1) website providing information on ADR; 2) media publicity campaigns; 3) brochures for the general public; 4) provision by the court of specific information sessions on ADR upon request; 5) court ADR/mediation coordinator; 6) publication of evaluations on the use of ADR; 7) publication of statistics on the use of ADR; 8) partial or full coverage by legal aid of costs ADR incurred; 9) full or partial refund of court fees, including stamp duties, if ADR is successful; 10) no requirement for a lawyer for ADR procedures; 11) judge can act as a mediator; 12) agreement reached by the parties becomes enforceable by the court; 13) possibility to initiate proceedings/file a claim and submit documentary evidence online; 14) parties can be informed of the initiation and different steps of procedures electronically; 15) possibility of online payment of applicable fees; 16) use of technology (artificial intelligence applications, chat bots) to facilitate the submission and resolution of disputes; and 17) other means. For each of these 17 indicators, one point was awarded for each area of law. </w:t>
      </w:r>
      <w:r w:rsidRPr="00FB4E2D">
        <w:rPr>
          <w:rFonts w:ascii="Times New Roman" w:eastAsia="Calibri" w:hAnsi="Times New Roman" w:cs="Times New Roman"/>
          <w:b/>
          <w:i/>
          <w:noProof/>
          <w:kern w:val="0"/>
          <w:sz w:val="20"/>
          <w:szCs w:val="22"/>
          <w14:ligatures w14:val="none"/>
        </w:rPr>
        <w:t>IE</w:t>
      </w:r>
      <w:r w:rsidRPr="00FB4E2D">
        <w:rPr>
          <w:rFonts w:ascii="Times New Roman" w:eastAsia="Calibri" w:hAnsi="Times New Roman" w:cs="Times New Roman"/>
          <w:i/>
          <w:noProof/>
          <w:kern w:val="0"/>
          <w:sz w:val="20"/>
          <w:szCs w:val="22"/>
          <w14:ligatures w14:val="none"/>
        </w:rPr>
        <w:t xml:space="preserve">: Administrative cases fall into the category of civil and commercial cases. </w:t>
      </w:r>
      <w:r w:rsidRPr="00FB4E2D">
        <w:rPr>
          <w:rFonts w:ascii="Times New Roman" w:eastAsia="Calibri" w:hAnsi="Times New Roman" w:cs="Times New Roman"/>
          <w:b/>
          <w:i/>
          <w:noProof/>
          <w:kern w:val="0"/>
          <w:sz w:val="20"/>
          <w:szCs w:val="22"/>
          <w14:ligatures w14:val="none"/>
        </w:rPr>
        <w:t>EL</w:t>
      </w:r>
      <w:r w:rsidRPr="00FB4E2D">
        <w:rPr>
          <w:rFonts w:ascii="Times New Roman" w:eastAsia="Calibri" w:hAnsi="Times New Roman" w:cs="Times New Roman"/>
          <w:i/>
          <w:noProof/>
          <w:kern w:val="0"/>
          <w:sz w:val="20"/>
          <w:szCs w:val="22"/>
          <w14:ligatures w14:val="none"/>
        </w:rPr>
        <w:t>: ADR exists in public procurement procedures before administrative courts of appeal.</w:t>
      </w:r>
      <w:r w:rsidRPr="00FB4E2D">
        <w:rPr>
          <w:rFonts w:ascii="Times New Roman" w:eastAsia="Calibri" w:hAnsi="Times New Roman" w:cs="Times New Roman"/>
          <w:b/>
          <w:i/>
          <w:noProof/>
          <w:kern w:val="0"/>
          <w:sz w:val="20"/>
          <w:szCs w:val="22"/>
          <w14:ligatures w14:val="none"/>
        </w:rPr>
        <w:t xml:space="preserve"> ES</w:t>
      </w:r>
      <w:r w:rsidRPr="00FB4E2D">
        <w:rPr>
          <w:rFonts w:ascii="Times New Roman" w:eastAsia="Calibri" w:hAnsi="Times New Roman" w:cs="Times New Roman"/>
          <w:i/>
          <w:noProof/>
          <w:kern w:val="0"/>
          <w:sz w:val="20"/>
          <w:szCs w:val="22"/>
          <w14:ligatures w14:val="none"/>
        </w:rPr>
        <w:t xml:space="preserve">: ADR is mandatory in labour law cases. </w:t>
      </w:r>
      <w:r w:rsidRPr="00FB4E2D">
        <w:rPr>
          <w:rFonts w:ascii="Times New Roman" w:eastAsia="Calibri" w:hAnsi="Times New Roman" w:cs="Times New Roman"/>
          <w:b/>
          <w:i/>
          <w:noProof/>
          <w:kern w:val="0"/>
          <w:sz w:val="20"/>
          <w:szCs w:val="22"/>
          <w14:ligatures w14:val="none"/>
        </w:rPr>
        <w:t>PT</w:t>
      </w:r>
      <w:r w:rsidRPr="00FB4E2D">
        <w:rPr>
          <w:rFonts w:ascii="Times New Roman" w:eastAsia="Calibri" w:hAnsi="Times New Roman" w:cs="Times New Roman"/>
          <w:i/>
          <w:noProof/>
          <w:kern w:val="0"/>
          <w:sz w:val="20"/>
          <w:szCs w:val="22"/>
          <w14:ligatures w14:val="none"/>
        </w:rPr>
        <w:t xml:space="preserve">: For civil/commercial disputes, court fees are </w:t>
      </w:r>
      <w:r w:rsidR="00EE314A" w:rsidRPr="00FB4E2D">
        <w:rPr>
          <w:rFonts w:ascii="Times New Roman" w:eastAsia="Calibri" w:hAnsi="Times New Roman" w:cs="Times New Roman"/>
          <w:i/>
          <w:noProof/>
          <w:kern w:val="0"/>
          <w:sz w:val="20"/>
          <w:szCs w:val="22"/>
          <w14:ligatures w14:val="none"/>
        </w:rPr>
        <w:t xml:space="preserve">only </w:t>
      </w:r>
      <w:r w:rsidRPr="00FB4E2D">
        <w:rPr>
          <w:rFonts w:ascii="Times New Roman" w:eastAsia="Calibri" w:hAnsi="Times New Roman" w:cs="Times New Roman"/>
          <w:i/>
          <w:noProof/>
          <w:kern w:val="0"/>
          <w:sz w:val="20"/>
          <w:szCs w:val="22"/>
          <w14:ligatures w14:val="none"/>
        </w:rPr>
        <w:t xml:space="preserve">refunded </w:t>
      </w:r>
      <w:r w:rsidR="00EE314A" w:rsidRPr="00FB4E2D">
        <w:rPr>
          <w:rFonts w:ascii="Times New Roman" w:eastAsia="Calibri" w:hAnsi="Times New Roman" w:cs="Times New Roman"/>
          <w:i/>
          <w:noProof/>
          <w:kern w:val="0"/>
          <w:sz w:val="20"/>
          <w:szCs w:val="22"/>
          <w14:ligatures w14:val="none"/>
        </w:rPr>
        <w:t xml:space="preserve">for </w:t>
      </w:r>
      <w:r w:rsidRPr="00FB4E2D">
        <w:rPr>
          <w:rFonts w:ascii="Times New Roman" w:eastAsia="Calibri" w:hAnsi="Times New Roman" w:cs="Times New Roman"/>
          <w:i/>
          <w:noProof/>
          <w:kern w:val="0"/>
          <w:sz w:val="20"/>
          <w:szCs w:val="22"/>
          <w14:ligatures w14:val="none"/>
        </w:rPr>
        <w:t xml:space="preserve">justices of the peace. </w:t>
      </w:r>
      <w:r w:rsidRPr="00FB4E2D">
        <w:rPr>
          <w:rFonts w:ascii="Times New Roman" w:eastAsia="Calibri" w:hAnsi="Times New Roman" w:cs="Times New Roman"/>
          <w:b/>
          <w:i/>
          <w:noProof/>
          <w:kern w:val="0"/>
          <w:sz w:val="20"/>
          <w:szCs w:val="22"/>
          <w14:ligatures w14:val="none"/>
        </w:rPr>
        <w:t>SK</w:t>
      </w:r>
      <w:r w:rsidRPr="00FB4E2D">
        <w:rPr>
          <w:rFonts w:ascii="Times New Roman" w:eastAsia="Calibri" w:hAnsi="Times New Roman" w:cs="Times New Roman"/>
          <w:i/>
          <w:noProof/>
          <w:kern w:val="0"/>
          <w:sz w:val="20"/>
          <w:szCs w:val="22"/>
          <w14:ligatures w14:val="none"/>
        </w:rPr>
        <w:t xml:space="preserve">: The Slovak legal order does not support the use of ADR for administrative purposes. </w:t>
      </w:r>
      <w:r w:rsidRPr="00FB4E2D">
        <w:rPr>
          <w:rFonts w:ascii="Times New Roman" w:eastAsia="Calibri" w:hAnsi="Times New Roman" w:cs="Times New Roman"/>
          <w:b/>
          <w:i/>
          <w:noProof/>
          <w:kern w:val="0"/>
          <w:sz w:val="20"/>
          <w:szCs w:val="22"/>
          <w14:ligatures w14:val="none"/>
        </w:rPr>
        <w:t>FI</w:t>
      </w:r>
      <w:r w:rsidRPr="00FB4E2D">
        <w:rPr>
          <w:rFonts w:ascii="Times New Roman" w:eastAsia="Calibri" w:hAnsi="Times New Roman" w:cs="Times New Roman"/>
          <w:i/>
          <w:noProof/>
          <w:kern w:val="0"/>
          <w:sz w:val="20"/>
          <w:szCs w:val="22"/>
          <w14:ligatures w14:val="none"/>
        </w:rPr>
        <w:t xml:space="preserve">: Consumer and labour disputes are also considered to be civil cases. </w:t>
      </w:r>
      <w:r w:rsidRPr="00FB4E2D">
        <w:rPr>
          <w:rFonts w:ascii="Times New Roman" w:eastAsia="Calibri" w:hAnsi="Times New Roman" w:cs="Times New Roman"/>
          <w:b/>
          <w:i/>
          <w:noProof/>
          <w:kern w:val="0"/>
          <w:sz w:val="20"/>
          <w:szCs w:val="22"/>
          <w14:ligatures w14:val="none"/>
        </w:rPr>
        <w:t>SE</w:t>
      </w:r>
      <w:r w:rsidRPr="00FB4E2D">
        <w:rPr>
          <w:rFonts w:ascii="Times New Roman" w:eastAsia="Calibri" w:hAnsi="Times New Roman" w:cs="Times New Roman"/>
          <w:i/>
          <w:noProof/>
          <w:kern w:val="0"/>
          <w:sz w:val="20"/>
          <w:szCs w:val="22"/>
          <w14:ligatures w14:val="none"/>
        </w:rPr>
        <w:t>: Judges have procedural discretion on ADR. Seeking an amicable dispute settlement is a mandatory task for the judge unless it is inappropriate due to the nature of the case.</w:t>
      </w:r>
      <w:bookmarkStart w:id="312" w:name="_Hlk126931362"/>
      <w:bookmarkStart w:id="313" w:name="_Toc438545678"/>
      <w:bookmarkStart w:id="314" w:name="_Toc438548328"/>
      <w:bookmarkStart w:id="315" w:name="_Toc438548514"/>
      <w:bookmarkStart w:id="316" w:name="_Toc440010581"/>
      <w:bookmarkStart w:id="317" w:name="_Toc440017700"/>
      <w:bookmarkStart w:id="318" w:name="_Toc440033382"/>
      <w:bookmarkStart w:id="319" w:name="_Toc440035233"/>
      <w:bookmarkStart w:id="320" w:name="_Toc440036528"/>
      <w:bookmarkStart w:id="321" w:name="_Toc440042470"/>
      <w:bookmarkStart w:id="322" w:name="_Toc440291123"/>
      <w:bookmarkStart w:id="323" w:name="_Toc440294686"/>
      <w:bookmarkStart w:id="324" w:name="_Toc440295188"/>
      <w:bookmarkStart w:id="325" w:name="_Toc440296593"/>
      <w:bookmarkStart w:id="326" w:name="_Toc440625077"/>
      <w:bookmarkStart w:id="327" w:name="_Toc440626407"/>
      <w:bookmarkStart w:id="328" w:name="_Toc440628861"/>
      <w:bookmarkStart w:id="329" w:name="_Toc441571134"/>
      <w:bookmarkStart w:id="330" w:name="_Toc441581636"/>
      <w:bookmarkStart w:id="331" w:name="_Toc441585903"/>
      <w:bookmarkStart w:id="332" w:name="_Toc441595838"/>
      <w:bookmarkStart w:id="333" w:name="_Toc441596015"/>
      <w:bookmarkStart w:id="334" w:name="_Toc441748140"/>
      <w:bookmarkStart w:id="335" w:name="_Toc441755425"/>
      <w:bookmarkStart w:id="336" w:name="_Toc441756462"/>
      <w:bookmarkStart w:id="337" w:name="_Toc441757506"/>
      <w:bookmarkStart w:id="338" w:name="_Toc441766635"/>
      <w:bookmarkStart w:id="339" w:name="_Toc441766974"/>
    </w:p>
    <w:p w14:paraId="7332B097" w14:textId="77777777" w:rsidR="00A02C07" w:rsidRPr="00FB4E2D" w:rsidRDefault="00A02C07" w:rsidP="00A02C07">
      <w:pPr>
        <w:spacing w:before="240" w:after="120" w:line="240" w:lineRule="auto"/>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14:ligatures w14:val="none"/>
        </w:rPr>
        <w:t>–</w:t>
      </w:r>
      <w:r w:rsidRPr="00FB4E2D">
        <w:rPr>
          <w:rFonts w:ascii="Times New Roman" w:eastAsia="Calibri" w:hAnsi="Times New Roman" w:cs="Times New Roman"/>
          <w:i/>
          <w:noProof/>
          <w:color w:val="000000"/>
          <w:kern w:val="0"/>
          <w:sz w:val="28"/>
          <w:szCs w:val="28"/>
          <w14:ligatures w14:val="none"/>
        </w:rPr>
        <w:t xml:space="preserve"> </w:t>
      </w:r>
      <w:r w:rsidRPr="00FB4E2D">
        <w:rPr>
          <w:rFonts w:ascii="Times New Roman" w:eastAsia="Calibri" w:hAnsi="Times New Roman" w:cs="Times New Roman"/>
          <w:i/>
          <w:noProof/>
          <w:kern w:val="0"/>
          <w14:ligatures w14:val="none"/>
        </w:rPr>
        <w:t>Specific arrangements for access to justice –</w:t>
      </w:r>
    </w:p>
    <w:bookmarkEnd w:id="312"/>
    <w:p w14:paraId="7AAD9134" w14:textId="2388809A" w:rsidR="00A02C07" w:rsidRPr="00FB4E2D" w:rsidRDefault="00A02C07" w:rsidP="00A02C07">
      <w:pPr>
        <w:spacing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The 2022 EU Justice Scoreboard presented dedicated figures on specific arrangements to facilitate equal access to justice of persons with disabilities. The 2023 EU Justice Scoreboard continued to further explore selected specific arrangements that facilitate equal access to justice for persons at risk of discrimination, and also for two specific groups: older people and victims of violence against women and domestic violence. The 2026 EU Justice Scoreboard again presents data on access to justice for persons with disabilities.</w:t>
      </w:r>
    </w:p>
    <w:p w14:paraId="6FA87DEF" w14:textId="13AC8B73" w:rsidR="00A02C07" w:rsidRPr="00FB4E2D" w:rsidRDefault="00A02C07" w:rsidP="00A02C07">
      <w:pPr>
        <w:spacing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The chart below outlines the digital solutions accessible for persons with disabilities at first instance courts. The chart shows the accessibility of different solutions in civil and commercial, criminal, and administrative justice.</w:t>
      </w:r>
    </w:p>
    <w:p w14:paraId="2DF43861" w14:textId="7B4CC35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Digital solutions at first instance courts accessible for persons with disabilities, which comply with the relevant accessibility standards and legislation  </w:t>
      </w:r>
      <w:r w:rsidRPr="00FB4E2D">
        <w:rPr>
          <w:rFonts w:ascii="Times New Roman" w:eastAsia="Calibri" w:hAnsi="Times New Roman" w:cs="Times New Roman"/>
          <w:i/>
          <w:noProof/>
          <w:kern w:val="0"/>
          <w14:ligatures w14:val="none"/>
        </w:rPr>
        <w:t>(source: European Commission (</w:t>
      </w:r>
      <w:r w:rsidRPr="00FB4E2D">
        <w:rPr>
          <w:rFonts w:ascii="Times New Roman" w:eastAsia="Calibri" w:hAnsi="Times New Roman" w:cs="Times New Roman"/>
          <w:i/>
          <w:iCs/>
          <w:noProof/>
          <w:kern w:val="0"/>
          <w:vertAlign w:val="superscript"/>
          <w14:ligatures w14:val="none"/>
        </w:rPr>
        <w:footnoteReference w:id="79"/>
      </w:r>
      <w:r w:rsidRPr="00FB4E2D">
        <w:rPr>
          <w:rFonts w:ascii="Times New Roman" w:eastAsia="Calibri" w:hAnsi="Times New Roman" w:cs="Times New Roman"/>
          <w:i/>
          <w:noProof/>
          <w:kern w:val="0"/>
          <w14:ligatures w14:val="none"/>
        </w:rPr>
        <w:t>))</w:t>
      </w:r>
    </w:p>
    <w:p w14:paraId="669DE1CA" w14:textId="77777777" w:rsidR="00067E4B" w:rsidRPr="00FB4E2D" w:rsidRDefault="00A02C07" w:rsidP="000433F7">
      <w:pPr>
        <w:spacing w:after="0" w:line="240" w:lineRule="auto"/>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lang w:val="en-GB" w:eastAsia="en-GB"/>
          <w14:ligatures w14:val="none"/>
        </w:rPr>
        <w:drawing>
          <wp:inline distT="0" distB="0" distL="0" distR="0" wp14:anchorId="310D6346" wp14:editId="265A9B78">
            <wp:extent cx="5760000" cy="2731172"/>
            <wp:effectExtent l="0" t="0" r="0" b="0"/>
            <wp:docPr id="115142598" name="Picture 2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2598" name="Picture 21" descr="A graph of different colored squares&#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60000" cy="2731172"/>
                    </a:xfrm>
                    <a:prstGeom prst="rect">
                      <a:avLst/>
                    </a:prstGeom>
                    <a:noFill/>
                  </pic:spPr>
                </pic:pic>
              </a:graphicData>
            </a:graphic>
          </wp:inline>
        </w:drawing>
      </w:r>
    </w:p>
    <w:p w14:paraId="65FB285C" w14:textId="77777777" w:rsidR="00067E4B" w:rsidRPr="00FB4E2D" w:rsidRDefault="00067E4B" w:rsidP="000433F7">
      <w:pPr>
        <w:spacing w:after="0" w:line="240" w:lineRule="auto"/>
        <w:rPr>
          <w:rFonts w:ascii="Times New Roman" w:eastAsia="Times New Roman" w:hAnsi="Times New Roman" w:cs="Times New Roman"/>
          <w:noProof/>
          <w:kern w:val="0"/>
          <w14:ligatures w14:val="none"/>
        </w:rPr>
      </w:pPr>
    </w:p>
    <w:p w14:paraId="2D9C0DA6" w14:textId="51EC0150" w:rsidR="00A02C07" w:rsidRPr="00FB4E2D" w:rsidRDefault="00A02C07" w:rsidP="000433F7">
      <w:pPr>
        <w:spacing w:after="0" w:line="240" w:lineRule="auto"/>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Figure 29 complements Figure 19 on the efficiency of proceedings in the area of consumer law by showing specific selected measures undertaken by EU Member States to increase awareness on the new European model of collective redress (</w:t>
      </w:r>
      <w:r w:rsidRPr="00FB4E2D">
        <w:rPr>
          <w:rFonts w:ascii="Times New Roman" w:eastAsia="Times New Roman" w:hAnsi="Times New Roman" w:cs="Times New Roman"/>
          <w:noProof/>
          <w:kern w:val="0"/>
          <w:vertAlign w:val="superscript"/>
          <w14:ligatures w14:val="none"/>
        </w:rPr>
        <w:footnoteReference w:id="80"/>
      </w:r>
      <w:r w:rsidRPr="00FB4E2D">
        <w:rPr>
          <w:rFonts w:ascii="Times New Roman" w:eastAsia="Times New Roman" w:hAnsi="Times New Roman" w:cs="Times New Roman"/>
          <w:noProof/>
          <w:kern w:val="0"/>
          <w14:ligatures w14:val="none"/>
        </w:rPr>
        <w:t xml:space="preserve">) aimed at improving consumers’ access to justice in mass harm situations. </w:t>
      </w:r>
    </w:p>
    <w:p w14:paraId="56C45B2A" w14:textId="77777777" w:rsidR="00A02C07" w:rsidRPr="00FB4E2D" w:rsidRDefault="00A02C07" w:rsidP="00A02C07">
      <w:pPr>
        <w:spacing w:line="259" w:lineRule="auto"/>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45EA4D7F" w14:textId="0AC74134" w:rsidR="00A02C07" w:rsidRPr="00FB4E2D" w:rsidRDefault="00A02C07" w:rsidP="00A02C07">
      <w:pPr>
        <w:spacing w:before="240" w:after="120" w:line="240" w:lineRule="auto"/>
        <w:jc w:val="both"/>
        <w:rPr>
          <w:rFonts w:ascii="Times New Roman" w:eastAsia="Calibri" w:hAnsi="Times New Roman" w:cs="Times New Roman"/>
          <w:b/>
          <w:i/>
          <w:noProof/>
          <w:kern w:val="0"/>
          <w:sz w:val="22"/>
          <w:szCs w:val="22"/>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Specific arrangements for representative action protecting the collective interests of consumers, 2025 </w:t>
      </w:r>
      <w:r w:rsidRPr="00FB4E2D">
        <w:rPr>
          <w:rFonts w:ascii="Times New Roman" w:eastAsia="Calibri" w:hAnsi="Times New Roman" w:cs="Times New Roman"/>
          <w:noProof/>
          <w:kern w:val="0"/>
          <w14:ligatures w14:val="none"/>
        </w:rPr>
        <w:t>(*) (</w:t>
      </w:r>
      <w:r w:rsidRPr="00FB4E2D">
        <w:rPr>
          <w:rFonts w:ascii="Times New Roman" w:eastAsia="Calibri" w:hAnsi="Times New Roman" w:cs="Times New Roman"/>
          <w:i/>
          <w:noProof/>
          <w:kern w:val="0"/>
          <w14:ligatures w14:val="none"/>
        </w:rPr>
        <w:t>source: European Commission (</w:t>
      </w:r>
      <w:r w:rsidRPr="00FB4E2D">
        <w:rPr>
          <w:rFonts w:ascii="Times New Roman" w:eastAsia="Yu Mincho" w:hAnsi="Times New Roman" w:cs="Times New Roman"/>
          <w:noProof/>
          <w:kern w:val="0"/>
          <w:vertAlign w:val="superscript"/>
          <w14:ligatures w14:val="none"/>
        </w:rPr>
        <w:footnoteReference w:id="81"/>
      </w:r>
      <w:r w:rsidRPr="00FB4E2D">
        <w:rPr>
          <w:rFonts w:ascii="Times New Roman" w:eastAsia="Calibri" w:hAnsi="Times New Roman" w:cs="Times New Roman"/>
          <w:i/>
          <w:noProof/>
          <w:kern w:val="0"/>
          <w14:ligatures w14:val="none"/>
        </w:rPr>
        <w:t>)</w:t>
      </w:r>
      <w:r w:rsidRPr="00FB4E2D">
        <w:rPr>
          <w:rFonts w:ascii="Times New Roman" w:eastAsia="Calibri" w:hAnsi="Times New Roman" w:cs="Times New Roman"/>
          <w:noProof/>
          <w:kern w:val="0"/>
          <w14:ligatures w14:val="none"/>
        </w:rPr>
        <w:t>)</w:t>
      </w:r>
    </w:p>
    <w:p w14:paraId="06132271" w14:textId="58A26106" w:rsidR="00A02C07" w:rsidRPr="00FB4E2D" w:rsidRDefault="00A02C07" w:rsidP="00B259E3">
      <w:pPr>
        <w:spacing w:after="0" w:line="259" w:lineRule="auto"/>
        <w:jc w:val="both"/>
        <w:rPr>
          <w:rFonts w:ascii="Calibri" w:eastAsia="Yu Mincho" w:hAnsi="Calibri" w:cs="Arial"/>
          <w:noProof/>
          <w:kern w:val="0"/>
          <w:sz w:val="22"/>
          <w:szCs w:val="22"/>
          <w14:ligatures w14:val="none"/>
        </w:rPr>
      </w:pPr>
      <w:r w:rsidRPr="00FB4E2D">
        <w:rPr>
          <w:rFonts w:ascii="Calibri" w:eastAsia="Yu Mincho" w:hAnsi="Calibri" w:cs="Arial"/>
          <w:noProof/>
          <w:kern w:val="0"/>
          <w:sz w:val="22"/>
          <w:szCs w:val="22"/>
          <w:lang w:val="en-GB" w:eastAsia="en-GB"/>
          <w14:ligatures w14:val="none"/>
        </w:rPr>
        <w:drawing>
          <wp:inline distT="0" distB="0" distL="0" distR="0" wp14:anchorId="2A15D5C3" wp14:editId="080FF7C2">
            <wp:extent cx="5760000" cy="2947912"/>
            <wp:effectExtent l="0" t="0" r="0" b="5080"/>
            <wp:docPr id="1709062239" name="Picture 20"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62239" name="Picture 20" descr="A graph of different colored squares&#10;&#10;AI-generated content may be incorrec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0000" cy="2947912"/>
                    </a:xfrm>
                    <a:prstGeom prst="rect">
                      <a:avLst/>
                    </a:prstGeom>
                    <a:noFill/>
                  </pic:spPr>
                </pic:pic>
              </a:graphicData>
            </a:graphic>
          </wp:inline>
        </w:drawing>
      </w:r>
      <w:r w:rsidRPr="00FB4E2D">
        <w:rPr>
          <w:rFonts w:ascii="Times New Roman" w:eastAsia="Calibri" w:hAnsi="Times New Roman" w:cs="Times New Roman"/>
          <w:i/>
          <w:noProof/>
          <w:kern w:val="0"/>
          <w:sz w:val="20"/>
          <w:szCs w:val="22"/>
          <w14:ligatures w14:val="none"/>
        </w:rPr>
        <w:t xml:space="preserve">(*) Representative actions as set out by Directive (EU) 2020/1828. They are actions brought by qualified entities before national courts or administrative authorities on behalf of groups of consumers to seek injunctive measures (i.e. to stop a trader’s unlawful practices, similarly to what is provided for in the Injunctions Directive 2009/22/EC), redress measures (such as refund, replacement, repair) or both injunctive and redress measures. This question intends to collect information on specific practices, which are not necessarily directly linked to the implementation of the Directive. Data are not reported for </w:t>
      </w:r>
      <w:r w:rsidRPr="00FB4E2D">
        <w:rPr>
          <w:rFonts w:ascii="Times New Roman" w:eastAsia="Calibri" w:hAnsi="Times New Roman" w:cs="Times New Roman"/>
          <w:b/>
          <w:i/>
          <w:noProof/>
          <w:kern w:val="0"/>
          <w:sz w:val="20"/>
          <w:szCs w:val="22"/>
          <w14:ligatures w14:val="none"/>
        </w:rPr>
        <w:t>HR, LU, RO</w:t>
      </w:r>
      <w:r w:rsidRPr="00FB4E2D">
        <w:rPr>
          <w:rFonts w:ascii="Times New Roman" w:eastAsia="Times New Roman" w:hAnsi="Times New Roman" w:cs="Times New Roman"/>
          <w:i/>
          <w:noProof/>
          <w:kern w:val="0"/>
          <w:sz w:val="20"/>
          <w:szCs w:val="20"/>
          <w:lang w:eastAsia="en-IE"/>
          <w14:ligatures w14:val="none"/>
        </w:rPr>
        <w:t>.</w:t>
      </w:r>
      <w:r w:rsidRPr="00FB4E2D">
        <w:rPr>
          <w:rFonts w:ascii="Times New Roman" w:eastAsia="Calibri" w:hAnsi="Times New Roman" w:cs="Times New Roman"/>
          <w:i/>
          <w:noProof/>
          <w:kern w:val="0"/>
          <w:sz w:val="20"/>
          <w:szCs w:val="22"/>
          <w14:ligatures w14:val="none"/>
        </w:rPr>
        <w:t xml:space="preserve"> </w:t>
      </w:r>
      <w:r w:rsidRPr="00FB4E2D">
        <w:rPr>
          <w:rFonts w:ascii="Times New Roman" w:eastAsia="Times New Roman" w:hAnsi="Times New Roman" w:cs="Times New Roman"/>
          <w:b/>
          <w:i/>
          <w:noProof/>
          <w:kern w:val="0"/>
          <w:sz w:val="20"/>
          <w:szCs w:val="20"/>
          <w:lang w:eastAsia="en-IE"/>
          <w14:ligatures w14:val="none"/>
        </w:rPr>
        <w:t>BE</w:t>
      </w:r>
      <w:r w:rsidRPr="00FB4E2D">
        <w:rPr>
          <w:rFonts w:ascii="Times New Roman" w:eastAsia="Times New Roman" w:hAnsi="Times New Roman" w:cs="Times New Roman"/>
          <w:i/>
          <w:noProof/>
          <w:kern w:val="0"/>
          <w:sz w:val="20"/>
          <w:szCs w:val="20"/>
          <w:lang w:eastAsia="en-IE"/>
          <w14:ligatures w14:val="none"/>
        </w:rPr>
        <w:t xml:space="preserve">: there is no registry but certain decisions have to be published on the website of the Ministry of Economy and the official journal. </w:t>
      </w:r>
      <w:r w:rsidRPr="00FB4E2D">
        <w:rPr>
          <w:rFonts w:ascii="Times New Roman" w:eastAsia="Times New Roman" w:hAnsi="Times New Roman" w:cs="Times New Roman"/>
          <w:b/>
          <w:i/>
          <w:noProof/>
          <w:kern w:val="0"/>
          <w:sz w:val="20"/>
          <w:szCs w:val="20"/>
          <w:lang w:eastAsia="en-IE"/>
          <w14:ligatures w14:val="none"/>
        </w:rPr>
        <w:t>DK</w:t>
      </w:r>
      <w:r w:rsidRPr="00FB4E2D">
        <w:rPr>
          <w:rFonts w:ascii="Times New Roman" w:eastAsia="Times New Roman" w:hAnsi="Times New Roman" w:cs="Times New Roman"/>
          <w:i/>
          <w:noProof/>
          <w:kern w:val="0"/>
          <w:sz w:val="20"/>
          <w:szCs w:val="20"/>
          <w:lang w:eastAsia="en-IE"/>
          <w14:ligatures w14:val="none"/>
        </w:rPr>
        <w:t xml:space="preserve">: Currently, the qualified entities are the Danish Consumer Ombudsman (Forbrugerombudsmanden) and the Danish Medicines Agency (Lægemiddelstyrelsen) which are both supported by public funding. </w:t>
      </w:r>
      <w:r w:rsidRPr="00FB4E2D">
        <w:rPr>
          <w:rFonts w:ascii="Times New Roman" w:eastAsia="Times New Roman" w:hAnsi="Times New Roman" w:cs="Times New Roman"/>
          <w:b/>
          <w:i/>
          <w:noProof/>
          <w:kern w:val="0"/>
          <w:sz w:val="20"/>
          <w:szCs w:val="20"/>
          <w:lang w:eastAsia="en-IE"/>
          <w14:ligatures w14:val="none"/>
        </w:rPr>
        <w:t>EE</w:t>
      </w:r>
      <w:r w:rsidRPr="00FB4E2D">
        <w:rPr>
          <w:rFonts w:ascii="Times New Roman" w:eastAsia="Times New Roman" w:hAnsi="Times New Roman" w:cs="Times New Roman"/>
          <w:i/>
          <w:noProof/>
          <w:kern w:val="0"/>
          <w:sz w:val="20"/>
          <w:szCs w:val="20"/>
          <w:lang w:eastAsia="en-IE"/>
          <w14:ligatures w14:val="none"/>
        </w:rPr>
        <w:t xml:space="preserve">: consumer disputes are heard at the Consumer Disputes Committee which is an independent and impartial entity resolving consumer disputes. </w:t>
      </w:r>
      <w:r w:rsidRPr="00FB4E2D">
        <w:rPr>
          <w:rFonts w:ascii="Times New Roman" w:eastAsia="Times New Roman" w:hAnsi="Times New Roman" w:cs="Times New Roman"/>
          <w:b/>
          <w:i/>
          <w:noProof/>
          <w:kern w:val="0"/>
          <w:sz w:val="20"/>
          <w:szCs w:val="20"/>
          <w:lang w:eastAsia="en-IE"/>
          <w14:ligatures w14:val="none"/>
        </w:rPr>
        <w:t>IE</w:t>
      </w:r>
      <w:r w:rsidRPr="00FB4E2D">
        <w:rPr>
          <w:rFonts w:ascii="Times New Roman" w:eastAsia="Times New Roman" w:hAnsi="Times New Roman" w:cs="Times New Roman"/>
          <w:i/>
          <w:noProof/>
          <w:kern w:val="0"/>
          <w:sz w:val="20"/>
          <w:szCs w:val="20"/>
          <w:lang w:eastAsia="en-IE"/>
          <w14:ligatures w14:val="none"/>
        </w:rPr>
        <w:t xml:space="preserve">: the Citizens Information website has published an article on representative actions as part of their ‘How to complain’ information page for consumers. </w:t>
      </w:r>
      <w:r w:rsidRPr="00FB4E2D">
        <w:rPr>
          <w:rFonts w:ascii="Times New Roman" w:eastAsia="Times New Roman" w:hAnsi="Times New Roman" w:cs="Times New Roman"/>
          <w:b/>
          <w:i/>
          <w:noProof/>
          <w:kern w:val="0"/>
          <w:sz w:val="20"/>
          <w:szCs w:val="20"/>
          <w:lang w:eastAsia="en-IE"/>
          <w14:ligatures w14:val="none"/>
        </w:rPr>
        <w:t>EL</w:t>
      </w:r>
      <w:r w:rsidRPr="00FB4E2D">
        <w:rPr>
          <w:rFonts w:ascii="Times New Roman" w:eastAsia="Times New Roman" w:hAnsi="Times New Roman" w:cs="Times New Roman"/>
          <w:i/>
          <w:noProof/>
          <w:kern w:val="0"/>
          <w:sz w:val="20"/>
          <w:szCs w:val="20"/>
          <w:lang w:eastAsia="en-IE"/>
          <w14:ligatures w14:val="none"/>
        </w:rPr>
        <w:t xml:space="preserve">: Law 5019/2023 puts in place a new system of representative actions. </w:t>
      </w:r>
      <w:r w:rsidRPr="00FB4E2D">
        <w:rPr>
          <w:rFonts w:ascii="Times New Roman" w:eastAsia="Times New Roman" w:hAnsi="Times New Roman" w:cs="Times New Roman"/>
          <w:b/>
          <w:i/>
          <w:noProof/>
          <w:kern w:val="0"/>
          <w:sz w:val="20"/>
          <w:szCs w:val="20"/>
          <w:lang w:eastAsia="en-IE"/>
          <w14:ligatures w14:val="none"/>
        </w:rPr>
        <w:t>LV</w:t>
      </w:r>
      <w:r w:rsidRPr="00FB4E2D">
        <w:rPr>
          <w:rFonts w:ascii="Times New Roman" w:eastAsia="Times New Roman" w:hAnsi="Times New Roman" w:cs="Times New Roman"/>
          <w:i/>
          <w:noProof/>
          <w:kern w:val="0"/>
          <w:sz w:val="20"/>
          <w:szCs w:val="20"/>
          <w:lang w:eastAsia="en-IE"/>
          <w14:ligatures w14:val="none"/>
        </w:rPr>
        <w:t xml:space="preserve">: There is one cross-border qualified entity designated in Latvia. There have not been any representative action cases yet. </w:t>
      </w:r>
      <w:r w:rsidRPr="00FB4E2D">
        <w:rPr>
          <w:rFonts w:ascii="Times New Roman" w:eastAsia="Times New Roman" w:hAnsi="Times New Roman" w:cs="Times New Roman"/>
          <w:b/>
          <w:i/>
          <w:noProof/>
          <w:kern w:val="0"/>
          <w:sz w:val="20"/>
          <w:szCs w:val="20"/>
          <w:lang w:eastAsia="en-IE"/>
          <w14:ligatures w14:val="none"/>
        </w:rPr>
        <w:t>LT</w:t>
      </w:r>
      <w:r w:rsidRPr="00FB4E2D">
        <w:rPr>
          <w:rFonts w:ascii="Times New Roman" w:eastAsia="Times New Roman" w:hAnsi="Times New Roman" w:cs="Times New Roman"/>
          <w:i/>
          <w:noProof/>
          <w:kern w:val="0"/>
          <w:sz w:val="20"/>
          <w:szCs w:val="20"/>
          <w:lang w:eastAsia="en-IE"/>
          <w14:ligatures w14:val="none"/>
        </w:rPr>
        <w:t xml:space="preserve">: Public awareness measures </w:t>
      </w:r>
      <w:r w:rsidR="00EE314A" w:rsidRPr="00FB4E2D">
        <w:rPr>
          <w:rFonts w:ascii="Times New Roman" w:eastAsia="Times New Roman" w:hAnsi="Times New Roman" w:cs="Times New Roman"/>
          <w:i/>
          <w:noProof/>
          <w:kern w:val="0"/>
          <w:sz w:val="20"/>
          <w:szCs w:val="20"/>
          <w:lang w:eastAsia="en-IE"/>
          <w14:ligatures w14:val="none"/>
        </w:rPr>
        <w:t xml:space="preserve">on </w:t>
      </w:r>
      <w:r w:rsidRPr="00FB4E2D">
        <w:rPr>
          <w:rFonts w:ascii="Times New Roman" w:eastAsia="Times New Roman" w:hAnsi="Times New Roman" w:cs="Times New Roman"/>
          <w:i/>
          <w:noProof/>
          <w:kern w:val="0"/>
          <w:sz w:val="20"/>
          <w:szCs w:val="20"/>
          <w:lang w:eastAsia="en-IE"/>
          <w14:ligatures w14:val="none"/>
        </w:rPr>
        <w:t xml:space="preserve">consumer representative actions are mainly implemented by providing relevant information on the websites of the State Consumer Rights Protection Authority (SCRPA) and consumer associations (e.g. memo published on the website of SCRPA, </w:t>
      </w:r>
      <w:hyperlink r:id="rId47" w:history="1">
        <w:r w:rsidRPr="00FB4E2D">
          <w:rPr>
            <w:rFonts w:ascii="Times New Roman" w:eastAsia="Times New Roman" w:hAnsi="Times New Roman" w:cs="Times New Roman"/>
            <w:i/>
            <w:noProof/>
            <w:color w:val="0000FF"/>
            <w:kern w:val="0"/>
            <w:sz w:val="20"/>
            <w:szCs w:val="20"/>
            <w:u w:val="single"/>
            <w:lang w:eastAsia="en-IE"/>
            <w14:ligatures w14:val="none"/>
          </w:rPr>
          <w:t>https://vvtat.lrv.lt/media/viesa/saugykla/2024/2/o2moBOazC4c.pdf</w:t>
        </w:r>
      </w:hyperlink>
      <w:r w:rsidRPr="00FB4E2D">
        <w:rPr>
          <w:rFonts w:ascii="Times New Roman" w:eastAsia="Times New Roman" w:hAnsi="Times New Roman" w:cs="Times New Roman"/>
          <w:i/>
          <w:noProof/>
          <w:kern w:val="0"/>
          <w:sz w:val="20"/>
          <w:szCs w:val="20"/>
          <w:lang w:eastAsia="en-IE"/>
          <w14:ligatures w14:val="none"/>
        </w:rPr>
        <w:t xml:space="preserve">). </w:t>
      </w:r>
      <w:r w:rsidRPr="00FB4E2D">
        <w:rPr>
          <w:rFonts w:ascii="Times New Roman" w:eastAsia="Times New Roman" w:hAnsi="Times New Roman" w:cs="Times New Roman"/>
          <w:b/>
          <w:i/>
          <w:noProof/>
          <w:kern w:val="0"/>
          <w:sz w:val="20"/>
          <w:szCs w:val="20"/>
          <w:lang w:eastAsia="en-IE"/>
          <w14:ligatures w14:val="none"/>
        </w:rPr>
        <w:t>PT</w:t>
      </w:r>
      <w:r w:rsidRPr="00FB4E2D">
        <w:rPr>
          <w:rFonts w:ascii="Times New Roman" w:eastAsia="Times New Roman" w:hAnsi="Times New Roman" w:cs="Times New Roman"/>
          <w:i/>
          <w:noProof/>
          <w:kern w:val="0"/>
          <w:sz w:val="20"/>
          <w:szCs w:val="20"/>
          <w:lang w:eastAsia="en-IE"/>
          <w14:ligatures w14:val="none"/>
        </w:rPr>
        <w:t xml:space="preserve">: The list of the representative actions brought before PT courts is available on the Directorate-General for Consumers’ website, as well as the contact of the entity and any relevant document for consumers: </w:t>
      </w:r>
      <w:hyperlink r:id="rId48" w:history="1">
        <w:r w:rsidRPr="00FB4E2D">
          <w:rPr>
            <w:rFonts w:ascii="Times New Roman" w:eastAsia="Times New Roman" w:hAnsi="Times New Roman" w:cs="Times New Roman"/>
            <w:i/>
            <w:noProof/>
            <w:color w:val="0000FF"/>
            <w:kern w:val="0"/>
            <w:sz w:val="20"/>
            <w:szCs w:val="20"/>
            <w:u w:val="single"/>
            <w:lang w:eastAsia="en-IE"/>
            <w14:ligatures w14:val="none"/>
          </w:rPr>
          <w:t>https://www.consumidor.gov.pt/consumidor_4/acoes-coletivas/informacoes-sobre-acoes-coletivas</w:t>
        </w:r>
      </w:hyperlink>
      <w:r w:rsidRPr="00FB4E2D">
        <w:rPr>
          <w:rFonts w:ascii="Times New Roman" w:eastAsia="Times New Roman" w:hAnsi="Times New Roman" w:cs="Times New Roman"/>
          <w:i/>
          <w:noProof/>
          <w:kern w:val="0"/>
          <w:sz w:val="20"/>
          <w:szCs w:val="20"/>
          <w:lang w:eastAsia="en-IE"/>
          <w14:ligatures w14:val="none"/>
        </w:rPr>
        <w:t xml:space="preserve">. </w:t>
      </w:r>
      <w:r w:rsidRPr="00FB4E2D">
        <w:rPr>
          <w:rFonts w:ascii="Times New Roman" w:eastAsia="Times New Roman" w:hAnsi="Times New Roman" w:cs="Times New Roman"/>
          <w:b/>
          <w:i/>
          <w:noProof/>
          <w:kern w:val="0"/>
          <w:sz w:val="20"/>
          <w:szCs w:val="20"/>
          <w:lang w:eastAsia="en-IE"/>
          <w14:ligatures w14:val="none"/>
        </w:rPr>
        <w:t>SK</w:t>
      </w:r>
      <w:r w:rsidRPr="00FB4E2D">
        <w:rPr>
          <w:rFonts w:ascii="Times New Roman" w:eastAsia="Times New Roman" w:hAnsi="Times New Roman" w:cs="Times New Roman"/>
          <w:i/>
          <w:noProof/>
          <w:kern w:val="0"/>
          <w:sz w:val="20"/>
          <w:szCs w:val="20"/>
          <w:lang w:eastAsia="en-IE"/>
          <w14:ligatures w14:val="none"/>
        </w:rPr>
        <w:t xml:space="preserve">: consumers are able to join the collective action through any notary. The application form is available at the following link </w:t>
      </w:r>
      <w:hyperlink r:id="rId49" w:history="1">
        <w:r w:rsidRPr="00FB4E2D">
          <w:rPr>
            <w:rFonts w:ascii="Times New Roman" w:eastAsia="Times New Roman" w:hAnsi="Times New Roman" w:cs="Times New Roman"/>
            <w:i/>
            <w:noProof/>
            <w:color w:val="0000FF"/>
            <w:kern w:val="0"/>
            <w:sz w:val="20"/>
            <w:szCs w:val="20"/>
            <w:u w:val="single"/>
            <w:lang w:eastAsia="en-IE"/>
            <w14:ligatures w14:val="none"/>
          </w:rPr>
          <w:t>https://static.slov-lex.sk/pdf/prilohy/SK/ZZ/2023/289/20230725_5563264-2.pdf</w:t>
        </w:r>
      </w:hyperlink>
      <w:r w:rsidRPr="00FB4E2D">
        <w:rPr>
          <w:rFonts w:ascii="Times New Roman" w:eastAsia="Times New Roman" w:hAnsi="Times New Roman" w:cs="Times New Roman"/>
          <w:i/>
          <w:noProof/>
          <w:kern w:val="0"/>
          <w:sz w:val="20"/>
          <w:szCs w:val="20"/>
          <w:lang w:eastAsia="en-IE"/>
          <w14:ligatures w14:val="none"/>
        </w:rPr>
        <w:t xml:space="preserve">. </w:t>
      </w:r>
    </w:p>
    <w:p w14:paraId="271CFCD4" w14:textId="77777777" w:rsidR="00A02C07" w:rsidRPr="00FB4E2D" w:rsidRDefault="00A02C07" w:rsidP="00A02C07">
      <w:pPr>
        <w:spacing w:before="240" w:line="240" w:lineRule="auto"/>
        <w:jc w:val="both"/>
        <w:rPr>
          <w:rFonts w:ascii="Calibri" w:eastAsia="Yu Mincho" w:hAnsi="Calibri" w:cs="Arial"/>
          <w:noProof/>
          <w:kern w:val="0"/>
          <w:sz w:val="22"/>
          <w:szCs w:val="22"/>
          <w14:ligatures w14:val="none"/>
        </w:rPr>
      </w:pPr>
      <w:r w:rsidRPr="00FB4E2D">
        <w:rPr>
          <w:rFonts w:ascii="Times New Roman" w:eastAsia="Times New Roman" w:hAnsi="Times New Roman" w:cs="Times New Roman"/>
          <w:noProof/>
          <w:kern w:val="0"/>
          <w14:ligatures w14:val="none"/>
        </w:rPr>
        <w:t>The 2026 EU Justice Scoreboard extends the analysis of child-friendly justice. Figure 30 looks at a broader variety of specific arrangements for child-friendly justice (both civil and criminal/juvenile justice proceedings). Figure 31 explores a broader range of specific arrangements available when a child is involved as a victim or as a suspect/accused person in judicial proceedings.</w:t>
      </w:r>
      <w:bookmarkStart w:id="340" w:name="_Hlk158557360"/>
    </w:p>
    <w:p w14:paraId="1E1C1833" w14:textId="77777777" w:rsidR="00A02C07" w:rsidRPr="00FB4E2D" w:rsidRDefault="00A02C07" w:rsidP="00A02C07">
      <w:pPr>
        <w:spacing w:before="240" w:after="12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Specific arrangements for </w:t>
      </w:r>
      <w:r w:rsidRPr="00FB4E2D">
        <w:rPr>
          <w:rFonts w:ascii="Times New Roman" w:eastAsia="Calibri" w:hAnsi="Times New Roman" w:cs="Times New Roman"/>
          <w:b/>
          <w:noProof/>
          <w:kern w:val="0"/>
          <w:u w:val="single"/>
          <w14:ligatures w14:val="none"/>
        </w:rPr>
        <w:t>child-friendly justice/proceedings</w:t>
      </w:r>
      <w:r w:rsidRPr="00FB4E2D">
        <w:rPr>
          <w:rFonts w:ascii="Times New Roman" w:eastAsia="Calibri" w:hAnsi="Times New Roman" w:cs="Times New Roman"/>
          <w:b/>
          <w:noProof/>
          <w:kern w:val="0"/>
          <w14:ligatures w14:val="none"/>
        </w:rPr>
        <w:t xml:space="preserve"> (both civil and criminal/juvenile justice proceedings), 2025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i/>
          <w:noProof/>
          <w:kern w:val="0"/>
          <w14:ligatures w14:val="none"/>
        </w:rPr>
        <w:t>(source: European Commission (</w:t>
      </w:r>
      <w:r w:rsidRPr="00FB4E2D">
        <w:rPr>
          <w:rFonts w:ascii="Times New Roman" w:eastAsia="Calibri" w:hAnsi="Times New Roman" w:cs="Times New Roman"/>
          <w:i/>
          <w:iCs/>
          <w:noProof/>
          <w:kern w:val="0"/>
          <w:vertAlign w:val="superscript"/>
          <w14:ligatures w14:val="none"/>
        </w:rPr>
        <w:footnoteReference w:id="82"/>
      </w:r>
      <w:r w:rsidRPr="00FB4E2D">
        <w:rPr>
          <w:rFonts w:ascii="Times New Roman" w:eastAsia="Calibri" w:hAnsi="Times New Roman" w:cs="Times New Roman"/>
          <w:i/>
          <w:noProof/>
          <w:kern w:val="0"/>
          <w14:ligatures w14:val="none"/>
        </w:rPr>
        <w:t>))</w:t>
      </w:r>
      <w:r w:rsidRPr="00FB4E2D">
        <w:rPr>
          <w:rFonts w:ascii="Times New Roman" w:eastAsia="Calibri" w:hAnsi="Times New Roman" w:cs="Times New Roman"/>
          <w:i/>
          <w:noProof/>
          <w:kern w:val="0"/>
          <w:sz w:val="20"/>
          <w:szCs w:val="20"/>
          <w14:ligatures w14:val="none"/>
        </w:rPr>
        <w:t>.</w:t>
      </w:r>
    </w:p>
    <w:p w14:paraId="19559A25" w14:textId="302AEA34" w:rsidR="00AC527D" w:rsidRPr="00FB4E2D" w:rsidRDefault="00A02C07" w:rsidP="00AC527D">
      <w:pPr>
        <w:spacing w:after="0" w:line="259"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lang w:val="en-GB" w:eastAsia="en-GB"/>
          <w14:ligatures w14:val="none"/>
        </w:rPr>
        <w:drawing>
          <wp:inline distT="0" distB="0" distL="0" distR="0" wp14:anchorId="4761E6DB" wp14:editId="11E7696B">
            <wp:extent cx="5760000" cy="4101055"/>
            <wp:effectExtent l="0" t="0" r="0" b="0"/>
            <wp:docPr id="1447577781" name="Picture 19" descr="A chart with text and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77781" name="Picture 19" descr="A chart with text and colorful squares&#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60000" cy="4101055"/>
                    </a:xfrm>
                    <a:prstGeom prst="rect">
                      <a:avLst/>
                    </a:prstGeom>
                    <a:noFill/>
                  </pic:spPr>
                </pic:pic>
              </a:graphicData>
            </a:graphic>
          </wp:inline>
        </w:drawing>
      </w:r>
      <w:r w:rsidRPr="00FB4E2D">
        <w:rPr>
          <w:rFonts w:ascii="Times New Roman" w:eastAsia="Calibri" w:hAnsi="Times New Roman" w:cs="Times New Roman"/>
          <w:i/>
          <w:noProof/>
          <w:kern w:val="0"/>
          <w:sz w:val="20"/>
          <w:szCs w:val="20"/>
          <w14:ligatures w14:val="none"/>
        </w:rPr>
        <w:t xml:space="preserve"> (*)</w:t>
      </w:r>
      <w:r w:rsidR="000433F7" w:rsidRPr="00FB4E2D">
        <w:rPr>
          <w:rFonts w:ascii="Times New Roman" w:eastAsia="Calibri" w:hAnsi="Times New Roman" w:cs="Times New Roman"/>
          <w:i/>
          <w:noProof/>
          <w:kern w:val="0"/>
          <w:sz w:val="20"/>
          <w:szCs w:val="20"/>
          <w14:ligatures w14:val="none"/>
        </w:rPr>
        <w:t xml:space="preserve"> </w:t>
      </w:r>
      <w:r w:rsidRPr="00FB4E2D">
        <w:rPr>
          <w:rFonts w:ascii="Times New Roman" w:eastAsia="Calibri" w:hAnsi="Times New Roman" w:cs="Times New Roman"/>
          <w:i/>
          <w:noProof/>
          <w:kern w:val="0"/>
          <w:sz w:val="20"/>
          <w:szCs w:val="20"/>
          <w14:ligatures w14:val="none"/>
        </w:rPr>
        <w:t xml:space="preserve">Children: </w:t>
      </w:r>
      <w:r w:rsidR="00AC527D" w:rsidRPr="00FB4E2D">
        <w:rPr>
          <w:rFonts w:ascii="Times New Roman" w:eastAsia="Calibri" w:hAnsi="Times New Roman" w:cs="Times New Roman"/>
          <w:i/>
          <w:noProof/>
          <w:kern w:val="0"/>
          <w:sz w:val="20"/>
          <w:szCs w:val="20"/>
          <w14:ligatures w14:val="none"/>
        </w:rPr>
        <w:t xml:space="preserve">people </w:t>
      </w:r>
      <w:r w:rsidRPr="00FB4E2D">
        <w:rPr>
          <w:rFonts w:ascii="Times New Roman" w:eastAsia="Calibri" w:hAnsi="Times New Roman" w:cs="Times New Roman"/>
          <w:i/>
          <w:noProof/>
          <w:kern w:val="0"/>
          <w:sz w:val="20"/>
          <w:szCs w:val="20"/>
          <w14:ligatures w14:val="none"/>
        </w:rPr>
        <w:t>under 18 years.</w:t>
      </w:r>
    </w:p>
    <w:p w14:paraId="437DE30C" w14:textId="77777777"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Specific arrangements for </w:t>
      </w:r>
      <w:r w:rsidRPr="00FB4E2D">
        <w:rPr>
          <w:rFonts w:ascii="Times New Roman" w:eastAsia="Calibri" w:hAnsi="Times New Roman" w:cs="Times New Roman"/>
          <w:b/>
          <w:noProof/>
          <w:kern w:val="0"/>
          <w:u w:val="single"/>
          <w14:ligatures w14:val="none"/>
        </w:rPr>
        <w:t>children involved in criminal proceedings as victims or suspects and accused persons</w:t>
      </w:r>
      <w:r w:rsidRPr="00FB4E2D">
        <w:rPr>
          <w:rFonts w:ascii="Times New Roman" w:eastAsia="Calibri" w:hAnsi="Times New Roman" w:cs="Times New Roman"/>
          <w:b/>
          <w:noProof/>
          <w:kern w:val="0"/>
          <w14:ligatures w14:val="none"/>
        </w:rPr>
        <w:t xml:space="preserve">, 2025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i/>
          <w:noProof/>
          <w:kern w:val="0"/>
          <w14:ligatures w14:val="none"/>
        </w:rPr>
        <w:t>(source: European Commission (</w:t>
      </w:r>
      <w:r w:rsidRPr="00FB4E2D">
        <w:rPr>
          <w:rFonts w:ascii="Times New Roman" w:eastAsia="Calibri" w:hAnsi="Times New Roman" w:cs="Times New Roman"/>
          <w:i/>
          <w:iCs/>
          <w:noProof/>
          <w:kern w:val="0"/>
          <w:vertAlign w:val="superscript"/>
          <w14:ligatures w14:val="none"/>
        </w:rPr>
        <w:footnoteReference w:id="83"/>
      </w:r>
      <w:r w:rsidRPr="00FB4E2D">
        <w:rPr>
          <w:rFonts w:ascii="Times New Roman" w:eastAsia="Calibri" w:hAnsi="Times New Roman" w:cs="Times New Roman"/>
          <w:i/>
          <w:noProof/>
          <w:kern w:val="0"/>
          <w14:ligatures w14:val="none"/>
        </w:rPr>
        <w:t>))</w:t>
      </w:r>
      <w:bookmarkEnd w:id="340"/>
    </w:p>
    <w:p w14:paraId="4F7C2763" w14:textId="1B2E209C" w:rsidR="00A02C07" w:rsidRPr="00FB4E2D" w:rsidRDefault="00A02C07" w:rsidP="00A02C07">
      <w:pPr>
        <w:keepNext/>
        <w:spacing w:before="240" w:after="120" w:line="240" w:lineRule="auto"/>
        <w:jc w:val="both"/>
        <w:rPr>
          <w:rFonts w:ascii="Times New Roman" w:eastAsia="Times New Roman" w:hAnsi="Times New Roman" w:cs="Times New Roman"/>
          <w:noProof/>
          <w:kern w:val="0"/>
          <w14:ligatures w14:val="none"/>
        </w:rPr>
      </w:pPr>
      <w:bookmarkStart w:id="341" w:name="_Hlk158557661"/>
      <w:r w:rsidRPr="00FB4E2D">
        <w:rPr>
          <w:rFonts w:ascii="Times New Roman" w:eastAsia="Calibri" w:hAnsi="Times New Roman" w:cs="Times New Roman"/>
          <w:i/>
          <w:noProof/>
          <w:kern w:val="0"/>
          <w:lang w:val="en-GB" w:eastAsia="en-GB"/>
          <w14:ligatures w14:val="none"/>
        </w:rPr>
        <w:drawing>
          <wp:inline distT="0" distB="0" distL="0" distR="0" wp14:anchorId="2E98918A" wp14:editId="68382B47">
            <wp:extent cx="5760000" cy="3288159"/>
            <wp:effectExtent l="0" t="0" r="0" b="7620"/>
            <wp:docPr id="1424476434" name="Picture 18"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76434" name="Picture 18" descr="A screenshot of a computer screen&#10;&#10;AI-generated content may be incorrec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60000" cy="3288159"/>
                    </a:xfrm>
                    <a:prstGeom prst="rect">
                      <a:avLst/>
                    </a:prstGeom>
                    <a:noFill/>
                  </pic:spPr>
                </pic:pic>
              </a:graphicData>
            </a:graphic>
          </wp:inline>
        </w:drawing>
      </w:r>
      <w:r w:rsidRPr="00FB4E2D">
        <w:rPr>
          <w:rFonts w:ascii="Times New Roman" w:eastAsia="Calibri" w:hAnsi="Times New Roman" w:cs="Times New Roman"/>
          <w:i/>
          <w:noProof/>
          <w:kern w:val="0"/>
          <w:sz w:val="20"/>
          <w:szCs w:val="22"/>
          <w14:ligatures w14:val="none"/>
        </w:rPr>
        <w:t xml:space="preserve">(*) Children: </w:t>
      </w:r>
      <w:r w:rsidR="00E90443" w:rsidRPr="00FB4E2D">
        <w:rPr>
          <w:rFonts w:ascii="Times New Roman" w:eastAsia="Calibri" w:hAnsi="Times New Roman" w:cs="Times New Roman"/>
          <w:i/>
          <w:noProof/>
          <w:kern w:val="0"/>
          <w:sz w:val="20"/>
          <w:szCs w:val="22"/>
          <w14:ligatures w14:val="none"/>
        </w:rPr>
        <w:t xml:space="preserve">people </w:t>
      </w:r>
      <w:r w:rsidRPr="00FB4E2D">
        <w:rPr>
          <w:rFonts w:ascii="Times New Roman" w:eastAsia="Calibri" w:hAnsi="Times New Roman" w:cs="Times New Roman"/>
          <w:i/>
          <w:noProof/>
          <w:kern w:val="0"/>
          <w:sz w:val="20"/>
          <w:szCs w:val="22"/>
          <w14:ligatures w14:val="none"/>
        </w:rPr>
        <w:t>under 18 years.</w:t>
      </w:r>
      <w:bookmarkStart w:id="342" w:name="_Toc442187975"/>
      <w:bookmarkStart w:id="343" w:name="_Toc442262067"/>
      <w:bookmarkStart w:id="344" w:name="_Toc442362474"/>
      <w:bookmarkStart w:id="345" w:name="_Toc442374810"/>
      <w:bookmarkStart w:id="346" w:name="_Toc442425950"/>
      <w:bookmarkStart w:id="347" w:name="_Toc442453076"/>
      <w:bookmarkStart w:id="348" w:name="_Toc443484534"/>
      <w:bookmarkStart w:id="349" w:name="_Toc443484756"/>
      <w:bookmarkStart w:id="350" w:name="_Toc443509497"/>
      <w:bookmarkStart w:id="351" w:name="_Toc446014826"/>
    </w:p>
    <w:p w14:paraId="68FFED9C" w14:textId="1C6BFB34" w:rsidR="00A02C07" w:rsidRPr="00FB4E2D" w:rsidRDefault="00A02C07" w:rsidP="000433F7">
      <w:pPr>
        <w:spacing w:before="240" w:after="120" w:line="259"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For the second time, the 2026 EU Justice Scoreboard provides an overview of selected specific powers of equality bodies to assist victims of discrimination to access justice. Figure 32 below shows which selected powers the equality body</w:t>
      </w:r>
      <w:r w:rsidR="00EE314A" w:rsidRPr="00FB4E2D">
        <w:rPr>
          <w:rFonts w:ascii="Times New Roman" w:eastAsia="Times New Roman" w:hAnsi="Times New Roman" w:cs="Times New Roman"/>
          <w:noProof/>
          <w:kern w:val="0"/>
          <w14:ligatures w14:val="none"/>
        </w:rPr>
        <w:t>/bodies</w:t>
      </w:r>
      <w:r w:rsidRPr="00FB4E2D">
        <w:rPr>
          <w:rFonts w:ascii="Times New Roman" w:eastAsia="Times New Roman" w:hAnsi="Times New Roman" w:cs="Times New Roman"/>
          <w:noProof/>
          <w:kern w:val="0"/>
          <w14:ligatures w14:val="none"/>
        </w:rPr>
        <w:t xml:space="preserve"> – or in certain cases other specific bodies – hold in each Member State to resolve cases of discrimination. These </w:t>
      </w:r>
      <w:r w:rsidR="00EE314A" w:rsidRPr="00FB4E2D">
        <w:rPr>
          <w:rFonts w:ascii="Times New Roman" w:eastAsia="Times New Roman" w:hAnsi="Times New Roman" w:cs="Times New Roman"/>
          <w:noProof/>
          <w:kern w:val="0"/>
          <w14:ligatures w14:val="none"/>
        </w:rPr>
        <w:t>include</w:t>
      </w:r>
      <w:r w:rsidRPr="00FB4E2D">
        <w:rPr>
          <w:rFonts w:ascii="Times New Roman" w:eastAsia="Times New Roman" w:hAnsi="Times New Roman" w:cs="Times New Roman"/>
          <w:noProof/>
          <w:kern w:val="0"/>
          <w14:ligatures w14:val="none"/>
        </w:rPr>
        <w:t xml:space="preserve"> offering the parties the possibility to seek an alternative resolution to their dispute (for example mediation or conciliation procedures), issuing binding decisions in discrimination cases, acting in court in cases of discrimination either on behalf of victims or in its own name to defend the public interest, or initiating proceedings in support of victims. The exercise of those powers in practice varies depending on the Member State.</w:t>
      </w:r>
    </w:p>
    <w:p w14:paraId="3D4B620C" w14:textId="63416331"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Selected powers of equality bodies to help victims of discrimination to access justice, 2025</w:t>
      </w:r>
      <w:r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i/>
          <w:noProof/>
          <w:kern w:val="0"/>
          <w14:ligatures w14:val="none"/>
        </w:rPr>
        <w:t>(source: European Commission (</w:t>
      </w:r>
      <w:r w:rsidRPr="00FB4E2D">
        <w:rPr>
          <w:rFonts w:ascii="Times New Roman" w:eastAsia="Calibri" w:hAnsi="Times New Roman" w:cs="Times New Roman"/>
          <w:i/>
          <w:iCs/>
          <w:noProof/>
          <w:kern w:val="0"/>
          <w:vertAlign w:val="superscript"/>
          <w14:ligatures w14:val="none"/>
        </w:rPr>
        <w:footnoteReference w:id="84"/>
      </w:r>
      <w:r w:rsidRPr="00FB4E2D">
        <w:rPr>
          <w:rFonts w:ascii="Times New Roman" w:eastAsia="Calibri" w:hAnsi="Times New Roman" w:cs="Times New Roman"/>
          <w:i/>
          <w:noProof/>
          <w:kern w:val="0"/>
          <w14:ligatures w14:val="none"/>
        </w:rPr>
        <w:t>))</w:t>
      </w:r>
    </w:p>
    <w:p w14:paraId="0FFD412D" w14:textId="77777777" w:rsidR="00A02C07" w:rsidRPr="00FB4E2D" w:rsidRDefault="00A02C07" w:rsidP="009C6EB9">
      <w:pPr>
        <w:keepNext/>
        <w:spacing w:after="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5555A7C1" wp14:editId="1DCE546C">
            <wp:extent cx="5760000" cy="3350769"/>
            <wp:effectExtent l="0" t="0" r="0" b="2540"/>
            <wp:docPr id="1029284606" name="Picture 1" descr="A diagram of a quality contr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84606" name="Picture 1" descr="A diagram of a quality control&#10;&#10;AI-generated content may be incorrec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60000" cy="3350769"/>
                    </a:xfrm>
                    <a:prstGeom prst="rect">
                      <a:avLst/>
                    </a:prstGeom>
                    <a:noFill/>
                    <a:ln>
                      <a:noFill/>
                    </a:ln>
                  </pic:spPr>
                </pic:pic>
              </a:graphicData>
            </a:graphic>
          </wp:inline>
        </w:drawing>
      </w:r>
    </w:p>
    <w:bookmarkEnd w:id="341"/>
    <w:p w14:paraId="01BA1486" w14:textId="77777777" w:rsidR="00A02C07" w:rsidRPr="00FB4E2D" w:rsidRDefault="00A02C07" w:rsidP="00A02C07">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2.2.3. Resources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2"/>
      <w:bookmarkEnd w:id="343"/>
      <w:bookmarkEnd w:id="344"/>
      <w:bookmarkEnd w:id="345"/>
      <w:bookmarkEnd w:id="346"/>
      <w:bookmarkEnd w:id="347"/>
      <w:bookmarkEnd w:id="348"/>
      <w:bookmarkEnd w:id="349"/>
      <w:bookmarkEnd w:id="350"/>
      <w:bookmarkEnd w:id="351"/>
    </w:p>
    <w:p w14:paraId="5AB1FC7E" w14:textId="7590CBEF" w:rsidR="00A02C07" w:rsidRPr="00FB4E2D" w:rsidRDefault="00A02C07" w:rsidP="00A02C07">
      <w:pPr>
        <w:spacing w:after="120" w:line="240" w:lineRule="auto"/>
        <w:jc w:val="both"/>
        <w:rPr>
          <w:rFonts w:ascii="Times New Roman" w:eastAsia="Calibri" w:hAnsi="Times New Roman" w:cs="Times New Roman"/>
          <w:noProof/>
          <w:kern w:val="0"/>
          <w:szCs w:val="22"/>
          <w14:ligatures w14:val="none"/>
        </w:rPr>
      </w:pPr>
      <w:r w:rsidRPr="00FB4E2D">
        <w:rPr>
          <w:rFonts w:ascii="Times New Roman" w:eastAsia="Calibri" w:hAnsi="Times New Roman" w:cs="Times New Roman"/>
          <w:noProof/>
          <w:kern w:val="0"/>
          <w:szCs w:val="22"/>
          <w14:ligatures w14:val="none"/>
        </w:rPr>
        <w:t>Sufficient resources are necessary for the justice system to work properly. This includes the necessary investment in physical and technical infrastructure and well qualified, trained and adequately paid staff of all kinds. Without adequate facilities, tools or staff with the required qualifications, skills and access to continuous training, the quality of proceedings and decisions is undermined.</w:t>
      </w:r>
    </w:p>
    <w:p w14:paraId="7930673B" w14:textId="77777777" w:rsidR="00A02C07" w:rsidRPr="00FB4E2D" w:rsidRDefault="00A02C07" w:rsidP="00A02C07">
      <w:pPr>
        <w:spacing w:before="240" w:after="120" w:line="240" w:lineRule="auto"/>
        <w:jc w:val="both"/>
        <w:rPr>
          <w:rFonts w:ascii="Times New Roman" w:eastAsia="Calibri" w:hAnsi="Times New Roman" w:cs="Times New Roman"/>
          <w:i/>
          <w:noProof/>
          <w:kern w:val="0"/>
          <w:szCs w:val="22"/>
          <w14:ligatures w14:val="none"/>
        </w:rPr>
      </w:pPr>
      <w:r w:rsidRPr="00FB4E2D">
        <w:rPr>
          <w:rFonts w:ascii="Times New Roman" w:eastAsia="Calibri" w:hAnsi="Times New Roman" w:cs="Times New Roman"/>
          <w:i/>
          <w:noProof/>
          <w:kern w:val="0"/>
          <w:sz w:val="22"/>
          <w:szCs w:val="22"/>
          <w14:ligatures w14:val="none"/>
        </w:rPr>
        <w:t>–</w:t>
      </w:r>
      <w:r w:rsidRPr="00FB4E2D">
        <w:rPr>
          <w:rFonts w:ascii="Times New Roman" w:eastAsia="Calibri" w:hAnsi="Times New Roman" w:cs="Times New Roman"/>
          <w:i/>
          <w:noProof/>
          <w:kern w:val="0"/>
          <w:szCs w:val="22"/>
          <w14:ligatures w14:val="none"/>
        </w:rPr>
        <w:t xml:space="preserve"> Financial resources </w:t>
      </w:r>
      <w:r w:rsidRPr="00FB4E2D">
        <w:rPr>
          <w:rFonts w:ascii="Times New Roman" w:eastAsia="Calibri" w:hAnsi="Times New Roman" w:cs="Times New Roman"/>
          <w:i/>
          <w:noProof/>
          <w:kern w:val="0"/>
          <w:sz w:val="22"/>
          <w:szCs w:val="22"/>
          <w14:ligatures w14:val="none"/>
        </w:rPr>
        <w:t>–</w:t>
      </w:r>
    </w:p>
    <w:p w14:paraId="50F54422" w14:textId="63C5D538" w:rsidR="00A02C07" w:rsidRPr="00FB4E2D" w:rsidRDefault="00A02C07" w:rsidP="00A02C07">
      <w:pPr>
        <w:spacing w:after="12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Times New Roman"/>
          <w:noProof/>
          <w:kern w:val="0"/>
          <w14:ligatures w14:val="none"/>
        </w:rPr>
        <w:t>The figures below show the actual government expenditure on the operation of the justice system (excluding prisons), both per inhabitant (Figure 3</w:t>
      </w:r>
      <w:r w:rsidR="002D5B46" w:rsidRPr="00FB4E2D">
        <w:rPr>
          <w:rFonts w:ascii="Times New Roman" w:eastAsia="Calibri" w:hAnsi="Times New Roman" w:cs="Times New Roman"/>
          <w:noProof/>
          <w:kern w:val="0"/>
          <w14:ligatures w14:val="none"/>
        </w:rPr>
        <w:t>3</w:t>
      </w:r>
      <w:r w:rsidRPr="00FB4E2D">
        <w:rPr>
          <w:rFonts w:ascii="Times New Roman" w:eastAsia="Calibri" w:hAnsi="Times New Roman" w:cs="Times New Roman"/>
          <w:noProof/>
          <w:kern w:val="0"/>
          <w14:ligatures w14:val="none"/>
        </w:rPr>
        <w:t>) and as a proportion of gross domestic product (GDP) (Figure 3</w:t>
      </w:r>
      <w:r w:rsidR="002D5B46" w:rsidRPr="00FB4E2D">
        <w:rPr>
          <w:rFonts w:ascii="Times New Roman" w:eastAsia="Calibri" w:hAnsi="Times New Roman" w:cs="Times New Roman"/>
          <w:noProof/>
          <w:kern w:val="0"/>
          <w14:ligatures w14:val="none"/>
        </w:rPr>
        <w:t>4</w:t>
      </w:r>
      <w:r w:rsidRPr="00FB4E2D">
        <w:rPr>
          <w:rFonts w:ascii="Times New Roman" w:eastAsia="Calibri" w:hAnsi="Times New Roman" w:cs="Times New Roman"/>
          <w:noProof/>
          <w:kern w:val="0"/>
          <w14:ligatures w14:val="none"/>
        </w:rPr>
        <w:t>)</w:t>
      </w:r>
      <w:bookmarkStart w:id="352" w:name="_Ref441218579"/>
      <w:r w:rsidRPr="00FB4E2D">
        <w:rPr>
          <w:rFonts w:ascii="Times New Roman" w:eastAsia="Calibri" w:hAnsi="Times New Roman" w:cs="Times New Roman"/>
          <w:noProof/>
          <w:kern w:val="0"/>
          <w14:ligatures w14:val="none"/>
        </w:rPr>
        <w:t>.</w:t>
      </w:r>
    </w:p>
    <w:bookmarkEnd w:id="352"/>
    <w:p w14:paraId="6C43B65F" w14:textId="77777777" w:rsidR="00A02C07" w:rsidRPr="00FB4E2D" w:rsidRDefault="00A02C07" w:rsidP="00A02C07">
      <w:pPr>
        <w:spacing w:line="259" w:lineRule="auto"/>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7CB85B89" w14:textId="3791A0E8" w:rsidR="00A02C07" w:rsidRPr="00FB4E2D" w:rsidRDefault="00A02C07" w:rsidP="00A02C07">
      <w:pPr>
        <w:spacing w:before="240" w:after="120" w:line="240" w:lineRule="auto"/>
        <w:jc w:val="both"/>
        <w:rPr>
          <w:rFonts w:ascii="Times New Roman" w:eastAsia="Times New Roman" w:hAnsi="Times New Roman" w:cs="Times New Roman"/>
          <w:b/>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General government total expenditure on law courts in EUR per inhabitant</w:t>
      </w:r>
      <w:r w:rsidRPr="00FB4E2D">
        <w:rPr>
          <w:rFonts w:ascii="Times New Roman" w:eastAsia="Calibri" w:hAnsi="Times New Roman" w:cs="Times New Roman"/>
          <w:b/>
          <w:noProof/>
          <w:kern w:val="0"/>
          <w14:ligatures w14:val="none"/>
        </w:rPr>
        <w:t xml:space="preserve">, </w:t>
      </w:r>
      <w:r w:rsidRPr="00FB4E2D">
        <w:rPr>
          <w:rFonts w:ascii="Times New Roman" w:eastAsia="Times New Roman" w:hAnsi="Times New Roman" w:cs="Times New Roman"/>
          <w:b/>
          <w:noProof/>
          <w:kern w:val="0"/>
          <w14:ligatures w14:val="none"/>
        </w:rPr>
        <w:t>201</w:t>
      </w:r>
      <w:r w:rsidR="00991F44" w:rsidRPr="00FB4E2D">
        <w:rPr>
          <w:rFonts w:ascii="Times New Roman" w:eastAsia="Times New Roman" w:hAnsi="Times New Roman" w:cs="Times New Roman"/>
          <w:b/>
          <w:noProof/>
          <w:kern w:val="0"/>
          <w14:ligatures w14:val="none"/>
        </w:rPr>
        <w:t>4</w:t>
      </w:r>
      <w:r w:rsidRPr="00FB4E2D">
        <w:rPr>
          <w:rFonts w:ascii="Times New Roman" w:eastAsia="Times New Roman" w:hAnsi="Times New Roman" w:cs="Times New Roman"/>
          <w:b/>
          <w:noProof/>
          <w:kern w:val="0"/>
          <w14:ligatures w14:val="none"/>
        </w:rPr>
        <w:t xml:space="preserve">, 2022 </w:t>
      </w:r>
      <w:r w:rsidRPr="00FB4E2D">
        <w:rPr>
          <w:rFonts w:ascii="Times New Roman" w:eastAsia="Calibri" w:hAnsi="Times New Roman" w:cs="Times New Roman"/>
          <w:b/>
          <w:noProof/>
          <w:kern w:val="0"/>
          <w14:ligatures w14:val="none"/>
        </w:rPr>
        <w:t xml:space="preserve">– </w:t>
      </w:r>
      <w:r w:rsidRPr="00FB4E2D">
        <w:rPr>
          <w:rFonts w:ascii="Times New Roman" w:eastAsia="Times New Roman" w:hAnsi="Times New Roman" w:cs="Times New Roman"/>
          <w:b/>
          <w:noProof/>
          <w:kern w:val="0"/>
          <w14:ligatures w14:val="none"/>
        </w:rPr>
        <w:t xml:space="preserve">2024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(source: Eurostat</w:t>
      </w:r>
      <w:r w:rsidR="00376834" w:rsidRPr="00FB4E2D">
        <w:rPr>
          <w:rFonts w:ascii="Times New Roman" w:eastAsia="Calibri" w:hAnsi="Times New Roman" w:cs="Times New Roman"/>
          <w:i/>
          <w:noProof/>
          <w:kern w:val="0"/>
          <w14:ligatures w14:val="none"/>
        </w:rPr>
        <w:t xml:space="preserve"> (online data code gov 10a exp)</w:t>
      </w:r>
      <w:r w:rsidRPr="00FB4E2D">
        <w:rPr>
          <w:rFonts w:ascii="Times New Roman" w:eastAsia="Calibri" w:hAnsi="Times New Roman" w:cs="Times New Roman"/>
          <w:i/>
          <w:noProof/>
          <w:kern w:val="0"/>
          <w14:ligatures w14:val="none"/>
        </w:rPr>
        <w:t xml:space="preserve">) </w:t>
      </w:r>
    </w:p>
    <w:p w14:paraId="479C8EE1" w14:textId="69180C9C" w:rsidR="00A02C07" w:rsidRPr="00FB4E2D" w:rsidRDefault="00C205AC" w:rsidP="00A02C07">
      <w:pPr>
        <w:spacing w:after="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25FAA3BA" wp14:editId="531D59E7">
            <wp:extent cx="5760000" cy="2135240"/>
            <wp:effectExtent l="0" t="0" r="0" b="0"/>
            <wp:docPr id="9066338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60000" cy="2135240"/>
                    </a:xfrm>
                    <a:prstGeom prst="rect">
                      <a:avLst/>
                    </a:prstGeom>
                    <a:noFill/>
                  </pic:spPr>
                </pic:pic>
              </a:graphicData>
            </a:graphic>
          </wp:inline>
        </w:drawing>
      </w:r>
    </w:p>
    <w:p w14:paraId="19464CDC" w14:textId="77777777" w:rsidR="000C36B5" w:rsidRPr="00FB4E2D" w:rsidRDefault="00A02C07" w:rsidP="00A02C07">
      <w:pPr>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14:ligatures w14:val="none"/>
        </w:rPr>
        <w:t xml:space="preserve">(*) Member States are ordered according to their expenditure in 2024 (from highest to lowest). </w:t>
      </w:r>
      <w:r w:rsidR="00931087" w:rsidRPr="00FB4E2D">
        <w:rPr>
          <w:rFonts w:ascii="Times New Roman" w:eastAsia="Calibri" w:hAnsi="Times New Roman" w:cs="Times New Roman"/>
          <w:i/>
          <w:noProof/>
          <w:kern w:val="0"/>
          <w:sz w:val="20"/>
          <w:szCs w:val="20"/>
          <w14:ligatures w14:val="none"/>
        </w:rPr>
        <w:t xml:space="preserve">Data for BE (2024), DE (2022-2024), ES (2024), FR (2023-2024) PT (2024), SK (all years) is provisional.  </w:t>
      </w:r>
      <w:r w:rsidR="000C36B5" w:rsidRPr="00FB4E2D">
        <w:rPr>
          <w:rFonts w:ascii="Times New Roman" w:eastAsia="Calibri" w:hAnsi="Times New Roman" w:cs="Times New Roman"/>
          <w:i/>
          <w:noProof/>
          <w:kern w:val="0"/>
          <w:sz w:val="20"/>
          <w:szCs w:val="20"/>
          <w14:ligatures w14:val="none"/>
        </w:rPr>
        <w:t xml:space="preserve">Data for BE (2024), DE (2022-2024), ES (2024), FR (2023-2024) PT (2024), SK (all years) is provisional. </w:t>
      </w:r>
    </w:p>
    <w:p w14:paraId="5FF6A5F6" w14:textId="77777777" w:rsidR="000C36B5" w:rsidRPr="00FB4E2D" w:rsidRDefault="000C36B5" w:rsidP="00A02C07">
      <w:pPr>
        <w:spacing w:after="0" w:line="240" w:lineRule="auto"/>
        <w:jc w:val="both"/>
        <w:rPr>
          <w:rFonts w:ascii="Times New Roman" w:eastAsia="Calibri" w:hAnsi="Times New Roman" w:cs="Times New Roman"/>
          <w:i/>
          <w:noProof/>
          <w:kern w:val="0"/>
          <w:sz w:val="20"/>
          <w:szCs w:val="20"/>
          <w14:ligatures w14:val="none"/>
        </w:rPr>
      </w:pPr>
    </w:p>
    <w:p w14:paraId="26521F0F" w14:textId="1316868F" w:rsidR="00A02C07" w:rsidRPr="00FB4E2D" w:rsidRDefault="00A02C07" w:rsidP="002D7678">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u w:val="single"/>
          <w14:ligatures w14:val="none"/>
        </w:rPr>
        <w:t>General government total expenditure on law courts as a percentage of GDP</w:t>
      </w:r>
      <w:r w:rsidRPr="00FB4E2D">
        <w:rPr>
          <w:rFonts w:ascii="Times New Roman" w:eastAsia="Times New Roman" w:hAnsi="Times New Roman" w:cs="Times New Roman"/>
          <w:b/>
          <w:noProof/>
          <w:kern w:val="0"/>
          <w14:ligatures w14:val="none"/>
        </w:rPr>
        <w:t>, 201</w:t>
      </w:r>
      <w:r w:rsidR="000C36B5" w:rsidRPr="00FB4E2D">
        <w:rPr>
          <w:rFonts w:ascii="Times New Roman" w:eastAsia="Times New Roman" w:hAnsi="Times New Roman" w:cs="Times New Roman"/>
          <w:b/>
          <w:noProof/>
          <w:kern w:val="0"/>
          <w14:ligatures w14:val="none"/>
        </w:rPr>
        <w:t>4</w:t>
      </w:r>
      <w:r w:rsidRPr="00FB4E2D">
        <w:rPr>
          <w:rFonts w:ascii="Times New Roman" w:eastAsia="Times New Roman" w:hAnsi="Times New Roman" w:cs="Times New Roman"/>
          <w:b/>
          <w:noProof/>
          <w:kern w:val="0"/>
          <w14:ligatures w14:val="none"/>
        </w:rPr>
        <w:t xml:space="preserve">, 2022 </w:t>
      </w:r>
      <w:r w:rsidRPr="00FB4E2D">
        <w:rPr>
          <w:rFonts w:ascii="Times New Roman" w:eastAsia="Calibri" w:hAnsi="Times New Roman" w:cs="Times New Roman"/>
          <w:b/>
          <w:noProof/>
          <w:kern w:val="0"/>
          <w14:ligatures w14:val="none"/>
        </w:rPr>
        <w:t xml:space="preserve">– </w:t>
      </w:r>
      <w:r w:rsidRPr="00FB4E2D">
        <w:rPr>
          <w:rFonts w:ascii="Times New Roman" w:eastAsia="Times New Roman" w:hAnsi="Times New Roman" w:cs="Times New Roman"/>
          <w:b/>
          <w:noProof/>
          <w:kern w:val="0"/>
          <w14:ligatures w14:val="none"/>
        </w:rPr>
        <w:t xml:space="preserve">2024 </w:t>
      </w:r>
      <w:r w:rsidRPr="00FB4E2D">
        <w:rPr>
          <w:rFonts w:ascii="Times New Roman" w:eastAsia="Times New Roman" w:hAnsi="Times New Roman" w:cs="Times New Roman"/>
          <w:noProof/>
          <w:kern w:val="0"/>
          <w14:ligatures w14:val="none"/>
        </w:rPr>
        <w:t>(</w:t>
      </w:r>
      <w:r w:rsidRPr="00FB4E2D">
        <w:rPr>
          <w:rFonts w:ascii="Calibri" w:eastAsia="Times New Roman" w:hAnsi="Calibri" w:cs="Times New Roman"/>
          <w:noProof/>
          <w:kern w:val="0"/>
          <w14:ligatures w14:val="none"/>
        </w:rPr>
        <w:t>*</w:t>
      </w:r>
      <w:r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i/>
          <w:noProof/>
          <w:kern w:val="0"/>
          <w14:ligatures w14:val="none"/>
        </w:rPr>
        <w:t>(source: Eurostat</w:t>
      </w:r>
      <w:r w:rsidR="00C871B2" w:rsidRPr="00FB4E2D">
        <w:rPr>
          <w:rFonts w:ascii="Times New Roman" w:eastAsia="Times New Roman" w:hAnsi="Times New Roman" w:cs="Times New Roman"/>
          <w:i/>
          <w:noProof/>
          <w:kern w:val="0"/>
          <w14:ligatures w14:val="none"/>
        </w:rPr>
        <w:t xml:space="preserve"> </w:t>
      </w:r>
      <w:r w:rsidR="00C871B2" w:rsidRPr="00FB4E2D">
        <w:rPr>
          <w:rFonts w:ascii="Times New Roman" w:eastAsia="Calibri" w:hAnsi="Times New Roman" w:cs="Times New Roman"/>
          <w:i/>
          <w:noProof/>
          <w:kern w:val="0"/>
          <w14:ligatures w14:val="none"/>
        </w:rPr>
        <w:t xml:space="preserve">(online data code </w:t>
      </w:r>
      <w:hyperlink r:id="rId54" w:history="1">
        <w:r w:rsidR="00C871B2" w:rsidRPr="00FB4E2D">
          <w:rPr>
            <w:rStyle w:val="Hyperlink"/>
            <w:rFonts w:ascii="Times New Roman" w:eastAsia="Calibri" w:hAnsi="Times New Roman" w:cs="Times New Roman"/>
            <w:i/>
            <w:noProof/>
            <w:kern w:val="0"/>
            <w14:ligatures w14:val="none"/>
          </w:rPr>
          <w:t>gov_10a_exp</w:t>
        </w:r>
      </w:hyperlink>
      <w:r w:rsidR="00C871B2" w:rsidRPr="00FB4E2D">
        <w:rPr>
          <w:rFonts w:ascii="Times New Roman" w:eastAsia="Calibri" w:hAnsi="Times New Roman" w:cs="Times New Roman"/>
          <w:i/>
          <w:noProof/>
          <w:kern w:val="0"/>
          <w14:ligatures w14:val="none"/>
        </w:rPr>
        <w:t>)</w:t>
      </w:r>
      <w:r w:rsidR="00C871B2" w:rsidRPr="00FB4E2D">
        <w:rPr>
          <w:rFonts w:ascii="Times New Roman" w:eastAsia="Times New Roman" w:hAnsi="Times New Roman" w:cs="Times New Roman"/>
          <w:i/>
          <w:noProof/>
          <w:kern w:val="0"/>
          <w14:ligatures w14:val="none"/>
        </w:rPr>
        <w:t xml:space="preserve">) </w:t>
      </w:r>
      <w:bookmarkStart w:id="353" w:name="_Ref440969342"/>
    </w:p>
    <w:p w14:paraId="60014F01" w14:textId="280DFA9D" w:rsidR="004F01AF" w:rsidRPr="00FB4E2D" w:rsidRDefault="00A243B2" w:rsidP="004F01AF">
      <w:pPr>
        <w:spacing w:after="0" w:line="259"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7737750D" wp14:editId="5B111E7F">
            <wp:extent cx="5760000" cy="2744629"/>
            <wp:effectExtent l="0" t="0" r="0" b="0"/>
            <wp:docPr id="5585832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83225"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60000" cy="2744629"/>
                    </a:xfrm>
                    <a:prstGeom prst="rect">
                      <a:avLst/>
                    </a:prstGeom>
                    <a:noFill/>
                  </pic:spPr>
                </pic:pic>
              </a:graphicData>
            </a:graphic>
          </wp:inline>
        </w:drawing>
      </w:r>
      <w:r w:rsidR="00A02C07" w:rsidRPr="00FB4E2D">
        <w:rPr>
          <w:rFonts w:ascii="Times New Roman" w:eastAsia="Calibri" w:hAnsi="Times New Roman" w:cs="Times New Roman"/>
          <w:i/>
          <w:noProof/>
          <w:kern w:val="0"/>
          <w:sz w:val="20"/>
          <w:szCs w:val="22"/>
          <w14:ligatures w14:val="none"/>
        </w:rPr>
        <w:t>(*)</w:t>
      </w:r>
      <w:r w:rsidR="008339FE" w:rsidRPr="00FB4E2D">
        <w:rPr>
          <w:rFonts w:ascii="Times New Roman" w:eastAsia="Calibri" w:hAnsi="Times New Roman" w:cs="Times New Roman"/>
          <w:i/>
          <w:noProof/>
          <w:kern w:val="0"/>
          <w:sz w:val="20"/>
          <w:szCs w:val="22"/>
          <w14:ligatures w14:val="none"/>
        </w:rPr>
        <w:t xml:space="preserve"> </w:t>
      </w:r>
      <w:r w:rsidR="00A02C07" w:rsidRPr="00FB4E2D">
        <w:rPr>
          <w:rFonts w:ascii="Times New Roman" w:eastAsia="Calibri" w:hAnsi="Times New Roman" w:cs="Times New Roman"/>
          <w:i/>
          <w:noProof/>
          <w:kern w:val="0"/>
          <w:sz w:val="20"/>
          <w:szCs w:val="22"/>
          <w14:ligatures w14:val="none"/>
        </w:rPr>
        <w:t>Member States are ordered according to their expenditure in 2024 (from highest to lowest).</w:t>
      </w:r>
      <w:r w:rsidR="00C947A2" w:rsidRPr="00FB4E2D">
        <w:rPr>
          <w:rFonts w:ascii="Times New Roman" w:eastAsia="Calibri" w:hAnsi="Times New Roman" w:cs="Times New Roman"/>
          <w:i/>
          <w:noProof/>
          <w:kern w:val="0"/>
          <w:sz w:val="20"/>
          <w:szCs w:val="22"/>
          <w14:ligatures w14:val="none"/>
        </w:rPr>
        <w:t xml:space="preserve"> </w:t>
      </w:r>
      <w:r w:rsidR="00C947A2" w:rsidRPr="00FB4E2D">
        <w:rPr>
          <w:rFonts w:ascii="Times New Roman" w:eastAsia="Calibri" w:hAnsi="Times New Roman" w:cs="Times New Roman"/>
          <w:i/>
          <w:noProof/>
          <w:kern w:val="0"/>
          <w:sz w:val="20"/>
          <w:szCs w:val="20"/>
          <w14:ligatures w14:val="none"/>
        </w:rPr>
        <w:t xml:space="preserve">Data for BE (2024), DE (2022-2024), ES (2024), FR (2023-2024) PT (2024), SK (all years) is provisional. </w:t>
      </w:r>
      <w:r w:rsidR="00A02C07" w:rsidRPr="00FB4E2D">
        <w:rPr>
          <w:rFonts w:ascii="Times New Roman" w:eastAsia="Calibri" w:hAnsi="Times New Roman" w:cs="Times New Roman"/>
          <w:i/>
          <w:noProof/>
          <w:kern w:val="0"/>
          <w:sz w:val="20"/>
          <w:szCs w:val="22"/>
          <w14:ligatures w14:val="none"/>
        </w:rPr>
        <w:t xml:space="preserve"> </w:t>
      </w:r>
      <w:r w:rsidR="004F01AF" w:rsidRPr="00FB4E2D">
        <w:rPr>
          <w:rFonts w:ascii="Times New Roman" w:eastAsia="Calibri" w:hAnsi="Times New Roman" w:cs="Times New Roman"/>
          <w:i/>
          <w:noProof/>
          <w:kern w:val="0"/>
          <w:sz w:val="20"/>
          <w:szCs w:val="20"/>
          <w14:ligatures w14:val="none"/>
        </w:rPr>
        <w:t xml:space="preserve">Data for PL have a break in series in 2022. Source: Eurostat </w:t>
      </w:r>
      <w:bookmarkStart w:id="354" w:name="_Hlk227654580"/>
      <w:r w:rsidR="004F01AF" w:rsidRPr="00FB4E2D">
        <w:rPr>
          <w:rFonts w:ascii="Times New Roman" w:eastAsia="Calibri" w:hAnsi="Times New Roman" w:cs="Times New Roman"/>
          <w:i/>
          <w:noProof/>
          <w:kern w:val="0"/>
          <w:sz w:val="20"/>
          <w:szCs w:val="20"/>
          <w14:ligatures w14:val="none"/>
        </w:rPr>
        <w:t xml:space="preserve">(online data code </w:t>
      </w:r>
      <w:hyperlink r:id="rId56" w:history="1">
        <w:r w:rsidR="004F01AF" w:rsidRPr="00FB4E2D">
          <w:rPr>
            <w:rStyle w:val="Hyperlink"/>
            <w:rFonts w:ascii="Times New Roman" w:eastAsia="Calibri" w:hAnsi="Times New Roman" w:cs="Times New Roman"/>
            <w:i/>
            <w:noProof/>
            <w:kern w:val="0"/>
            <w:sz w:val="20"/>
            <w:szCs w:val="20"/>
            <w14:ligatures w14:val="none"/>
          </w:rPr>
          <w:t>gov_10a_exp</w:t>
        </w:r>
        <w:bookmarkEnd w:id="354"/>
      </w:hyperlink>
      <w:r w:rsidR="004F01AF" w:rsidRPr="00FB4E2D">
        <w:rPr>
          <w:rFonts w:ascii="Times New Roman" w:eastAsia="Calibri" w:hAnsi="Times New Roman" w:cs="Times New Roman"/>
          <w:i/>
          <w:noProof/>
          <w:kern w:val="0"/>
          <w:sz w:val="20"/>
          <w:szCs w:val="20"/>
          <w14:ligatures w14:val="none"/>
        </w:rPr>
        <w:t>)</w:t>
      </w:r>
    </w:p>
    <w:bookmarkEnd w:id="353"/>
    <w:p w14:paraId="50EFA438" w14:textId="77777777" w:rsidR="00067E4B" w:rsidRPr="00FB4E2D" w:rsidRDefault="00067E4B" w:rsidP="004F01AF">
      <w:pPr>
        <w:spacing w:after="0" w:line="259" w:lineRule="auto"/>
        <w:jc w:val="both"/>
        <w:rPr>
          <w:rFonts w:ascii="Times New Roman" w:eastAsia="Calibri" w:hAnsi="Times New Roman" w:cs="Times New Roman"/>
          <w:noProof/>
          <w:kern w:val="0"/>
          <w14:ligatures w14:val="none"/>
        </w:rPr>
      </w:pPr>
    </w:p>
    <w:p w14:paraId="02FB3357" w14:textId="7D195C1C" w:rsidR="00A02C07" w:rsidRPr="00FB4E2D" w:rsidRDefault="00A02C07" w:rsidP="004F01AF">
      <w:pPr>
        <w:spacing w:after="0" w:line="259"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Figure 35 presents the ratio of the annual salaries of judges and prosecutors to the average annual salary in the country. For each country, the bars present these ratios for judges and prosecutors at the beginning of their respective careers and at their peak. By virtue of Article 19(1) TEU, Member States have to ensure that both their courts as a whole and the individual judges are independent in the fields covered by EU law. While temporary reduction in remuneration in the context of austerity measures</w:t>
      </w:r>
      <w:r w:rsidR="00EE314A"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noProof/>
          <w:kern w:val="0"/>
          <w14:ligatures w14:val="none"/>
        </w:rPr>
        <w:t xml:space="preserve"> ha</w:t>
      </w:r>
      <w:r w:rsidR="00EE314A" w:rsidRPr="00FB4E2D">
        <w:rPr>
          <w:rFonts w:ascii="Times New Roman" w:eastAsia="Calibri" w:hAnsi="Times New Roman" w:cs="Times New Roman"/>
          <w:noProof/>
          <w:kern w:val="0"/>
          <w14:ligatures w14:val="none"/>
        </w:rPr>
        <w:t>ve</w:t>
      </w:r>
      <w:r w:rsidRPr="00FB4E2D">
        <w:rPr>
          <w:rFonts w:ascii="Times New Roman" w:eastAsia="Calibri" w:hAnsi="Times New Roman" w:cs="Times New Roman"/>
          <w:noProof/>
          <w:kern w:val="0"/>
          <w14:ligatures w14:val="none"/>
        </w:rPr>
        <w:t xml:space="preserve"> not been </w:t>
      </w:r>
      <w:r w:rsidR="00EE314A" w:rsidRPr="00FB4E2D">
        <w:rPr>
          <w:rFonts w:ascii="Times New Roman" w:eastAsia="Calibri" w:hAnsi="Times New Roman" w:cs="Times New Roman"/>
          <w:noProof/>
          <w:kern w:val="0"/>
          <w14:ligatures w14:val="none"/>
        </w:rPr>
        <w:t>deemed</w:t>
      </w:r>
      <w:r w:rsidRPr="00FB4E2D">
        <w:rPr>
          <w:rFonts w:ascii="Times New Roman" w:eastAsia="Calibri" w:hAnsi="Times New Roman" w:cs="Times New Roman"/>
          <w:noProof/>
          <w:kern w:val="0"/>
          <w14:ligatures w14:val="none"/>
        </w:rPr>
        <w:t xml:space="preserve"> to violate this provision, the Court of Justice of the EU has stated that the receipt by members of the judiciary of a level of remuneration commensurate with the importance of the functions carried out constitutes an essential guarantee of judicial independence (</w:t>
      </w:r>
      <w:r w:rsidRPr="00FB4E2D">
        <w:rPr>
          <w:rFonts w:ascii="Times New Roman" w:eastAsia="Calibri" w:hAnsi="Times New Roman" w:cs="Times New Roman"/>
          <w:noProof/>
          <w:kern w:val="0"/>
          <w:vertAlign w:val="superscript"/>
          <w14:ligatures w14:val="none"/>
        </w:rPr>
        <w:footnoteReference w:id="85"/>
      </w:r>
      <w:r w:rsidRPr="00FB4E2D">
        <w:rPr>
          <w:rFonts w:ascii="Times New Roman" w:eastAsia="Calibri" w:hAnsi="Times New Roman" w:cs="Times New Roman"/>
          <w:noProof/>
          <w:kern w:val="0"/>
          <w14:ligatures w14:val="none"/>
        </w:rPr>
        <w:t>).</w:t>
      </w:r>
    </w:p>
    <w:p w14:paraId="79ED32FF" w14:textId="77777777" w:rsidR="00A02C07" w:rsidRPr="00FB4E2D" w:rsidRDefault="00A02C07" w:rsidP="00A02C07">
      <w:pPr>
        <w:keepNext/>
        <w:spacing w:before="240" w:after="120" w:line="240" w:lineRule="auto"/>
        <w:jc w:val="both"/>
        <w:rPr>
          <w:rFonts w:ascii="Times New Roman" w:eastAsia="Calibri" w:hAnsi="Times New Roman" w:cs="Times New Roman"/>
          <w:b/>
          <w:noProof/>
          <w:kern w:val="0"/>
          <w14:ligatures w14:val="none"/>
        </w:rPr>
      </w:pPr>
      <w:bookmarkStart w:id="355" w:name="_Hlk158746068"/>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Ratio of </w:t>
      </w:r>
      <w:r w:rsidRPr="00FB4E2D">
        <w:rPr>
          <w:rFonts w:ascii="Times New Roman" w:eastAsia="Times New Roman" w:hAnsi="Times New Roman" w:cs="Times New Roman"/>
          <w:b/>
          <w:noProof/>
          <w:kern w:val="0"/>
          <w:u w:val="single"/>
          <w14:ligatures w14:val="none"/>
        </w:rPr>
        <w:t>annual salaries of judges and prosecutors</w:t>
      </w:r>
      <w:r w:rsidRPr="00FB4E2D">
        <w:rPr>
          <w:rFonts w:ascii="Times New Roman" w:eastAsia="Times New Roman" w:hAnsi="Times New Roman" w:cs="Times New Roman"/>
          <w:b/>
          <w:noProof/>
          <w:kern w:val="0"/>
          <w14:ligatures w14:val="none"/>
        </w:rPr>
        <w:t xml:space="preserve"> to annual average gross salary in the country in 2024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 xml:space="preserve">) </w:t>
      </w:r>
      <w:bookmarkEnd w:id="355"/>
      <w:r w:rsidRPr="00FB4E2D">
        <w:rPr>
          <w:rFonts w:ascii="Times New Roman" w:eastAsia="Calibri" w:hAnsi="Times New Roman" w:cs="Times New Roman"/>
          <w:i/>
          <w:noProof/>
          <w:kern w:val="0"/>
          <w14:ligatures w14:val="none"/>
        </w:rPr>
        <w:t>(source: CEPEJ study)</w:t>
      </w:r>
    </w:p>
    <w:p w14:paraId="1BCA48CB" w14:textId="77777777" w:rsidR="00A02C07" w:rsidRPr="00FB4E2D" w:rsidRDefault="00A02C07" w:rsidP="00A02C07">
      <w:pPr>
        <w:spacing w:after="0" w:line="240" w:lineRule="auto"/>
        <w:jc w:val="both"/>
        <w:rPr>
          <w:rFonts w:ascii="Times New Roman" w:eastAsia="Calibri" w:hAnsi="Times New Roman" w:cs="Times New Roman"/>
          <w:i/>
          <w:noProof/>
          <w:kern w:val="0"/>
          <w:sz w:val="22"/>
          <w:szCs w:val="22"/>
          <w14:ligatures w14:val="none"/>
        </w:rPr>
      </w:pPr>
      <w:r w:rsidRPr="00FB4E2D">
        <w:rPr>
          <w:rFonts w:ascii="Times New Roman" w:eastAsia="Calibri" w:hAnsi="Times New Roman" w:cs="Times New Roman"/>
          <w:i/>
          <w:noProof/>
          <w:kern w:val="0"/>
          <w:sz w:val="22"/>
          <w:szCs w:val="22"/>
          <w:lang w:val="en-GB" w:eastAsia="en-GB"/>
          <w14:ligatures w14:val="none"/>
        </w:rPr>
        <w:drawing>
          <wp:inline distT="0" distB="0" distL="0" distR="0" wp14:anchorId="02F83520" wp14:editId="3F2329B5">
            <wp:extent cx="5760000" cy="2425030"/>
            <wp:effectExtent l="0" t="0" r="0" b="0"/>
            <wp:docPr id="1050523675" name="Picture 1"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23675" name="Picture 1" descr="A graph of numbers and lines&#10;&#10;AI-generated content may be incorrect."/>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60000" cy="2425030"/>
                    </a:xfrm>
                    <a:prstGeom prst="rect">
                      <a:avLst/>
                    </a:prstGeom>
                    <a:noFill/>
                  </pic:spPr>
                </pic:pic>
              </a:graphicData>
            </a:graphic>
          </wp:inline>
        </w:drawing>
      </w:r>
      <w:r w:rsidRPr="00FB4E2D">
        <w:rPr>
          <w:rFonts w:ascii="Times New Roman" w:eastAsia="Calibri" w:hAnsi="Times New Roman" w:cs="Times New Roman"/>
          <w:i/>
          <w:noProof/>
          <w:kern w:val="0"/>
          <w:sz w:val="20"/>
          <w:szCs w:val="20"/>
          <w14:ligatures w14:val="none"/>
        </w:rPr>
        <w:t>(*)</w:t>
      </w:r>
      <w:r w:rsidRPr="00FB4E2D">
        <w:rPr>
          <w:rFonts w:ascii="Times New Roman" w:eastAsia="Calibri" w:hAnsi="Times New Roman" w:cs="Times New Roman"/>
          <w:i/>
          <w:noProof/>
          <w:kern w:val="0"/>
          <w:sz w:val="22"/>
          <w:szCs w:val="22"/>
          <w14:ligatures w14:val="none"/>
        </w:rPr>
        <w:t xml:space="preserve"> Member States specific comments on the data are accessible in the CEPEJ study (</w:t>
      </w:r>
      <w:r w:rsidRPr="00FB4E2D">
        <w:rPr>
          <w:rFonts w:ascii="Times New Roman" w:eastAsia="Calibri" w:hAnsi="Times New Roman" w:cs="Times New Roman"/>
          <w:i/>
          <w:noProof/>
          <w:kern w:val="0"/>
          <w:sz w:val="22"/>
          <w:szCs w:val="22"/>
          <w:vertAlign w:val="superscript"/>
          <w14:ligatures w14:val="none"/>
        </w:rPr>
        <w:footnoteReference w:id="86"/>
      </w:r>
      <w:r w:rsidRPr="00FB4E2D">
        <w:rPr>
          <w:rFonts w:ascii="Times New Roman" w:eastAsia="Calibri" w:hAnsi="Times New Roman" w:cs="Times New Roman"/>
          <w:i/>
          <w:noProof/>
          <w:kern w:val="0"/>
          <w:sz w:val="22"/>
          <w:szCs w:val="22"/>
          <w14:ligatures w14:val="none"/>
        </w:rPr>
        <w:t xml:space="preserve">). This figure does not take into account any additional benefits provided to judges and prosecutors, such as special pensions, housing benefits or other financial benefits. </w:t>
      </w:r>
    </w:p>
    <w:p w14:paraId="3A574A5F" w14:textId="77777777" w:rsidR="00A02C07" w:rsidRPr="00FB4E2D" w:rsidRDefault="00A02C07" w:rsidP="00A02C07">
      <w:pPr>
        <w:spacing w:line="259" w:lineRule="auto"/>
        <w:rPr>
          <w:rFonts w:ascii="Times New Roman" w:eastAsia="Calibri" w:hAnsi="Times New Roman" w:cs="Times New Roman"/>
          <w:i/>
          <w:noProof/>
          <w:kern w:val="0"/>
          <w:sz w:val="22"/>
          <w:szCs w:val="22"/>
          <w14:ligatures w14:val="none"/>
        </w:rPr>
      </w:pPr>
      <w:r w:rsidRPr="00FB4E2D">
        <w:rPr>
          <w:rFonts w:ascii="Times New Roman" w:eastAsia="Calibri" w:hAnsi="Times New Roman" w:cs="Times New Roman"/>
          <w:i/>
          <w:noProof/>
          <w:kern w:val="0"/>
          <w:sz w:val="22"/>
          <w:szCs w:val="22"/>
          <w14:ligatures w14:val="none"/>
        </w:rPr>
        <w:br w:type="page"/>
      </w:r>
    </w:p>
    <w:p w14:paraId="41CCE1F3" w14:textId="77777777" w:rsidR="00A02C07" w:rsidRPr="00FB4E2D" w:rsidRDefault="00A02C07" w:rsidP="00A02C07">
      <w:pPr>
        <w:spacing w:before="240"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i/>
          <w:noProof/>
          <w:kern w:val="0"/>
          <w:sz w:val="22"/>
          <w:szCs w:val="22"/>
          <w14:ligatures w14:val="none"/>
        </w:rPr>
        <w:t>–</w:t>
      </w:r>
      <w:r w:rsidRPr="00FB4E2D">
        <w:rPr>
          <w:rFonts w:ascii="Times New Roman" w:eastAsia="Calibri" w:hAnsi="Times New Roman" w:cs="Times New Roman"/>
          <w:i/>
          <w:noProof/>
          <w:kern w:val="0"/>
          <w14:ligatures w14:val="none"/>
        </w:rPr>
        <w:t xml:space="preserve"> Human resources </w:t>
      </w:r>
      <w:r w:rsidRPr="00FB4E2D">
        <w:rPr>
          <w:rFonts w:ascii="Times New Roman" w:eastAsia="Calibri" w:hAnsi="Times New Roman" w:cs="Times New Roman"/>
          <w:i/>
          <w:noProof/>
          <w:kern w:val="0"/>
          <w:sz w:val="22"/>
          <w:szCs w:val="22"/>
          <w14:ligatures w14:val="none"/>
        </w:rPr>
        <w:t>–</w:t>
      </w:r>
    </w:p>
    <w:p w14:paraId="6C04ED09" w14:textId="77777777" w:rsidR="00A02C07" w:rsidRPr="00FB4E2D" w:rsidRDefault="00A02C07" w:rsidP="00A02C07">
      <w:pPr>
        <w:spacing w:before="120" w:after="12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Times New Roman"/>
          <w:noProof/>
          <w:kern w:val="0"/>
          <w14:ligatures w14:val="none"/>
        </w:rPr>
        <w:t>Adequate human resources are essential for the quality of a justice system. Diversity among judges, including gender balance, adds complementary knowledge, skills and experience and reflects the reality of society.</w:t>
      </w:r>
    </w:p>
    <w:p w14:paraId="1406503C" w14:textId="4A67C837" w:rsidR="00A02C07" w:rsidRPr="00FB4E2D" w:rsidRDefault="00A02C07" w:rsidP="00A02C07">
      <w:pPr>
        <w:keepNext/>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Number of judges</w:t>
      </w:r>
      <w:r w:rsidRPr="00FB4E2D">
        <w:rPr>
          <w:rFonts w:ascii="Times New Roman" w:eastAsia="Calibri" w:hAnsi="Times New Roman" w:cs="Times New Roman"/>
          <w:b/>
          <w:noProof/>
          <w:kern w:val="0"/>
          <w14:ligatures w14:val="none"/>
        </w:rPr>
        <w:t xml:space="preserve">, 2014, 2022 – 2024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 xml:space="preserve">) </w:t>
      </w:r>
      <w:r w:rsidRPr="00FB4E2D">
        <w:rPr>
          <w:rFonts w:ascii="Times New Roman" w:eastAsia="Calibri" w:hAnsi="Times New Roman" w:cs="Times New Roman"/>
          <w:i/>
          <w:noProof/>
          <w:kern w:val="0"/>
          <w14:ligatures w14:val="none"/>
        </w:rPr>
        <w:t>(per 100 000 inhabitants) (source: CEPEJ study)</w:t>
      </w:r>
    </w:p>
    <w:p w14:paraId="5140B8E1" w14:textId="77777777" w:rsidR="00A02C07" w:rsidRPr="00FB4E2D" w:rsidRDefault="00A02C07" w:rsidP="00A02C07">
      <w:pPr>
        <w:keepNext/>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b/>
          <w:noProof/>
          <w:kern w:val="0"/>
          <w:lang w:val="en-GB" w:eastAsia="en-GB"/>
          <w14:ligatures w14:val="none"/>
        </w:rPr>
        <w:drawing>
          <wp:inline distT="0" distB="0" distL="0" distR="0" wp14:anchorId="292B8CE8" wp14:editId="0B086D0F">
            <wp:extent cx="5760000" cy="2427293"/>
            <wp:effectExtent l="0" t="0" r="0" b="0"/>
            <wp:docPr id="561732933" name="Picture 2"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32933" name="Picture 2" descr="A graph of numbers and lines&#10;&#10;AI-generated content may be incorrec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000" cy="2427293"/>
                    </a:xfrm>
                    <a:prstGeom prst="rect">
                      <a:avLst/>
                    </a:prstGeom>
                    <a:noFill/>
                  </pic:spPr>
                </pic:pic>
              </a:graphicData>
            </a:graphic>
          </wp:inline>
        </w:drawing>
      </w:r>
      <w:r w:rsidRPr="00FB4E2D">
        <w:rPr>
          <w:rFonts w:ascii="Times New Roman" w:eastAsia="Calibri" w:hAnsi="Times New Roman" w:cs="Times New Roman"/>
          <w:i/>
          <w:noProof/>
          <w:kern w:val="0"/>
          <w:sz w:val="20"/>
          <w:szCs w:val="20"/>
          <w14:ligatures w14:val="none"/>
        </w:rPr>
        <w:t xml:space="preserve">(*) This category consists of judges working full-time, according to the CEPEJ methodology. It does not include the Rechtspfleger/court clerks that exist in some Member States. </w:t>
      </w:r>
      <w:r w:rsidRPr="00FB4E2D">
        <w:rPr>
          <w:rFonts w:ascii="Times New Roman" w:eastAsia="Calibri" w:hAnsi="Times New Roman" w:cs="Times New Roman"/>
          <w:b/>
          <w:i/>
          <w:noProof/>
          <w:kern w:val="0"/>
          <w:sz w:val="20"/>
          <w:szCs w:val="22"/>
          <w14:ligatures w14:val="none"/>
        </w:rPr>
        <w:t>EL</w:t>
      </w:r>
      <w:r w:rsidRPr="00FB4E2D">
        <w:rPr>
          <w:rFonts w:ascii="Times New Roman" w:eastAsia="Calibri" w:hAnsi="Times New Roman" w:cs="Times New Roman"/>
          <w:i/>
          <w:noProof/>
          <w:kern w:val="0"/>
          <w:sz w:val="20"/>
          <w:szCs w:val="22"/>
          <w14:ligatures w14:val="none"/>
        </w:rPr>
        <w:t xml:space="preserve">: since 2016, data on the number of professional judges include all the ranks for criminal and civil justice as well as administrative judges. </w:t>
      </w:r>
      <w:r w:rsidRPr="00FB4E2D">
        <w:rPr>
          <w:rFonts w:ascii="Times New Roman" w:eastAsia="Calibri" w:hAnsi="Times New Roman" w:cs="Times New Roman"/>
          <w:b/>
          <w:i/>
          <w:noProof/>
          <w:kern w:val="0"/>
          <w:sz w:val="20"/>
          <w:szCs w:val="22"/>
          <w14:ligatures w14:val="none"/>
        </w:rPr>
        <w:t>IT</w:t>
      </w:r>
      <w:r w:rsidRPr="00FB4E2D">
        <w:rPr>
          <w:rFonts w:ascii="Times New Roman" w:eastAsia="Calibri" w:hAnsi="Times New Roman" w:cs="Times New Roman"/>
          <w:i/>
          <w:noProof/>
          <w:kern w:val="0"/>
          <w:sz w:val="20"/>
          <w:szCs w:val="22"/>
          <w14:ligatures w14:val="none"/>
        </w:rPr>
        <w:t>:</w:t>
      </w:r>
      <w:r w:rsidRPr="00FB4E2D">
        <w:rPr>
          <w:rFonts w:ascii="Times New Roman" w:eastAsia="Calibri" w:hAnsi="Times New Roman" w:cs="Times New Roman"/>
          <w:b/>
          <w:i/>
          <w:noProof/>
          <w:kern w:val="0"/>
          <w:sz w:val="20"/>
          <w:szCs w:val="22"/>
          <w14:ligatures w14:val="none"/>
        </w:rPr>
        <w:t xml:space="preserve"> </w:t>
      </w:r>
      <w:r w:rsidRPr="00FB4E2D">
        <w:rPr>
          <w:rFonts w:ascii="Times New Roman" w:eastAsia="Calibri" w:hAnsi="Times New Roman" w:cs="Times New Roman"/>
          <w:i/>
          <w:noProof/>
          <w:kern w:val="0"/>
          <w:sz w:val="20"/>
          <w:szCs w:val="22"/>
          <w14:ligatures w14:val="none"/>
        </w:rPr>
        <w:t xml:space="preserve">Regional audit commissions, local tax commissions and military courts are not taken into consideration. Administrative justice has been taken into account since 2018. </w:t>
      </w:r>
      <w:r w:rsidRPr="00FB4E2D">
        <w:rPr>
          <w:rFonts w:ascii="Times New Roman" w:eastAsia="Calibri" w:hAnsi="Times New Roman" w:cs="Times New Roman"/>
          <w:b/>
          <w:i/>
          <w:noProof/>
          <w:kern w:val="0"/>
          <w:sz w:val="20"/>
          <w:szCs w:val="20"/>
          <w14:ligatures w14:val="none"/>
        </w:rPr>
        <w:t>AT</w:t>
      </w:r>
      <w:r w:rsidRPr="00FB4E2D">
        <w:rPr>
          <w:rFonts w:ascii="Times New Roman" w:eastAsia="Calibri" w:hAnsi="Times New Roman" w:cs="Times New Roman"/>
          <w:i/>
          <w:noProof/>
          <w:kern w:val="0"/>
          <w:sz w:val="20"/>
          <w:szCs w:val="20"/>
          <w14:ligatures w14:val="none"/>
        </w:rPr>
        <w:t>: data on administrative justice have been part of the data since 2016.</w:t>
      </w:r>
    </w:p>
    <w:p w14:paraId="42C8A715" w14:textId="77A6A994" w:rsidR="00A02C07" w:rsidRPr="00FB4E2D" w:rsidRDefault="00A02C07" w:rsidP="00A02C07">
      <w:pPr>
        <w:spacing w:before="240" w:after="120" w:line="240" w:lineRule="auto"/>
        <w:jc w:val="both"/>
        <w:rPr>
          <w:rFonts w:ascii="Times New Roman" w:eastAsia="Calibri" w:hAnsi="Times New Roman" w:cs="Times New Roman"/>
          <w:i/>
          <w:noProof/>
          <w:color w:val="000000"/>
          <w:kern w:val="0"/>
          <w14:ligatures w14:val="none"/>
        </w:rPr>
      </w:pPr>
      <w:bookmarkStart w:id="356" w:name="_Toc409530229"/>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color w:val="000000"/>
          <w:kern w:val="0"/>
          <w14:ligatures w14:val="none"/>
        </w:rPr>
        <w:t xml:space="preserve">Proportion of </w:t>
      </w:r>
      <w:r w:rsidRPr="00FB4E2D">
        <w:rPr>
          <w:rFonts w:ascii="Times New Roman" w:eastAsia="Calibri" w:hAnsi="Times New Roman" w:cs="Times New Roman"/>
          <w:b/>
          <w:noProof/>
          <w:color w:val="000000"/>
          <w:kern w:val="0"/>
          <w:u w:val="single"/>
          <w14:ligatures w14:val="none"/>
        </w:rPr>
        <w:t>female professional Supreme Court judges</w:t>
      </w:r>
      <w:r w:rsidRPr="00FB4E2D">
        <w:rPr>
          <w:rFonts w:ascii="Times New Roman" w:eastAsia="Calibri" w:hAnsi="Times New Roman" w:cs="Times New Roman"/>
          <w:b/>
          <w:noProof/>
          <w:color w:val="000000"/>
          <w:kern w:val="0"/>
          <w14:ligatures w14:val="none"/>
        </w:rPr>
        <w:t xml:space="preserve"> 2023 </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b/>
          <w:noProof/>
          <w:color w:val="000000"/>
          <w:kern w:val="0"/>
          <w14:ligatures w14:val="none"/>
        </w:rPr>
        <w:t xml:space="preserve">2025 </w:t>
      </w:r>
      <w:r w:rsidRPr="00FB4E2D">
        <w:rPr>
          <w:rFonts w:ascii="Times New Roman" w:eastAsia="Calibri" w:hAnsi="Times New Roman" w:cs="Times New Roman"/>
          <w:noProof/>
          <w:color w:val="000000"/>
          <w:kern w:val="0"/>
          <w14:ligatures w14:val="none"/>
        </w:rPr>
        <w:t xml:space="preserve">(*) </w:t>
      </w:r>
      <w:r w:rsidRPr="00FB4E2D">
        <w:rPr>
          <w:rFonts w:ascii="Times New Roman" w:eastAsia="Calibri" w:hAnsi="Times New Roman" w:cs="Times New Roman"/>
          <w:i/>
          <w:noProof/>
          <w:color w:val="000000"/>
          <w:kern w:val="0"/>
          <w14:ligatures w14:val="none"/>
        </w:rPr>
        <w:t>(source: European Commission (</w:t>
      </w:r>
      <w:r w:rsidRPr="00FB4E2D">
        <w:rPr>
          <w:rFonts w:ascii="Times New Roman" w:eastAsia="Calibri" w:hAnsi="Times New Roman" w:cs="Times New Roman"/>
          <w:i/>
          <w:iCs/>
          <w:noProof/>
          <w:color w:val="000000"/>
          <w:kern w:val="0"/>
          <w:vertAlign w:val="superscript"/>
          <w14:ligatures w14:val="none"/>
        </w:rPr>
        <w:footnoteReference w:id="87"/>
      </w:r>
      <w:r w:rsidRPr="00FB4E2D">
        <w:rPr>
          <w:rFonts w:ascii="Times New Roman" w:eastAsia="Calibri" w:hAnsi="Times New Roman" w:cs="Times New Roman"/>
          <w:i/>
          <w:noProof/>
          <w:color w:val="000000"/>
          <w:kern w:val="0"/>
          <w14:ligatures w14:val="none"/>
        </w:rPr>
        <w:t>))</w:t>
      </w:r>
    </w:p>
    <w:p w14:paraId="26BE9B42" w14:textId="77777777" w:rsidR="00A02C07" w:rsidRPr="00FB4E2D" w:rsidRDefault="00A02C07" w:rsidP="00A02C07">
      <w:pPr>
        <w:spacing w:after="0" w:line="240" w:lineRule="auto"/>
        <w:jc w:val="both"/>
        <w:rPr>
          <w:rFonts w:ascii="Times New Roman" w:eastAsia="Calibri" w:hAnsi="Times New Roman" w:cs="Times New Roman"/>
          <w:i/>
          <w:noProof/>
          <w:color w:val="000000"/>
          <w:kern w:val="0"/>
          <w14:ligatures w14:val="none"/>
        </w:rPr>
      </w:pPr>
      <w:r w:rsidRPr="00FB4E2D">
        <w:rPr>
          <w:rFonts w:ascii="Times New Roman" w:eastAsia="Calibri" w:hAnsi="Times New Roman" w:cs="Times New Roman"/>
          <w:i/>
          <w:noProof/>
          <w:color w:val="000000"/>
          <w:kern w:val="0"/>
          <w:sz w:val="20"/>
          <w:lang w:val="en-GB" w:eastAsia="en-GB"/>
          <w14:ligatures w14:val="none"/>
        </w:rPr>
        <w:drawing>
          <wp:inline distT="0" distB="0" distL="0" distR="0" wp14:anchorId="75342872" wp14:editId="4FB603D0">
            <wp:extent cx="5760000" cy="2440938"/>
            <wp:effectExtent l="0" t="0" r="0" b="0"/>
            <wp:docPr id="492921811" name="Picture 4"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21811" name="Picture 4" descr="A graph of a number of people&#10;&#10;AI-generated content may be incorrec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000" cy="2440938"/>
                    </a:xfrm>
                    <a:prstGeom prst="rect">
                      <a:avLst/>
                    </a:prstGeom>
                    <a:noFill/>
                  </pic:spPr>
                </pic:pic>
              </a:graphicData>
            </a:graphic>
          </wp:inline>
        </w:drawing>
      </w:r>
      <w:r w:rsidRPr="00FB4E2D">
        <w:rPr>
          <w:rFonts w:ascii="Times New Roman" w:eastAsia="Calibri" w:hAnsi="Times New Roman" w:cs="Times New Roman"/>
          <w:i/>
          <w:noProof/>
          <w:color w:val="000000"/>
          <w:kern w:val="0"/>
          <w:sz w:val="20"/>
          <w14:ligatures w14:val="none"/>
        </w:rPr>
        <w:t xml:space="preserve">(*) The data are sorted by 2024 values, from the highest to the lowest. </w:t>
      </w:r>
    </w:p>
    <w:p w14:paraId="79570984" w14:textId="7274EEE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Number of lawyers</w:t>
      </w:r>
      <w:r w:rsidRPr="00FB4E2D">
        <w:rPr>
          <w:rFonts w:ascii="Times New Roman" w:eastAsia="Calibri" w:hAnsi="Times New Roman" w:cs="Times New Roman"/>
          <w:b/>
          <w:noProof/>
          <w:kern w:val="0"/>
          <w14:ligatures w14:val="none"/>
        </w:rPr>
        <w:t xml:space="preserve">, 2014, 2022 – 2024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(per 100 000 inhabitants) (source: CEPEJ study)</w:t>
      </w:r>
    </w:p>
    <w:p w14:paraId="1B15054A" w14:textId="77777777" w:rsidR="00A02C07" w:rsidRPr="00FB4E2D" w:rsidRDefault="00A02C07" w:rsidP="00A02C07">
      <w:pPr>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lang w:val="en-GB" w:eastAsia="en-GB"/>
          <w14:ligatures w14:val="none"/>
        </w:rPr>
        <w:drawing>
          <wp:inline distT="0" distB="0" distL="0" distR="0" wp14:anchorId="4B50FC2E" wp14:editId="472432D9">
            <wp:extent cx="5760000" cy="2433415"/>
            <wp:effectExtent l="0" t="0" r="0" b="5080"/>
            <wp:docPr id="1765130274" name="Picture 3" descr="A graph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130274" name="Picture 3" descr="A graph of numbers and letters&#10;&#10;AI-generated content may be incorrec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000" cy="2433415"/>
                    </a:xfrm>
                    <a:prstGeom prst="rect">
                      <a:avLst/>
                    </a:prstGeom>
                    <a:noFill/>
                  </pic:spPr>
                </pic:pic>
              </a:graphicData>
            </a:graphic>
          </wp:inline>
        </w:drawing>
      </w:r>
    </w:p>
    <w:p w14:paraId="1078B6EF" w14:textId="77777777" w:rsidR="00A02C07" w:rsidRPr="00FB4E2D" w:rsidRDefault="00A02C07" w:rsidP="00A02C07">
      <w:pPr>
        <w:spacing w:after="0" w:line="240" w:lineRule="auto"/>
        <w:jc w:val="both"/>
        <w:rPr>
          <w:rFonts w:ascii="Times New Roman" w:eastAsia="Calibri" w:hAnsi="Times New Roman" w:cs="Times New Roman"/>
          <w:noProof/>
          <w:kern w:val="0"/>
          <w:sz w:val="22"/>
          <w:szCs w:val="22"/>
          <w14:ligatures w14:val="none"/>
        </w:rPr>
      </w:pPr>
      <w:r w:rsidRPr="00FB4E2D">
        <w:rPr>
          <w:rFonts w:ascii="Times New Roman" w:eastAsia="Calibri" w:hAnsi="Times New Roman" w:cs="Times New Roman"/>
          <w:i/>
          <w:noProof/>
          <w:kern w:val="0"/>
          <w:sz w:val="20"/>
          <w:szCs w:val="20"/>
          <w14:ligatures w14:val="none"/>
        </w:rPr>
        <w:t xml:space="preserve">(*) According to the CEPEJ methodology, a lawyer is a person qualified and authorised by national law to plead and act on behalf of their clients; to engage in the practice of law; to appear before the courts or advise and represent their clients in legal matters (Recommendation Rec (2000)21 of the Committee of Ministers of the Council of Europe on the freedom of exercise of the profession of lawyer). </w:t>
      </w:r>
      <w:r w:rsidRPr="00FB4E2D">
        <w:rPr>
          <w:rFonts w:ascii="Times New Roman" w:eastAsia="Calibri" w:hAnsi="Times New Roman" w:cs="Times New Roman"/>
          <w:b/>
          <w:i/>
          <w:noProof/>
          <w:kern w:val="0"/>
          <w:sz w:val="20"/>
          <w:szCs w:val="20"/>
          <w14:ligatures w14:val="none"/>
        </w:rPr>
        <w:t>DE</w:t>
      </w:r>
      <w:r w:rsidRPr="00FB4E2D">
        <w:rPr>
          <w:rFonts w:ascii="Times New Roman" w:eastAsia="Calibri" w:hAnsi="Times New Roman" w:cs="Times New Roman"/>
          <w:i/>
          <w:noProof/>
          <w:kern w:val="0"/>
          <w:sz w:val="20"/>
          <w:szCs w:val="20"/>
          <w14:ligatures w14:val="none"/>
        </w:rPr>
        <w:t xml:space="preserve">: No distinction is made between different groups of lawyers in Germany. </w:t>
      </w:r>
      <w:r w:rsidRPr="00FB4E2D">
        <w:rPr>
          <w:rFonts w:ascii="Times New Roman" w:eastAsia="Calibri" w:hAnsi="Times New Roman" w:cs="Times New Roman"/>
          <w:b/>
          <w:i/>
          <w:noProof/>
          <w:kern w:val="0"/>
          <w:sz w:val="20"/>
          <w:szCs w:val="20"/>
          <w14:ligatures w14:val="none"/>
        </w:rPr>
        <w:t>FI</w:t>
      </w:r>
      <w:r w:rsidRPr="00FB4E2D">
        <w:rPr>
          <w:rFonts w:ascii="Times New Roman" w:eastAsia="Calibri" w:hAnsi="Times New Roman" w:cs="Times New Roman"/>
          <w:i/>
          <w:noProof/>
          <w:kern w:val="0"/>
          <w:sz w:val="20"/>
          <w:szCs w:val="20"/>
          <w14:ligatures w14:val="none"/>
        </w:rPr>
        <w:t>: Since 2015, the number of lawyers provided includes both the number of lawyers working in the private sector and the number of lawyers working in the public sector.</w:t>
      </w:r>
    </w:p>
    <w:p w14:paraId="020EBA82" w14:textId="77777777" w:rsidR="00A02C07" w:rsidRPr="00FB4E2D" w:rsidRDefault="00A02C07" w:rsidP="00A02C07">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bookmarkStart w:id="357" w:name="_Toc446014828"/>
      <w:bookmarkEnd w:id="356"/>
      <w:r w:rsidRPr="00FB4E2D">
        <w:rPr>
          <w:rFonts w:ascii="Times New Roman" w:eastAsia="Times New Roman" w:hAnsi="Times New Roman" w:cs="Times New Roman"/>
          <w:b/>
          <w:noProof/>
          <w:kern w:val="0"/>
          <w14:ligatures w14:val="none"/>
        </w:rPr>
        <w:t>2.2.4. Digitalisation</w:t>
      </w:r>
    </w:p>
    <w:p w14:paraId="0A15ABE0" w14:textId="377DA98D"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The use of information and communication technologies (ICT) can strengthen Member States’ justice systems and make them more accessible, efficient, resilient and ready to face current and future challenges. The COVID-19 pandemic has highlighted a number of challenges affecting the functioning of the judiciary and </w:t>
      </w:r>
      <w:r w:rsidR="00EE314A" w:rsidRPr="00FB4E2D">
        <w:rPr>
          <w:rFonts w:ascii="Times New Roman" w:eastAsia="Calibri" w:hAnsi="Times New Roman" w:cs="Times New Roman"/>
          <w:noProof/>
          <w:kern w:val="0"/>
          <w14:ligatures w14:val="none"/>
        </w:rPr>
        <w:t xml:space="preserve">revealed </w:t>
      </w:r>
      <w:r w:rsidRPr="00FB4E2D">
        <w:rPr>
          <w:rFonts w:ascii="Times New Roman" w:eastAsia="Calibri" w:hAnsi="Times New Roman" w:cs="Times New Roman"/>
          <w:noProof/>
          <w:kern w:val="0"/>
          <w14:ligatures w14:val="none"/>
        </w:rPr>
        <w:t>the need for national justice systems to further improve their digitalisation.</w:t>
      </w:r>
    </w:p>
    <w:p w14:paraId="7C6F6F04" w14:textId="6C18C586"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Earlier editions of the EU Justice Scoreboard provided comparative data on certain aspects of ICT in justice systems</w:t>
      </w:r>
      <w:r w:rsidRPr="00FB4E2D">
        <w:rPr>
          <w:rFonts w:ascii="Times New Roman" w:eastAsia="Calibri" w:hAnsi="Times New Roman" w:cs="Times New Roman"/>
          <w:noProof/>
          <w:kern w:val="0"/>
          <w:shd w:val="clear" w:color="auto" w:fill="FFFFFF"/>
          <w14:ligatures w14:val="none"/>
        </w:rPr>
        <w:t>. As announced</w:t>
      </w:r>
      <w:r w:rsidRPr="00FB4E2D">
        <w:rPr>
          <w:rFonts w:ascii="Times New Roman" w:eastAsia="Calibri" w:hAnsi="Times New Roman" w:cs="Times New Roman"/>
          <w:noProof/>
          <w:kern w:val="0"/>
          <w14:ligatures w14:val="none"/>
        </w:rPr>
        <w:t xml:space="preserve"> in the Commission’s Communication on the digitalisation of justice in the EU of 2 December 2020 (</w:t>
      </w:r>
      <w:r w:rsidRPr="00FB4E2D">
        <w:rPr>
          <w:rFonts w:ascii="Times New Roman" w:eastAsia="Calibri" w:hAnsi="Times New Roman" w:cs="Times New Roman"/>
          <w:noProof/>
          <w:kern w:val="0"/>
          <w:vertAlign w:val="superscript"/>
          <w14:ligatures w14:val="none"/>
        </w:rPr>
        <w:footnoteReference w:id="88"/>
      </w:r>
      <w:r w:rsidRPr="00FB4E2D">
        <w:rPr>
          <w:rFonts w:ascii="Times New Roman" w:eastAsia="Calibri" w:hAnsi="Times New Roman" w:cs="Times New Roman"/>
          <w:noProof/>
          <w:kern w:val="0"/>
          <w14:ligatures w14:val="none"/>
        </w:rPr>
        <w:t>), the Scoreboard has been substantially augmented with further data on digitalisation in the Member States. This should allow for more in-depth monitoring of progress areas and challenges</w:t>
      </w:r>
      <w:r w:rsidR="00EE314A" w:rsidRPr="00FB4E2D">
        <w:rPr>
          <w:rFonts w:ascii="Times New Roman" w:eastAsia="Calibri" w:hAnsi="Times New Roman" w:cs="Times New Roman"/>
          <w:noProof/>
          <w:kern w:val="0"/>
          <w14:ligatures w14:val="none"/>
        </w:rPr>
        <w:t xml:space="preserve"> that remain.</w:t>
      </w:r>
    </w:p>
    <w:p w14:paraId="5A02D797" w14:textId="076B600E" w:rsidR="00A02C07" w:rsidRPr="00FB4E2D" w:rsidRDefault="00A02C07" w:rsidP="00A02C07">
      <w:pPr>
        <w:spacing w:before="240" w:line="240" w:lineRule="auto"/>
        <w:jc w:val="both"/>
        <w:rPr>
          <w:rFonts w:ascii="Times New Roman" w:eastAsia="Times New Roman" w:hAnsi="Times New Roman" w:cs="Times New Roman"/>
          <w:noProof/>
          <w:kern w:val="0"/>
          <w:highlight w:val="yellow"/>
          <w14:ligatures w14:val="none"/>
        </w:rPr>
      </w:pPr>
      <w:r w:rsidRPr="00FB4E2D">
        <w:rPr>
          <w:rFonts w:ascii="Times New Roman" w:eastAsia="Times New Roman" w:hAnsi="Times New Roman" w:cs="Times New Roman"/>
          <w:noProof/>
          <w:kern w:val="0"/>
          <w14:ligatures w14:val="none"/>
        </w:rPr>
        <w:t xml:space="preserve">Citizen-friendly justice requires that information about national judicial systems is not only easily accessible but is also tailored to specific groups of society that would otherwise have difficulties in accessing the information, including </w:t>
      </w:r>
      <w:r w:rsidR="007854BD" w:rsidRPr="00FB4E2D">
        <w:rPr>
          <w:rFonts w:ascii="Times New Roman" w:eastAsia="Times New Roman" w:hAnsi="Times New Roman" w:cs="Times New Roman"/>
          <w:noProof/>
          <w:kern w:val="0"/>
          <w14:ligatures w14:val="none"/>
        </w:rPr>
        <w:t xml:space="preserve">persons </w:t>
      </w:r>
      <w:r w:rsidRPr="00FB4E2D">
        <w:rPr>
          <w:rFonts w:ascii="Times New Roman" w:eastAsia="Times New Roman" w:hAnsi="Times New Roman" w:cs="Times New Roman"/>
          <w:noProof/>
          <w:kern w:val="0"/>
          <w14:ligatures w14:val="none"/>
        </w:rPr>
        <w:t>with disabilities. Figure 3</w:t>
      </w:r>
      <w:r w:rsidR="00842EFC" w:rsidRPr="00FB4E2D">
        <w:rPr>
          <w:rFonts w:ascii="Times New Roman" w:eastAsia="Times New Roman" w:hAnsi="Times New Roman" w:cs="Times New Roman"/>
          <w:noProof/>
          <w:kern w:val="0"/>
          <w14:ligatures w14:val="none"/>
        </w:rPr>
        <w:t>9</w:t>
      </w:r>
      <w:r w:rsidRPr="00FB4E2D">
        <w:rPr>
          <w:rFonts w:ascii="Times New Roman" w:eastAsia="Times New Roman" w:hAnsi="Times New Roman" w:cs="Times New Roman"/>
          <w:noProof/>
          <w:kern w:val="0"/>
          <w14:ligatures w14:val="none"/>
        </w:rPr>
        <w:t xml:space="preserve"> shows the availability of online information about the judicial system for the general public that can help </w:t>
      </w:r>
      <w:r w:rsidR="001208F1" w:rsidRPr="00FB4E2D">
        <w:rPr>
          <w:rFonts w:ascii="Times New Roman" w:eastAsia="Times New Roman" w:hAnsi="Times New Roman" w:cs="Times New Roman"/>
          <w:noProof/>
          <w:kern w:val="0"/>
          <w14:ligatures w14:val="none"/>
        </w:rPr>
        <w:t xml:space="preserve">persons </w:t>
      </w:r>
      <w:r w:rsidRPr="00FB4E2D">
        <w:rPr>
          <w:rFonts w:ascii="Times New Roman" w:eastAsia="Times New Roman" w:hAnsi="Times New Roman" w:cs="Times New Roman"/>
          <w:noProof/>
          <w:kern w:val="0"/>
          <w14:ligatures w14:val="none"/>
        </w:rPr>
        <w:t>access justice.</w:t>
      </w:r>
    </w:p>
    <w:p w14:paraId="20351360" w14:textId="77777777" w:rsidR="004439C7" w:rsidRDefault="004439C7">
      <w:pPr>
        <w:rPr>
          <w:rFonts w:ascii="Times New Roman" w:eastAsia="Calibri" w:hAnsi="Times New Roman" w:cs="Times New Roman"/>
          <w:b/>
          <w:noProof/>
          <w:spacing w:val="-6"/>
          <w:kern w:val="0"/>
          <w14:ligatures w14:val="none"/>
        </w:rPr>
      </w:pPr>
      <w:r>
        <w:rPr>
          <w:rFonts w:ascii="Times New Roman" w:eastAsia="Calibri" w:hAnsi="Times New Roman" w:cs="Times New Roman"/>
          <w:b/>
          <w:noProof/>
          <w:spacing w:val="-6"/>
          <w:kern w:val="0"/>
          <w14:ligatures w14:val="none"/>
        </w:rPr>
        <w:br w:type="page"/>
      </w:r>
    </w:p>
    <w:p w14:paraId="3A15A32F" w14:textId="77777777" w:rsidR="00A02C07" w:rsidRPr="00FB4E2D" w:rsidRDefault="00A02C07" w:rsidP="00A02C07">
      <w:pPr>
        <w:spacing w:before="240" w:after="120" w:line="259" w:lineRule="auto"/>
        <w:jc w:val="both"/>
        <w:rPr>
          <w:rFonts w:ascii="Times New Roman" w:eastAsia="Times New Roman" w:hAnsi="Times New Roman" w:cs="Times New Roman"/>
          <w:i/>
          <w:noProof/>
          <w:kern w:val="0"/>
          <w:lang w:eastAsia="en-GB"/>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lang w:eastAsia="en-GB"/>
          <w14:ligatures w14:val="none"/>
        </w:rPr>
        <w:t xml:space="preserve">Availability of </w:t>
      </w:r>
      <w:r w:rsidRPr="00FB4E2D">
        <w:rPr>
          <w:rFonts w:ascii="Times New Roman" w:eastAsia="Times New Roman" w:hAnsi="Times New Roman" w:cs="Times New Roman"/>
          <w:b/>
          <w:noProof/>
          <w:kern w:val="0"/>
          <w:u w:val="single"/>
          <w:lang w:eastAsia="en-GB"/>
          <w14:ligatures w14:val="none"/>
        </w:rPr>
        <w:t>online information about the judicial system for the general public</w:t>
      </w:r>
      <w:r w:rsidRPr="00FB4E2D">
        <w:rPr>
          <w:rFonts w:ascii="Times New Roman" w:eastAsia="Times New Roman" w:hAnsi="Times New Roman" w:cs="Times New Roman"/>
          <w:b/>
          <w:noProof/>
          <w:kern w:val="0"/>
          <w:lang w:eastAsia="en-GB"/>
          <w14:ligatures w14:val="none"/>
        </w:rPr>
        <w:t xml:space="preserve">, 2025 </w:t>
      </w:r>
      <w:r w:rsidRPr="00FB4E2D">
        <w:rPr>
          <w:rFonts w:ascii="Times New Roman" w:eastAsia="Times New Roman" w:hAnsi="Times New Roman" w:cs="Times New Roman"/>
          <w:noProof/>
          <w:kern w:val="0"/>
          <w:lang w:eastAsia="en-GB"/>
          <w14:ligatures w14:val="none"/>
        </w:rPr>
        <w:t>(</w:t>
      </w:r>
      <w:r w:rsidRPr="00FB4E2D">
        <w:rPr>
          <w:rFonts w:ascii="Calibri" w:eastAsia="Times New Roman" w:hAnsi="Calibri" w:cs="Times New Roman"/>
          <w:noProof/>
          <w:kern w:val="0"/>
          <w:lang w:eastAsia="en-GB"/>
          <w14:ligatures w14:val="none"/>
        </w:rPr>
        <w:t>*</w:t>
      </w:r>
      <w:r w:rsidRPr="00FB4E2D">
        <w:rPr>
          <w:rFonts w:ascii="Times New Roman" w:eastAsia="Times New Roman" w:hAnsi="Times New Roman" w:cs="Times New Roman"/>
          <w:noProof/>
          <w:kern w:val="0"/>
          <w:lang w:eastAsia="en-GB"/>
          <w14:ligatures w14:val="none"/>
        </w:rPr>
        <w:t>)</w:t>
      </w:r>
      <w:r w:rsidRPr="00FB4E2D">
        <w:rPr>
          <w:rFonts w:ascii="Times New Roman" w:eastAsia="Times New Roman" w:hAnsi="Times New Roman" w:cs="Times New Roman"/>
          <w:b/>
          <w:noProof/>
          <w:kern w:val="0"/>
          <w:lang w:eastAsia="en-GB"/>
          <w14:ligatures w14:val="none"/>
        </w:rPr>
        <w:t xml:space="preserve"> </w:t>
      </w:r>
      <w:r w:rsidRPr="00FB4E2D">
        <w:rPr>
          <w:rFonts w:ascii="Times New Roman" w:eastAsia="Times New Roman" w:hAnsi="Times New Roman" w:cs="Times New Roman"/>
          <w:i/>
          <w:noProof/>
          <w:kern w:val="0"/>
          <w:lang w:eastAsia="en-GB"/>
          <w14:ligatures w14:val="none"/>
        </w:rPr>
        <w:t>(source: European Commission (</w:t>
      </w:r>
      <w:r w:rsidRPr="00FB4E2D">
        <w:rPr>
          <w:rFonts w:ascii="Times New Roman" w:eastAsia="Times New Roman" w:hAnsi="Times New Roman" w:cs="Times New Roman"/>
          <w:i/>
          <w:iCs/>
          <w:noProof/>
          <w:kern w:val="0"/>
          <w:vertAlign w:val="superscript"/>
          <w:lang w:eastAsia="en-GB"/>
          <w14:ligatures w14:val="none"/>
        </w:rPr>
        <w:footnoteReference w:id="89"/>
      </w:r>
      <w:r w:rsidRPr="00FB4E2D">
        <w:rPr>
          <w:rFonts w:ascii="Times New Roman" w:eastAsia="Times New Roman" w:hAnsi="Times New Roman" w:cs="Times New Roman"/>
          <w:i/>
          <w:noProof/>
          <w:kern w:val="0"/>
          <w:lang w:eastAsia="en-GB"/>
          <w14:ligatures w14:val="none"/>
        </w:rPr>
        <w:t>))</w:t>
      </w:r>
    </w:p>
    <w:p w14:paraId="6B22080E" w14:textId="77777777" w:rsidR="00A02C07" w:rsidRPr="00FB4E2D" w:rsidRDefault="00A02C07" w:rsidP="00A02C07">
      <w:pPr>
        <w:spacing w:after="0" w:line="240" w:lineRule="auto"/>
        <w:jc w:val="both"/>
        <w:rPr>
          <w:rFonts w:ascii="Times New Roman" w:eastAsia="Times New Roman" w:hAnsi="Times New Roman" w:cs="Times New Roman"/>
          <w:i/>
          <w:noProof/>
          <w:kern w:val="0"/>
          <w:lang w:eastAsia="en-GB"/>
          <w14:ligatures w14:val="none"/>
        </w:rPr>
      </w:pPr>
      <w:r w:rsidRPr="00FB4E2D">
        <w:rPr>
          <w:rFonts w:ascii="Times New Roman" w:eastAsia="Times New Roman" w:hAnsi="Times New Roman" w:cs="Times New Roman"/>
          <w:i/>
          <w:noProof/>
          <w:kern w:val="0"/>
          <w:lang w:val="en-GB" w:eastAsia="en-GB"/>
          <w14:ligatures w14:val="none"/>
        </w:rPr>
        <w:drawing>
          <wp:inline distT="0" distB="0" distL="0" distR="0" wp14:anchorId="52CFF61D" wp14:editId="085736B4">
            <wp:extent cx="5760000" cy="2837355"/>
            <wp:effectExtent l="0" t="0" r="0" b="1270"/>
            <wp:docPr id="689843387" name="Picture 13"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43387" name="Picture 13" descr="A graph of different colored squares&#10;&#10;AI-generated content may be incorrec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60000" cy="2837355"/>
                    </a:xfrm>
                    <a:prstGeom prst="rect">
                      <a:avLst/>
                    </a:prstGeom>
                    <a:noFill/>
                  </pic:spPr>
                </pic:pic>
              </a:graphicData>
            </a:graphic>
          </wp:inline>
        </w:drawing>
      </w:r>
    </w:p>
    <w:p w14:paraId="139BF3F4" w14:textId="77777777" w:rsidR="00A02C07" w:rsidRPr="00FB4E2D" w:rsidRDefault="00A02C07" w:rsidP="00A02C07">
      <w:pPr>
        <w:spacing w:before="120" w:after="0" w:line="240" w:lineRule="auto"/>
        <w:jc w:val="both"/>
        <w:rPr>
          <w:rFonts w:ascii="Times New Roman" w:eastAsia="Times New Roman" w:hAnsi="Times New Roman" w:cs="Times New Roman"/>
          <w:i/>
          <w:noProof/>
          <w:color w:val="000000"/>
          <w:kern w:val="0"/>
          <w:sz w:val="20"/>
          <w:lang w:eastAsia="en-GB"/>
          <w14:ligatures w14:val="none"/>
        </w:rPr>
      </w:pPr>
      <w:r w:rsidRPr="00FB4E2D">
        <w:rPr>
          <w:rFonts w:ascii="Times New Roman" w:eastAsia="Times New Roman" w:hAnsi="Times New Roman" w:cs="Times New Roman"/>
          <w:i/>
          <w:noProof/>
          <w:color w:val="000000"/>
          <w:kern w:val="0"/>
          <w:sz w:val="20"/>
          <w:lang w:eastAsia="en-GB"/>
          <w14:ligatures w14:val="none"/>
        </w:rPr>
        <w:t xml:space="preserve">(*) </w:t>
      </w:r>
      <w:r w:rsidRPr="00FB4E2D">
        <w:rPr>
          <w:rFonts w:ascii="Times New Roman" w:eastAsia="Times New Roman" w:hAnsi="Times New Roman" w:cs="Times New Roman"/>
          <w:b/>
          <w:i/>
          <w:noProof/>
          <w:color w:val="000000"/>
          <w:kern w:val="0"/>
          <w:sz w:val="20"/>
          <w:lang w:eastAsia="en-GB"/>
          <w14:ligatures w14:val="none"/>
        </w:rPr>
        <w:t>DE</w:t>
      </w:r>
      <w:r w:rsidRPr="00FB4E2D">
        <w:rPr>
          <w:rFonts w:ascii="Times New Roman" w:eastAsia="Times New Roman" w:hAnsi="Times New Roman" w:cs="Times New Roman"/>
          <w:i/>
          <w:noProof/>
          <w:color w:val="000000"/>
          <w:kern w:val="0"/>
          <w:sz w:val="20"/>
          <w:lang w:eastAsia="en-GB"/>
          <w14:ligatures w14:val="none"/>
        </w:rPr>
        <w:t>: Each federal state as well as the federal level decide individually which information to provide online.</w:t>
      </w:r>
    </w:p>
    <w:p w14:paraId="678ED9CE" w14:textId="77777777" w:rsidR="00F873B9" w:rsidRDefault="00F873B9">
      <w:pPr>
        <w:rPr>
          <w:rFonts w:ascii="Times New Roman" w:eastAsia="Calibri" w:hAnsi="Times New Roman" w:cs="Times New Roman"/>
          <w:i/>
          <w:noProof/>
          <w:kern w:val="0"/>
          <w14:ligatures w14:val="none"/>
        </w:rPr>
      </w:pPr>
      <w:r>
        <w:rPr>
          <w:rFonts w:ascii="Times New Roman" w:eastAsia="Calibri" w:hAnsi="Times New Roman" w:cs="Times New Roman"/>
          <w:i/>
          <w:noProof/>
          <w:kern w:val="0"/>
          <w14:ligatures w14:val="none"/>
        </w:rPr>
        <w:br w:type="page"/>
      </w:r>
    </w:p>
    <w:p w14:paraId="60EA9CA6" w14:textId="0A97406A"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14:ligatures w14:val="none"/>
        </w:rPr>
        <w:t>–</w:t>
      </w:r>
      <w:r w:rsidRPr="00FB4E2D">
        <w:rPr>
          <w:rFonts w:ascii="Times New Roman" w:eastAsia="Calibri" w:hAnsi="Times New Roman" w:cs="Helvetica Neue"/>
          <w:i/>
          <w:noProof/>
          <w:color w:val="000000"/>
          <w:kern w:val="0"/>
          <w14:ligatures w14:val="none"/>
        </w:rPr>
        <w:t xml:space="preserve"> Digital-ready rules </w:t>
      </w:r>
      <w:r w:rsidRPr="00FB4E2D">
        <w:rPr>
          <w:rFonts w:ascii="Times New Roman" w:eastAsia="Calibri" w:hAnsi="Times New Roman" w:cs="Times New Roman"/>
          <w:i/>
          <w:noProof/>
          <w:kern w:val="0"/>
          <w14:ligatures w14:val="none"/>
        </w:rPr>
        <w:t>–</w:t>
      </w:r>
    </w:p>
    <w:p w14:paraId="2388714F" w14:textId="599FF181" w:rsidR="00A02C07" w:rsidRPr="00FB4E2D" w:rsidRDefault="00A02C07" w:rsidP="00A02C07">
      <w:pPr>
        <w:spacing w:after="120" w:line="240" w:lineRule="auto"/>
        <w:jc w:val="both"/>
        <w:rPr>
          <w:rFonts w:ascii="Times New Roman" w:eastAsia="Yu Mincho" w:hAnsi="Times New Roman" w:cs="Times New Roman"/>
          <w:noProof/>
          <w:kern w:val="0"/>
          <w14:ligatures w14:val="none"/>
        </w:rPr>
      </w:pPr>
      <w:r w:rsidRPr="00FB4E2D">
        <w:rPr>
          <w:rFonts w:ascii="Times New Roman" w:eastAsia="Yu Mincho" w:hAnsi="Times New Roman" w:cs="Times New Roman"/>
          <w:noProof/>
          <w:kern w:val="0"/>
          <w14:ligatures w14:val="none"/>
        </w:rPr>
        <w:t xml:space="preserve">The use of digital solutions in civil/commercial, administrative and criminal cases often requires appropriate regulation in national procedural rules. Figure </w:t>
      </w:r>
      <w:r w:rsidR="00724FFD" w:rsidRPr="00FB4E2D">
        <w:rPr>
          <w:rFonts w:ascii="Times New Roman" w:eastAsia="Yu Mincho" w:hAnsi="Times New Roman" w:cs="Times New Roman"/>
          <w:noProof/>
          <w:kern w:val="0"/>
          <w14:ligatures w14:val="none"/>
        </w:rPr>
        <w:t>40</w:t>
      </w:r>
      <w:r w:rsidRPr="00FB4E2D">
        <w:rPr>
          <w:rFonts w:ascii="Times New Roman" w:eastAsia="Yu Mincho" w:hAnsi="Times New Roman" w:cs="Times New Roman"/>
          <w:noProof/>
          <w:kern w:val="0"/>
          <w14:ligatures w14:val="none"/>
        </w:rPr>
        <w:t xml:space="preserve"> illustrates the possibilities set out by law for various actors to use distance communication technology (such as videoconferencing) for court and court</w:t>
      </w:r>
      <w:r w:rsidR="007B238D" w:rsidRPr="00FB4E2D">
        <w:rPr>
          <w:rFonts w:ascii="Times New Roman" w:eastAsia="Yu Mincho" w:hAnsi="Times New Roman" w:cs="Times New Roman"/>
          <w:noProof/>
          <w:kern w:val="0"/>
          <w14:ligatures w14:val="none"/>
        </w:rPr>
        <w:t>-</w:t>
      </w:r>
      <w:r w:rsidRPr="00FB4E2D">
        <w:rPr>
          <w:rFonts w:ascii="Times New Roman" w:eastAsia="Yu Mincho" w:hAnsi="Times New Roman" w:cs="Times New Roman"/>
          <w:noProof/>
          <w:kern w:val="0"/>
          <w14:ligatures w14:val="none"/>
        </w:rPr>
        <w:t xml:space="preserve">related procedures, and reflects the current situation on the admissibility of digital evidence. </w:t>
      </w:r>
    </w:p>
    <w:p w14:paraId="446FB7D8"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lang w:eastAsia="en-GB"/>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Procedural rules allowing digital technology in courts</w:t>
      </w:r>
      <w:r w:rsidRPr="00FB4E2D">
        <w:rPr>
          <w:rFonts w:ascii="Times New Roman" w:eastAsia="Calibri" w:hAnsi="Times New Roman" w:cs="Times New Roman"/>
          <w:b/>
          <w:noProof/>
          <w:kern w:val="0"/>
          <w14:ligatures w14:val="none"/>
        </w:rPr>
        <w:t xml:space="preserve"> in civil/commercial, administrative and criminal cases, </w:t>
      </w:r>
      <w:r w:rsidRPr="00FB4E2D">
        <w:rPr>
          <w:rFonts w:ascii="Times New Roman" w:eastAsia="Times New Roman" w:hAnsi="Times New Roman" w:cs="Times New Roman"/>
          <w:b/>
          <w:noProof/>
          <w:kern w:val="0"/>
          <w:lang w:eastAsia="en-GB"/>
          <w14:ligatures w14:val="none"/>
        </w:rPr>
        <w:t xml:space="preserve">2025 </w:t>
      </w:r>
      <w:r w:rsidRPr="00FB4E2D">
        <w:rPr>
          <w:rFonts w:ascii="Times New Roman" w:eastAsia="Times New Roman" w:hAnsi="Times New Roman" w:cs="Times New Roman"/>
          <w:noProof/>
          <w:kern w:val="0"/>
          <w:lang w:eastAsia="en-GB"/>
          <w14:ligatures w14:val="none"/>
        </w:rPr>
        <w:t>(</w:t>
      </w:r>
      <w:r w:rsidRPr="00FB4E2D">
        <w:rPr>
          <w:rFonts w:ascii="Calibri" w:eastAsia="Times New Roman" w:hAnsi="Calibri" w:cs="Times New Roman"/>
          <w:noProof/>
          <w:kern w:val="0"/>
          <w:lang w:eastAsia="en-GB"/>
          <w14:ligatures w14:val="none"/>
        </w:rPr>
        <w:t>*</w:t>
      </w:r>
      <w:r w:rsidRPr="00FB4E2D">
        <w:rPr>
          <w:rFonts w:ascii="Times New Roman" w:eastAsia="Times New Roman" w:hAnsi="Times New Roman" w:cs="Times New Roman"/>
          <w:noProof/>
          <w:kern w:val="0"/>
          <w:lang w:eastAsia="en-GB"/>
          <w14:ligatures w14:val="none"/>
        </w:rPr>
        <w:t>)</w:t>
      </w:r>
      <w:r w:rsidRPr="00FB4E2D">
        <w:rPr>
          <w:rFonts w:ascii="Times New Roman" w:eastAsia="Times New Roman" w:hAnsi="Times New Roman" w:cs="Times New Roman"/>
          <w:b/>
          <w:noProof/>
          <w:kern w:val="0"/>
          <w:lang w:eastAsia="en-GB"/>
          <w14:ligatures w14:val="none"/>
        </w:rPr>
        <w:t xml:space="preserve"> </w:t>
      </w:r>
      <w:r w:rsidRPr="00FB4E2D">
        <w:rPr>
          <w:rFonts w:ascii="Times New Roman" w:eastAsia="Times New Roman" w:hAnsi="Times New Roman" w:cs="Times New Roman"/>
          <w:i/>
          <w:noProof/>
          <w:kern w:val="0"/>
          <w:lang w:eastAsia="en-GB"/>
          <w14:ligatures w14:val="none"/>
        </w:rPr>
        <w:t>(source: European Commission (</w:t>
      </w:r>
      <w:r w:rsidRPr="00FB4E2D">
        <w:rPr>
          <w:rFonts w:ascii="Times New Roman" w:eastAsia="Times New Roman" w:hAnsi="Times New Roman" w:cs="Times New Roman"/>
          <w:i/>
          <w:iCs/>
          <w:noProof/>
          <w:kern w:val="0"/>
          <w:vertAlign w:val="superscript"/>
          <w:lang w:eastAsia="en-GB"/>
          <w14:ligatures w14:val="none"/>
        </w:rPr>
        <w:footnoteReference w:id="90"/>
      </w:r>
      <w:r w:rsidRPr="00FB4E2D">
        <w:rPr>
          <w:rFonts w:ascii="Times New Roman" w:eastAsia="Times New Roman" w:hAnsi="Times New Roman" w:cs="Times New Roman"/>
          <w:i/>
          <w:noProof/>
          <w:kern w:val="0"/>
          <w:lang w:eastAsia="en-GB"/>
          <w14:ligatures w14:val="none"/>
        </w:rPr>
        <w:t>)</w:t>
      </w:r>
    </w:p>
    <w:p w14:paraId="0CECB2A3" w14:textId="77777777" w:rsidR="00A02C07" w:rsidRPr="00FB4E2D" w:rsidRDefault="00A02C07" w:rsidP="00A02C07">
      <w:pPr>
        <w:spacing w:after="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Times New Roman"/>
          <w:b/>
          <w:noProof/>
          <w:kern w:val="0"/>
          <w:lang w:val="en-GB" w:eastAsia="en-GB"/>
          <w14:ligatures w14:val="none"/>
        </w:rPr>
        <w:drawing>
          <wp:inline distT="0" distB="0" distL="0" distR="0" wp14:anchorId="1819689D" wp14:editId="3FC2ED41">
            <wp:extent cx="5760000" cy="3570813"/>
            <wp:effectExtent l="0" t="0" r="0" b="0"/>
            <wp:docPr id="638453713"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53713" name="Picture 1" descr="A graph of different colored squares&#10;&#10;AI-generated content may be incorrec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60000" cy="3570813"/>
                    </a:xfrm>
                    <a:prstGeom prst="rect">
                      <a:avLst/>
                    </a:prstGeom>
                    <a:noFill/>
                  </pic:spPr>
                </pic:pic>
              </a:graphicData>
            </a:graphic>
          </wp:inline>
        </w:drawing>
      </w:r>
    </w:p>
    <w:p w14:paraId="6F8DD088" w14:textId="305F264C" w:rsidR="00A02C07" w:rsidRPr="00FB4E2D" w:rsidRDefault="00A02C07" w:rsidP="00A02C07">
      <w:pPr>
        <w:spacing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i/>
          <w:noProof/>
          <w:kern w:val="0"/>
          <w:sz w:val="20"/>
          <w:szCs w:val="22"/>
          <w:lang w:eastAsia="en-GB"/>
          <w14:ligatures w14:val="none"/>
        </w:rPr>
        <w:t xml:space="preserve">(*) Maximum possible: 12 points. For each criterion, two points were given if the possibility exists in all civil/commercial, administrative and criminal cases, respectively (in criminal cases, the possibility of hearing the parties was split to cover both defendants and victims). The points are divided by two when the possibility does not exist in all cases. For those Member States that do not distinguish between civil/commercial and administrative cases, the same number of points has been given for both areas. </w:t>
      </w:r>
      <w:r w:rsidR="007D773B" w:rsidRPr="00FB4E2D">
        <w:rPr>
          <w:rFonts w:ascii="Times New Roman" w:eastAsia="Calibri" w:hAnsi="Times New Roman" w:cs="Times New Roman"/>
          <w:i/>
          <w:noProof/>
          <w:kern w:val="0"/>
          <w:sz w:val="20"/>
          <w:szCs w:val="22"/>
          <w:lang w:eastAsia="en-GB"/>
          <w14:ligatures w14:val="none"/>
        </w:rPr>
        <w:t xml:space="preserve">The data on </w:t>
      </w:r>
      <w:r w:rsidR="00C6308E" w:rsidRPr="00FB4E2D">
        <w:rPr>
          <w:rFonts w:ascii="Times New Roman" w:eastAsia="Calibri" w:hAnsi="Times New Roman" w:cs="Times New Roman"/>
          <w:i/>
          <w:noProof/>
          <w:kern w:val="0"/>
          <w:sz w:val="20"/>
          <w:szCs w:val="22"/>
          <w:lang w:eastAsia="en-GB"/>
          <w14:ligatures w14:val="none"/>
        </w:rPr>
        <w:t xml:space="preserve">“Possibility to conduct the oral part of the procedure entirely via distance communication technology, in particular videoconferencing” for criminal cases </w:t>
      </w:r>
      <w:r w:rsidR="00926B50" w:rsidRPr="00FB4E2D">
        <w:rPr>
          <w:rFonts w:ascii="Times New Roman" w:eastAsia="Calibri" w:hAnsi="Times New Roman" w:cs="Times New Roman"/>
          <w:i/>
          <w:noProof/>
          <w:kern w:val="0"/>
          <w:sz w:val="20"/>
          <w:szCs w:val="22"/>
          <w:lang w:eastAsia="en-GB"/>
          <w14:ligatures w14:val="none"/>
        </w:rPr>
        <w:t>reflects the situation in</w:t>
      </w:r>
      <w:r w:rsidR="00555385" w:rsidRPr="00FB4E2D">
        <w:rPr>
          <w:rFonts w:ascii="Times New Roman" w:eastAsia="Calibri" w:hAnsi="Times New Roman" w:cs="Times New Roman"/>
          <w:i/>
          <w:noProof/>
          <w:kern w:val="0"/>
          <w:sz w:val="20"/>
          <w:szCs w:val="22"/>
          <w:lang w:eastAsia="en-GB"/>
          <w14:ligatures w14:val="none"/>
        </w:rPr>
        <w:t xml:space="preserve"> </w:t>
      </w:r>
      <w:r w:rsidR="006773F0" w:rsidRPr="00FB4E2D">
        <w:rPr>
          <w:rFonts w:ascii="Times New Roman" w:eastAsia="Calibri" w:hAnsi="Times New Roman" w:cs="Times New Roman"/>
          <w:i/>
          <w:noProof/>
          <w:kern w:val="0"/>
          <w:sz w:val="20"/>
          <w:szCs w:val="22"/>
          <w:lang w:eastAsia="en-GB"/>
          <w14:ligatures w14:val="none"/>
        </w:rPr>
        <w:t>2024.</w:t>
      </w:r>
    </w:p>
    <w:p w14:paraId="2E85EFE3" w14:textId="77777777" w:rsidR="00A02C07" w:rsidRPr="00FB4E2D" w:rsidRDefault="00A02C07" w:rsidP="00A02C07">
      <w:pPr>
        <w:spacing w:before="240" w:after="120" w:line="240" w:lineRule="auto"/>
        <w:jc w:val="both"/>
        <w:rPr>
          <w:rFonts w:ascii="Times New Roman" w:eastAsia="Calibri" w:hAnsi="Times New Roman" w:cs="Helvetica Neue"/>
          <w:i/>
          <w:noProof/>
          <w:color w:val="000000"/>
          <w:kern w:val="0"/>
          <w14:ligatures w14:val="none"/>
        </w:rPr>
      </w:pPr>
      <w:r w:rsidRPr="00FB4E2D">
        <w:rPr>
          <w:rFonts w:ascii="Times New Roman" w:eastAsia="Calibri" w:hAnsi="Times New Roman" w:cs="Times New Roman"/>
          <w:i/>
          <w:noProof/>
          <w:kern w:val="0"/>
          <w14:ligatures w14:val="none"/>
        </w:rPr>
        <w:t>–</w:t>
      </w:r>
      <w:r w:rsidRPr="00FB4E2D">
        <w:rPr>
          <w:rFonts w:ascii="Times New Roman" w:eastAsia="Calibri" w:hAnsi="Times New Roman" w:cs="Helvetica Neue"/>
          <w:i/>
          <w:noProof/>
          <w:color w:val="000000"/>
          <w:kern w:val="0"/>
          <w14:ligatures w14:val="none"/>
        </w:rPr>
        <w:t xml:space="preserve"> Use of digital tools </w:t>
      </w:r>
      <w:r w:rsidRPr="00FB4E2D">
        <w:rPr>
          <w:rFonts w:ascii="Times New Roman" w:eastAsia="Calibri" w:hAnsi="Times New Roman" w:cs="Times New Roman"/>
          <w:i/>
          <w:noProof/>
          <w:kern w:val="0"/>
          <w14:ligatures w14:val="none"/>
        </w:rPr>
        <w:t>–</w:t>
      </w:r>
    </w:p>
    <w:p w14:paraId="6350A251" w14:textId="49B6199E" w:rsidR="00A02C07" w:rsidRPr="00FB4E2D" w:rsidRDefault="00A02C07" w:rsidP="00A02C07">
      <w:pPr>
        <w:spacing w:line="240" w:lineRule="auto"/>
        <w:jc w:val="both"/>
        <w:rPr>
          <w:rFonts w:ascii="Calibri" w:eastAsia="Yu Mincho" w:hAnsi="Calibri" w:cs="Arial"/>
          <w:noProof/>
          <w:kern w:val="0"/>
          <w:sz w:val="22"/>
          <w:szCs w:val="22"/>
          <w14:ligatures w14:val="none"/>
        </w:rPr>
      </w:pPr>
      <w:r w:rsidRPr="00FB4E2D">
        <w:rPr>
          <w:rFonts w:ascii="Times New Roman" w:eastAsia="Times New Roman" w:hAnsi="Times New Roman" w:cs="Times New Roman"/>
          <w:noProof/>
          <w:kern w:val="0"/>
          <w14:ligatures w14:val="none"/>
        </w:rPr>
        <w:t xml:space="preserve">Beyond digital-ready procedural rules, courts and prosecution services need to have appropriate tools and infrastructure in place for distance communication and secure remote access to the workplace (Figure </w:t>
      </w:r>
      <w:r w:rsidR="00FB46A4" w:rsidRPr="00FB4E2D">
        <w:rPr>
          <w:rFonts w:ascii="Times New Roman" w:eastAsia="Times New Roman" w:hAnsi="Times New Roman" w:cs="Times New Roman"/>
          <w:noProof/>
          <w:kern w:val="0"/>
          <w14:ligatures w14:val="none"/>
        </w:rPr>
        <w:t>41</w:t>
      </w:r>
      <w:r w:rsidRPr="00FB4E2D">
        <w:rPr>
          <w:rFonts w:ascii="Times New Roman" w:eastAsia="Times New Roman" w:hAnsi="Times New Roman" w:cs="Times New Roman"/>
          <w:noProof/>
          <w:kern w:val="0"/>
          <w14:ligatures w14:val="none"/>
        </w:rPr>
        <w:t xml:space="preserve">). Adequate infrastructure and equipment </w:t>
      </w:r>
      <w:r w:rsidR="00EE314A" w:rsidRPr="00FB4E2D">
        <w:rPr>
          <w:rFonts w:ascii="Times New Roman" w:eastAsia="Times New Roman" w:hAnsi="Times New Roman" w:cs="Times New Roman"/>
          <w:noProof/>
          <w:kern w:val="0"/>
          <w14:ligatures w14:val="none"/>
        </w:rPr>
        <w:t xml:space="preserve">are </w:t>
      </w:r>
      <w:r w:rsidRPr="00FB4E2D">
        <w:rPr>
          <w:rFonts w:ascii="Times New Roman" w:eastAsia="Times New Roman" w:hAnsi="Times New Roman" w:cs="Times New Roman"/>
          <w:noProof/>
          <w:kern w:val="0"/>
          <w14:ligatures w14:val="none"/>
        </w:rPr>
        <w:t>also needed for secure electronic communication between courts/prosecution services and legal professionals and institutions (Figures 4</w:t>
      </w:r>
      <w:r w:rsidR="00071455" w:rsidRPr="00FB4E2D">
        <w:rPr>
          <w:rFonts w:ascii="Times New Roman" w:eastAsia="Times New Roman" w:hAnsi="Times New Roman" w:cs="Times New Roman"/>
          <w:noProof/>
          <w:kern w:val="0"/>
          <w14:ligatures w14:val="none"/>
        </w:rPr>
        <w:t>2</w:t>
      </w:r>
      <w:r w:rsidRPr="00FB4E2D">
        <w:rPr>
          <w:rFonts w:ascii="Times New Roman" w:eastAsia="Times New Roman" w:hAnsi="Times New Roman" w:cs="Times New Roman"/>
          <w:noProof/>
          <w:kern w:val="0"/>
          <w14:ligatures w14:val="none"/>
        </w:rPr>
        <w:t xml:space="preserve"> and 4</w:t>
      </w:r>
      <w:r w:rsidR="00071455" w:rsidRPr="00FB4E2D">
        <w:rPr>
          <w:rFonts w:ascii="Times New Roman" w:eastAsia="Times New Roman" w:hAnsi="Times New Roman" w:cs="Times New Roman"/>
          <w:noProof/>
          <w:kern w:val="0"/>
          <w14:ligatures w14:val="none"/>
        </w:rPr>
        <w:t>3</w:t>
      </w:r>
      <w:r w:rsidRPr="00FB4E2D">
        <w:rPr>
          <w:rFonts w:ascii="Times New Roman" w:eastAsia="Times New Roman" w:hAnsi="Times New Roman" w:cs="Times New Roman"/>
          <w:noProof/>
          <w:kern w:val="0"/>
          <w14:ligatures w14:val="none"/>
        </w:rPr>
        <w:t>).</w:t>
      </w:r>
    </w:p>
    <w:p w14:paraId="276FE8E0" w14:textId="174BAD27" w:rsidR="00A02C07" w:rsidRPr="00FB4E2D" w:rsidRDefault="00A02C07" w:rsidP="00A02C07">
      <w:pPr>
        <w:spacing w:line="240" w:lineRule="auto"/>
        <w:jc w:val="both"/>
        <w:rPr>
          <w:rFonts w:ascii="Calibri" w:eastAsia="Yu Mincho" w:hAnsi="Calibri" w:cs="Arial"/>
          <w:noProof/>
          <w:kern w:val="0"/>
          <w:sz w:val="22"/>
          <w:szCs w:val="22"/>
          <w14:ligatures w14:val="none"/>
        </w:rPr>
      </w:pPr>
      <w:r w:rsidRPr="00FB4E2D">
        <w:rPr>
          <w:rFonts w:ascii="Times New Roman" w:eastAsia="Times New Roman" w:hAnsi="Times New Roman" w:cs="Times New Roman"/>
          <w:noProof/>
          <w:kern w:val="0"/>
          <w14:ligatures w14:val="none"/>
        </w:rPr>
        <w:t xml:space="preserve">ICT, including innovative technology, plays an important role in supporting the work of judicial authorities. It therefore contributes significantly to the quality of justice systems. The availability of various digital tools at the disposal of judges, prosecutors and judicial staff can streamline work processes, ensure fair workload allocation and lead to significant time </w:t>
      </w:r>
      <w:r w:rsidR="005A25FD">
        <w:rPr>
          <w:rFonts w:ascii="Times New Roman" w:eastAsia="Times New Roman" w:hAnsi="Times New Roman" w:cs="Times New Roman"/>
          <w:noProof/>
          <w:kern w:val="0"/>
          <w14:ligatures w14:val="none"/>
        </w:rPr>
        <w:t>savings</w:t>
      </w:r>
    </w:p>
    <w:p w14:paraId="0B459EFD"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lang w:eastAsia="en-GB"/>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Use of digital technology by courts and prosecution services</w:t>
      </w:r>
      <w:r w:rsidRPr="00FB4E2D">
        <w:rPr>
          <w:rFonts w:ascii="Times New Roman" w:eastAsia="Calibri" w:hAnsi="Times New Roman" w:cs="Times New Roman"/>
          <w:b/>
          <w:noProof/>
          <w:kern w:val="0"/>
          <w14:ligatures w14:val="none"/>
        </w:rPr>
        <w:t xml:space="preserve">, </w:t>
      </w:r>
      <w:r w:rsidRPr="00FB4E2D">
        <w:rPr>
          <w:rFonts w:ascii="Times New Roman" w:eastAsia="Times New Roman" w:hAnsi="Times New Roman" w:cs="Times New Roman"/>
          <w:b/>
          <w:noProof/>
          <w:kern w:val="0"/>
          <w:lang w:eastAsia="en-GB"/>
          <w14:ligatures w14:val="none"/>
        </w:rPr>
        <w:t xml:space="preserve">2025 </w:t>
      </w:r>
      <w:r w:rsidRPr="00FB4E2D">
        <w:rPr>
          <w:rFonts w:ascii="Times New Roman" w:eastAsia="Times New Roman" w:hAnsi="Times New Roman" w:cs="Times New Roman"/>
          <w:noProof/>
          <w:kern w:val="0"/>
          <w:lang w:eastAsia="en-GB"/>
          <w14:ligatures w14:val="none"/>
        </w:rPr>
        <w:t>(</w:t>
      </w:r>
      <w:r w:rsidRPr="00FB4E2D">
        <w:rPr>
          <w:rFonts w:ascii="Calibri" w:eastAsia="Times New Roman" w:hAnsi="Calibri" w:cs="Times New Roman"/>
          <w:noProof/>
          <w:kern w:val="0"/>
          <w:lang w:eastAsia="en-GB"/>
          <w14:ligatures w14:val="none"/>
        </w:rPr>
        <w:t>*</w:t>
      </w:r>
      <w:r w:rsidRPr="00FB4E2D">
        <w:rPr>
          <w:rFonts w:ascii="Times New Roman" w:eastAsia="Times New Roman" w:hAnsi="Times New Roman" w:cs="Times New Roman"/>
          <w:noProof/>
          <w:kern w:val="0"/>
          <w:lang w:eastAsia="en-GB"/>
          <w14:ligatures w14:val="none"/>
        </w:rPr>
        <w:t>)</w:t>
      </w:r>
      <w:r w:rsidRPr="00FB4E2D">
        <w:rPr>
          <w:rFonts w:ascii="Times New Roman" w:eastAsia="Times New Roman" w:hAnsi="Times New Roman" w:cs="Times New Roman"/>
          <w:b/>
          <w:noProof/>
          <w:kern w:val="0"/>
          <w:lang w:eastAsia="en-GB"/>
          <w14:ligatures w14:val="none"/>
        </w:rPr>
        <w:t xml:space="preserve"> </w:t>
      </w:r>
      <w:r w:rsidRPr="00FB4E2D">
        <w:rPr>
          <w:rFonts w:ascii="Times New Roman" w:eastAsia="Times New Roman" w:hAnsi="Times New Roman" w:cs="Times New Roman"/>
          <w:i/>
          <w:noProof/>
          <w:kern w:val="0"/>
          <w:lang w:eastAsia="en-GB"/>
          <w14:ligatures w14:val="none"/>
        </w:rPr>
        <w:t>(source: European Commission (</w:t>
      </w:r>
      <w:r w:rsidRPr="00FB4E2D">
        <w:rPr>
          <w:rFonts w:ascii="Times New Roman" w:eastAsia="Times New Roman" w:hAnsi="Times New Roman" w:cs="Times New Roman"/>
          <w:i/>
          <w:noProof/>
          <w:kern w:val="0"/>
          <w:vertAlign w:val="superscript"/>
          <w:lang w:eastAsia="en-GB"/>
          <w14:ligatures w14:val="none"/>
        </w:rPr>
        <w:footnoteReference w:id="91"/>
      </w:r>
      <w:r w:rsidRPr="00FB4E2D">
        <w:rPr>
          <w:rFonts w:ascii="Times New Roman" w:eastAsia="Times New Roman" w:hAnsi="Times New Roman" w:cs="Times New Roman"/>
          <w:i/>
          <w:noProof/>
          <w:kern w:val="0"/>
          <w:lang w:eastAsia="en-GB"/>
          <w14:ligatures w14:val="none"/>
        </w:rPr>
        <w:t>))</w:t>
      </w:r>
    </w:p>
    <w:p w14:paraId="08F0F993" w14:textId="6A01AFA4" w:rsidR="00A02C07" w:rsidRPr="00FB4E2D" w:rsidRDefault="00A02C07" w:rsidP="00A02C07">
      <w:pPr>
        <w:spacing w:after="120" w:line="240" w:lineRule="auto"/>
        <w:jc w:val="both"/>
        <w:rPr>
          <w:rFonts w:ascii="Times New Roman" w:eastAsia="Yu Mincho" w:hAnsi="Times New Roman" w:cs="Times New Roman"/>
          <w:noProof/>
          <w:kern w:val="0"/>
          <w14:ligatures w14:val="none"/>
        </w:rPr>
      </w:pPr>
      <w:r w:rsidRPr="00FB4E2D">
        <w:rPr>
          <w:rFonts w:ascii="Times New Roman" w:eastAsia="Times New Roman" w:hAnsi="Times New Roman" w:cs="Times New Roman"/>
          <w:i/>
          <w:noProof/>
          <w:kern w:val="0"/>
          <w:lang w:val="en-GB" w:eastAsia="en-GB"/>
          <w14:ligatures w14:val="none"/>
        </w:rPr>
        <w:drawing>
          <wp:inline distT="0" distB="0" distL="0" distR="0" wp14:anchorId="2223B946" wp14:editId="2E9ABB3A">
            <wp:extent cx="5760000" cy="3913385"/>
            <wp:effectExtent l="0" t="0" r="0" b="0"/>
            <wp:docPr id="1957230899" name="Picture 14"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30899" name="Picture 14" descr="A graph of different colored squares&#10;&#10;AI-generated content may be incorrec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60000" cy="3913385"/>
                    </a:xfrm>
                    <a:prstGeom prst="rect">
                      <a:avLst/>
                    </a:prstGeom>
                    <a:noFill/>
                  </pic:spPr>
                </pic:pic>
              </a:graphicData>
            </a:graphic>
          </wp:inline>
        </w:drawing>
      </w:r>
      <w:r w:rsidRPr="00FB4E2D">
        <w:rPr>
          <w:rFonts w:ascii="Times New Roman" w:eastAsia="Calibri" w:hAnsi="Times New Roman" w:cs="Times New Roman"/>
          <w:i/>
          <w:noProof/>
          <w:kern w:val="0"/>
          <w:sz w:val="20"/>
          <w:szCs w:val="20"/>
          <w:lang w:eastAsia="en-GB"/>
          <w14:ligatures w14:val="none"/>
        </w:rPr>
        <w:t xml:space="preserve">(*) Maximum possible: 7 points. For each criterion, </w:t>
      </w:r>
      <w:r w:rsidR="00EE314A" w:rsidRPr="00FB4E2D">
        <w:rPr>
          <w:rFonts w:ascii="Times New Roman" w:eastAsia="Calibri" w:hAnsi="Times New Roman" w:cs="Times New Roman"/>
          <w:i/>
          <w:noProof/>
          <w:kern w:val="0"/>
          <w:sz w:val="20"/>
          <w:szCs w:val="20"/>
          <w:lang w:eastAsia="en-GB"/>
          <w14:ligatures w14:val="none"/>
        </w:rPr>
        <w:t xml:space="preserve">1 </w:t>
      </w:r>
      <w:r w:rsidRPr="00FB4E2D">
        <w:rPr>
          <w:rFonts w:ascii="Times New Roman" w:eastAsia="Calibri" w:hAnsi="Times New Roman" w:cs="Times New Roman"/>
          <w:i/>
          <w:noProof/>
          <w:kern w:val="0"/>
          <w:sz w:val="20"/>
          <w:szCs w:val="20"/>
          <w:lang w:eastAsia="en-GB"/>
          <w14:ligatures w14:val="none"/>
        </w:rPr>
        <w:t>point was given if courts and prosecution services, respectively, use a given technology and 0.5 point was awarded when the technology is not always used by them.</w:t>
      </w:r>
    </w:p>
    <w:p w14:paraId="1FA32F95" w14:textId="66C55372" w:rsidR="00A02C07" w:rsidRPr="00FB4E2D" w:rsidRDefault="00A02C07" w:rsidP="00A02C07">
      <w:pPr>
        <w:spacing w:after="0" w:line="240" w:lineRule="auto"/>
        <w:jc w:val="both"/>
        <w:rPr>
          <w:rFonts w:ascii="Times New Roman" w:eastAsia="Yu Mincho"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Secure electronic communication can contribute to improving the quality of justice systems. </w:t>
      </w:r>
      <w:r w:rsidR="00EE314A" w:rsidRPr="00FB4E2D">
        <w:rPr>
          <w:rFonts w:ascii="Times New Roman" w:eastAsia="Times New Roman" w:hAnsi="Times New Roman" w:cs="Times New Roman"/>
          <w:noProof/>
          <w:kern w:val="0"/>
          <w14:ligatures w14:val="none"/>
        </w:rPr>
        <w:t>If courts</w:t>
      </w:r>
      <w:r w:rsidRPr="00FB4E2D">
        <w:rPr>
          <w:rFonts w:ascii="Times New Roman" w:eastAsia="Times New Roman" w:hAnsi="Times New Roman" w:cs="Times New Roman"/>
          <w:noProof/>
          <w:kern w:val="0"/>
          <w14:ligatures w14:val="none"/>
        </w:rPr>
        <w:t xml:space="preserve"> </w:t>
      </w:r>
      <w:r w:rsidR="00EE314A" w:rsidRPr="00FB4E2D">
        <w:rPr>
          <w:rFonts w:ascii="Times New Roman" w:eastAsia="Times New Roman" w:hAnsi="Times New Roman" w:cs="Times New Roman"/>
          <w:noProof/>
          <w:kern w:val="0"/>
          <w14:ligatures w14:val="none"/>
        </w:rPr>
        <w:t xml:space="preserve">can </w:t>
      </w:r>
      <w:r w:rsidRPr="00FB4E2D">
        <w:rPr>
          <w:rFonts w:ascii="Times New Roman" w:eastAsia="Times New Roman" w:hAnsi="Times New Roman" w:cs="Times New Roman"/>
          <w:noProof/>
          <w:kern w:val="0"/>
          <w14:ligatures w14:val="none"/>
        </w:rPr>
        <w:t xml:space="preserve">communicate electronically </w:t>
      </w:r>
      <w:r w:rsidR="00EE314A" w:rsidRPr="00FB4E2D">
        <w:rPr>
          <w:rFonts w:ascii="Times New Roman" w:eastAsia="Times New Roman" w:hAnsi="Times New Roman" w:cs="Times New Roman"/>
          <w:noProof/>
          <w:kern w:val="0"/>
          <w14:ligatures w14:val="none"/>
        </w:rPr>
        <w:t>with each other</w:t>
      </w:r>
      <w:r w:rsidRPr="00FB4E2D">
        <w:rPr>
          <w:rFonts w:ascii="Times New Roman" w:eastAsia="Times New Roman" w:hAnsi="Times New Roman" w:cs="Times New Roman"/>
          <w:noProof/>
          <w:kern w:val="0"/>
          <w14:ligatures w14:val="none"/>
        </w:rPr>
        <w:t xml:space="preserve"> and with legal professionals and other institutions</w:t>
      </w:r>
      <w:r w:rsidR="00EE314A" w:rsidRPr="00FB4E2D">
        <w:rPr>
          <w:rFonts w:ascii="Times New Roman" w:eastAsia="Times New Roman" w:hAnsi="Times New Roman" w:cs="Times New Roman"/>
          <w:noProof/>
          <w:kern w:val="0"/>
          <w14:ligatures w14:val="none"/>
        </w:rPr>
        <w:t xml:space="preserve">, </w:t>
      </w:r>
      <w:r w:rsidR="00615992" w:rsidRPr="00FB4E2D">
        <w:rPr>
          <w:rFonts w:ascii="Times New Roman" w:eastAsia="Times New Roman" w:hAnsi="Times New Roman" w:cs="Times New Roman"/>
          <w:noProof/>
          <w:kern w:val="0"/>
          <w14:ligatures w14:val="none"/>
        </w:rPr>
        <w:t>this</w:t>
      </w:r>
      <w:r w:rsidR="00EE314A" w:rsidRPr="00FB4E2D">
        <w:rPr>
          <w:rFonts w:ascii="Times New Roman" w:eastAsia="Times New Roman" w:hAnsi="Times New Roman" w:cs="Times New Roman"/>
          <w:noProof/>
          <w:kern w:val="0"/>
          <w14:ligatures w14:val="none"/>
        </w:rPr>
        <w:t xml:space="preserve"> can</w:t>
      </w:r>
      <w:r w:rsidRPr="00FB4E2D">
        <w:rPr>
          <w:rFonts w:ascii="Times New Roman" w:eastAsia="Times New Roman" w:hAnsi="Times New Roman" w:cs="Times New Roman"/>
          <w:noProof/>
          <w:kern w:val="0"/>
          <w14:ligatures w14:val="none"/>
        </w:rPr>
        <w:t xml:space="preserve"> streamline processes and reduce the need for paper-based communication and physical presence.</w:t>
      </w:r>
      <w:r w:rsidRPr="00FB4E2D" w:rsidDel="00934246">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This lead</w:t>
      </w:r>
      <w:r w:rsidR="00EE314A" w:rsidRPr="00FB4E2D">
        <w:rPr>
          <w:rFonts w:ascii="Times New Roman" w:eastAsia="Times New Roman" w:hAnsi="Times New Roman" w:cs="Times New Roman"/>
          <w:noProof/>
          <w:kern w:val="0"/>
          <w14:ligatures w14:val="none"/>
        </w:rPr>
        <w:t xml:space="preserve">s </w:t>
      </w:r>
      <w:r w:rsidRPr="00FB4E2D">
        <w:rPr>
          <w:rFonts w:ascii="Times New Roman" w:eastAsia="Times New Roman" w:hAnsi="Times New Roman" w:cs="Times New Roman"/>
          <w:noProof/>
          <w:kern w:val="0"/>
          <w14:ligatures w14:val="none"/>
        </w:rPr>
        <w:t>to reduction</w:t>
      </w:r>
      <w:r w:rsidR="00EE314A" w:rsidRPr="00FB4E2D">
        <w:rPr>
          <w:rFonts w:ascii="Times New Roman" w:eastAsia="Times New Roman" w:hAnsi="Times New Roman" w:cs="Times New Roman"/>
          <w:noProof/>
          <w:kern w:val="0"/>
          <w14:ligatures w14:val="none"/>
        </w:rPr>
        <w:t>s</w:t>
      </w:r>
      <w:r w:rsidRPr="00FB4E2D">
        <w:rPr>
          <w:rFonts w:ascii="Times New Roman" w:eastAsia="Times New Roman" w:hAnsi="Times New Roman" w:cs="Times New Roman"/>
          <w:noProof/>
          <w:kern w:val="0"/>
          <w14:ligatures w14:val="none"/>
        </w:rPr>
        <w:t xml:space="preserve"> in the length of pre-trial activities and court proceedings.</w:t>
      </w:r>
    </w:p>
    <w:p w14:paraId="52651CED" w14:textId="77777777" w:rsidR="00A02C07" w:rsidRPr="00FB4E2D" w:rsidRDefault="00A02C07" w:rsidP="00A02C07">
      <w:pPr>
        <w:spacing w:line="259" w:lineRule="auto"/>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0C1399FA"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lang w:eastAsia="en-GB"/>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Courts: electronic communication tools</w:t>
      </w:r>
      <w:r w:rsidRPr="00FB4E2D">
        <w:rPr>
          <w:rFonts w:ascii="Times New Roman" w:eastAsia="Calibri" w:hAnsi="Times New Roman" w:cs="Times New Roman"/>
          <w:b/>
          <w:noProof/>
          <w:kern w:val="0"/>
          <w14:ligatures w14:val="none"/>
        </w:rPr>
        <w:t xml:space="preserve">, </w:t>
      </w:r>
      <w:r w:rsidRPr="00FB4E2D">
        <w:rPr>
          <w:rFonts w:ascii="Times New Roman" w:eastAsia="Times New Roman" w:hAnsi="Times New Roman" w:cs="Times New Roman"/>
          <w:b/>
          <w:noProof/>
          <w:kern w:val="0"/>
          <w:lang w:eastAsia="en-GB"/>
          <w14:ligatures w14:val="none"/>
        </w:rPr>
        <w:t xml:space="preserve">2025 </w:t>
      </w:r>
      <w:r w:rsidRPr="00FB4E2D">
        <w:rPr>
          <w:rFonts w:ascii="Times New Roman" w:eastAsia="Times New Roman" w:hAnsi="Times New Roman" w:cs="Times New Roman"/>
          <w:noProof/>
          <w:kern w:val="0"/>
          <w:lang w:eastAsia="en-GB"/>
          <w14:ligatures w14:val="none"/>
        </w:rPr>
        <w:t>(</w:t>
      </w:r>
      <w:r w:rsidRPr="00FB4E2D">
        <w:rPr>
          <w:rFonts w:ascii="Calibri" w:eastAsia="Times New Roman" w:hAnsi="Calibri" w:cs="Times New Roman"/>
          <w:noProof/>
          <w:kern w:val="0"/>
          <w:lang w:eastAsia="en-GB"/>
          <w14:ligatures w14:val="none"/>
        </w:rPr>
        <w:t>*</w:t>
      </w:r>
      <w:r w:rsidRPr="00FB4E2D">
        <w:rPr>
          <w:rFonts w:ascii="Times New Roman" w:eastAsia="Times New Roman" w:hAnsi="Times New Roman" w:cs="Times New Roman"/>
          <w:noProof/>
          <w:kern w:val="0"/>
          <w:lang w:eastAsia="en-GB"/>
          <w14:ligatures w14:val="none"/>
        </w:rPr>
        <w:t>)</w:t>
      </w:r>
      <w:r w:rsidRPr="00FB4E2D">
        <w:rPr>
          <w:rFonts w:ascii="Times New Roman" w:eastAsia="Times New Roman" w:hAnsi="Times New Roman" w:cs="Times New Roman"/>
          <w:b/>
          <w:noProof/>
          <w:kern w:val="0"/>
          <w:lang w:eastAsia="en-GB"/>
          <w14:ligatures w14:val="none"/>
        </w:rPr>
        <w:t xml:space="preserve"> </w:t>
      </w:r>
      <w:r w:rsidRPr="00FB4E2D">
        <w:rPr>
          <w:rFonts w:ascii="Times New Roman" w:eastAsia="Times New Roman" w:hAnsi="Times New Roman" w:cs="Times New Roman"/>
          <w:i/>
          <w:noProof/>
          <w:kern w:val="0"/>
          <w:lang w:eastAsia="en-GB"/>
          <w14:ligatures w14:val="none"/>
        </w:rPr>
        <w:t>(source: European Commission (</w:t>
      </w:r>
      <w:r w:rsidRPr="00FB4E2D">
        <w:rPr>
          <w:rFonts w:ascii="Times New Roman" w:eastAsia="Times New Roman" w:hAnsi="Times New Roman" w:cs="Times New Roman"/>
          <w:i/>
          <w:iCs/>
          <w:noProof/>
          <w:kern w:val="0"/>
          <w:vertAlign w:val="superscript"/>
          <w:lang w:eastAsia="en-GB"/>
          <w14:ligatures w14:val="none"/>
        </w:rPr>
        <w:footnoteReference w:id="92"/>
      </w:r>
      <w:r w:rsidRPr="00FB4E2D">
        <w:rPr>
          <w:rFonts w:ascii="Times New Roman" w:eastAsia="Times New Roman" w:hAnsi="Times New Roman" w:cs="Times New Roman"/>
          <w:i/>
          <w:noProof/>
          <w:kern w:val="0"/>
          <w:lang w:eastAsia="en-GB"/>
          <w14:ligatures w14:val="none"/>
        </w:rPr>
        <w:t>))</w:t>
      </w:r>
    </w:p>
    <w:p w14:paraId="6706B22E" w14:textId="77777777" w:rsidR="00A02C07" w:rsidRPr="00FB4E2D" w:rsidRDefault="00A02C07" w:rsidP="00A02C07">
      <w:pPr>
        <w:spacing w:after="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Times New Roman"/>
          <w:b/>
          <w:noProof/>
          <w:kern w:val="0"/>
          <w:lang w:val="en-GB" w:eastAsia="en-GB"/>
          <w14:ligatures w14:val="none"/>
        </w:rPr>
        <w:drawing>
          <wp:inline distT="0" distB="0" distL="0" distR="0" wp14:anchorId="1CFD91AC" wp14:editId="62604F0C">
            <wp:extent cx="5760000" cy="2587338"/>
            <wp:effectExtent l="0" t="0" r="0" b="3810"/>
            <wp:docPr id="716765615" name="Picture 26"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65615" name="Picture 26" descr="A graph of different colored bars&#10;&#10;AI-generated content may be incorrec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000" cy="2587338"/>
                    </a:xfrm>
                    <a:prstGeom prst="rect">
                      <a:avLst/>
                    </a:prstGeom>
                    <a:noFill/>
                  </pic:spPr>
                </pic:pic>
              </a:graphicData>
            </a:graphic>
          </wp:inline>
        </w:drawing>
      </w:r>
    </w:p>
    <w:p w14:paraId="06EE8EEB" w14:textId="34C1F4F9" w:rsidR="00A02C07" w:rsidRPr="00FB4E2D" w:rsidRDefault="00A02C07" w:rsidP="00A02C07">
      <w:pPr>
        <w:spacing w:after="0" w:line="240" w:lineRule="auto"/>
        <w:jc w:val="both"/>
        <w:rPr>
          <w:rFonts w:ascii="Times New Roman" w:eastAsia="Yu Mincho" w:hAnsi="Times New Roman" w:cs="Times New Roman"/>
          <w:noProof/>
          <w:kern w:val="0"/>
          <w14:ligatures w14:val="none"/>
        </w:rPr>
      </w:pPr>
      <w:r w:rsidRPr="00FB4E2D">
        <w:rPr>
          <w:rFonts w:ascii="Times New Roman" w:eastAsia="Calibri" w:hAnsi="Times New Roman" w:cs="Times New Roman"/>
          <w:i/>
          <w:noProof/>
          <w:kern w:val="0"/>
          <w:sz w:val="20"/>
          <w:szCs w:val="20"/>
          <w:lang w:eastAsia="en-GB"/>
          <w14:ligatures w14:val="none"/>
        </w:rPr>
        <w:t xml:space="preserve">(*) Maximum possible: 5 points. For each criterion, </w:t>
      </w:r>
      <w:r w:rsidR="00EE314A" w:rsidRPr="00FB4E2D">
        <w:rPr>
          <w:rFonts w:ascii="Times New Roman" w:eastAsia="Calibri" w:hAnsi="Times New Roman" w:cs="Times New Roman"/>
          <w:i/>
          <w:noProof/>
          <w:kern w:val="0"/>
          <w:sz w:val="20"/>
          <w:szCs w:val="20"/>
          <w:lang w:eastAsia="en-GB"/>
          <w14:ligatures w14:val="none"/>
        </w:rPr>
        <w:t xml:space="preserve">1 </w:t>
      </w:r>
      <w:r w:rsidRPr="00FB4E2D">
        <w:rPr>
          <w:rFonts w:ascii="Times New Roman" w:eastAsia="Calibri" w:hAnsi="Times New Roman" w:cs="Times New Roman"/>
          <w:i/>
          <w:noProof/>
          <w:kern w:val="0"/>
          <w:sz w:val="20"/>
          <w:szCs w:val="20"/>
          <w:lang w:eastAsia="en-GB"/>
          <w14:ligatures w14:val="none"/>
        </w:rPr>
        <w:t xml:space="preserve">point was given if secure electronic communication is available for courts. 0.5 was awarded when the possibility does not exist in all cases. </w:t>
      </w:r>
      <w:r w:rsidRPr="00FB4E2D">
        <w:rPr>
          <w:rFonts w:ascii="Times New Roman" w:eastAsia="Calibri" w:hAnsi="Times New Roman" w:cs="Times New Roman"/>
          <w:b/>
          <w:i/>
          <w:noProof/>
          <w:kern w:val="0"/>
          <w:sz w:val="20"/>
          <w:szCs w:val="20"/>
          <w:lang w:eastAsia="en-GB"/>
          <w14:ligatures w14:val="none"/>
        </w:rPr>
        <w:t>FI</w:t>
      </w:r>
      <w:r w:rsidRPr="00FB4E2D">
        <w:rPr>
          <w:rFonts w:ascii="Times New Roman" w:eastAsia="Calibri" w:hAnsi="Times New Roman" w:cs="Times New Roman"/>
          <w:i/>
          <w:noProof/>
          <w:kern w:val="0"/>
          <w:sz w:val="20"/>
          <w:szCs w:val="20"/>
          <w:lang w:eastAsia="en-GB"/>
          <w14:ligatures w14:val="none"/>
        </w:rPr>
        <w:t xml:space="preserve">: </w:t>
      </w:r>
      <w:r w:rsidR="00EE314A" w:rsidRPr="00FB4E2D">
        <w:rPr>
          <w:rFonts w:ascii="Times New Roman" w:eastAsia="Calibri" w:hAnsi="Times New Roman" w:cs="Times New Roman"/>
          <w:i/>
          <w:noProof/>
          <w:kern w:val="0"/>
          <w:sz w:val="20"/>
          <w:szCs w:val="20"/>
          <w:lang w:eastAsia="en-GB"/>
          <w14:ligatures w14:val="none"/>
        </w:rPr>
        <w:t>T</w:t>
      </w:r>
      <w:r w:rsidRPr="00FB4E2D">
        <w:rPr>
          <w:rFonts w:ascii="Times New Roman" w:eastAsia="Calibri" w:hAnsi="Times New Roman" w:cs="Times New Roman"/>
          <w:i/>
          <w:noProof/>
          <w:kern w:val="0"/>
          <w:sz w:val="20"/>
          <w:szCs w:val="20"/>
          <w:lang w:eastAsia="en-GB"/>
          <w14:ligatures w14:val="none"/>
        </w:rPr>
        <w:t>he tasks of notaries do not relate to courts. Therefore, there is no reason to provide them with secure connection.</w:t>
      </w:r>
    </w:p>
    <w:p w14:paraId="08ED78AF" w14:textId="16C958FE" w:rsidR="00A02C07" w:rsidRPr="00FB4E2D" w:rsidRDefault="00A02C07" w:rsidP="00A02C07">
      <w:pPr>
        <w:spacing w:before="240" w:line="240" w:lineRule="auto"/>
        <w:jc w:val="both"/>
        <w:rPr>
          <w:rFonts w:ascii="Calibri" w:eastAsia="Yu Mincho" w:hAnsi="Calibri" w:cs="Arial"/>
          <w:noProof/>
          <w:kern w:val="0"/>
          <w:sz w:val="22"/>
          <w:szCs w:val="22"/>
          <w14:ligatures w14:val="none"/>
        </w:rPr>
      </w:pPr>
      <w:r w:rsidRPr="00FB4E2D">
        <w:rPr>
          <w:rFonts w:ascii="Times New Roman" w:eastAsia="Times New Roman" w:hAnsi="Times New Roman" w:cs="Times New Roman"/>
          <w:noProof/>
          <w:kern w:val="0"/>
          <w14:ligatures w14:val="none"/>
        </w:rPr>
        <w:t xml:space="preserve">Prosecution services are essential </w:t>
      </w:r>
      <w:r w:rsidR="00EE314A" w:rsidRPr="00FB4E2D">
        <w:rPr>
          <w:rFonts w:ascii="Times New Roman" w:eastAsia="Times New Roman" w:hAnsi="Times New Roman" w:cs="Times New Roman"/>
          <w:noProof/>
          <w:kern w:val="0"/>
          <w14:ligatures w14:val="none"/>
        </w:rPr>
        <w:t xml:space="preserve">to </w:t>
      </w:r>
      <w:r w:rsidRPr="00FB4E2D">
        <w:rPr>
          <w:rFonts w:ascii="Times New Roman" w:eastAsia="Times New Roman" w:hAnsi="Times New Roman" w:cs="Times New Roman"/>
          <w:noProof/>
          <w:kern w:val="0"/>
          <w14:ligatures w14:val="none"/>
        </w:rPr>
        <w:t xml:space="preserve">the functioning of the criminal justice system. Access to a secure electronic </w:t>
      </w:r>
      <w:r w:rsidR="00EE314A" w:rsidRPr="00FB4E2D">
        <w:rPr>
          <w:rFonts w:ascii="Times New Roman" w:eastAsia="Times New Roman" w:hAnsi="Times New Roman" w:cs="Times New Roman"/>
          <w:noProof/>
          <w:kern w:val="0"/>
          <w14:ligatures w14:val="none"/>
        </w:rPr>
        <w:t xml:space="preserve">communications </w:t>
      </w:r>
      <w:r w:rsidRPr="00FB4E2D">
        <w:rPr>
          <w:rFonts w:ascii="Times New Roman" w:eastAsia="Times New Roman" w:hAnsi="Times New Roman" w:cs="Times New Roman"/>
          <w:noProof/>
          <w:kern w:val="0"/>
          <w14:ligatures w14:val="none"/>
        </w:rPr>
        <w:t>channel could facilitate their work and thus improve the quality of court proceedings. The possibility for secure electronic communication between prosecution services and investigating authorities, defence lawyers and courts would enable a more expedient and efficient preparation of the proceedings before the court.</w:t>
      </w:r>
    </w:p>
    <w:p w14:paraId="1B5AD62C"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lang w:eastAsia="en-GB"/>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Prosecution service: electronic communication tools</w:t>
      </w:r>
      <w:r w:rsidRPr="00FB4E2D">
        <w:rPr>
          <w:rFonts w:ascii="Times New Roman" w:eastAsia="Calibri" w:hAnsi="Times New Roman" w:cs="Times New Roman"/>
          <w:b/>
          <w:noProof/>
          <w:kern w:val="0"/>
          <w14:ligatures w14:val="none"/>
        </w:rPr>
        <w:t xml:space="preserve">, </w:t>
      </w:r>
      <w:r w:rsidRPr="00FB4E2D">
        <w:rPr>
          <w:rFonts w:ascii="Times New Roman" w:eastAsia="Times New Roman" w:hAnsi="Times New Roman" w:cs="Times New Roman"/>
          <w:b/>
          <w:noProof/>
          <w:kern w:val="0"/>
          <w:lang w:eastAsia="en-GB"/>
          <w14:ligatures w14:val="none"/>
        </w:rPr>
        <w:t xml:space="preserve">2025 </w:t>
      </w:r>
      <w:r w:rsidRPr="00FB4E2D">
        <w:rPr>
          <w:rFonts w:ascii="Times New Roman" w:eastAsia="Times New Roman" w:hAnsi="Times New Roman" w:cs="Times New Roman"/>
          <w:noProof/>
          <w:kern w:val="0"/>
          <w:lang w:eastAsia="en-GB"/>
          <w14:ligatures w14:val="none"/>
        </w:rPr>
        <w:t>(</w:t>
      </w:r>
      <w:r w:rsidRPr="00FB4E2D">
        <w:rPr>
          <w:rFonts w:ascii="Calibri" w:eastAsia="Times New Roman" w:hAnsi="Calibri" w:cs="Times New Roman"/>
          <w:noProof/>
          <w:kern w:val="0"/>
          <w:lang w:eastAsia="en-GB"/>
          <w14:ligatures w14:val="none"/>
        </w:rPr>
        <w:t>*</w:t>
      </w:r>
      <w:r w:rsidRPr="00FB4E2D">
        <w:rPr>
          <w:rFonts w:ascii="Times New Roman" w:eastAsia="Times New Roman" w:hAnsi="Times New Roman" w:cs="Times New Roman"/>
          <w:noProof/>
          <w:kern w:val="0"/>
          <w:lang w:eastAsia="en-GB"/>
          <w14:ligatures w14:val="none"/>
        </w:rPr>
        <w:t>)</w:t>
      </w:r>
      <w:r w:rsidRPr="00FB4E2D">
        <w:rPr>
          <w:rFonts w:ascii="Times New Roman" w:eastAsia="Times New Roman" w:hAnsi="Times New Roman" w:cs="Times New Roman"/>
          <w:b/>
          <w:noProof/>
          <w:kern w:val="0"/>
          <w:lang w:eastAsia="en-GB"/>
          <w14:ligatures w14:val="none"/>
        </w:rPr>
        <w:t xml:space="preserve"> </w:t>
      </w:r>
      <w:r w:rsidRPr="00FB4E2D">
        <w:rPr>
          <w:rFonts w:ascii="Times New Roman" w:eastAsia="Times New Roman" w:hAnsi="Times New Roman" w:cs="Times New Roman"/>
          <w:i/>
          <w:noProof/>
          <w:kern w:val="0"/>
          <w:lang w:eastAsia="en-GB"/>
          <w14:ligatures w14:val="none"/>
        </w:rPr>
        <w:t>(source: European Commission (</w:t>
      </w:r>
      <w:r w:rsidRPr="00FB4E2D">
        <w:rPr>
          <w:rFonts w:ascii="Times New Roman" w:eastAsia="Times New Roman" w:hAnsi="Times New Roman" w:cs="Times New Roman"/>
          <w:i/>
          <w:iCs/>
          <w:noProof/>
          <w:kern w:val="0"/>
          <w:vertAlign w:val="superscript"/>
          <w:lang w:eastAsia="en-GB"/>
          <w14:ligatures w14:val="none"/>
        </w:rPr>
        <w:footnoteReference w:id="93"/>
      </w:r>
      <w:r w:rsidRPr="00FB4E2D">
        <w:rPr>
          <w:rFonts w:ascii="Times New Roman" w:eastAsia="Times New Roman" w:hAnsi="Times New Roman" w:cs="Times New Roman"/>
          <w:i/>
          <w:noProof/>
          <w:kern w:val="0"/>
          <w:lang w:eastAsia="en-GB"/>
          <w14:ligatures w14:val="none"/>
        </w:rPr>
        <w:t xml:space="preserve">)) </w:t>
      </w:r>
    </w:p>
    <w:p w14:paraId="06D721BE" w14:textId="77777777" w:rsidR="00A02C07" w:rsidRPr="00FB4E2D" w:rsidRDefault="00A02C07" w:rsidP="00A02C07">
      <w:pPr>
        <w:spacing w:before="120" w:after="0" w:line="240" w:lineRule="auto"/>
        <w:jc w:val="both"/>
        <w:rPr>
          <w:rFonts w:ascii="Calibri" w:eastAsia="Yu Mincho" w:hAnsi="Calibri" w:cs="Arial"/>
          <w:noProof/>
          <w:kern w:val="0"/>
          <w:sz w:val="22"/>
          <w:szCs w:val="22"/>
          <w14:ligatures w14:val="none"/>
        </w:rPr>
      </w:pPr>
      <w:r w:rsidRPr="00FB4E2D">
        <w:rPr>
          <w:rFonts w:ascii="Calibri" w:eastAsia="Yu Mincho" w:hAnsi="Calibri" w:cs="Arial"/>
          <w:noProof/>
          <w:kern w:val="0"/>
          <w:sz w:val="22"/>
          <w:szCs w:val="22"/>
          <w:lang w:val="en-GB" w:eastAsia="en-GB"/>
          <w14:ligatures w14:val="none"/>
        </w:rPr>
        <w:drawing>
          <wp:inline distT="0" distB="0" distL="0" distR="0" wp14:anchorId="58788CAC" wp14:editId="1012AE33">
            <wp:extent cx="5760000" cy="2681771"/>
            <wp:effectExtent l="0" t="0" r="0" b="4445"/>
            <wp:docPr id="1190550548" name="Picture 27"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550548" name="Picture 27" descr="A graph of different colored bars&#10;&#10;AI-generated content may be incorrec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60000" cy="2681771"/>
                    </a:xfrm>
                    <a:prstGeom prst="rect">
                      <a:avLst/>
                    </a:prstGeom>
                    <a:noFill/>
                  </pic:spPr>
                </pic:pic>
              </a:graphicData>
            </a:graphic>
          </wp:inline>
        </w:drawing>
      </w:r>
    </w:p>
    <w:p w14:paraId="06361BA4" w14:textId="4567CA23" w:rsidR="00A02C07" w:rsidRPr="00FB4E2D" w:rsidRDefault="00A02C07" w:rsidP="00A02C07">
      <w:pPr>
        <w:spacing w:after="0" w:line="240" w:lineRule="auto"/>
        <w:jc w:val="both"/>
        <w:rPr>
          <w:rFonts w:ascii="Times New Roman" w:eastAsia="Times New Roman" w:hAnsi="Times New Roman" w:cs="Times New Roman"/>
          <w:i/>
          <w:noProof/>
          <w:kern w:val="0"/>
          <w:lang w:eastAsia="en-GB"/>
          <w14:ligatures w14:val="none"/>
        </w:rPr>
      </w:pPr>
      <w:r w:rsidRPr="00FB4E2D">
        <w:rPr>
          <w:rFonts w:ascii="Times New Roman" w:eastAsia="Calibri" w:hAnsi="Times New Roman" w:cs="Times New Roman"/>
          <w:i/>
          <w:noProof/>
          <w:kern w:val="0"/>
          <w:sz w:val="20"/>
          <w:szCs w:val="22"/>
          <w:lang w:eastAsia="en-GB"/>
          <w14:ligatures w14:val="none"/>
        </w:rPr>
        <w:t xml:space="preserve">(*) Maximum possible: 5 points. For each criterion, </w:t>
      </w:r>
      <w:r w:rsidR="00EE314A" w:rsidRPr="00FB4E2D">
        <w:rPr>
          <w:rFonts w:ascii="Times New Roman" w:eastAsia="Calibri" w:hAnsi="Times New Roman" w:cs="Times New Roman"/>
          <w:i/>
          <w:noProof/>
          <w:kern w:val="0"/>
          <w:sz w:val="20"/>
          <w:szCs w:val="22"/>
          <w:lang w:eastAsia="en-GB"/>
          <w14:ligatures w14:val="none"/>
        </w:rPr>
        <w:t>1</w:t>
      </w:r>
      <w:r w:rsidRPr="00FB4E2D">
        <w:rPr>
          <w:rFonts w:ascii="Times New Roman" w:eastAsia="Calibri" w:hAnsi="Times New Roman" w:cs="Times New Roman"/>
          <w:i/>
          <w:noProof/>
          <w:kern w:val="0"/>
          <w:sz w:val="20"/>
          <w:szCs w:val="22"/>
          <w:lang w:eastAsia="en-GB"/>
          <w14:ligatures w14:val="none"/>
        </w:rPr>
        <w:t>point was given if secure electronic communication is available for prosecution services. 0.5 was awarded when the possibility does not exist in all cases. Availability of electronic communication tools within prosecution service includes communication with lawyers employed by the prosecution service.</w:t>
      </w:r>
    </w:p>
    <w:p w14:paraId="64CF1D18"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14:ligatures w14:val="none"/>
        </w:rPr>
        <w:t>– Online access to courts –</w:t>
      </w:r>
    </w:p>
    <w:p w14:paraId="789C1C99" w14:textId="04E332BA" w:rsidR="00A02C07" w:rsidRPr="00FB4E2D" w:rsidRDefault="00A02C07" w:rsidP="00A02C07">
      <w:pPr>
        <w:spacing w:line="240" w:lineRule="auto"/>
        <w:jc w:val="both"/>
        <w:rPr>
          <w:rFonts w:ascii="Calibri" w:eastAsia="Yu Mincho" w:hAnsi="Calibri" w:cs="Arial"/>
          <w:noProof/>
          <w:kern w:val="0"/>
          <w:sz w:val="22"/>
          <w:szCs w:val="22"/>
          <w14:ligatures w14:val="none"/>
        </w:rPr>
      </w:pPr>
      <w:r w:rsidRPr="00FB4E2D">
        <w:rPr>
          <w:rFonts w:ascii="Times New Roman" w:eastAsia="Times New Roman" w:hAnsi="Times New Roman" w:cs="Times New Roman"/>
          <w:noProof/>
          <w:kern w:val="0"/>
          <w14:ligatures w14:val="none"/>
        </w:rPr>
        <w:t xml:space="preserve">The ability to carry out specific steps in a judicial procedure electronically is an important aspect of the quality of justice systems. The electronic submission of claims, the possibility </w:t>
      </w:r>
      <w:r w:rsidR="00EE314A" w:rsidRPr="00FB4E2D">
        <w:rPr>
          <w:rFonts w:ascii="Times New Roman" w:eastAsia="Times New Roman" w:hAnsi="Times New Roman" w:cs="Times New Roman"/>
          <w:noProof/>
          <w:kern w:val="0"/>
          <w14:ligatures w14:val="none"/>
        </w:rPr>
        <w:t>of monitoring and</w:t>
      </w:r>
      <w:r w:rsidRPr="00FB4E2D">
        <w:rPr>
          <w:rFonts w:ascii="Times New Roman" w:eastAsia="Times New Roman" w:hAnsi="Times New Roman" w:cs="Times New Roman"/>
          <w:noProof/>
          <w:kern w:val="0"/>
          <w14:ligatures w14:val="none"/>
        </w:rPr>
        <w:t xml:space="preserve"> advanc</w:t>
      </w:r>
      <w:r w:rsidR="00EE314A" w:rsidRPr="00FB4E2D">
        <w:rPr>
          <w:rFonts w:ascii="Times New Roman" w:eastAsia="Times New Roman" w:hAnsi="Times New Roman" w:cs="Times New Roman"/>
          <w:noProof/>
          <w:kern w:val="0"/>
          <w14:ligatures w14:val="none"/>
        </w:rPr>
        <w:t>ing</w:t>
      </w:r>
      <w:r w:rsidRPr="00FB4E2D">
        <w:rPr>
          <w:rFonts w:ascii="Times New Roman" w:eastAsia="Times New Roman" w:hAnsi="Times New Roman" w:cs="Times New Roman"/>
          <w:noProof/>
          <w:kern w:val="0"/>
          <w14:ligatures w14:val="none"/>
        </w:rPr>
        <w:t xml:space="preserve"> proceedings online or serv</w:t>
      </w:r>
      <w:r w:rsidR="00EE314A" w:rsidRPr="00FB4E2D">
        <w:rPr>
          <w:rFonts w:ascii="Times New Roman" w:eastAsia="Times New Roman" w:hAnsi="Times New Roman" w:cs="Times New Roman"/>
          <w:noProof/>
          <w:kern w:val="0"/>
          <w14:ligatures w14:val="none"/>
        </w:rPr>
        <w:t>ing</w:t>
      </w:r>
      <w:r w:rsidRPr="00FB4E2D">
        <w:rPr>
          <w:rFonts w:ascii="Times New Roman" w:eastAsia="Times New Roman" w:hAnsi="Times New Roman" w:cs="Times New Roman"/>
          <w:noProof/>
          <w:kern w:val="0"/>
          <w14:ligatures w14:val="none"/>
        </w:rPr>
        <w:t xml:space="preserve"> documents electronically can noticeably </w:t>
      </w:r>
      <w:r w:rsidR="00EE314A" w:rsidRPr="00FB4E2D">
        <w:rPr>
          <w:rFonts w:ascii="Times New Roman" w:eastAsia="Times New Roman" w:hAnsi="Times New Roman" w:cs="Times New Roman"/>
          <w:noProof/>
          <w:kern w:val="0"/>
          <w14:ligatures w14:val="none"/>
        </w:rPr>
        <w:t xml:space="preserve">improve </w:t>
      </w:r>
      <w:r w:rsidRPr="00FB4E2D">
        <w:rPr>
          <w:rFonts w:ascii="Times New Roman" w:eastAsia="Times New Roman" w:hAnsi="Times New Roman" w:cs="Times New Roman"/>
          <w:noProof/>
          <w:kern w:val="0"/>
          <w14:ligatures w14:val="none"/>
        </w:rPr>
        <w:t xml:space="preserve">access to justice for </w:t>
      </w:r>
      <w:r w:rsidR="00EE314A" w:rsidRPr="00FB4E2D">
        <w:rPr>
          <w:rFonts w:ascii="Times New Roman" w:eastAsia="Times New Roman" w:hAnsi="Times New Roman" w:cs="Times New Roman"/>
          <w:noProof/>
          <w:kern w:val="0"/>
          <w14:ligatures w14:val="none"/>
        </w:rPr>
        <w:t>the general public</w:t>
      </w:r>
      <w:r w:rsidRPr="00FB4E2D">
        <w:rPr>
          <w:rFonts w:ascii="Times New Roman" w:eastAsia="Times New Roman" w:hAnsi="Times New Roman" w:cs="Times New Roman"/>
          <w:noProof/>
          <w:kern w:val="0"/>
          <w14:ligatures w14:val="none"/>
        </w:rPr>
        <w:t xml:space="preserve"> and businesses (or their legal representatives) and reduce delays and costs. </w:t>
      </w:r>
      <w:r w:rsidR="00EE314A" w:rsidRPr="00FB4E2D">
        <w:rPr>
          <w:rFonts w:ascii="Times New Roman" w:eastAsia="Times New Roman" w:hAnsi="Times New Roman" w:cs="Times New Roman"/>
          <w:noProof/>
          <w:kern w:val="0"/>
          <w14:ligatures w14:val="none"/>
        </w:rPr>
        <w:t xml:space="preserve">Making </w:t>
      </w:r>
      <w:r w:rsidRPr="00FB4E2D">
        <w:rPr>
          <w:rFonts w:ascii="Times New Roman" w:eastAsia="Times New Roman" w:hAnsi="Times New Roman" w:cs="Times New Roman"/>
          <w:noProof/>
          <w:kern w:val="0"/>
          <w14:ligatures w14:val="none"/>
        </w:rPr>
        <w:t xml:space="preserve">digital public </w:t>
      </w:r>
      <w:r w:rsidR="00EE314A" w:rsidRPr="00FB4E2D">
        <w:rPr>
          <w:rFonts w:ascii="Times New Roman" w:eastAsia="Times New Roman" w:hAnsi="Times New Roman" w:cs="Times New Roman"/>
          <w:noProof/>
          <w:kern w:val="0"/>
          <w14:ligatures w14:val="none"/>
        </w:rPr>
        <w:t xml:space="preserve">service like these available </w:t>
      </w:r>
      <w:r w:rsidRPr="00FB4E2D">
        <w:rPr>
          <w:rFonts w:ascii="Times New Roman" w:eastAsia="Times New Roman" w:hAnsi="Times New Roman" w:cs="Times New Roman"/>
          <w:noProof/>
          <w:kern w:val="0"/>
          <w14:ligatures w14:val="none"/>
        </w:rPr>
        <w:t xml:space="preserve">would help bring courts one step closer to </w:t>
      </w:r>
      <w:r w:rsidR="00EE314A" w:rsidRPr="00FB4E2D">
        <w:rPr>
          <w:rFonts w:ascii="Times New Roman" w:eastAsia="Times New Roman" w:hAnsi="Times New Roman" w:cs="Times New Roman"/>
          <w:noProof/>
          <w:kern w:val="0"/>
          <w14:ligatures w14:val="none"/>
        </w:rPr>
        <w:t xml:space="preserve">the general public </w:t>
      </w:r>
      <w:r w:rsidRPr="00FB4E2D">
        <w:rPr>
          <w:rFonts w:ascii="Times New Roman" w:eastAsia="Times New Roman" w:hAnsi="Times New Roman" w:cs="Times New Roman"/>
          <w:noProof/>
          <w:kern w:val="0"/>
          <w14:ligatures w14:val="none"/>
        </w:rPr>
        <w:t>and businesses, and by extension increase public trust in the justice system.</w:t>
      </w:r>
    </w:p>
    <w:p w14:paraId="23030D03"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lang w:eastAsia="en-GB"/>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Digital solutions to initiate and follow proceedings in civil/commercial and administrative cases</w:t>
      </w:r>
      <w:r w:rsidRPr="00FB4E2D">
        <w:rPr>
          <w:rFonts w:ascii="Times New Roman" w:eastAsia="Calibri" w:hAnsi="Times New Roman" w:cs="Times New Roman"/>
          <w:b/>
          <w:noProof/>
          <w:kern w:val="0"/>
          <w14:ligatures w14:val="none"/>
        </w:rPr>
        <w:t xml:space="preserve">, </w:t>
      </w:r>
      <w:r w:rsidRPr="00FB4E2D">
        <w:rPr>
          <w:rFonts w:ascii="Times New Roman" w:eastAsia="Times New Roman" w:hAnsi="Times New Roman" w:cs="Times New Roman"/>
          <w:b/>
          <w:noProof/>
          <w:kern w:val="0"/>
          <w:lang w:eastAsia="en-GB"/>
          <w14:ligatures w14:val="none"/>
        </w:rPr>
        <w:t xml:space="preserve">2025 </w:t>
      </w:r>
      <w:r w:rsidRPr="00FB4E2D">
        <w:rPr>
          <w:rFonts w:ascii="Times New Roman" w:eastAsia="Times New Roman" w:hAnsi="Times New Roman" w:cs="Times New Roman"/>
          <w:noProof/>
          <w:kern w:val="0"/>
          <w:lang w:eastAsia="en-GB"/>
          <w14:ligatures w14:val="none"/>
        </w:rPr>
        <w:t>(</w:t>
      </w:r>
      <w:r w:rsidRPr="00FB4E2D">
        <w:rPr>
          <w:rFonts w:ascii="Calibri" w:eastAsia="Times New Roman" w:hAnsi="Calibri" w:cs="Times New Roman"/>
          <w:noProof/>
          <w:kern w:val="0"/>
          <w:lang w:eastAsia="en-GB"/>
          <w14:ligatures w14:val="none"/>
        </w:rPr>
        <w:t>*</w:t>
      </w:r>
      <w:r w:rsidRPr="00FB4E2D">
        <w:rPr>
          <w:rFonts w:ascii="Times New Roman" w:eastAsia="Times New Roman" w:hAnsi="Times New Roman" w:cs="Times New Roman"/>
          <w:noProof/>
          <w:kern w:val="0"/>
          <w:lang w:eastAsia="en-GB"/>
          <w14:ligatures w14:val="none"/>
        </w:rPr>
        <w:t>)</w:t>
      </w:r>
      <w:r w:rsidRPr="00FB4E2D">
        <w:rPr>
          <w:rFonts w:ascii="Times New Roman" w:eastAsia="Times New Roman" w:hAnsi="Times New Roman" w:cs="Times New Roman"/>
          <w:b/>
          <w:noProof/>
          <w:kern w:val="0"/>
          <w:lang w:eastAsia="en-GB"/>
          <w14:ligatures w14:val="none"/>
        </w:rPr>
        <w:t xml:space="preserve"> </w:t>
      </w:r>
      <w:r w:rsidRPr="00FB4E2D">
        <w:rPr>
          <w:rFonts w:ascii="Times New Roman" w:eastAsia="Times New Roman" w:hAnsi="Times New Roman" w:cs="Times New Roman"/>
          <w:i/>
          <w:noProof/>
          <w:kern w:val="0"/>
          <w:lang w:eastAsia="en-GB"/>
          <w14:ligatures w14:val="none"/>
        </w:rPr>
        <w:t>(source: European Commission (</w:t>
      </w:r>
      <w:r w:rsidRPr="00FB4E2D">
        <w:rPr>
          <w:rFonts w:ascii="Times New Roman" w:eastAsia="Times New Roman" w:hAnsi="Times New Roman" w:cs="Times New Roman"/>
          <w:i/>
          <w:iCs/>
          <w:noProof/>
          <w:kern w:val="0"/>
          <w:vertAlign w:val="superscript"/>
          <w:lang w:eastAsia="en-GB"/>
          <w14:ligatures w14:val="none"/>
        </w:rPr>
        <w:footnoteReference w:id="94"/>
      </w:r>
      <w:r w:rsidRPr="00FB4E2D">
        <w:rPr>
          <w:rFonts w:ascii="Times New Roman" w:eastAsia="Times New Roman" w:hAnsi="Times New Roman" w:cs="Times New Roman"/>
          <w:i/>
          <w:noProof/>
          <w:kern w:val="0"/>
          <w:lang w:eastAsia="en-GB"/>
          <w14:ligatures w14:val="none"/>
        </w:rPr>
        <w:t>))</w:t>
      </w:r>
    </w:p>
    <w:p w14:paraId="4716E6AF" w14:textId="65B7C0C0" w:rsidR="00A02C07" w:rsidRPr="00FB4E2D" w:rsidRDefault="00506290" w:rsidP="00A02C07">
      <w:pPr>
        <w:spacing w:after="0" w:line="240" w:lineRule="auto"/>
        <w:jc w:val="both"/>
        <w:rPr>
          <w:rFonts w:ascii="Times New Roman" w:eastAsia="Times New Roman" w:hAnsi="Times New Roman" w:cs="Times New Roman"/>
          <w:i/>
          <w:noProof/>
          <w:kern w:val="0"/>
          <w:lang w:eastAsia="en-GB"/>
          <w14:ligatures w14:val="none"/>
        </w:rPr>
      </w:pPr>
      <w:r>
        <w:rPr>
          <w:rFonts w:ascii="Times New Roman" w:eastAsia="Times New Roman" w:hAnsi="Times New Roman" w:cs="Times New Roman"/>
          <w:i/>
          <w:noProof/>
          <w:kern w:val="0"/>
          <w:lang w:val="en-GB" w:eastAsia="en-GB"/>
          <w14:ligatures w14:val="none"/>
        </w:rPr>
        <w:drawing>
          <wp:inline distT="0" distB="0" distL="0" distR="0" wp14:anchorId="064F889E" wp14:editId="493AF386">
            <wp:extent cx="5760000" cy="2696660"/>
            <wp:effectExtent l="0" t="0" r="0" b="8890"/>
            <wp:docPr id="1433191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60000" cy="2696660"/>
                    </a:xfrm>
                    <a:prstGeom prst="rect">
                      <a:avLst/>
                    </a:prstGeom>
                    <a:noFill/>
                  </pic:spPr>
                </pic:pic>
              </a:graphicData>
            </a:graphic>
          </wp:inline>
        </w:drawing>
      </w:r>
    </w:p>
    <w:p w14:paraId="549CA310" w14:textId="77777777" w:rsidR="00A02C07" w:rsidRPr="00FB4E2D" w:rsidRDefault="00A02C07" w:rsidP="00A02C07">
      <w:pPr>
        <w:spacing w:after="0" w:line="240" w:lineRule="auto"/>
        <w:jc w:val="both"/>
        <w:rPr>
          <w:rFonts w:ascii="Times New Roman" w:eastAsia="Times New Roman" w:hAnsi="Times New Roman" w:cs="Times New Roman"/>
          <w:i/>
          <w:noProof/>
          <w:kern w:val="0"/>
          <w:lang w:eastAsia="en-GB"/>
          <w14:ligatures w14:val="none"/>
        </w:rPr>
      </w:pPr>
    </w:p>
    <w:p w14:paraId="18286E56" w14:textId="1B1DBD59" w:rsidR="00A02C07" w:rsidRPr="00FB4E2D" w:rsidRDefault="00A02C07" w:rsidP="00A02C07">
      <w:pPr>
        <w:spacing w:after="120" w:line="240" w:lineRule="auto"/>
        <w:jc w:val="both"/>
        <w:rPr>
          <w:rFonts w:ascii="Calibri" w:eastAsia="Yu Mincho" w:hAnsi="Calibri" w:cs="Arial"/>
          <w:noProof/>
          <w:kern w:val="0"/>
          <w:sz w:val="22"/>
          <w:szCs w:val="22"/>
          <w14:ligatures w14:val="none"/>
        </w:rPr>
      </w:pPr>
      <w:r w:rsidRPr="00FB4E2D">
        <w:rPr>
          <w:rFonts w:ascii="Times New Roman" w:eastAsia="Calibri" w:hAnsi="Times New Roman" w:cs="Times New Roman"/>
          <w:i/>
          <w:noProof/>
          <w:kern w:val="0"/>
          <w:sz w:val="20"/>
          <w:szCs w:val="22"/>
          <w:lang w:eastAsia="en-GB"/>
          <w14:ligatures w14:val="none"/>
        </w:rPr>
        <w:t xml:space="preserve">(*) Maximum possible: 9 points. For each criterion, </w:t>
      </w:r>
      <w:r w:rsidR="00EE314A" w:rsidRPr="00FB4E2D">
        <w:rPr>
          <w:rFonts w:ascii="Times New Roman" w:eastAsia="Calibri" w:hAnsi="Times New Roman" w:cs="Times New Roman"/>
          <w:i/>
          <w:noProof/>
          <w:kern w:val="0"/>
          <w:sz w:val="20"/>
          <w:szCs w:val="22"/>
          <w:lang w:eastAsia="en-GB"/>
          <w14:ligatures w14:val="none"/>
        </w:rPr>
        <w:t xml:space="preserve">1 </w:t>
      </w:r>
      <w:r w:rsidRPr="00FB4E2D">
        <w:rPr>
          <w:rFonts w:ascii="Times New Roman" w:eastAsia="Calibri" w:hAnsi="Times New Roman" w:cs="Times New Roman"/>
          <w:i/>
          <w:noProof/>
          <w:kern w:val="0"/>
          <w:sz w:val="20"/>
          <w:szCs w:val="22"/>
          <w:lang w:eastAsia="en-GB"/>
          <w14:ligatures w14:val="none"/>
        </w:rPr>
        <w:t>point was given if the possibility exists in all civil/commercial and administrative cases, respectively. 0.5 point was awarded when the possibility does not exist in all cases. For those Member States that do not distinguish civil/commercial and administrative cases, the same number of points has been given for both areas.</w:t>
      </w:r>
    </w:p>
    <w:p w14:paraId="621DA4B1" w14:textId="1CAED6F9" w:rsidR="00A02C07" w:rsidRPr="00FB4E2D" w:rsidRDefault="00674516" w:rsidP="00A02C07">
      <w:pPr>
        <w:spacing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Using</w:t>
      </w:r>
      <w:r w:rsidR="00A02C07" w:rsidRPr="00FB4E2D">
        <w:rPr>
          <w:rFonts w:ascii="Times New Roman" w:eastAsia="Times New Roman" w:hAnsi="Times New Roman" w:cs="Times New Roman"/>
          <w:noProof/>
          <w:kern w:val="0"/>
          <w14:ligatures w14:val="none"/>
        </w:rPr>
        <w:t xml:space="preserve"> digital tools </w:t>
      </w:r>
      <w:r w:rsidRPr="00FB4E2D">
        <w:rPr>
          <w:rFonts w:ascii="Times New Roman" w:eastAsia="Times New Roman" w:hAnsi="Times New Roman" w:cs="Times New Roman"/>
          <w:noProof/>
          <w:kern w:val="0"/>
          <w14:ligatures w14:val="none"/>
        </w:rPr>
        <w:t xml:space="preserve">to </w:t>
      </w:r>
      <w:r w:rsidR="00A02C07" w:rsidRPr="00FB4E2D">
        <w:rPr>
          <w:rFonts w:ascii="Times New Roman" w:eastAsia="Times New Roman" w:hAnsi="Times New Roman" w:cs="Times New Roman"/>
          <w:noProof/>
          <w:kern w:val="0"/>
          <w14:ligatures w14:val="none"/>
        </w:rPr>
        <w:t>conduct and follow court proceedings in criminal cases can also help guarantee the rights of victims and defendants. For example, digital solutions can enable confidential remote communication between defendants and their lawyers, allow defendants in detention to prepare for their hearing</w:t>
      </w:r>
      <w:r w:rsidRPr="00FB4E2D">
        <w:rPr>
          <w:rFonts w:ascii="Times New Roman" w:eastAsia="Times New Roman" w:hAnsi="Times New Roman" w:cs="Times New Roman"/>
          <w:noProof/>
          <w:kern w:val="0"/>
          <w14:ligatures w14:val="none"/>
        </w:rPr>
        <w:t>,</w:t>
      </w:r>
      <w:r w:rsidR="00A02C07" w:rsidRPr="00FB4E2D">
        <w:rPr>
          <w:rFonts w:ascii="Times New Roman" w:eastAsia="Times New Roman" w:hAnsi="Times New Roman" w:cs="Times New Roman"/>
          <w:noProof/>
          <w:kern w:val="0"/>
          <w14:ligatures w14:val="none"/>
        </w:rPr>
        <w:t xml:space="preserve"> and help victims of crime avoid secondary victimisation.</w:t>
      </w:r>
    </w:p>
    <w:p w14:paraId="26441722" w14:textId="77777777" w:rsidR="00A02C07" w:rsidRPr="00FB4E2D" w:rsidRDefault="00A02C07" w:rsidP="00A02C07">
      <w:pPr>
        <w:spacing w:line="259" w:lineRule="auto"/>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1D383E5B" w14:textId="77777777" w:rsidR="00A02C07" w:rsidRPr="00FB4E2D" w:rsidRDefault="00A02C07" w:rsidP="00A02C07">
      <w:pPr>
        <w:spacing w:before="240" w:after="120" w:line="259" w:lineRule="auto"/>
        <w:rPr>
          <w:rFonts w:ascii="Times New Roman" w:eastAsia="Times New Roman" w:hAnsi="Times New Roman" w:cs="Times New Roman"/>
          <w:i/>
          <w:noProof/>
          <w:kern w:val="0"/>
          <w:lang w:eastAsia="en-GB"/>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u w:val="single"/>
          <w14:ligatures w14:val="none"/>
        </w:rPr>
        <w:t xml:space="preserve">Digital solutions to conduct and follow court proceedings in criminal cases, </w:t>
      </w:r>
      <w:r w:rsidRPr="00FB4E2D">
        <w:rPr>
          <w:rFonts w:ascii="Times New Roman" w:eastAsia="Times New Roman" w:hAnsi="Times New Roman" w:cs="Times New Roman"/>
          <w:b/>
          <w:noProof/>
          <w:kern w:val="0"/>
          <w:u w:val="single"/>
          <w:lang w:eastAsia="en-GB"/>
          <w14:ligatures w14:val="none"/>
        </w:rPr>
        <w:t>2025</w:t>
      </w:r>
      <w:r w:rsidRPr="00FB4E2D">
        <w:rPr>
          <w:rFonts w:ascii="Times New Roman" w:eastAsia="Times New Roman" w:hAnsi="Times New Roman" w:cs="Times New Roman"/>
          <w:b/>
          <w:noProof/>
          <w:kern w:val="0"/>
          <w:lang w:eastAsia="en-GB"/>
          <w14:ligatures w14:val="none"/>
        </w:rPr>
        <w:t xml:space="preserve"> </w:t>
      </w:r>
      <w:r w:rsidRPr="00FB4E2D">
        <w:rPr>
          <w:rFonts w:ascii="Times New Roman" w:eastAsia="Times New Roman" w:hAnsi="Times New Roman" w:cs="Times New Roman"/>
          <w:noProof/>
          <w:kern w:val="0"/>
          <w:lang w:eastAsia="en-GB"/>
          <w14:ligatures w14:val="none"/>
        </w:rPr>
        <w:t>(</w:t>
      </w:r>
      <w:r w:rsidRPr="00FB4E2D">
        <w:rPr>
          <w:rFonts w:ascii="Calibri" w:eastAsia="Times New Roman" w:hAnsi="Calibri" w:cs="Times New Roman"/>
          <w:noProof/>
          <w:kern w:val="0"/>
          <w:lang w:eastAsia="en-GB"/>
          <w14:ligatures w14:val="none"/>
        </w:rPr>
        <w:t>*</w:t>
      </w:r>
      <w:r w:rsidRPr="00FB4E2D">
        <w:rPr>
          <w:rFonts w:ascii="Times New Roman" w:eastAsia="Times New Roman" w:hAnsi="Times New Roman" w:cs="Times New Roman"/>
          <w:noProof/>
          <w:kern w:val="0"/>
          <w:lang w:eastAsia="en-GB"/>
          <w14:ligatures w14:val="none"/>
        </w:rPr>
        <w:t>)</w:t>
      </w:r>
      <w:r w:rsidRPr="00FB4E2D">
        <w:rPr>
          <w:rFonts w:ascii="Times New Roman" w:eastAsia="Times New Roman" w:hAnsi="Times New Roman" w:cs="Times New Roman"/>
          <w:b/>
          <w:noProof/>
          <w:kern w:val="0"/>
          <w:lang w:eastAsia="en-GB"/>
          <w14:ligatures w14:val="none"/>
        </w:rPr>
        <w:t xml:space="preserve"> </w:t>
      </w:r>
      <w:r w:rsidRPr="00FB4E2D">
        <w:rPr>
          <w:rFonts w:ascii="Times New Roman" w:eastAsia="Times New Roman" w:hAnsi="Times New Roman" w:cs="Times New Roman"/>
          <w:i/>
          <w:noProof/>
          <w:kern w:val="0"/>
          <w:lang w:eastAsia="en-GB"/>
          <w14:ligatures w14:val="none"/>
        </w:rPr>
        <w:t>(source: European Commission (</w:t>
      </w:r>
      <w:r w:rsidRPr="00FB4E2D">
        <w:rPr>
          <w:rFonts w:ascii="Times New Roman" w:eastAsia="Times New Roman" w:hAnsi="Times New Roman" w:cs="Times New Roman"/>
          <w:i/>
          <w:iCs/>
          <w:noProof/>
          <w:kern w:val="0"/>
          <w:vertAlign w:val="superscript"/>
          <w:lang w:eastAsia="en-GB"/>
          <w14:ligatures w14:val="none"/>
        </w:rPr>
        <w:footnoteReference w:id="95"/>
      </w:r>
      <w:r w:rsidRPr="00FB4E2D">
        <w:rPr>
          <w:rFonts w:ascii="Times New Roman" w:eastAsia="Times New Roman" w:hAnsi="Times New Roman" w:cs="Times New Roman"/>
          <w:i/>
          <w:noProof/>
          <w:kern w:val="0"/>
          <w:lang w:eastAsia="en-GB"/>
          <w14:ligatures w14:val="none"/>
        </w:rPr>
        <w:t>))</w:t>
      </w:r>
    </w:p>
    <w:p w14:paraId="11BCFC15" w14:textId="77777777" w:rsidR="00A02C07" w:rsidRPr="00FB4E2D" w:rsidRDefault="00A02C07" w:rsidP="00A02C07">
      <w:pPr>
        <w:spacing w:after="0" w:line="259" w:lineRule="auto"/>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lang w:val="en-GB" w:eastAsia="en-GB"/>
          <w14:ligatures w14:val="none"/>
        </w:rPr>
        <w:drawing>
          <wp:inline distT="0" distB="0" distL="0" distR="0" wp14:anchorId="11B86DC2" wp14:editId="2F87F510">
            <wp:extent cx="5760000" cy="2597671"/>
            <wp:effectExtent l="0" t="0" r="0" b="0"/>
            <wp:docPr id="1257492829" name="Picture 29"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92829" name="Picture 29" descr="A graph of different colored bars&#10;&#10;AI-generated content may be incorrec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60000" cy="2597671"/>
                    </a:xfrm>
                    <a:prstGeom prst="rect">
                      <a:avLst/>
                    </a:prstGeom>
                    <a:noFill/>
                  </pic:spPr>
                </pic:pic>
              </a:graphicData>
            </a:graphic>
          </wp:inline>
        </w:drawing>
      </w:r>
    </w:p>
    <w:p w14:paraId="1A1F6EFF" w14:textId="5EF61728" w:rsidR="00A02C07" w:rsidRPr="00FB4E2D" w:rsidRDefault="00A02C07" w:rsidP="00A02C07">
      <w:pPr>
        <w:spacing w:after="0" w:line="240" w:lineRule="auto"/>
        <w:jc w:val="both"/>
        <w:rPr>
          <w:rFonts w:ascii="Times New Roman" w:eastAsia="Times New Roman" w:hAnsi="Times New Roman" w:cs="Times New Roman"/>
          <w:i/>
          <w:noProof/>
          <w:kern w:val="0"/>
          <w:lang w:eastAsia="en-GB"/>
          <w14:ligatures w14:val="none"/>
        </w:rPr>
      </w:pPr>
      <w:r w:rsidRPr="00FB4E2D">
        <w:rPr>
          <w:rFonts w:ascii="Times New Roman" w:eastAsia="Calibri" w:hAnsi="Times New Roman" w:cs="Times New Roman"/>
          <w:i/>
          <w:noProof/>
          <w:kern w:val="0"/>
          <w:sz w:val="20"/>
          <w:szCs w:val="22"/>
          <w:lang w:eastAsia="en-GB"/>
          <w14:ligatures w14:val="none"/>
        </w:rPr>
        <w:t xml:space="preserve">(*) Maximum possible: 6 points. For each criterion, </w:t>
      </w:r>
      <w:r w:rsidR="008D227D" w:rsidRPr="00FB4E2D">
        <w:rPr>
          <w:rFonts w:ascii="Times New Roman" w:eastAsia="Calibri" w:hAnsi="Times New Roman" w:cs="Times New Roman"/>
          <w:i/>
          <w:noProof/>
          <w:kern w:val="0"/>
          <w:sz w:val="20"/>
          <w:szCs w:val="22"/>
          <w:lang w:eastAsia="en-GB"/>
          <w14:ligatures w14:val="none"/>
        </w:rPr>
        <w:t xml:space="preserve">1 </w:t>
      </w:r>
      <w:r w:rsidRPr="00FB4E2D">
        <w:rPr>
          <w:rFonts w:ascii="Times New Roman" w:eastAsia="Calibri" w:hAnsi="Times New Roman" w:cs="Times New Roman"/>
          <w:i/>
          <w:noProof/>
          <w:kern w:val="0"/>
          <w:sz w:val="20"/>
          <w:szCs w:val="22"/>
          <w:lang w:eastAsia="en-GB"/>
          <w14:ligatures w14:val="none"/>
        </w:rPr>
        <w:t>point was given if the possibility exists in all criminal cases. 0.5 point</w:t>
      </w:r>
      <w:r w:rsidR="008D227D" w:rsidRPr="00FB4E2D">
        <w:rPr>
          <w:rFonts w:ascii="Times New Roman" w:eastAsia="Calibri" w:hAnsi="Times New Roman" w:cs="Times New Roman"/>
          <w:i/>
          <w:noProof/>
          <w:kern w:val="0"/>
          <w:sz w:val="20"/>
          <w:szCs w:val="22"/>
          <w:lang w:eastAsia="en-GB"/>
          <w14:ligatures w14:val="none"/>
        </w:rPr>
        <w:t xml:space="preserve">s were </w:t>
      </w:r>
      <w:r w:rsidRPr="00FB4E2D">
        <w:rPr>
          <w:rFonts w:ascii="Times New Roman" w:eastAsia="Calibri" w:hAnsi="Times New Roman" w:cs="Times New Roman"/>
          <w:i/>
          <w:noProof/>
          <w:kern w:val="0"/>
          <w:sz w:val="20"/>
          <w:szCs w:val="22"/>
          <w:lang w:eastAsia="en-GB"/>
          <w14:ligatures w14:val="none"/>
        </w:rPr>
        <w:t>awarded when the possibility does not exist in all cases.</w:t>
      </w:r>
    </w:p>
    <w:bookmarkEnd w:id="357"/>
    <w:p w14:paraId="42F1FD69" w14:textId="77777777" w:rsidR="00A02C07" w:rsidRPr="00FB4E2D" w:rsidRDefault="00A02C07" w:rsidP="00A02C07">
      <w:pPr>
        <w:spacing w:before="240" w:after="120" w:line="240" w:lineRule="auto"/>
        <w:jc w:val="both"/>
        <w:rPr>
          <w:rFonts w:ascii="Times New Roman" w:eastAsia="Calibri" w:hAnsi="Times New Roman" w:cs="Helvetica Neue"/>
          <w:i/>
          <w:noProof/>
          <w:color w:val="000000"/>
          <w:kern w:val="0"/>
          <w14:ligatures w14:val="none"/>
        </w:rPr>
      </w:pPr>
      <w:r w:rsidRPr="00FB4E2D">
        <w:rPr>
          <w:rFonts w:ascii="Times New Roman" w:eastAsia="Calibri" w:hAnsi="Times New Roman" w:cs="Times New Roman"/>
          <w:i/>
          <w:noProof/>
          <w:kern w:val="0"/>
          <w14:ligatures w14:val="none"/>
        </w:rPr>
        <w:t>–</w:t>
      </w:r>
      <w:r w:rsidRPr="00FB4E2D">
        <w:rPr>
          <w:rFonts w:ascii="Times New Roman" w:eastAsia="Calibri" w:hAnsi="Times New Roman" w:cs="Helvetica Neue"/>
          <w:i/>
          <w:noProof/>
          <w:color w:val="000000"/>
          <w:kern w:val="0"/>
          <w14:ligatures w14:val="none"/>
        </w:rPr>
        <w:t xml:space="preserve"> Access to judgments </w:t>
      </w:r>
      <w:r w:rsidRPr="00FB4E2D">
        <w:rPr>
          <w:rFonts w:ascii="Times New Roman" w:eastAsia="Calibri" w:hAnsi="Times New Roman" w:cs="Times New Roman"/>
          <w:i/>
          <w:noProof/>
          <w:kern w:val="0"/>
          <w14:ligatures w14:val="none"/>
        </w:rPr>
        <w:t>–</w:t>
      </w:r>
    </w:p>
    <w:p w14:paraId="589377A4" w14:textId="206678DE" w:rsidR="00A02C07" w:rsidRPr="00FB4E2D" w:rsidRDefault="00A02C07" w:rsidP="00A02C07">
      <w:pPr>
        <w:spacing w:after="120" w:line="240" w:lineRule="auto"/>
        <w:jc w:val="both"/>
        <w:rPr>
          <w:rFonts w:ascii="Times New Roman" w:eastAsia="Calibri" w:hAnsi="Times New Roman" w:cs="Helvetica Neue"/>
          <w:noProof/>
          <w:color w:val="000000"/>
          <w:kern w:val="0"/>
          <w14:ligatures w14:val="none"/>
        </w:rPr>
      </w:pPr>
      <w:r w:rsidRPr="00FB4E2D">
        <w:rPr>
          <w:rFonts w:ascii="Times New Roman" w:eastAsia="Calibri" w:hAnsi="Times New Roman" w:cs="Helvetica Neue"/>
          <w:noProof/>
          <w:color w:val="000000"/>
          <w:kern w:val="0"/>
          <w14:ligatures w14:val="none"/>
        </w:rPr>
        <w:t xml:space="preserve">Ensuring online access to judgments increases the transparency of justice systems, </w:t>
      </w:r>
      <w:bookmarkStart w:id="358" w:name="_Hlk228888496"/>
      <w:r w:rsidRPr="00FB4E2D">
        <w:rPr>
          <w:rFonts w:ascii="Times New Roman" w:eastAsia="Calibri" w:hAnsi="Times New Roman" w:cs="Helvetica Neue"/>
          <w:noProof/>
          <w:color w:val="000000"/>
          <w:kern w:val="0"/>
          <w14:ligatures w14:val="none"/>
        </w:rPr>
        <w:t xml:space="preserve">helps </w:t>
      </w:r>
      <w:r w:rsidR="00D96EDB" w:rsidRPr="00FB4E2D">
        <w:rPr>
          <w:rFonts w:ascii="Times New Roman" w:eastAsia="Calibri" w:hAnsi="Times New Roman" w:cs="Helvetica Neue"/>
          <w:noProof/>
          <w:color w:val="000000"/>
          <w:kern w:val="0"/>
          <w14:ligatures w14:val="none"/>
        </w:rPr>
        <w:t xml:space="preserve">the public </w:t>
      </w:r>
      <w:r w:rsidRPr="00FB4E2D">
        <w:rPr>
          <w:rFonts w:ascii="Times New Roman" w:eastAsia="Calibri" w:hAnsi="Times New Roman" w:cs="Helvetica Neue"/>
          <w:noProof/>
          <w:color w:val="000000"/>
          <w:kern w:val="0"/>
          <w14:ligatures w14:val="none"/>
        </w:rPr>
        <w:t>and businesses understand their rights and can contribute to consistency in case</w:t>
      </w:r>
      <w:r w:rsidR="00D96EDB" w:rsidRPr="00FB4E2D">
        <w:rPr>
          <w:rFonts w:ascii="Times New Roman" w:eastAsia="Calibri" w:hAnsi="Times New Roman" w:cs="Helvetica Neue"/>
          <w:noProof/>
          <w:color w:val="000000"/>
          <w:kern w:val="0"/>
          <w14:ligatures w14:val="none"/>
        </w:rPr>
        <w:t xml:space="preserve"> </w:t>
      </w:r>
      <w:r w:rsidRPr="00FB4E2D">
        <w:rPr>
          <w:rFonts w:ascii="Times New Roman" w:eastAsia="Calibri" w:hAnsi="Times New Roman" w:cs="Helvetica Neue"/>
          <w:noProof/>
          <w:color w:val="000000"/>
          <w:kern w:val="0"/>
          <w14:ligatures w14:val="none"/>
        </w:rPr>
        <w:t xml:space="preserve">law. </w:t>
      </w:r>
      <w:r w:rsidR="00D96EDB" w:rsidRPr="00FB4E2D">
        <w:rPr>
          <w:rFonts w:ascii="Times New Roman" w:eastAsia="Calibri" w:hAnsi="Times New Roman" w:cs="Helvetica Neue"/>
          <w:noProof/>
          <w:color w:val="000000"/>
          <w:kern w:val="0"/>
          <w14:ligatures w14:val="none"/>
        </w:rPr>
        <w:t xml:space="preserve">Having the right </w:t>
      </w:r>
      <w:r w:rsidRPr="00FB4E2D">
        <w:rPr>
          <w:rFonts w:ascii="Times New Roman" w:eastAsia="Calibri" w:hAnsi="Times New Roman" w:cs="Helvetica Neue"/>
          <w:noProof/>
          <w:color w:val="000000"/>
          <w:kern w:val="0"/>
          <w14:ligatures w14:val="none"/>
        </w:rPr>
        <w:t xml:space="preserve">arrangements </w:t>
      </w:r>
      <w:r w:rsidR="00D96EDB" w:rsidRPr="00FB4E2D">
        <w:rPr>
          <w:rFonts w:ascii="Times New Roman" w:eastAsia="Calibri" w:hAnsi="Times New Roman" w:cs="Helvetica Neue"/>
          <w:noProof/>
          <w:color w:val="000000"/>
          <w:kern w:val="0"/>
          <w14:ligatures w14:val="none"/>
        </w:rPr>
        <w:t xml:space="preserve">in place </w:t>
      </w:r>
      <w:r w:rsidRPr="00FB4E2D">
        <w:rPr>
          <w:rFonts w:ascii="Times New Roman" w:eastAsia="Calibri" w:hAnsi="Times New Roman" w:cs="Helvetica Neue"/>
          <w:noProof/>
          <w:color w:val="000000"/>
          <w:kern w:val="0"/>
          <w14:ligatures w14:val="none"/>
        </w:rPr>
        <w:t xml:space="preserve">for publishing judicial decisions online </w:t>
      </w:r>
      <w:r w:rsidR="00D96EDB" w:rsidRPr="00FB4E2D">
        <w:rPr>
          <w:rFonts w:ascii="Times New Roman" w:eastAsia="Calibri" w:hAnsi="Times New Roman" w:cs="Helvetica Neue"/>
          <w:noProof/>
          <w:color w:val="000000"/>
          <w:kern w:val="0"/>
          <w14:ligatures w14:val="none"/>
        </w:rPr>
        <w:t xml:space="preserve">is </w:t>
      </w:r>
      <w:r w:rsidRPr="00FB4E2D">
        <w:rPr>
          <w:rFonts w:ascii="Times New Roman" w:eastAsia="Calibri" w:hAnsi="Times New Roman" w:cs="Helvetica Neue"/>
          <w:noProof/>
          <w:color w:val="000000"/>
          <w:kern w:val="0"/>
          <w14:ligatures w14:val="none"/>
        </w:rPr>
        <w:t xml:space="preserve">essential </w:t>
      </w:r>
      <w:r w:rsidR="00D96EDB" w:rsidRPr="00FB4E2D">
        <w:rPr>
          <w:rFonts w:ascii="Times New Roman" w:eastAsia="Calibri" w:hAnsi="Times New Roman" w:cs="Helvetica Neue"/>
          <w:noProof/>
          <w:color w:val="000000"/>
          <w:kern w:val="0"/>
          <w14:ligatures w14:val="none"/>
        </w:rPr>
        <w:t xml:space="preserve">to </w:t>
      </w:r>
      <w:r w:rsidRPr="00FB4E2D">
        <w:rPr>
          <w:rFonts w:ascii="Times New Roman" w:eastAsia="Calibri" w:hAnsi="Times New Roman" w:cs="Helvetica Neue"/>
          <w:noProof/>
          <w:color w:val="000000"/>
          <w:kern w:val="0"/>
          <w14:ligatures w14:val="none"/>
        </w:rPr>
        <w:t>creating user-friendly search facilities (</w:t>
      </w:r>
      <w:r w:rsidRPr="00FB4E2D">
        <w:rPr>
          <w:rFonts w:ascii="Times New Roman" w:eastAsia="Calibri" w:hAnsi="Times New Roman" w:cs="Helvetica Neue"/>
          <w:noProof/>
          <w:color w:val="000000"/>
          <w:kern w:val="0"/>
          <w:vertAlign w:val="superscript"/>
          <w14:ligatures w14:val="none"/>
        </w:rPr>
        <w:footnoteReference w:id="96"/>
      </w:r>
      <w:r w:rsidRPr="00FB4E2D">
        <w:rPr>
          <w:rFonts w:ascii="Times New Roman" w:eastAsia="Calibri" w:hAnsi="Times New Roman" w:cs="Helvetica Neue"/>
          <w:noProof/>
          <w:color w:val="000000"/>
          <w:kern w:val="0"/>
          <w14:ligatures w14:val="none"/>
        </w:rPr>
        <w:t>) that make case</w:t>
      </w:r>
      <w:r w:rsidR="00D96EDB" w:rsidRPr="00FB4E2D">
        <w:rPr>
          <w:rFonts w:ascii="Times New Roman" w:eastAsia="Calibri" w:hAnsi="Times New Roman" w:cs="Helvetica Neue"/>
          <w:noProof/>
          <w:color w:val="000000"/>
          <w:kern w:val="0"/>
          <w14:ligatures w14:val="none"/>
        </w:rPr>
        <w:t xml:space="preserve"> </w:t>
      </w:r>
      <w:r w:rsidRPr="00FB4E2D">
        <w:rPr>
          <w:rFonts w:ascii="Times New Roman" w:eastAsia="Calibri" w:hAnsi="Times New Roman" w:cs="Helvetica Neue"/>
          <w:noProof/>
          <w:color w:val="000000"/>
          <w:kern w:val="0"/>
          <w14:ligatures w14:val="none"/>
        </w:rPr>
        <w:t>law more accessible to</w:t>
      </w:r>
      <w:bookmarkEnd w:id="358"/>
      <w:r w:rsidRPr="00FB4E2D">
        <w:rPr>
          <w:rFonts w:ascii="Times New Roman" w:eastAsia="Calibri" w:hAnsi="Times New Roman" w:cs="Helvetica Neue"/>
          <w:noProof/>
          <w:color w:val="000000"/>
          <w:kern w:val="0"/>
          <w14:ligatures w14:val="none"/>
        </w:rPr>
        <w:t xml:space="preserve">  legal professionals and the general public, including persons with disabilities. Seamless access to case law and its easy reuse make the justice system algorithm-friendly, enabling innovative ‘legal tech’ applications that support practitioners.</w:t>
      </w:r>
    </w:p>
    <w:p w14:paraId="2C61A7E5" w14:textId="77777777" w:rsidR="00A02C07" w:rsidRPr="00FB4E2D" w:rsidRDefault="00A02C07" w:rsidP="00A02C07">
      <w:pPr>
        <w:spacing w:after="120" w:line="240" w:lineRule="auto"/>
        <w:jc w:val="both"/>
        <w:rPr>
          <w:rFonts w:ascii="Times New Roman" w:eastAsia="Calibri" w:hAnsi="Times New Roman" w:cs="Helvetica Neue"/>
          <w:noProof/>
          <w:color w:val="000000"/>
          <w:kern w:val="0"/>
          <w14:ligatures w14:val="none"/>
        </w:rPr>
      </w:pPr>
      <w:r w:rsidRPr="00FB4E2D">
        <w:rPr>
          <w:rFonts w:ascii="Times New Roman" w:eastAsia="Calibri" w:hAnsi="Times New Roman" w:cs="Helvetica Neue"/>
          <w:noProof/>
          <w:color w:val="000000"/>
          <w:kern w:val="0"/>
          <w14:ligatures w14:val="none"/>
        </w:rPr>
        <w:t>The online publication of court decisions requires balancing a variety of interests, within the boundaries set by legal and policy frameworks. The General Data Protection Regulation (</w:t>
      </w:r>
      <w:r w:rsidRPr="00FB4E2D">
        <w:rPr>
          <w:rFonts w:ascii="Times New Roman" w:eastAsia="Calibri" w:hAnsi="Times New Roman" w:cs="Helvetica Neue"/>
          <w:noProof/>
          <w:color w:val="000000"/>
          <w:kern w:val="0"/>
          <w:vertAlign w:val="superscript"/>
          <w14:ligatures w14:val="none"/>
        </w:rPr>
        <w:footnoteReference w:id="97"/>
      </w:r>
      <w:r w:rsidRPr="00FB4E2D">
        <w:rPr>
          <w:rFonts w:ascii="Times New Roman" w:eastAsia="Calibri" w:hAnsi="Times New Roman" w:cs="Helvetica Neue"/>
          <w:noProof/>
          <w:color w:val="000000"/>
          <w:kern w:val="0"/>
          <w14:ligatures w14:val="none"/>
        </w:rPr>
        <w:t>) fully applies to the processing of personal data by courts. When assessing what data to make public, a fair balance has to be struck between the right to data protection and the obligation to publicise court decisions to ensure the transparency of the justice system. This is particularly true when there is a prevailing public interest that justifies the disclosure of those data. In many countries, the law or practice requires the anonymisation or pseudonymisation (</w:t>
      </w:r>
      <w:r w:rsidRPr="00FB4E2D">
        <w:rPr>
          <w:rFonts w:ascii="Times New Roman" w:eastAsia="Calibri" w:hAnsi="Times New Roman" w:cs="Helvetica Neue"/>
          <w:noProof/>
          <w:color w:val="000000"/>
          <w:kern w:val="0"/>
          <w:vertAlign w:val="superscript"/>
          <w14:ligatures w14:val="none"/>
        </w:rPr>
        <w:footnoteReference w:id="98"/>
      </w:r>
      <w:r w:rsidRPr="00FB4E2D">
        <w:rPr>
          <w:rFonts w:ascii="Times New Roman" w:eastAsia="Calibri" w:hAnsi="Times New Roman" w:cs="Helvetica Neue"/>
          <w:noProof/>
          <w:color w:val="000000"/>
          <w:kern w:val="0"/>
          <w14:ligatures w14:val="none"/>
        </w:rPr>
        <w:t>) of judicial decisions before publication, either systematically or upon request. Data produced by the judiciary are also governed by EU legislation on open data and the reuse of public sector information (</w:t>
      </w:r>
      <w:r w:rsidRPr="00FB4E2D">
        <w:rPr>
          <w:rFonts w:ascii="Times New Roman" w:eastAsia="Calibri" w:hAnsi="Times New Roman" w:cs="Helvetica Neue"/>
          <w:noProof/>
          <w:color w:val="000000"/>
          <w:kern w:val="0"/>
          <w:vertAlign w:val="superscript"/>
          <w14:ligatures w14:val="none"/>
        </w:rPr>
        <w:footnoteReference w:id="99"/>
      </w:r>
      <w:r w:rsidRPr="00FB4E2D">
        <w:rPr>
          <w:rFonts w:ascii="Times New Roman" w:eastAsia="Calibri" w:hAnsi="Times New Roman" w:cs="Helvetica Neue"/>
          <w:noProof/>
          <w:color w:val="000000"/>
          <w:kern w:val="0"/>
          <w14:ligatures w14:val="none"/>
        </w:rPr>
        <w:t>).</w:t>
      </w:r>
    </w:p>
    <w:p w14:paraId="3972C373" w14:textId="3D7CEC3F" w:rsidR="00A02C07" w:rsidRPr="00FB4E2D" w:rsidRDefault="00894F0E" w:rsidP="00A02C07">
      <w:pPr>
        <w:spacing w:after="120" w:line="240" w:lineRule="auto"/>
        <w:jc w:val="both"/>
        <w:rPr>
          <w:rFonts w:ascii="Times New Roman" w:eastAsia="Calibri" w:hAnsi="Times New Roman" w:cs="Times New Roman"/>
          <w:b/>
          <w:noProof/>
          <w:kern w:val="0"/>
          <w14:ligatures w14:val="none"/>
        </w:rPr>
      </w:pPr>
      <w:r w:rsidRPr="00FB4E2D">
        <w:rPr>
          <w:rFonts w:ascii="Times New Roman" w:eastAsia="Calibri" w:hAnsi="Times New Roman" w:cs="Helvetica Neue"/>
          <w:noProof/>
          <w:color w:val="000000"/>
          <w:kern w:val="0"/>
          <w14:ligatures w14:val="none"/>
        </w:rPr>
        <w:t>Making</w:t>
      </w:r>
      <w:r w:rsidR="00A02C07" w:rsidRPr="00FB4E2D">
        <w:rPr>
          <w:rFonts w:ascii="Times New Roman" w:eastAsia="Calibri" w:hAnsi="Times New Roman" w:cs="Helvetica Neue"/>
          <w:noProof/>
          <w:color w:val="000000"/>
          <w:kern w:val="0"/>
          <w14:ligatures w14:val="none"/>
        </w:rPr>
        <w:t xml:space="preserve"> judicial decisions </w:t>
      </w:r>
      <w:r w:rsidRPr="00FB4E2D">
        <w:rPr>
          <w:rFonts w:ascii="Times New Roman" w:eastAsia="Calibri" w:hAnsi="Times New Roman" w:cs="Helvetica Neue"/>
          <w:noProof/>
          <w:color w:val="000000"/>
          <w:kern w:val="0"/>
          <w14:ligatures w14:val="none"/>
        </w:rPr>
        <w:t xml:space="preserve">available </w:t>
      </w:r>
      <w:r w:rsidR="00A02C07" w:rsidRPr="00FB4E2D">
        <w:rPr>
          <w:rFonts w:ascii="Times New Roman" w:eastAsia="Calibri" w:hAnsi="Times New Roman" w:cs="Helvetica Neue"/>
          <w:noProof/>
          <w:color w:val="000000"/>
          <w:kern w:val="0"/>
          <w14:ligatures w14:val="none"/>
        </w:rPr>
        <w:t>in a machine-readable format (</w:t>
      </w:r>
      <w:r w:rsidR="00A02C07" w:rsidRPr="00FB4E2D">
        <w:rPr>
          <w:rFonts w:ascii="Times New Roman" w:eastAsia="Calibri" w:hAnsi="Times New Roman" w:cs="Helvetica Neue"/>
          <w:noProof/>
          <w:color w:val="000000"/>
          <w:kern w:val="0"/>
          <w:vertAlign w:val="superscript"/>
          <w14:ligatures w14:val="none"/>
        </w:rPr>
        <w:footnoteReference w:id="100"/>
      </w:r>
      <w:r w:rsidR="00A02C07" w:rsidRPr="00FB4E2D">
        <w:rPr>
          <w:rFonts w:ascii="Times New Roman" w:eastAsia="Calibri" w:hAnsi="Times New Roman" w:cs="Helvetica Neue"/>
          <w:noProof/>
          <w:color w:val="000000"/>
          <w:kern w:val="0"/>
          <w14:ligatures w14:val="none"/>
        </w:rPr>
        <w:t>), as displayed in Figure 4</w:t>
      </w:r>
      <w:r w:rsidR="00F30A47" w:rsidRPr="00FB4E2D">
        <w:rPr>
          <w:rFonts w:ascii="Times New Roman" w:eastAsia="Calibri" w:hAnsi="Times New Roman" w:cs="Helvetica Neue"/>
          <w:noProof/>
          <w:color w:val="000000"/>
          <w:kern w:val="0"/>
          <w14:ligatures w14:val="none"/>
        </w:rPr>
        <w:t>7</w:t>
      </w:r>
      <w:r w:rsidR="00A02C07" w:rsidRPr="00FB4E2D">
        <w:rPr>
          <w:rFonts w:ascii="Times New Roman" w:eastAsia="Calibri" w:hAnsi="Times New Roman" w:cs="Helvetica Neue"/>
          <w:noProof/>
          <w:color w:val="000000"/>
          <w:kern w:val="0"/>
          <w14:ligatures w14:val="none"/>
        </w:rPr>
        <w:t xml:space="preserve">, </w:t>
      </w:r>
      <w:r w:rsidRPr="00FB4E2D">
        <w:rPr>
          <w:rFonts w:ascii="Times New Roman" w:eastAsia="Calibri" w:hAnsi="Times New Roman" w:cs="Helvetica Neue"/>
          <w:noProof/>
          <w:color w:val="000000"/>
          <w:kern w:val="0"/>
          <w14:ligatures w14:val="none"/>
        </w:rPr>
        <w:t xml:space="preserve">makes the </w:t>
      </w:r>
      <w:r w:rsidR="00A02C07" w:rsidRPr="00FB4E2D">
        <w:rPr>
          <w:rFonts w:ascii="Times New Roman" w:eastAsia="Calibri" w:hAnsi="Times New Roman" w:cs="Helvetica Neue"/>
          <w:noProof/>
          <w:color w:val="000000"/>
          <w:kern w:val="0"/>
          <w14:ligatures w14:val="none"/>
        </w:rPr>
        <w:t xml:space="preserve">justice system </w:t>
      </w:r>
      <w:r w:rsidR="002E7504" w:rsidRPr="00FB4E2D">
        <w:rPr>
          <w:rFonts w:ascii="Times New Roman" w:eastAsia="Calibri" w:hAnsi="Times New Roman" w:cs="Helvetica Neue"/>
          <w:noProof/>
          <w:color w:val="000000"/>
          <w:kern w:val="0"/>
          <w14:ligatures w14:val="none"/>
        </w:rPr>
        <w:t>‘</w:t>
      </w:r>
      <w:r w:rsidRPr="00FB4E2D">
        <w:rPr>
          <w:rFonts w:ascii="Times New Roman" w:eastAsia="Calibri" w:hAnsi="Times New Roman" w:cs="Helvetica Neue"/>
          <w:noProof/>
          <w:color w:val="000000"/>
          <w:kern w:val="0"/>
          <w14:ligatures w14:val="none"/>
        </w:rPr>
        <w:t>algorithm-friendly</w:t>
      </w:r>
      <w:r w:rsidR="00796D20" w:rsidRPr="00FB4E2D">
        <w:rPr>
          <w:rFonts w:ascii="Times New Roman" w:eastAsia="Calibri" w:hAnsi="Times New Roman" w:cs="Helvetica Neue"/>
          <w:noProof/>
          <w:color w:val="000000"/>
          <w:kern w:val="0"/>
          <w14:ligatures w14:val="none"/>
        </w:rPr>
        <w:t>’</w:t>
      </w:r>
      <w:r w:rsidRPr="00FB4E2D">
        <w:rPr>
          <w:rFonts w:ascii="Times New Roman" w:eastAsia="Calibri" w:hAnsi="Times New Roman" w:cs="Helvetica Neue"/>
          <w:noProof/>
          <w:color w:val="000000"/>
          <w:kern w:val="0"/>
          <w14:ligatures w14:val="none"/>
        </w:rPr>
        <w:t xml:space="preserve">, i.e. more easily searchable </w:t>
      </w:r>
      <w:r w:rsidR="00A02C07" w:rsidRPr="00FB4E2D">
        <w:rPr>
          <w:rFonts w:ascii="Times New Roman" w:eastAsia="Calibri" w:hAnsi="Times New Roman" w:cs="Helvetica Neue"/>
          <w:noProof/>
          <w:color w:val="000000"/>
          <w:kern w:val="0"/>
          <w14:ligatures w14:val="none"/>
        </w:rPr>
        <w:t>(</w:t>
      </w:r>
      <w:r w:rsidR="00A02C07" w:rsidRPr="00FB4E2D">
        <w:rPr>
          <w:rFonts w:ascii="Times New Roman" w:eastAsia="Calibri" w:hAnsi="Times New Roman" w:cs="Helvetica Neue"/>
          <w:noProof/>
          <w:color w:val="000000"/>
          <w:kern w:val="0"/>
          <w:vertAlign w:val="superscript"/>
          <w14:ligatures w14:val="none"/>
        </w:rPr>
        <w:footnoteReference w:id="101"/>
      </w:r>
      <w:r w:rsidR="00A02C07" w:rsidRPr="00FB4E2D">
        <w:rPr>
          <w:rFonts w:ascii="Times New Roman" w:eastAsia="Calibri" w:hAnsi="Times New Roman" w:cs="Helvetica Neue"/>
          <w:noProof/>
          <w:color w:val="000000"/>
          <w:kern w:val="0"/>
          <w14:ligatures w14:val="none"/>
        </w:rPr>
        <w:t>).</w:t>
      </w:r>
    </w:p>
    <w:p w14:paraId="02C0E2A8"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 xml:space="preserve">Online access to published judgments by the general public, 2025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lang w:eastAsia="en-GB"/>
          <w14:ligatures w14:val="none"/>
        </w:rPr>
        <w:t>*</w:t>
      </w:r>
      <w:r w:rsidRPr="00FB4E2D">
        <w:rPr>
          <w:rFonts w:ascii="Times New Roman" w:eastAsia="Calibri" w:hAnsi="Times New Roman" w:cs="Times New Roman"/>
          <w:noProof/>
          <w:kern w:val="0"/>
          <w:lang w:eastAsia="en-GB"/>
          <w14:ligatures w14:val="none"/>
        </w:rPr>
        <w:t>)</w:t>
      </w:r>
      <w:r w:rsidRPr="00FB4E2D">
        <w:rPr>
          <w:rFonts w:ascii="Times New Roman" w:eastAsia="Calibri" w:hAnsi="Times New Roman" w:cs="Times New Roman"/>
          <w:b/>
          <w:noProof/>
          <w:kern w:val="0"/>
          <w:lang w:eastAsia="en-GB"/>
          <w14:ligatures w14:val="none"/>
        </w:rPr>
        <w:t xml:space="preserve"> </w:t>
      </w:r>
      <w:r w:rsidRPr="00FB4E2D">
        <w:rPr>
          <w:rFonts w:ascii="Times New Roman" w:eastAsia="Calibri" w:hAnsi="Times New Roman" w:cs="Times New Roman"/>
          <w:i/>
          <w:noProof/>
          <w:kern w:val="0"/>
          <w14:ligatures w14:val="none"/>
        </w:rPr>
        <w:t>(civil/commercial, administrative and criminal cases, all instances)</w:t>
      </w:r>
      <w:r w:rsidRPr="00FB4E2D">
        <w:rPr>
          <w:rFonts w:ascii="Times New Roman" w:eastAsia="Calibri" w:hAnsi="Times New Roman" w:cs="Times New Roman"/>
          <w:i/>
          <w:noProof/>
          <w:kern w:val="0"/>
          <w:lang w:eastAsia="en-GB"/>
          <w14:ligatures w14:val="none"/>
        </w:rPr>
        <w:t xml:space="preserve"> </w:t>
      </w:r>
      <w:r w:rsidRPr="00FB4E2D">
        <w:rPr>
          <w:rFonts w:ascii="Times New Roman" w:eastAsia="Calibri" w:hAnsi="Times New Roman" w:cs="Times New Roman"/>
          <w:i/>
          <w:noProof/>
          <w:kern w:val="0"/>
          <w14:ligatures w14:val="none"/>
        </w:rPr>
        <w:t>(</w:t>
      </w:r>
      <w:r w:rsidRPr="00FB4E2D">
        <w:rPr>
          <w:rFonts w:ascii="Times New Roman" w:eastAsia="Calibri" w:hAnsi="Times New Roman" w:cs="Times New Roman"/>
          <w:i/>
          <w:noProof/>
          <w:kern w:val="0"/>
          <w:lang w:eastAsia="en-GB"/>
          <w14:ligatures w14:val="none"/>
        </w:rPr>
        <w:t>source: European Commission (</w:t>
      </w:r>
      <w:r w:rsidRPr="00FB4E2D">
        <w:rPr>
          <w:rFonts w:ascii="Times New Roman" w:eastAsia="Calibri" w:hAnsi="Times New Roman" w:cs="Times New Roman"/>
          <w:i/>
          <w:noProof/>
          <w:kern w:val="0"/>
          <w:vertAlign w:val="superscript"/>
          <w14:ligatures w14:val="none"/>
        </w:rPr>
        <w:footnoteReference w:id="102"/>
      </w:r>
      <w:r w:rsidRPr="00FB4E2D">
        <w:rPr>
          <w:rFonts w:ascii="Times New Roman" w:eastAsia="Calibri" w:hAnsi="Times New Roman" w:cs="Times New Roman"/>
          <w:i/>
          <w:noProof/>
          <w:kern w:val="0"/>
          <w:lang w:eastAsia="en-GB"/>
          <w14:ligatures w14:val="none"/>
        </w:rPr>
        <w:t>)</w:t>
      </w:r>
      <w:r w:rsidRPr="00FB4E2D">
        <w:rPr>
          <w:rFonts w:ascii="Times New Roman" w:eastAsia="Calibri" w:hAnsi="Times New Roman" w:cs="Times New Roman"/>
          <w:i/>
          <w:noProof/>
          <w:kern w:val="0"/>
          <w14:ligatures w14:val="none"/>
        </w:rPr>
        <w:t xml:space="preserve">) </w:t>
      </w:r>
    </w:p>
    <w:p w14:paraId="3CC3EC45" w14:textId="77777777" w:rsidR="00A02C07" w:rsidRPr="00FB4E2D" w:rsidRDefault="00A02C07" w:rsidP="00A02C07">
      <w:pPr>
        <w:spacing w:after="0" w:line="240" w:lineRule="auto"/>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1471EAD4" wp14:editId="27AD0B72">
            <wp:extent cx="5760000" cy="2843786"/>
            <wp:effectExtent l="0" t="0" r="0" b="0"/>
            <wp:docPr id="2086272432" name="Picture 30"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272432" name="Picture 30" descr="A graph of different colored bars&#10;&#10;AI-generated content may be incorrect."/>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60000" cy="2843786"/>
                    </a:xfrm>
                    <a:prstGeom prst="rect">
                      <a:avLst/>
                    </a:prstGeom>
                    <a:noFill/>
                  </pic:spPr>
                </pic:pic>
              </a:graphicData>
            </a:graphic>
          </wp:inline>
        </w:drawing>
      </w:r>
    </w:p>
    <w:p w14:paraId="434BF779" w14:textId="705F0BB8" w:rsidR="00A02C07" w:rsidRPr="00FB4E2D" w:rsidRDefault="00A02C07" w:rsidP="00A02C07">
      <w:pPr>
        <w:spacing w:after="0" w:line="240" w:lineRule="auto"/>
        <w:jc w:val="both"/>
        <w:rPr>
          <w:rFonts w:ascii="Times New Roman" w:eastAsia="Calibri" w:hAnsi="Times New Roman" w:cs="Times New Roman"/>
          <w:i/>
          <w:noProof/>
          <w:kern w:val="0"/>
          <w:sz w:val="18"/>
          <w:szCs w:val="20"/>
          <w:lang w:eastAsia="en-GB"/>
          <w14:ligatures w14:val="none"/>
        </w:rPr>
      </w:pPr>
      <w:r w:rsidRPr="00FB4E2D">
        <w:rPr>
          <w:rFonts w:ascii="Times New Roman" w:eastAsia="Calibri" w:hAnsi="Times New Roman" w:cs="Times New Roman"/>
          <w:i/>
          <w:noProof/>
          <w:kern w:val="0"/>
          <w:sz w:val="18"/>
          <w:szCs w:val="20"/>
          <w:lang w:eastAsia="en-GB"/>
          <w14:ligatures w14:val="none"/>
        </w:rPr>
        <w:t xml:space="preserve">(*) Maximum possible: 9 points. For each court instance, </w:t>
      </w:r>
      <w:r w:rsidR="002E7504" w:rsidRPr="00FB4E2D">
        <w:rPr>
          <w:rFonts w:ascii="Times New Roman" w:eastAsia="Calibri" w:hAnsi="Times New Roman" w:cs="Times New Roman"/>
          <w:i/>
          <w:noProof/>
          <w:kern w:val="0"/>
          <w:sz w:val="18"/>
          <w:szCs w:val="20"/>
          <w:lang w:eastAsia="en-GB"/>
          <w14:ligatures w14:val="none"/>
        </w:rPr>
        <w:t xml:space="preserve">1 </w:t>
      </w:r>
      <w:r w:rsidRPr="00FB4E2D">
        <w:rPr>
          <w:rFonts w:ascii="Times New Roman" w:eastAsia="Calibri" w:hAnsi="Times New Roman" w:cs="Times New Roman"/>
          <w:i/>
          <w:noProof/>
          <w:kern w:val="0"/>
          <w:sz w:val="18"/>
          <w:szCs w:val="20"/>
          <w:lang w:eastAsia="en-GB"/>
          <w14:ligatures w14:val="none"/>
        </w:rPr>
        <w:t xml:space="preserve">point was given if all judgments are available for civil/commercial and administrative and criminal cases respectively, 0.75 points when most judgments (more than 50% are available) and 0.5 points when some judgments (less than 50%) are available. For Member States with only two court instances, points have been given for three court instances by mirroring the respective higher instance court of the non-existing instance. For those Member States that do not distinguish the two areas of law (civil/commercial and administrative), the same number of points has been given for both areas. </w:t>
      </w:r>
      <w:r w:rsidRPr="00FB4E2D">
        <w:rPr>
          <w:rFonts w:ascii="Times New Roman" w:eastAsia="Calibri" w:hAnsi="Times New Roman" w:cs="Times New Roman"/>
          <w:b/>
          <w:i/>
          <w:noProof/>
          <w:kern w:val="0"/>
          <w:sz w:val="18"/>
          <w:szCs w:val="20"/>
          <w:lang w:eastAsia="en-GB"/>
          <w14:ligatures w14:val="none"/>
        </w:rPr>
        <w:t>BE</w:t>
      </w:r>
      <w:r w:rsidRPr="00FB4E2D">
        <w:rPr>
          <w:rFonts w:ascii="Times New Roman" w:eastAsia="Calibri" w:hAnsi="Times New Roman" w:cs="Times New Roman"/>
          <w:i/>
          <w:noProof/>
          <w:kern w:val="0"/>
          <w:sz w:val="18"/>
          <w:szCs w:val="20"/>
          <w:lang w:eastAsia="en-GB"/>
          <w14:ligatures w14:val="none"/>
        </w:rPr>
        <w:t xml:space="preserve">: For civil and criminal cases, each court is in charge of deciding on the publication of its own judgments. </w:t>
      </w:r>
      <w:r w:rsidRPr="00FB4E2D">
        <w:rPr>
          <w:rFonts w:ascii="Times New Roman" w:eastAsia="Calibri" w:hAnsi="Times New Roman" w:cs="Times New Roman"/>
          <w:b/>
          <w:i/>
          <w:noProof/>
          <w:kern w:val="0"/>
          <w:sz w:val="18"/>
          <w:szCs w:val="20"/>
          <w:lang w:eastAsia="en-GB"/>
          <w14:ligatures w14:val="none"/>
        </w:rPr>
        <w:t>DE</w:t>
      </w:r>
      <w:r w:rsidRPr="00FB4E2D">
        <w:rPr>
          <w:rFonts w:ascii="Times New Roman" w:eastAsia="Calibri" w:hAnsi="Times New Roman" w:cs="Times New Roman"/>
          <w:i/>
          <w:noProof/>
          <w:kern w:val="0"/>
          <w:sz w:val="18"/>
          <w:szCs w:val="20"/>
          <w:lang w:eastAsia="en-GB"/>
          <w14:ligatures w14:val="none"/>
        </w:rPr>
        <w:t xml:space="preserve">: Each federal state decides on the online availability of first instance judgments. </w:t>
      </w:r>
      <w:r w:rsidRPr="00FB4E2D">
        <w:rPr>
          <w:rFonts w:ascii="Times New Roman" w:eastAsia="Calibri" w:hAnsi="Times New Roman" w:cs="Times New Roman"/>
          <w:b/>
          <w:i/>
          <w:noProof/>
          <w:kern w:val="0"/>
          <w:sz w:val="18"/>
          <w:szCs w:val="20"/>
          <w:lang w:eastAsia="en-GB"/>
          <w14:ligatures w14:val="none"/>
        </w:rPr>
        <w:t>AT</w:t>
      </w:r>
      <w:r w:rsidRPr="00FB4E2D">
        <w:rPr>
          <w:rFonts w:ascii="Times New Roman" w:eastAsia="Calibri" w:hAnsi="Times New Roman" w:cs="Times New Roman"/>
          <w:i/>
          <w:noProof/>
          <w:kern w:val="0"/>
          <w:sz w:val="18"/>
          <w:szCs w:val="20"/>
          <w:lang w:eastAsia="en-GB"/>
          <w14:ligatures w14:val="none"/>
        </w:rPr>
        <w:t>: For first and second instance, judges decide which judgments are published.</w:t>
      </w:r>
      <w:r w:rsidRPr="00FB4E2D">
        <w:rPr>
          <w:rFonts w:ascii="Calibri" w:eastAsia="Yu Mincho" w:hAnsi="Calibri" w:cs="Arial"/>
          <w:noProof/>
          <w:kern w:val="0"/>
          <w:sz w:val="22"/>
          <w14:ligatures w14:val="none"/>
        </w:rPr>
        <w:t xml:space="preserve"> </w:t>
      </w:r>
      <w:r w:rsidRPr="00FB4E2D">
        <w:rPr>
          <w:rFonts w:ascii="Times New Roman" w:eastAsia="Calibri" w:hAnsi="Times New Roman" w:cs="Times New Roman"/>
          <w:i/>
          <w:noProof/>
          <w:kern w:val="0"/>
          <w:sz w:val="18"/>
          <w:szCs w:val="20"/>
          <w:lang w:eastAsia="en-GB"/>
          <w14:ligatures w14:val="none"/>
        </w:rPr>
        <w:t xml:space="preserve">Decisions of the Supreme Court that reject an appeal without substantial reasoning are not published. Decisions of the Supreme Administrative Court taken by a single judge are published if the judge concerned decides to publish them. Furthermore, decisions only containing legal issues where there is already continuous jurisprudence of the Supreme Administrative Court and non-complicated decisions concerning discontinuance of proceedings are not published. </w:t>
      </w:r>
      <w:r w:rsidRPr="00FB4E2D">
        <w:rPr>
          <w:rFonts w:ascii="Times New Roman" w:eastAsia="Calibri" w:hAnsi="Times New Roman" w:cs="Times New Roman"/>
          <w:b/>
          <w:i/>
          <w:noProof/>
          <w:kern w:val="0"/>
          <w:sz w:val="18"/>
          <w:szCs w:val="20"/>
          <w:lang w:eastAsia="en-GB"/>
          <w14:ligatures w14:val="none"/>
        </w:rPr>
        <w:t>NL</w:t>
      </w:r>
      <w:r w:rsidRPr="00FB4E2D">
        <w:rPr>
          <w:rFonts w:ascii="Times New Roman" w:eastAsia="Calibri" w:hAnsi="Times New Roman" w:cs="Times New Roman"/>
          <w:i/>
          <w:noProof/>
          <w:kern w:val="0"/>
          <w:sz w:val="18"/>
          <w:szCs w:val="20"/>
          <w:lang w:eastAsia="en-GB"/>
          <w14:ligatures w14:val="none"/>
        </w:rPr>
        <w:t xml:space="preserve">: Courts decide on publication according to published criteria. </w:t>
      </w:r>
      <w:r w:rsidRPr="00FB4E2D">
        <w:rPr>
          <w:rFonts w:ascii="Times New Roman" w:eastAsia="Calibri" w:hAnsi="Times New Roman" w:cs="Times New Roman"/>
          <w:b/>
          <w:i/>
          <w:noProof/>
          <w:kern w:val="0"/>
          <w:sz w:val="18"/>
          <w:szCs w:val="20"/>
          <w:lang w:eastAsia="en-GB"/>
          <w14:ligatures w14:val="none"/>
        </w:rPr>
        <w:t>PT</w:t>
      </w:r>
      <w:r w:rsidRPr="00FB4E2D">
        <w:rPr>
          <w:rFonts w:ascii="Times New Roman" w:eastAsia="Calibri" w:hAnsi="Times New Roman" w:cs="Times New Roman"/>
          <w:i/>
          <w:noProof/>
          <w:kern w:val="0"/>
          <w:sz w:val="18"/>
          <w:szCs w:val="20"/>
          <w:lang w:eastAsia="en-GB"/>
          <w14:ligatures w14:val="none"/>
        </w:rPr>
        <w:t xml:space="preserve">: A commission within the court decides on the publication. </w:t>
      </w:r>
      <w:r w:rsidRPr="00FB4E2D">
        <w:rPr>
          <w:rFonts w:ascii="Times New Roman" w:eastAsia="Calibri" w:hAnsi="Times New Roman" w:cs="Times New Roman"/>
          <w:b/>
          <w:i/>
          <w:noProof/>
          <w:kern w:val="0"/>
          <w:sz w:val="18"/>
          <w:szCs w:val="20"/>
          <w:lang w:eastAsia="en-GB"/>
          <w14:ligatures w14:val="none"/>
        </w:rPr>
        <w:t>SI</w:t>
      </w:r>
      <w:r w:rsidRPr="00FB4E2D">
        <w:rPr>
          <w:rFonts w:ascii="Times New Roman" w:eastAsia="Calibri" w:hAnsi="Times New Roman" w:cs="Times New Roman"/>
          <w:i/>
          <w:noProof/>
          <w:kern w:val="0"/>
          <w:sz w:val="18"/>
          <w:szCs w:val="20"/>
          <w:lang w:eastAsia="en-GB"/>
          <w14:ligatures w14:val="none"/>
        </w:rPr>
        <w:t xml:space="preserve">: procedural decisions with little or no significance for case law are not published; from decisions in cases which are identical in substance (e.g. bulk cases), only the leading decision is published (together with the list of case files with the same content). Individual higher courts decide which judgments can be published. </w:t>
      </w:r>
      <w:r w:rsidRPr="00FB4E2D">
        <w:rPr>
          <w:rFonts w:ascii="Times New Roman" w:eastAsia="Calibri" w:hAnsi="Times New Roman" w:cs="Times New Roman"/>
          <w:b/>
          <w:i/>
          <w:noProof/>
          <w:kern w:val="0"/>
          <w:sz w:val="18"/>
          <w:szCs w:val="20"/>
          <w:lang w:eastAsia="en-GB"/>
          <w14:ligatures w14:val="none"/>
        </w:rPr>
        <w:t>SK</w:t>
      </w:r>
      <w:r w:rsidRPr="00FB4E2D">
        <w:rPr>
          <w:rFonts w:ascii="Times New Roman" w:eastAsia="Calibri" w:hAnsi="Times New Roman" w:cs="Times New Roman"/>
          <w:i/>
          <w:noProof/>
          <w:kern w:val="0"/>
          <w:sz w:val="18"/>
          <w:szCs w:val="20"/>
          <w:lang w:eastAsia="en-GB"/>
          <w14:ligatures w14:val="none"/>
        </w:rPr>
        <w:t xml:space="preserve">: Decisions on several types of civil cases such as inheritance matters or determining paternity are not published. </w:t>
      </w:r>
      <w:r w:rsidRPr="00FB4E2D">
        <w:rPr>
          <w:rFonts w:ascii="Times New Roman" w:eastAsia="Calibri" w:hAnsi="Times New Roman" w:cs="Times New Roman"/>
          <w:b/>
          <w:i/>
          <w:noProof/>
          <w:kern w:val="0"/>
          <w:sz w:val="18"/>
          <w:szCs w:val="20"/>
          <w:lang w:eastAsia="en-GB"/>
          <w14:ligatures w14:val="none"/>
        </w:rPr>
        <w:t>FI</w:t>
      </w:r>
      <w:r w:rsidRPr="00FB4E2D">
        <w:rPr>
          <w:rFonts w:ascii="Times New Roman" w:eastAsia="Calibri" w:hAnsi="Times New Roman" w:cs="Times New Roman"/>
          <w:i/>
          <w:noProof/>
          <w:kern w:val="0"/>
          <w:sz w:val="18"/>
          <w:szCs w:val="20"/>
          <w:lang w:eastAsia="en-GB"/>
          <w14:ligatures w14:val="none"/>
        </w:rPr>
        <w:t>:</w:t>
      </w:r>
      <w:r w:rsidRPr="00FB4E2D">
        <w:rPr>
          <w:rFonts w:ascii="Times New Roman" w:eastAsia="Calibri" w:hAnsi="Times New Roman" w:cs="Times New Roman"/>
          <w:b/>
          <w:i/>
          <w:noProof/>
          <w:kern w:val="0"/>
          <w:sz w:val="18"/>
          <w:szCs w:val="20"/>
          <w:lang w:eastAsia="en-GB"/>
          <w14:ligatures w14:val="none"/>
        </w:rPr>
        <w:t xml:space="preserve"> </w:t>
      </w:r>
      <w:r w:rsidRPr="00FB4E2D">
        <w:rPr>
          <w:rFonts w:ascii="Times New Roman" w:eastAsia="Calibri" w:hAnsi="Times New Roman" w:cs="Times New Roman"/>
          <w:i/>
          <w:noProof/>
          <w:kern w:val="0"/>
          <w:sz w:val="18"/>
          <w:szCs w:val="20"/>
          <w:lang w:eastAsia="en-GB"/>
          <w14:ligatures w14:val="none"/>
        </w:rPr>
        <w:t>Courts decide which judgments are published.</w:t>
      </w:r>
    </w:p>
    <w:p w14:paraId="48BCC6E0" w14:textId="77777777" w:rsidR="004439C7" w:rsidRDefault="004439C7">
      <w:pPr>
        <w:rPr>
          <w:rFonts w:ascii="Times New Roman" w:eastAsia="Calibri" w:hAnsi="Times New Roman" w:cs="Times New Roman"/>
          <w:b/>
          <w:noProof/>
          <w:spacing w:val="-6"/>
          <w:kern w:val="0"/>
          <w14:ligatures w14:val="none"/>
        </w:rPr>
      </w:pPr>
      <w:r>
        <w:rPr>
          <w:rFonts w:ascii="Times New Roman" w:eastAsia="Calibri" w:hAnsi="Times New Roman" w:cs="Times New Roman"/>
          <w:b/>
          <w:noProof/>
          <w:spacing w:val="-6"/>
          <w:kern w:val="0"/>
          <w14:ligatures w14:val="none"/>
        </w:rPr>
        <w:br w:type="page"/>
      </w:r>
    </w:p>
    <w:p w14:paraId="5461B6B8"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kern w:val="0"/>
          <w14:ligatures w14:val="none"/>
        </w:rPr>
        <w:t>Arrangements for producing machine-readable judicial decisions, 2025 (</w:t>
      </w:r>
      <w:r w:rsidRPr="00FB4E2D">
        <w:rPr>
          <w:rFonts w:ascii="Calibri" w:eastAsia="Calibri" w:hAnsi="Calibri" w:cs="Times New Roman"/>
          <w:b/>
          <w:noProof/>
          <w:kern w:val="0"/>
          <w14:ligatures w14:val="none"/>
        </w:rPr>
        <w:t>*</w:t>
      </w:r>
      <w:r w:rsidRPr="00FB4E2D">
        <w:rPr>
          <w:rFonts w:ascii="Times New Roman" w:eastAsia="Calibri" w:hAnsi="Times New Roman" w:cs="Times New Roman"/>
          <w:b/>
          <w:noProof/>
          <w:kern w:val="0"/>
          <w14:ligatures w14:val="none"/>
        </w:rPr>
        <w:t>)</w:t>
      </w:r>
      <w:r w:rsidRPr="00FB4E2D">
        <w:rPr>
          <w:rFonts w:ascii="Times New Roman" w:eastAsia="Calibri" w:hAnsi="Times New Roman" w:cs="Times New Roman"/>
          <w:i/>
          <w:noProof/>
          <w:kern w:val="0"/>
          <w14:ligatures w14:val="none"/>
        </w:rPr>
        <w:t xml:space="preserve"> (civil/commercial, administrative and criminal cases, all instances)</w:t>
      </w:r>
      <w:r w:rsidRPr="00FB4E2D">
        <w:rPr>
          <w:rFonts w:ascii="Times New Roman" w:eastAsia="Calibri" w:hAnsi="Times New Roman" w:cs="Times New Roman"/>
          <w:i/>
          <w:noProof/>
          <w:kern w:val="0"/>
          <w:lang w:eastAsia="en-GB"/>
          <w14:ligatures w14:val="none"/>
        </w:rPr>
        <w:t xml:space="preserve"> </w:t>
      </w:r>
      <w:r w:rsidRPr="00FB4E2D">
        <w:rPr>
          <w:rFonts w:ascii="Times New Roman" w:eastAsia="Calibri" w:hAnsi="Times New Roman" w:cs="Times New Roman"/>
          <w:i/>
          <w:noProof/>
          <w:kern w:val="0"/>
          <w14:ligatures w14:val="none"/>
        </w:rPr>
        <w:t>(</w:t>
      </w:r>
      <w:r w:rsidRPr="00FB4E2D">
        <w:rPr>
          <w:rFonts w:ascii="Times New Roman" w:eastAsia="Calibri" w:hAnsi="Times New Roman" w:cs="Times New Roman"/>
          <w:i/>
          <w:noProof/>
          <w:kern w:val="0"/>
          <w:lang w:eastAsia="en-GB"/>
          <w14:ligatures w14:val="none"/>
        </w:rPr>
        <w:t>source: European Commission (</w:t>
      </w:r>
      <w:r w:rsidRPr="00FB4E2D">
        <w:rPr>
          <w:rFonts w:ascii="Times New Roman" w:eastAsia="Calibri" w:hAnsi="Times New Roman" w:cs="Times New Roman"/>
          <w:i/>
          <w:noProof/>
          <w:kern w:val="0"/>
          <w:vertAlign w:val="superscript"/>
          <w14:ligatures w14:val="none"/>
        </w:rPr>
        <w:footnoteReference w:id="103"/>
      </w:r>
      <w:r w:rsidRPr="00FB4E2D">
        <w:rPr>
          <w:rFonts w:ascii="Times New Roman" w:eastAsia="Calibri" w:hAnsi="Times New Roman" w:cs="Times New Roman"/>
          <w:i/>
          <w:noProof/>
          <w:kern w:val="0"/>
          <w:lang w:eastAsia="en-GB"/>
          <w14:ligatures w14:val="none"/>
        </w:rPr>
        <w:t>)</w:t>
      </w:r>
      <w:r w:rsidRPr="00FB4E2D">
        <w:rPr>
          <w:rFonts w:ascii="Times New Roman" w:eastAsia="Calibri" w:hAnsi="Times New Roman" w:cs="Times New Roman"/>
          <w:i/>
          <w:noProof/>
          <w:kern w:val="0"/>
          <w14:ligatures w14:val="none"/>
        </w:rPr>
        <w:t xml:space="preserve">) </w:t>
      </w:r>
    </w:p>
    <w:p w14:paraId="43ABA1E9" w14:textId="77777777" w:rsidR="00A02C07" w:rsidRPr="00FB4E2D" w:rsidRDefault="00A02C07" w:rsidP="00A02C07">
      <w:pPr>
        <w:spacing w:after="0" w:line="240" w:lineRule="auto"/>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5429E456" wp14:editId="5A31E550">
            <wp:extent cx="5760000" cy="2587546"/>
            <wp:effectExtent l="0" t="0" r="0" b="3810"/>
            <wp:docPr id="124110324" name="Picture 9"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0324" name="Picture 9" descr="A graph with different colored squares&#10;&#10;AI-generated content may be incorrec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60000" cy="2587546"/>
                    </a:xfrm>
                    <a:prstGeom prst="rect">
                      <a:avLst/>
                    </a:prstGeom>
                    <a:noFill/>
                  </pic:spPr>
                </pic:pic>
              </a:graphicData>
            </a:graphic>
          </wp:inline>
        </w:drawing>
      </w:r>
    </w:p>
    <w:p w14:paraId="2A6F4528" w14:textId="4433A4B2" w:rsidR="00A02C07" w:rsidRPr="00FB4E2D" w:rsidRDefault="00A02C07" w:rsidP="00A02C07">
      <w:pPr>
        <w:spacing w:after="120" w:line="240" w:lineRule="auto"/>
        <w:jc w:val="both"/>
        <w:rPr>
          <w:rFonts w:ascii="Times New Roman" w:eastAsia="Calibri" w:hAnsi="Times New Roman" w:cs="Times New Roman"/>
          <w:i/>
          <w:noProof/>
          <w:kern w:val="0"/>
          <w:sz w:val="20"/>
          <w:szCs w:val="20"/>
          <w:lang w:eastAsia="en-GB"/>
          <w14:ligatures w14:val="none"/>
        </w:rPr>
      </w:pPr>
      <w:r w:rsidRPr="00FB4E2D">
        <w:rPr>
          <w:rFonts w:ascii="Times New Roman" w:eastAsia="Calibri" w:hAnsi="Times New Roman" w:cs="Helvetica Neue"/>
          <w:i/>
          <w:noProof/>
          <w:kern w:val="0"/>
          <w:sz w:val="20"/>
          <w:szCs w:val="20"/>
          <w14:ligatures w14:val="none"/>
        </w:rPr>
        <w:t xml:space="preserve">(*) </w:t>
      </w:r>
      <w:r w:rsidRPr="00FB4E2D">
        <w:rPr>
          <w:rFonts w:ascii="Times New Roman" w:eastAsia="Calibri" w:hAnsi="Times New Roman" w:cs="Times New Roman"/>
          <w:i/>
          <w:noProof/>
          <w:kern w:val="0"/>
          <w:sz w:val="20"/>
          <w:szCs w:val="20"/>
          <w:lang w:eastAsia="en-GB"/>
          <w14:ligatures w14:val="none"/>
        </w:rPr>
        <w:t xml:space="preserve">Maximum possible: 27 points per type of case. For each of the three instances (first, second, final) </w:t>
      </w:r>
      <w:r w:rsidR="00D96EDB" w:rsidRPr="00FB4E2D">
        <w:rPr>
          <w:rFonts w:ascii="Times New Roman" w:eastAsia="Calibri" w:hAnsi="Times New Roman" w:cs="Times New Roman"/>
          <w:i/>
          <w:noProof/>
          <w:kern w:val="0"/>
          <w:sz w:val="20"/>
          <w:szCs w:val="20"/>
          <w:lang w:eastAsia="en-GB"/>
          <w14:ligatures w14:val="none"/>
        </w:rPr>
        <w:t xml:space="preserve">1 </w:t>
      </w:r>
      <w:r w:rsidRPr="00FB4E2D">
        <w:rPr>
          <w:rFonts w:ascii="Times New Roman" w:eastAsia="Calibri" w:hAnsi="Times New Roman" w:cs="Times New Roman"/>
          <w:i/>
          <w:noProof/>
          <w:kern w:val="0"/>
          <w:sz w:val="20"/>
          <w:szCs w:val="20"/>
          <w:lang w:eastAsia="en-GB"/>
          <w14:ligatures w14:val="none"/>
        </w:rPr>
        <w:t xml:space="preserve">point can be given if all judicial decisions are covered. If only some judicial decisions are covered at a given instance, only </w:t>
      </w:r>
      <w:r w:rsidR="002C7482" w:rsidRPr="00FB4E2D">
        <w:rPr>
          <w:rFonts w:ascii="Times New Roman" w:eastAsia="Calibri" w:hAnsi="Times New Roman" w:cs="Times New Roman"/>
          <w:i/>
          <w:noProof/>
          <w:kern w:val="0"/>
          <w:sz w:val="20"/>
          <w:szCs w:val="20"/>
          <w:lang w:eastAsia="en-GB"/>
          <w14:ligatures w14:val="none"/>
        </w:rPr>
        <w:t xml:space="preserve">0.5 </w:t>
      </w:r>
      <w:r w:rsidRPr="00FB4E2D">
        <w:rPr>
          <w:rFonts w:ascii="Times New Roman" w:eastAsia="Calibri" w:hAnsi="Times New Roman" w:cs="Times New Roman"/>
          <w:i/>
          <w:noProof/>
          <w:kern w:val="0"/>
          <w:sz w:val="20"/>
          <w:szCs w:val="20"/>
          <w:lang w:eastAsia="en-GB"/>
          <w14:ligatures w14:val="none"/>
        </w:rPr>
        <w:t>point</w:t>
      </w:r>
      <w:r w:rsidR="002C7482" w:rsidRPr="00FB4E2D">
        <w:rPr>
          <w:rFonts w:ascii="Times New Roman" w:eastAsia="Calibri" w:hAnsi="Times New Roman" w:cs="Times New Roman"/>
          <w:i/>
          <w:noProof/>
          <w:kern w:val="0"/>
          <w:sz w:val="20"/>
          <w:szCs w:val="20"/>
          <w:lang w:eastAsia="en-GB"/>
          <w14:ligatures w14:val="none"/>
        </w:rPr>
        <w:t>s are</w:t>
      </w:r>
      <w:r w:rsidRPr="00FB4E2D">
        <w:rPr>
          <w:rFonts w:ascii="Times New Roman" w:eastAsia="Calibri" w:hAnsi="Times New Roman" w:cs="Times New Roman"/>
          <w:i/>
          <w:noProof/>
          <w:kern w:val="0"/>
          <w:sz w:val="20"/>
          <w:szCs w:val="20"/>
          <w:lang w:eastAsia="en-GB"/>
          <w14:ligatures w14:val="none"/>
        </w:rPr>
        <w:t xml:space="preserve"> awarded. Where a Member State has only two instances, points have been given for three instances by mirroring the respective higher instance as the non-existing instance.</w:t>
      </w:r>
      <w:r w:rsidRPr="00FB4E2D">
        <w:rPr>
          <w:rFonts w:ascii="Times New Roman" w:eastAsia="Calibri" w:hAnsi="Times New Roman" w:cs="Times New Roman"/>
          <w:noProof/>
          <w:kern w:val="0"/>
          <w:sz w:val="22"/>
          <w:szCs w:val="22"/>
          <w14:ligatures w14:val="none"/>
        </w:rPr>
        <w:t xml:space="preserve"> </w:t>
      </w:r>
      <w:r w:rsidRPr="00FB4E2D">
        <w:rPr>
          <w:rFonts w:ascii="Times New Roman" w:eastAsia="Calibri" w:hAnsi="Times New Roman" w:cs="Times New Roman"/>
          <w:i/>
          <w:noProof/>
          <w:kern w:val="0"/>
          <w:sz w:val="20"/>
          <w:szCs w:val="20"/>
          <w:lang w:eastAsia="en-GB"/>
          <w14:ligatures w14:val="none"/>
        </w:rPr>
        <w:t xml:space="preserve">For those Member States that do not distinguish between administrative and civil/commercial cases, the same points have been allocated for both areas of law. </w:t>
      </w:r>
      <w:r w:rsidRPr="00FB4E2D">
        <w:rPr>
          <w:rFonts w:ascii="Times New Roman" w:eastAsia="Calibri" w:hAnsi="Times New Roman" w:cs="Times New Roman"/>
          <w:b/>
          <w:i/>
          <w:noProof/>
          <w:kern w:val="0"/>
          <w:sz w:val="20"/>
          <w:szCs w:val="20"/>
          <w:lang w:eastAsia="en-GB"/>
          <w14:ligatures w14:val="none"/>
        </w:rPr>
        <w:t>IE</w:t>
      </w:r>
      <w:r w:rsidRPr="00FB4E2D">
        <w:rPr>
          <w:rFonts w:ascii="Times New Roman" w:eastAsia="Calibri" w:hAnsi="Times New Roman" w:cs="Times New Roman"/>
          <w:i/>
          <w:noProof/>
          <w:kern w:val="0"/>
          <w:sz w:val="20"/>
          <w:szCs w:val="20"/>
          <w:lang w:eastAsia="en-GB"/>
          <w14:ligatures w14:val="none"/>
        </w:rPr>
        <w:t>:</w:t>
      </w:r>
      <w:r w:rsidRPr="00FB4E2D">
        <w:rPr>
          <w:rFonts w:ascii="Times New Roman" w:eastAsia="Calibri" w:hAnsi="Times New Roman" w:cs="Times New Roman"/>
          <w:b/>
          <w:i/>
          <w:noProof/>
          <w:kern w:val="0"/>
          <w:sz w:val="20"/>
          <w:szCs w:val="20"/>
          <w:lang w:eastAsia="en-GB"/>
          <w14:ligatures w14:val="none"/>
        </w:rPr>
        <w:t xml:space="preserve"> </w:t>
      </w:r>
      <w:r w:rsidRPr="00FB4E2D">
        <w:rPr>
          <w:rFonts w:ascii="Times New Roman" w:eastAsia="Calibri" w:hAnsi="Times New Roman" w:cs="Times New Roman"/>
          <w:i/>
          <w:noProof/>
          <w:kern w:val="0"/>
          <w:sz w:val="20"/>
          <w:szCs w:val="20"/>
          <w:lang w:eastAsia="en-GB"/>
          <w14:ligatures w14:val="none"/>
        </w:rPr>
        <w:t>Administrative cases are in effect subsumed within the category civil and commercial cases in the Irish legal order.</w:t>
      </w:r>
      <w:r w:rsidRPr="00FB4E2D">
        <w:rPr>
          <w:rFonts w:ascii="Calibri" w:eastAsia="Yu Mincho" w:hAnsi="Calibri" w:cs="Calibri"/>
          <w:noProof/>
          <w:color w:val="000000"/>
          <w:kern w:val="0"/>
          <w:sz w:val="22"/>
          <w:szCs w:val="22"/>
          <w:shd w:val="clear" w:color="auto" w:fill="FFFFFF"/>
          <w14:ligatures w14:val="none"/>
        </w:rPr>
        <w:t xml:space="preserve"> </w:t>
      </w:r>
      <w:r w:rsidRPr="00FB4E2D">
        <w:rPr>
          <w:rFonts w:ascii="Times New Roman" w:eastAsia="Calibri" w:hAnsi="Times New Roman" w:cs="Times New Roman"/>
          <w:b/>
          <w:bCs/>
          <w:i/>
          <w:noProof/>
          <w:kern w:val="0"/>
          <w:sz w:val="20"/>
          <w:szCs w:val="20"/>
          <w:lang w:eastAsia="en-GB"/>
          <w14:ligatures w14:val="none"/>
        </w:rPr>
        <w:t>AT, CY, FI, IT, LU, SI</w:t>
      </w:r>
      <w:r w:rsidRPr="00FB4E2D">
        <w:rPr>
          <w:rFonts w:ascii="Times New Roman" w:eastAsia="Calibri" w:hAnsi="Times New Roman" w:cs="Times New Roman"/>
          <w:i/>
          <w:noProof/>
          <w:kern w:val="0"/>
          <w:sz w:val="20"/>
          <w:szCs w:val="20"/>
          <w:lang w:eastAsia="en-GB"/>
          <w14:ligatures w14:val="none"/>
        </w:rPr>
        <w:t xml:space="preserve">: no second instance for admin cases but directly highest instance. Corresponding points are given to the second instance here to ensure fair </w:t>
      </w:r>
      <w:r w:rsidR="002C7482" w:rsidRPr="00FB4E2D">
        <w:rPr>
          <w:rFonts w:ascii="Times New Roman" w:eastAsia="Calibri" w:hAnsi="Times New Roman" w:cs="Times New Roman"/>
          <w:i/>
          <w:noProof/>
          <w:kern w:val="0"/>
          <w:sz w:val="20"/>
          <w:szCs w:val="20"/>
          <w:lang w:eastAsia="en-GB"/>
          <w14:ligatures w14:val="none"/>
        </w:rPr>
        <w:t xml:space="preserve">score </w:t>
      </w:r>
      <w:r w:rsidRPr="00FB4E2D">
        <w:rPr>
          <w:rFonts w:ascii="Times New Roman" w:eastAsia="Calibri" w:hAnsi="Times New Roman" w:cs="Times New Roman"/>
          <w:i/>
          <w:noProof/>
          <w:kern w:val="0"/>
          <w:sz w:val="20"/>
          <w:szCs w:val="20"/>
          <w:lang w:eastAsia="en-GB"/>
          <w14:ligatures w14:val="none"/>
        </w:rPr>
        <w:t xml:space="preserve">accounting for the </w:t>
      </w:r>
      <w:r w:rsidR="002C7482" w:rsidRPr="00FB4E2D">
        <w:rPr>
          <w:rFonts w:ascii="Times New Roman" w:eastAsia="Calibri" w:hAnsi="Times New Roman" w:cs="Times New Roman"/>
          <w:i/>
          <w:noProof/>
          <w:kern w:val="0"/>
          <w:sz w:val="20"/>
          <w:szCs w:val="20"/>
          <w:lang w:eastAsia="en-GB"/>
          <w14:ligatures w14:val="none"/>
        </w:rPr>
        <w:t>‘</w:t>
      </w:r>
      <w:r w:rsidRPr="00FB4E2D">
        <w:rPr>
          <w:rFonts w:ascii="Times New Roman" w:eastAsia="Calibri" w:hAnsi="Times New Roman" w:cs="Times New Roman"/>
          <w:i/>
          <w:noProof/>
          <w:kern w:val="0"/>
          <w:sz w:val="20"/>
          <w:szCs w:val="20"/>
          <w:lang w:eastAsia="en-GB"/>
          <w14:ligatures w14:val="none"/>
        </w:rPr>
        <w:t>missing</w:t>
      </w:r>
      <w:r w:rsidR="002C7482" w:rsidRPr="00FB4E2D">
        <w:rPr>
          <w:rFonts w:ascii="Times New Roman" w:eastAsia="Calibri" w:hAnsi="Times New Roman" w:cs="Times New Roman"/>
          <w:i/>
          <w:noProof/>
          <w:kern w:val="0"/>
          <w:sz w:val="20"/>
          <w:szCs w:val="20"/>
          <w:lang w:eastAsia="en-GB"/>
          <w14:ligatures w14:val="none"/>
        </w:rPr>
        <w:t>’</w:t>
      </w:r>
      <w:r w:rsidRPr="00FB4E2D">
        <w:rPr>
          <w:rFonts w:ascii="Times New Roman" w:eastAsia="Calibri" w:hAnsi="Times New Roman" w:cs="Times New Roman"/>
          <w:i/>
          <w:noProof/>
          <w:kern w:val="0"/>
          <w:sz w:val="20"/>
          <w:szCs w:val="20"/>
          <w:lang w:eastAsia="en-GB"/>
          <w14:ligatures w14:val="none"/>
        </w:rPr>
        <w:t xml:space="preserve"> layer.</w:t>
      </w:r>
    </w:p>
    <w:p w14:paraId="09BCDD63" w14:textId="77777777" w:rsidR="00A02C07" w:rsidRDefault="00A02C07">
      <w:pPr>
        <w:rPr>
          <w:rFonts w:ascii="Times New Roman" w:eastAsia="Times New Roman" w:hAnsi="Times New Roman" w:cs="Times New Roman"/>
          <w:b/>
          <w:noProof/>
          <w:kern w:val="0"/>
          <w:szCs w:val="28"/>
          <w14:ligatures w14:val="none"/>
        </w:rPr>
      </w:pPr>
      <w:r>
        <w:rPr>
          <w:rFonts w:ascii="Times New Roman" w:eastAsia="Times New Roman" w:hAnsi="Times New Roman" w:cs="Times New Roman"/>
          <w:b/>
          <w:noProof/>
          <w:kern w:val="0"/>
          <w:szCs w:val="28"/>
          <w14:ligatures w14:val="none"/>
        </w:rPr>
        <w:br w:type="page"/>
      </w:r>
    </w:p>
    <w:p w14:paraId="2D85C7E1" w14:textId="77777777" w:rsidR="00A02C07" w:rsidRPr="00FB4E2D" w:rsidRDefault="00A02C07" w:rsidP="00A02C07">
      <w:pPr>
        <w:keepNext/>
        <w:spacing w:before="360" w:after="120" w:line="240" w:lineRule="auto"/>
        <w:jc w:val="both"/>
        <w:outlineLvl w:val="1"/>
        <w:rPr>
          <w:rFonts w:ascii="Times New Roman" w:eastAsia="Times New Roman" w:hAnsi="Times New Roman" w:cs="Times New Roman"/>
          <w:b/>
          <w:noProof/>
          <w:kern w:val="0"/>
          <w:szCs w:val="28"/>
          <w14:ligatures w14:val="none"/>
        </w:rPr>
      </w:pPr>
      <w:r w:rsidRPr="00FB4E2D">
        <w:rPr>
          <w:rFonts w:ascii="Times New Roman" w:eastAsia="Times New Roman" w:hAnsi="Times New Roman" w:cs="Times New Roman"/>
          <w:b/>
          <w:noProof/>
          <w:kern w:val="0"/>
          <w:szCs w:val="28"/>
          <w14:ligatures w14:val="none"/>
        </w:rPr>
        <w:t>2.3. Independence of justice systems</w:t>
      </w:r>
    </w:p>
    <w:p w14:paraId="0051BCF6" w14:textId="0C421B2E"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Judicial independence, </w:t>
      </w:r>
      <w:r w:rsidRPr="00FB4E2D">
        <w:rPr>
          <w:rFonts w:ascii="Times New Roman" w:eastAsia="Calibri" w:hAnsi="Times New Roman" w:cs="Times New Roman"/>
          <w:noProof/>
          <w:color w:val="000000"/>
          <w:kern w:val="0"/>
          <w14:ligatures w14:val="none"/>
        </w:rPr>
        <w:t>which is integral to the task of judicial decision-making,</w:t>
      </w:r>
      <w:r w:rsidRPr="00FB4E2D">
        <w:rPr>
          <w:rFonts w:ascii="Times New Roman" w:eastAsia="Calibri" w:hAnsi="Times New Roman" w:cs="Times New Roman"/>
          <w:noProof/>
          <w:kern w:val="0"/>
          <w14:ligatures w14:val="none"/>
        </w:rPr>
        <w:t xml:space="preserve"> is a requirement in EU law stemming from </w:t>
      </w:r>
      <w:r w:rsidR="002C7482" w:rsidRPr="00FB4E2D">
        <w:rPr>
          <w:rFonts w:ascii="Times New Roman" w:eastAsia="Calibri" w:hAnsi="Times New Roman" w:cs="Times New Roman"/>
          <w:noProof/>
          <w:kern w:val="0"/>
          <w14:ligatures w14:val="none"/>
        </w:rPr>
        <w:t xml:space="preserve">(i) </w:t>
      </w:r>
      <w:r w:rsidRPr="00FB4E2D">
        <w:rPr>
          <w:rFonts w:ascii="Times New Roman" w:eastAsia="Calibri" w:hAnsi="Times New Roman" w:cs="Times New Roman"/>
          <w:noProof/>
          <w:kern w:val="0"/>
          <w14:ligatures w14:val="none"/>
        </w:rPr>
        <w:t>the principle of effective judicial protection referred to in Article 19 TEU</w:t>
      </w:r>
      <w:r w:rsidR="00E30CAD"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noProof/>
          <w:kern w:val="0"/>
          <w14:ligatures w14:val="none"/>
        </w:rPr>
        <w:t xml:space="preserve"> and</w:t>
      </w:r>
      <w:r w:rsidR="002C7482" w:rsidRPr="00FB4E2D">
        <w:rPr>
          <w:rFonts w:ascii="Times New Roman" w:eastAsia="Calibri" w:hAnsi="Times New Roman" w:cs="Times New Roman"/>
          <w:noProof/>
          <w:kern w:val="0"/>
          <w14:ligatures w14:val="none"/>
        </w:rPr>
        <w:t>, (ii)</w:t>
      </w:r>
      <w:r w:rsidRPr="00FB4E2D">
        <w:rPr>
          <w:rFonts w:ascii="Times New Roman" w:eastAsia="Calibri" w:hAnsi="Times New Roman" w:cs="Times New Roman"/>
          <w:noProof/>
          <w:kern w:val="0"/>
          <w14:ligatures w14:val="none"/>
        </w:rPr>
        <w:t xml:space="preserve"> the right to an effective remedy before a court or tribunal enshrined in Article 47 of the Charter of Fundamental Rights of the EU (</w:t>
      </w:r>
      <w:r w:rsidRPr="00FB4E2D">
        <w:rPr>
          <w:rFonts w:ascii="Times New Roman" w:eastAsia="Calibri" w:hAnsi="Times New Roman" w:cs="Times New Roman"/>
          <w:noProof/>
          <w:kern w:val="0"/>
          <w:vertAlign w:val="superscript"/>
          <w14:ligatures w14:val="none"/>
        </w:rPr>
        <w:footnoteReference w:id="104"/>
      </w:r>
      <w:r w:rsidRPr="00FB4E2D">
        <w:rPr>
          <w:rFonts w:ascii="Times New Roman" w:eastAsia="Calibri" w:hAnsi="Times New Roman" w:cs="Times New Roman"/>
          <w:noProof/>
          <w:kern w:val="0"/>
          <w14:ligatures w14:val="none"/>
        </w:rPr>
        <w:t>). Judicial independence presumes the following:</w:t>
      </w:r>
    </w:p>
    <w:p w14:paraId="5ACAE203" w14:textId="77777777"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(a) </w:t>
      </w:r>
      <w:r w:rsidRPr="00FB4E2D">
        <w:rPr>
          <w:rFonts w:ascii="Times New Roman" w:eastAsia="Calibri" w:hAnsi="Times New Roman" w:cs="Times New Roman"/>
          <w:b/>
          <w:noProof/>
          <w:kern w:val="0"/>
          <w14:ligatures w14:val="none"/>
        </w:rPr>
        <w:t>external independence</w:t>
      </w:r>
      <w:r w:rsidRPr="00FB4E2D">
        <w:rPr>
          <w:rFonts w:ascii="Times New Roman" w:eastAsia="Calibri" w:hAnsi="Times New Roman" w:cs="Times New Roman"/>
          <w:noProof/>
          <w:kern w:val="0"/>
          <w14:ligatures w14:val="none"/>
        </w:rPr>
        <w:t>, where the relevant body exercises its functions autonomously, without being subject to any hierarchical constraint or subordinated to any other body and without taking orders or instructions from any source whatsoever, thus being protected against external interventions or pressure that could impair the independent judgement of its members and influence their decisions; and</w:t>
      </w:r>
    </w:p>
    <w:p w14:paraId="344D7338" w14:textId="77777777" w:rsidR="00A02C07" w:rsidRPr="00FB4E2D" w:rsidRDefault="00A02C07" w:rsidP="00A02C07">
      <w:pPr>
        <w:spacing w:after="12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(b) </w:t>
      </w:r>
      <w:r w:rsidRPr="00FB4E2D">
        <w:rPr>
          <w:rFonts w:ascii="Times New Roman" w:eastAsia="Calibri" w:hAnsi="Times New Roman" w:cs="Times New Roman"/>
          <w:b/>
          <w:noProof/>
          <w:kern w:val="0"/>
          <w14:ligatures w14:val="none"/>
        </w:rPr>
        <w:t>internal independence and impartiality</w:t>
      </w:r>
      <w:r w:rsidRPr="00FB4E2D">
        <w:rPr>
          <w:rFonts w:ascii="Times New Roman" w:eastAsia="Calibri" w:hAnsi="Times New Roman" w:cs="Times New Roman"/>
          <w:noProof/>
          <w:kern w:val="0"/>
          <w14:ligatures w14:val="none"/>
        </w:rPr>
        <w:t>, where an equal distance is maintained from the parties to the proceedings and their respective interests with regard to the subject matter of those proceedings (</w:t>
      </w:r>
      <w:r w:rsidRPr="00FB4E2D">
        <w:rPr>
          <w:rFonts w:ascii="Times New Roman" w:eastAsia="Calibri" w:hAnsi="Times New Roman" w:cs="Times New Roman"/>
          <w:noProof/>
          <w:kern w:val="0"/>
          <w:vertAlign w:val="superscript"/>
          <w14:ligatures w14:val="none"/>
        </w:rPr>
        <w:footnoteReference w:id="105"/>
      </w:r>
      <w:r w:rsidRPr="00FB4E2D">
        <w:rPr>
          <w:rFonts w:ascii="Times New Roman" w:eastAsia="Calibri" w:hAnsi="Times New Roman" w:cs="Times New Roman"/>
          <w:noProof/>
          <w:kern w:val="0"/>
          <w14:ligatures w14:val="none"/>
        </w:rPr>
        <w:t>), and when individual judges are protected from undue internal pressure within the judiciary (</w:t>
      </w:r>
      <w:r w:rsidRPr="00FB4E2D">
        <w:rPr>
          <w:rFonts w:ascii="Times New Roman" w:eastAsia="Calibri" w:hAnsi="Times New Roman" w:cs="Times New Roman"/>
          <w:noProof/>
          <w:kern w:val="0"/>
          <w:vertAlign w:val="superscript"/>
          <w14:ligatures w14:val="none"/>
        </w:rPr>
        <w:footnoteReference w:id="106"/>
      </w:r>
      <w:r w:rsidRPr="00FB4E2D">
        <w:rPr>
          <w:rFonts w:ascii="Times New Roman" w:eastAsia="Calibri" w:hAnsi="Times New Roman" w:cs="Times New Roman"/>
          <w:noProof/>
          <w:kern w:val="0"/>
          <w14:ligatures w14:val="none"/>
        </w:rPr>
        <w:t xml:space="preserve">). </w:t>
      </w:r>
    </w:p>
    <w:p w14:paraId="1A4A0350" w14:textId="77777777" w:rsidR="00A02C07" w:rsidRPr="00FB4E2D" w:rsidRDefault="00A02C07" w:rsidP="00A02C07">
      <w:pPr>
        <w:spacing w:after="120" w:line="240" w:lineRule="auto"/>
        <w:jc w:val="both"/>
        <w:rPr>
          <w:rFonts w:ascii="Times New Roman" w:eastAsia="Calibri" w:hAnsi="Times New Roman" w:cs="Times New Roman"/>
          <w:noProof/>
          <w:color w:val="1D1D1D"/>
          <w:kern w:val="0"/>
          <w:lang w:eastAsia="fr-FR"/>
          <w14:ligatures w14:val="none"/>
        </w:rPr>
      </w:pPr>
      <w:r w:rsidRPr="00FB4E2D">
        <w:rPr>
          <w:rFonts w:ascii="Times New Roman" w:eastAsia="Calibri" w:hAnsi="Times New Roman" w:cs="Times New Roman"/>
          <w:noProof/>
          <w:kern w:val="0"/>
          <w14:ligatures w14:val="none"/>
        </w:rPr>
        <w:t xml:space="preserve">Judicial independence is vital to </w:t>
      </w:r>
      <w:r w:rsidRPr="00FB4E2D">
        <w:rPr>
          <w:rFonts w:ascii="Times New Roman" w:eastAsia="Calibri" w:hAnsi="Times New Roman" w:cs="Times New Roman"/>
          <w:noProof/>
          <w:color w:val="1D1D1D"/>
          <w:kern w:val="0"/>
          <w:lang w:eastAsia="fr-FR"/>
          <w14:ligatures w14:val="none"/>
        </w:rPr>
        <w:t xml:space="preserve">guarantee </w:t>
      </w:r>
      <w:r w:rsidRPr="00FB4E2D">
        <w:rPr>
          <w:rFonts w:ascii="Times New Roman" w:eastAsia="Calibri" w:hAnsi="Times New Roman" w:cs="Times New Roman"/>
          <w:noProof/>
          <w:kern w:val="0"/>
          <w14:ligatures w14:val="none"/>
        </w:rPr>
        <w:t>that all the rights that individuals derive from EU law will be protected and that the values common to the Member States set out in Article 2 TEU, in particular the value of the rule of law, will be safeguarded (</w:t>
      </w:r>
      <w:r w:rsidRPr="00FB4E2D">
        <w:rPr>
          <w:rFonts w:ascii="Times New Roman" w:eastAsia="Calibri" w:hAnsi="Times New Roman" w:cs="Times New Roman"/>
          <w:noProof/>
          <w:kern w:val="0"/>
          <w:vertAlign w:val="superscript"/>
          <w14:ligatures w14:val="none"/>
        </w:rPr>
        <w:footnoteReference w:id="107"/>
      </w:r>
      <w:r w:rsidRPr="00FB4E2D">
        <w:rPr>
          <w:rFonts w:ascii="Times New Roman" w:eastAsia="Calibri" w:hAnsi="Times New Roman" w:cs="Times New Roman"/>
          <w:noProof/>
          <w:kern w:val="0"/>
          <w14:ligatures w14:val="none"/>
        </w:rPr>
        <w:t>). Preserving the EU legal order is fundamental for all people and businesses whose rights and freedoms are protected under EU law</w:t>
      </w:r>
      <w:r w:rsidRPr="00FB4E2D">
        <w:rPr>
          <w:rFonts w:ascii="Times New Roman" w:eastAsia="Calibri" w:hAnsi="Times New Roman" w:cs="Times New Roman"/>
          <w:noProof/>
          <w:color w:val="1D1D1D"/>
          <w:kern w:val="0"/>
          <w:lang w:eastAsia="fr-FR"/>
          <w14:ligatures w14:val="none"/>
        </w:rPr>
        <w:t xml:space="preserve">. </w:t>
      </w:r>
    </w:p>
    <w:p w14:paraId="246DD0FB" w14:textId="77777777" w:rsidR="00A02C07" w:rsidRPr="00FB4E2D" w:rsidRDefault="00A02C07" w:rsidP="00A02C07">
      <w:pPr>
        <w:spacing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color w:val="1D1D1D"/>
          <w:kern w:val="0"/>
          <w:lang w:eastAsia="fr-FR"/>
          <w14:ligatures w14:val="none"/>
        </w:rPr>
        <w:t xml:space="preserve">A high level of perceived independence of the judiciary is vital for the trust which justice must inspire in individuals in a society governed by the rule of law. It also contributes to a growth-friendly business environment, as a perceived lack of independence can deter investment. </w:t>
      </w:r>
      <w:r w:rsidRPr="00FB4E2D">
        <w:rPr>
          <w:rFonts w:ascii="Times New Roman" w:eastAsia="Calibri" w:hAnsi="Times New Roman" w:cs="Times New Roman"/>
          <w:noProof/>
          <w:kern w:val="0"/>
          <w14:ligatures w14:val="none"/>
        </w:rPr>
        <w:t>The Scoreboard includes indicators for the judiciary’s independence relating to the effectiveness of investment protection. In addition to indicators on perceived judicial independence from various sources, the Scoreboard presents indicators on how</w:t>
      </w:r>
      <w:r w:rsidRPr="00FB4E2D">
        <w:rPr>
          <w:rFonts w:ascii="Times New Roman" w:eastAsia="Times New Roman" w:hAnsi="Times New Roman" w:cs="Times New Roman"/>
          <w:noProof/>
          <w:kern w:val="0"/>
          <w14:ligatures w14:val="none"/>
        </w:rPr>
        <w:t xml:space="preserve"> justice systems are organised to protect judicial independence in certain types of situations where independence could be at risk</w:t>
      </w:r>
      <w:r w:rsidRPr="00FB4E2D">
        <w:rPr>
          <w:rFonts w:ascii="Times New Roman" w:eastAsia="Calibri" w:hAnsi="Times New Roman" w:cs="Times New Roman"/>
          <w:noProof/>
          <w:kern w:val="0"/>
          <w14:ligatures w14:val="none"/>
        </w:rPr>
        <w:t xml:space="preserve">. This reflects input from the European Network of Councils for the Judiciary (ENCJ), the Network of the Presidents of the Supreme Judicial Courts of the EU (NPSJC), and the Network of Public Prosecutors or equivalent institutions at the Supreme Judicial Courts of the Member States of the European Union (NADAL Network). </w:t>
      </w:r>
      <w:bookmarkStart w:id="359" w:name="_Toc409530231"/>
      <w:bookmarkStart w:id="360" w:name="_Toc438545680"/>
      <w:bookmarkStart w:id="361" w:name="_Toc438548330"/>
      <w:bookmarkStart w:id="362" w:name="_Toc438548516"/>
      <w:bookmarkStart w:id="363" w:name="_Toc440017704"/>
      <w:bookmarkStart w:id="364" w:name="_Toc440018088"/>
      <w:bookmarkStart w:id="365" w:name="_Toc440033386"/>
      <w:bookmarkStart w:id="366" w:name="_Toc440035237"/>
      <w:bookmarkStart w:id="367" w:name="_Toc440036532"/>
      <w:bookmarkStart w:id="368" w:name="_Toc440042474"/>
      <w:bookmarkStart w:id="369" w:name="_Toc440291127"/>
      <w:bookmarkStart w:id="370" w:name="_Toc440294690"/>
      <w:bookmarkStart w:id="371" w:name="_Toc440295192"/>
      <w:bookmarkStart w:id="372" w:name="_Toc440296597"/>
      <w:bookmarkStart w:id="373" w:name="_Toc440625081"/>
      <w:bookmarkStart w:id="374" w:name="_Toc440626411"/>
      <w:bookmarkStart w:id="375" w:name="_Toc440628865"/>
      <w:bookmarkStart w:id="376" w:name="_Toc441571139"/>
      <w:bookmarkStart w:id="377" w:name="_Toc441581641"/>
      <w:bookmarkStart w:id="378" w:name="_Toc441585908"/>
      <w:bookmarkStart w:id="379" w:name="_Toc441595843"/>
      <w:bookmarkStart w:id="380" w:name="_Toc441596020"/>
      <w:bookmarkStart w:id="381" w:name="_Toc441748145"/>
      <w:bookmarkStart w:id="382" w:name="_Toc441755430"/>
      <w:bookmarkStart w:id="383" w:name="_Toc441756467"/>
      <w:bookmarkStart w:id="384" w:name="_Toc441757511"/>
      <w:bookmarkStart w:id="385" w:name="_Toc441766640"/>
      <w:bookmarkStart w:id="386" w:name="_Toc441766979"/>
      <w:bookmarkStart w:id="387" w:name="_Toc442187980"/>
      <w:bookmarkStart w:id="388" w:name="_Toc442262072"/>
      <w:bookmarkStart w:id="389" w:name="_Toc442362479"/>
      <w:bookmarkStart w:id="390" w:name="_Toc442374815"/>
      <w:bookmarkStart w:id="391" w:name="_Toc442425955"/>
      <w:bookmarkStart w:id="392" w:name="_Toc442453081"/>
      <w:bookmarkStart w:id="393" w:name="_Toc443484539"/>
      <w:bookmarkStart w:id="394" w:name="_Toc443484761"/>
      <w:bookmarkStart w:id="395" w:name="_Toc443509502"/>
      <w:bookmarkStart w:id="396" w:name="_Toc446014831"/>
    </w:p>
    <w:p w14:paraId="7C384C72" w14:textId="182FF608" w:rsidR="00217D81" w:rsidRPr="00FB4E2D" w:rsidRDefault="00BA39CD" w:rsidP="00BA39CD">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 xml:space="preserve">2.3.1. </w:t>
      </w:r>
      <w:r w:rsidR="00217D81" w:rsidRPr="00FB4E2D">
        <w:rPr>
          <w:rFonts w:ascii="Times New Roman" w:eastAsia="Times New Roman" w:hAnsi="Times New Roman" w:cs="Times New Roman"/>
          <w:b/>
          <w:bCs/>
          <w:noProof/>
          <w:kern w:val="0"/>
          <w14:ligatures w14:val="none"/>
        </w:rPr>
        <w:t>Summary on judicial independence</w:t>
      </w:r>
    </w:p>
    <w:p w14:paraId="54F53873" w14:textId="69EE30EF" w:rsidR="00A02C07" w:rsidRPr="00FB4E2D" w:rsidRDefault="00A02C07" w:rsidP="00A02C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Cs w:val="32"/>
          <w14:ligatures w14:val="none"/>
        </w:rPr>
      </w:pPr>
      <w:r w:rsidRPr="00FB4E2D">
        <w:rPr>
          <w:rFonts w:ascii="Times New Roman" w:eastAsia="Times New Roman" w:hAnsi="Times New Roman" w:cs="Times New Roman"/>
          <w:noProof/>
          <w:kern w:val="0"/>
          <w:szCs w:val="32"/>
          <w14:ligatures w14:val="none"/>
        </w:rPr>
        <w:t xml:space="preserve">Judicial independence is an essential element of the right to an effective remedy before a court or tribunal, as enshrined in Article 47 of the Charter of Fundamental Rights of the EU, and indispensable for ensuring effective judicial protection, as required under Article 19 TEU. It is a fundamental element of an effective justice system and essential for upholding the rule of law. It is vital for ensuring the fairness of judicial proceedings and the trust of the public and businesses in the legal system. The national judicial systems must therefore fully respect the requirements as regards judicial independence following from EU law as interpreted by the Court of Justice of the EU and take due account of European standards on judicial independence. The 2026 </w:t>
      </w:r>
      <w:r w:rsidR="00BD416A" w:rsidRPr="00FB4E2D">
        <w:rPr>
          <w:rFonts w:ascii="Times New Roman" w:eastAsia="Times New Roman" w:hAnsi="Times New Roman" w:cs="Times New Roman"/>
          <w:noProof/>
          <w:kern w:val="0"/>
          <w:szCs w:val="32"/>
          <w14:ligatures w14:val="none"/>
        </w:rPr>
        <w:t xml:space="preserve">EU Justice </w:t>
      </w:r>
      <w:r w:rsidRPr="00FB4E2D">
        <w:rPr>
          <w:rFonts w:ascii="Times New Roman" w:eastAsia="Times New Roman" w:hAnsi="Times New Roman" w:cs="Times New Roman"/>
          <w:noProof/>
          <w:kern w:val="0"/>
          <w:szCs w:val="32"/>
          <w14:ligatures w14:val="none"/>
        </w:rPr>
        <w:t xml:space="preserve">Scoreboard shows trends in the general public’s and companies’ perceptions of judicial independence. This edition also presents some new indicators on the safeguards regarding the probationary periods for judges, and the powers of Prosecutors General and how cases are allocated </w:t>
      </w:r>
      <w:r w:rsidR="002C7482" w:rsidRPr="00FB4E2D">
        <w:rPr>
          <w:rFonts w:ascii="Times New Roman" w:eastAsia="Times New Roman" w:hAnsi="Times New Roman" w:cs="Times New Roman"/>
          <w:noProof/>
          <w:kern w:val="0"/>
          <w:szCs w:val="32"/>
          <w14:ligatures w14:val="none"/>
        </w:rPr>
        <w:t>with</w:t>
      </w:r>
      <w:r w:rsidRPr="00FB4E2D">
        <w:rPr>
          <w:rFonts w:ascii="Times New Roman" w:eastAsia="Times New Roman" w:hAnsi="Times New Roman" w:cs="Times New Roman"/>
          <w:noProof/>
          <w:kern w:val="0"/>
          <w:szCs w:val="32"/>
          <w14:ligatures w14:val="none"/>
        </w:rPr>
        <w:t xml:space="preserve">in prosecution offices. </w:t>
      </w:r>
    </w:p>
    <w:p w14:paraId="5E836AD8" w14:textId="6F05522C" w:rsidR="00A02C07" w:rsidRPr="00FB4E2D" w:rsidRDefault="00A02C07" w:rsidP="00A02C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kern w:val="0"/>
          <w:szCs w:val="32"/>
          <w14:ligatures w14:val="none"/>
        </w:rPr>
      </w:pPr>
      <w:r w:rsidRPr="00FB4E2D">
        <w:rPr>
          <w:rFonts w:ascii="Times New Roman" w:eastAsia="Times New Roman" w:hAnsi="Times New Roman" w:cs="Times New Roman"/>
          <w:noProof/>
          <w:kern w:val="0"/>
          <w:szCs w:val="32"/>
          <w14:ligatures w14:val="none"/>
        </w:rPr>
        <w:t xml:space="preserve">The structural indicators do not in themselves allow for conclusions to be drawn about the independence of these bodies, but represent elements </w:t>
      </w:r>
      <w:r w:rsidR="002C7482" w:rsidRPr="00FB4E2D">
        <w:rPr>
          <w:rFonts w:ascii="Times New Roman" w:eastAsia="Times New Roman" w:hAnsi="Times New Roman" w:cs="Times New Roman"/>
          <w:noProof/>
          <w:kern w:val="0"/>
          <w:szCs w:val="32"/>
          <w14:ligatures w14:val="none"/>
        </w:rPr>
        <w:t xml:space="preserve">that </w:t>
      </w:r>
      <w:r w:rsidRPr="00FB4E2D">
        <w:rPr>
          <w:rFonts w:ascii="Times New Roman" w:eastAsia="Times New Roman" w:hAnsi="Times New Roman" w:cs="Times New Roman"/>
          <w:noProof/>
          <w:kern w:val="0"/>
          <w:szCs w:val="32"/>
          <w14:ligatures w14:val="none"/>
        </w:rPr>
        <w:t>may be taken as a starting point for such an analysis.</w:t>
      </w:r>
    </w:p>
    <w:p w14:paraId="72A6BCDA" w14:textId="1F3D6B6A" w:rsidR="00A02C07" w:rsidRPr="00FB4E2D" w:rsidRDefault="00A02C07" w:rsidP="00A02C07">
      <w:pPr>
        <w:pBdr>
          <w:top w:val="single" w:sz="4" w:space="1" w:color="auto"/>
          <w:left w:val="single" w:sz="4" w:space="4" w:color="auto"/>
          <w:bottom w:val="single" w:sz="4" w:space="1" w:color="auto"/>
          <w:right w:val="single" w:sz="4" w:space="4" w:color="auto"/>
        </w:pBdr>
        <w:spacing w:after="120" w:line="240" w:lineRule="auto"/>
        <w:ind w:left="426" w:hanging="426"/>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a)</w:t>
      </w:r>
      <w:r w:rsidRPr="00FB4E2D">
        <w:rPr>
          <w:rFonts w:ascii="Calibri" w:eastAsia="Yu Mincho" w:hAnsi="Calibri" w:cs="Arial"/>
          <w:noProof/>
          <w:kern w:val="0"/>
          <w:sz w:val="22"/>
          <w:szCs w:val="22"/>
          <w14:ligatures w14:val="none"/>
        </w:rPr>
        <w:tab/>
      </w:r>
      <w:r w:rsidRPr="00FB4E2D">
        <w:rPr>
          <w:rFonts w:ascii="Times New Roman" w:eastAsia="Times New Roman" w:hAnsi="Times New Roman" w:cs="Times New Roman"/>
          <w:noProof/>
          <w:kern w:val="0"/>
          <w14:ligatures w14:val="none"/>
        </w:rPr>
        <w:t>The 2026 Scoreboard presents the developments in perceived independence from surveys of the general public (Eurobarometer FL</w:t>
      </w:r>
      <w:r w:rsidR="00677D8F" w:rsidRPr="00FB4E2D">
        <w:rPr>
          <w:rFonts w:ascii="Times New Roman" w:eastAsia="Times New Roman" w:hAnsi="Times New Roman" w:cs="Times New Roman"/>
          <w:noProof/>
          <w:kern w:val="0"/>
          <w14:ligatures w14:val="none"/>
        </w:rPr>
        <w:t>581</w:t>
      </w:r>
      <w:r w:rsidRPr="00FB4E2D">
        <w:rPr>
          <w:rFonts w:ascii="Times New Roman" w:eastAsia="Times New Roman" w:hAnsi="Times New Roman" w:cs="Times New Roman"/>
          <w:noProof/>
          <w:kern w:val="0"/>
          <w14:ligatures w14:val="none"/>
        </w:rPr>
        <w:t>) and companies (Eurobarometer FL</w:t>
      </w:r>
      <w:r w:rsidR="00677D8F" w:rsidRPr="00FB4E2D">
        <w:rPr>
          <w:rFonts w:ascii="Times New Roman" w:eastAsia="Times New Roman" w:hAnsi="Times New Roman" w:cs="Times New Roman"/>
          <w:noProof/>
          <w:kern w:val="0"/>
          <w14:ligatures w14:val="none"/>
        </w:rPr>
        <w:t>582</w:t>
      </w:r>
      <w:r w:rsidRPr="00FB4E2D">
        <w:rPr>
          <w:rFonts w:ascii="Times New Roman" w:eastAsia="Times New Roman" w:hAnsi="Times New Roman" w:cs="Times New Roman"/>
          <w:noProof/>
          <w:kern w:val="0"/>
          <w14:ligatures w14:val="none"/>
        </w:rPr>
        <w:t xml:space="preserve">): </w:t>
      </w:r>
    </w:p>
    <w:p w14:paraId="01A7F5FA" w14:textId="6F038579" w:rsidR="00A02C07" w:rsidRPr="00FB4E2D" w:rsidRDefault="007D1CFF" w:rsidP="00A02C07">
      <w:pPr>
        <w:numPr>
          <w:ilvl w:val="0"/>
          <w:numId w:val="3"/>
        </w:numPr>
        <w:pBdr>
          <w:top w:val="single" w:sz="4" w:space="1" w:color="auto"/>
          <w:left w:val="single" w:sz="4" w:space="4" w:color="auto"/>
          <w:bottom w:val="single" w:sz="4" w:space="1" w:color="auto"/>
          <w:right w:val="single" w:sz="4" w:space="4" w:color="auto"/>
        </w:pBdr>
        <w:spacing w:after="60" w:line="240" w:lineRule="auto"/>
        <w:ind w:hanging="720"/>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T</w:t>
      </w:r>
      <w:r w:rsidR="00A02C07" w:rsidRPr="00FB4E2D">
        <w:rPr>
          <w:rFonts w:ascii="Times New Roman" w:eastAsia="Times New Roman" w:hAnsi="Times New Roman" w:cs="Times New Roman"/>
          <w:noProof/>
          <w:kern w:val="0"/>
          <w14:ligatures w14:val="none"/>
        </w:rPr>
        <w:t xml:space="preserve">he Eurobarometer survey among the general public (Figure 48) shows that the perception of independence of courts and judges has improved or remained stable in </w:t>
      </w:r>
      <w:r w:rsidR="75501FA9" w:rsidRPr="00FB4E2D">
        <w:rPr>
          <w:rFonts w:ascii="Times New Roman" w:eastAsia="Times New Roman" w:hAnsi="Times New Roman" w:cs="Times New Roman"/>
          <w:noProof/>
        </w:rPr>
        <w:t>20</w:t>
      </w:r>
      <w:r w:rsidR="00A02C07" w:rsidRPr="00FB4E2D">
        <w:rPr>
          <w:rFonts w:ascii="Times New Roman" w:eastAsia="Times New Roman" w:hAnsi="Times New Roman" w:cs="Times New Roman"/>
          <w:noProof/>
          <w:kern w:val="0"/>
          <w14:ligatures w14:val="none"/>
        </w:rPr>
        <w:t xml:space="preserve"> Member States when compared to 2016. On the other hand, compared to last year, the general public’s perception of independence improved or remained stable in </w:t>
      </w:r>
      <w:r w:rsidR="26DFFB18" w:rsidRPr="00FB4E2D">
        <w:rPr>
          <w:rFonts w:ascii="Times New Roman" w:eastAsia="Times New Roman" w:hAnsi="Times New Roman" w:cs="Times New Roman"/>
          <w:noProof/>
        </w:rPr>
        <w:t>17</w:t>
      </w:r>
      <w:r w:rsidR="00A02C07" w:rsidRPr="00FB4E2D">
        <w:rPr>
          <w:rFonts w:ascii="Times New Roman" w:eastAsia="Times New Roman" w:hAnsi="Times New Roman" w:cs="Times New Roman"/>
          <w:noProof/>
          <w:kern w:val="0"/>
          <w14:ligatures w14:val="none"/>
        </w:rPr>
        <w:t xml:space="preserve"> Member States while it decreased in </w:t>
      </w:r>
      <w:r w:rsidR="00D918FF">
        <w:rPr>
          <w:rFonts w:ascii="Times New Roman" w:eastAsia="Times New Roman" w:hAnsi="Times New Roman" w:cs="Times New Roman"/>
          <w:noProof/>
        </w:rPr>
        <w:t>ten</w:t>
      </w:r>
      <w:r w:rsidR="00D918FF" w:rsidRPr="00FB4E2D">
        <w:rPr>
          <w:rFonts w:ascii="Times New Roman" w:eastAsia="Times New Roman" w:hAnsi="Times New Roman" w:cs="Times New Roman"/>
          <w:noProof/>
        </w:rPr>
        <w:t xml:space="preserve"> </w:t>
      </w:r>
      <w:r w:rsidR="00A02C07" w:rsidRPr="00FB4E2D">
        <w:rPr>
          <w:rFonts w:ascii="Times New Roman" w:eastAsia="Times New Roman" w:hAnsi="Times New Roman" w:cs="Times New Roman"/>
          <w:noProof/>
          <w:kern w:val="0"/>
          <w14:ligatures w14:val="none"/>
        </w:rPr>
        <w:t>Member States. In t</w:t>
      </w:r>
      <w:r w:rsidR="6D1C06AA" w:rsidRPr="00FB4E2D">
        <w:rPr>
          <w:rFonts w:ascii="Times New Roman" w:eastAsia="Times New Roman" w:hAnsi="Times New Roman" w:cs="Times New Roman"/>
          <w:noProof/>
          <w:kern w:val="0"/>
          <w14:ligatures w14:val="none"/>
        </w:rPr>
        <w:t>wo</w:t>
      </w:r>
      <w:r w:rsidR="00A02C07" w:rsidRPr="00FB4E2D">
        <w:rPr>
          <w:rFonts w:ascii="Times New Roman" w:eastAsia="Times New Roman" w:hAnsi="Times New Roman" w:cs="Times New Roman"/>
          <w:noProof/>
          <w:kern w:val="0"/>
          <w14:ligatures w14:val="none"/>
        </w:rPr>
        <w:t xml:space="preserve"> Member States, the level of perceived independence remain</w:t>
      </w:r>
      <w:r w:rsidR="00B06960" w:rsidRPr="00FB4E2D">
        <w:rPr>
          <w:rFonts w:ascii="Times New Roman" w:eastAsia="Times New Roman" w:hAnsi="Times New Roman" w:cs="Times New Roman"/>
          <w:noProof/>
          <w:kern w:val="0"/>
          <w14:ligatures w14:val="none"/>
        </w:rPr>
        <w:t>ed</w:t>
      </w:r>
      <w:r w:rsidR="00A02C07" w:rsidRPr="00FB4E2D">
        <w:rPr>
          <w:rFonts w:ascii="Times New Roman" w:eastAsia="Times New Roman" w:hAnsi="Times New Roman" w:cs="Times New Roman"/>
          <w:noProof/>
          <w:kern w:val="0"/>
          <w14:ligatures w14:val="none"/>
        </w:rPr>
        <w:t xml:space="preserve"> particularly low. </w:t>
      </w:r>
    </w:p>
    <w:p w14:paraId="23943830" w14:textId="0CD5C209" w:rsidR="00A02C07" w:rsidRPr="00FB4E2D" w:rsidRDefault="00A02C07" w:rsidP="00A02C07">
      <w:pPr>
        <w:numPr>
          <w:ilvl w:val="0"/>
          <w:numId w:val="3"/>
        </w:numPr>
        <w:pBdr>
          <w:top w:val="single" w:sz="4" w:space="1" w:color="auto"/>
          <w:left w:val="single" w:sz="4" w:space="4" w:color="auto"/>
          <w:bottom w:val="single" w:sz="4" w:space="1" w:color="auto"/>
          <w:right w:val="single" w:sz="4" w:space="4" w:color="auto"/>
        </w:pBdr>
        <w:spacing w:after="60" w:line="240" w:lineRule="auto"/>
        <w:ind w:hanging="720"/>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Eurobarometer survey of companies (Figure 50) shows that the perception of independence of courts and judges has improved or remained stable in 18 Member States when compared </w:t>
      </w:r>
      <w:r w:rsidR="007B4B63" w:rsidRPr="00FB4E2D">
        <w:rPr>
          <w:rFonts w:ascii="Times New Roman" w:eastAsia="Times New Roman" w:hAnsi="Times New Roman" w:cs="Times New Roman"/>
          <w:noProof/>
          <w:kern w:val="0"/>
          <w14:ligatures w14:val="none"/>
        </w:rPr>
        <w:t xml:space="preserve">with </w:t>
      </w:r>
      <w:r w:rsidRPr="00FB4E2D">
        <w:rPr>
          <w:rFonts w:ascii="Times New Roman" w:eastAsia="Times New Roman" w:hAnsi="Times New Roman" w:cs="Times New Roman"/>
          <w:noProof/>
          <w:kern w:val="0"/>
          <w14:ligatures w14:val="none"/>
        </w:rPr>
        <w:t xml:space="preserve">2016, while it decreased in nine Member States. Compared </w:t>
      </w:r>
      <w:r w:rsidR="007B4B63" w:rsidRPr="00FB4E2D">
        <w:rPr>
          <w:rFonts w:ascii="Times New Roman" w:eastAsia="Times New Roman" w:hAnsi="Times New Roman" w:cs="Times New Roman"/>
          <w:noProof/>
          <w:kern w:val="0"/>
          <w14:ligatures w14:val="none"/>
        </w:rPr>
        <w:t xml:space="preserve">with </w:t>
      </w:r>
      <w:r w:rsidRPr="00FB4E2D">
        <w:rPr>
          <w:rFonts w:ascii="Times New Roman" w:eastAsia="Times New Roman" w:hAnsi="Times New Roman" w:cs="Times New Roman"/>
          <w:noProof/>
          <w:kern w:val="0"/>
          <w14:ligatures w14:val="none"/>
        </w:rPr>
        <w:t xml:space="preserve">last year, the companies’ perception of independence improved or remained stable in 18 Member States and decreased in </w:t>
      </w:r>
      <w:r w:rsidR="00067E4B" w:rsidRPr="00FB4E2D">
        <w:rPr>
          <w:rFonts w:ascii="Times New Roman" w:eastAsia="Times New Roman" w:hAnsi="Times New Roman" w:cs="Times New Roman"/>
          <w:noProof/>
          <w:kern w:val="0"/>
          <w14:ligatures w14:val="none"/>
        </w:rPr>
        <w:t>nine Member</w:t>
      </w:r>
      <w:r w:rsidRPr="00FB4E2D">
        <w:rPr>
          <w:rFonts w:ascii="Times New Roman" w:eastAsia="Times New Roman" w:hAnsi="Times New Roman" w:cs="Times New Roman"/>
          <w:noProof/>
          <w:kern w:val="0"/>
          <w14:ligatures w14:val="none"/>
        </w:rPr>
        <w:t xml:space="preserve"> States. In three Member States, the level of perceived independence remain</w:t>
      </w:r>
      <w:r w:rsidR="00B06960" w:rsidRPr="00FB4E2D">
        <w:rPr>
          <w:rFonts w:ascii="Times New Roman" w:eastAsia="Times New Roman" w:hAnsi="Times New Roman" w:cs="Times New Roman"/>
          <w:noProof/>
          <w:kern w:val="0"/>
          <w14:ligatures w14:val="none"/>
        </w:rPr>
        <w:t>ed</w:t>
      </w:r>
      <w:r w:rsidRPr="00FB4E2D">
        <w:rPr>
          <w:rFonts w:ascii="Times New Roman" w:eastAsia="Times New Roman" w:hAnsi="Times New Roman" w:cs="Times New Roman"/>
          <w:noProof/>
          <w:kern w:val="0"/>
          <w14:ligatures w14:val="none"/>
        </w:rPr>
        <w:t xml:space="preserve"> particularly low. </w:t>
      </w:r>
    </w:p>
    <w:p w14:paraId="083C3E0B" w14:textId="56C86496" w:rsidR="00A02C07" w:rsidRPr="00FB4E2D" w:rsidRDefault="00A02C07" w:rsidP="00A02C07">
      <w:pPr>
        <w:numPr>
          <w:ilvl w:val="0"/>
          <w:numId w:val="3"/>
        </w:numPr>
        <w:pBdr>
          <w:top w:val="single" w:sz="4" w:space="1" w:color="auto"/>
          <w:left w:val="single" w:sz="4" w:space="4" w:color="auto"/>
          <w:bottom w:val="single" w:sz="4" w:space="1" w:color="auto"/>
          <w:right w:val="single" w:sz="4" w:space="4" w:color="auto"/>
        </w:pBdr>
        <w:spacing w:after="60" w:line="240" w:lineRule="auto"/>
        <w:ind w:hanging="720"/>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Among reasons for the perceived lack of independence of courts and judges, interference or pressure from government and politicians was the most often stated, followed by pressure from economic or other specific interests. Both reasons remain notable for the </w:t>
      </w:r>
      <w:r w:rsidR="679A07FC" w:rsidRPr="00FB4E2D">
        <w:rPr>
          <w:rFonts w:ascii="Times New Roman" w:eastAsia="Times New Roman" w:hAnsi="Times New Roman" w:cs="Times New Roman"/>
          <w:noProof/>
          <w:kern w:val="0"/>
          <w14:ligatures w14:val="none"/>
        </w:rPr>
        <w:t>two</w:t>
      </w:r>
      <w:r w:rsidRPr="00FB4E2D">
        <w:rPr>
          <w:rFonts w:ascii="Times New Roman" w:eastAsia="Times New Roman" w:hAnsi="Times New Roman" w:cs="Times New Roman"/>
          <w:noProof/>
          <w:kern w:val="0"/>
          <w14:ligatures w14:val="none"/>
        </w:rPr>
        <w:t xml:space="preserve"> Member States where perceived independence is very low (Figures 49 and 51). </w:t>
      </w:r>
    </w:p>
    <w:p w14:paraId="0A24D83F" w14:textId="60C7BB83" w:rsidR="00A02C07" w:rsidRPr="00FB4E2D" w:rsidRDefault="00A02C07" w:rsidP="00A02C07">
      <w:pPr>
        <w:numPr>
          <w:ilvl w:val="0"/>
          <w:numId w:val="15"/>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eastAsia="Times New Roman" w:hAnsi="Times New Roman" w:cs="Times New Roman"/>
          <w:noProof/>
          <w:kern w:val="0"/>
          <w:szCs w:val="32"/>
          <w14:ligatures w14:val="none"/>
        </w:rPr>
      </w:pPr>
      <w:r w:rsidRPr="00FB4E2D">
        <w:rPr>
          <w:rFonts w:ascii="Times New Roman" w:eastAsia="Times New Roman" w:hAnsi="Times New Roman" w:cs="Times New Roman"/>
          <w:noProof/>
          <w:kern w:val="0"/>
          <w:szCs w:val="32"/>
          <w14:ligatures w14:val="none"/>
        </w:rPr>
        <w:t xml:space="preserve">Since 2022, the EU Justice Scoreboard has presented the results of a Eurobarometer survey on how companies perceive the effectiveness of investment protection by the law and courts as regards, in their view, unjustified decisions or inaction by the State (Figure 52). Administrative conduct, stability and quality of the law-making process, as well as effectiveness of courts and property protection still remain key factors of comparable significance for confidence in investment protection (Figure 53). Compared to last year, confidence in investment protection improved in </w:t>
      </w:r>
      <w:r w:rsidR="0072213B" w:rsidRPr="00FB4E2D">
        <w:rPr>
          <w:rFonts w:ascii="Times New Roman" w:eastAsia="Times New Roman" w:hAnsi="Times New Roman" w:cs="Times New Roman"/>
          <w:noProof/>
          <w:kern w:val="0"/>
          <w:szCs w:val="32"/>
          <w14:ligatures w14:val="none"/>
        </w:rPr>
        <w:t xml:space="preserve">15 </w:t>
      </w:r>
      <w:r w:rsidRPr="00FB4E2D">
        <w:rPr>
          <w:rFonts w:ascii="Times New Roman" w:eastAsia="Times New Roman" w:hAnsi="Times New Roman" w:cs="Times New Roman"/>
          <w:noProof/>
          <w:kern w:val="0"/>
          <w:szCs w:val="32"/>
          <w14:ligatures w14:val="none"/>
        </w:rPr>
        <w:t xml:space="preserve">Member States. </w:t>
      </w:r>
    </w:p>
    <w:p w14:paraId="4288931C" w14:textId="77777777" w:rsidR="00A02C07" w:rsidRPr="00FB4E2D" w:rsidRDefault="00A02C07" w:rsidP="00A02C07">
      <w:pPr>
        <w:numPr>
          <w:ilvl w:val="0"/>
          <w:numId w:val="15"/>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eastAsia="Times New Roman" w:hAnsi="Times New Roman" w:cs="Times New Roman"/>
          <w:noProof/>
          <w:kern w:val="0"/>
          <w:szCs w:val="32"/>
          <w14:ligatures w14:val="none"/>
        </w:rPr>
      </w:pPr>
      <w:r w:rsidRPr="00FB4E2D">
        <w:rPr>
          <w:rFonts w:ascii="Times New Roman" w:eastAsia="Times New Roman" w:hAnsi="Times New Roman" w:cs="Times New Roman"/>
          <w:noProof/>
          <w:kern w:val="0"/>
          <w:szCs w:val="32"/>
          <w14:ligatures w14:val="none"/>
        </w:rPr>
        <w:t xml:space="preserve">Figure 54 presents, for the first time, how judges perceive whether cases have been allocated to judges in circumvention of the established rules or procedures. </w:t>
      </w:r>
    </w:p>
    <w:p w14:paraId="0C806D6F" w14:textId="77777777" w:rsidR="00A02C07" w:rsidRPr="00FB4E2D" w:rsidRDefault="00A02C07" w:rsidP="00A02C07">
      <w:pPr>
        <w:numPr>
          <w:ilvl w:val="0"/>
          <w:numId w:val="15"/>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eastAsia="Times New Roman" w:hAnsi="Times New Roman" w:cs="Times New Roman"/>
          <w:noProof/>
          <w:kern w:val="0"/>
          <w:szCs w:val="32"/>
          <w14:ligatures w14:val="none"/>
        </w:rPr>
      </w:pPr>
      <w:r w:rsidRPr="00FB4E2D">
        <w:rPr>
          <w:rFonts w:ascii="Times New Roman" w:eastAsia="Times New Roman" w:hAnsi="Times New Roman" w:cs="Times New Roman"/>
          <w:noProof/>
          <w:kern w:val="0"/>
          <w:szCs w:val="32"/>
          <w14:ligatures w14:val="none"/>
        </w:rPr>
        <w:t>Figure 55 shows the safeguards regarding probationary periods for judges.</w:t>
      </w:r>
    </w:p>
    <w:p w14:paraId="35F2E56F" w14:textId="69717571" w:rsidR="00A02C07" w:rsidRPr="00FB4E2D" w:rsidRDefault="00A02C07" w:rsidP="00A02C07">
      <w:pPr>
        <w:numPr>
          <w:ilvl w:val="0"/>
          <w:numId w:val="15"/>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eastAsia="Times New Roman" w:hAnsi="Times New Roman" w:cs="Times New Roman"/>
          <w:noProof/>
          <w:kern w:val="0"/>
          <w:szCs w:val="32"/>
          <w14:ligatures w14:val="none"/>
        </w:rPr>
      </w:pPr>
      <w:r w:rsidRPr="00FB4E2D">
        <w:rPr>
          <w:rFonts w:ascii="Times New Roman" w:eastAsia="Times New Roman" w:hAnsi="Times New Roman" w:cs="Times New Roman"/>
          <w:noProof/>
          <w:kern w:val="0"/>
          <w:szCs w:val="32"/>
          <w14:ligatures w14:val="none"/>
        </w:rPr>
        <w:t xml:space="preserve">Figure 56 looks at the management powers of the Prosecutors General over lower standing prosecutors, while </w:t>
      </w:r>
      <w:r w:rsidR="007B4B63" w:rsidRPr="00FB4E2D">
        <w:rPr>
          <w:rFonts w:ascii="Times New Roman" w:eastAsia="Times New Roman" w:hAnsi="Times New Roman" w:cs="Times New Roman"/>
          <w:noProof/>
          <w:kern w:val="0"/>
          <w:szCs w:val="32"/>
          <w14:ligatures w14:val="none"/>
        </w:rPr>
        <w:t>F</w:t>
      </w:r>
      <w:r w:rsidRPr="00FB4E2D">
        <w:rPr>
          <w:rFonts w:ascii="Times New Roman" w:eastAsia="Times New Roman" w:hAnsi="Times New Roman" w:cs="Times New Roman"/>
          <w:noProof/>
          <w:kern w:val="0"/>
          <w:szCs w:val="32"/>
          <w14:ligatures w14:val="none"/>
        </w:rPr>
        <w:t>igure 57 presents the systems for allocation of cases within prosecution offices.</w:t>
      </w:r>
    </w:p>
    <w:p w14:paraId="4258B04F" w14:textId="77777777" w:rsidR="00A02C07" w:rsidRPr="00FB4E2D" w:rsidRDefault="00A02C07" w:rsidP="00A02C07">
      <w:pPr>
        <w:numPr>
          <w:ilvl w:val="0"/>
          <w:numId w:val="15"/>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eastAsia="Times New Roman" w:hAnsi="Times New Roman" w:cs="Times New Roman"/>
          <w:noProof/>
          <w:kern w:val="0"/>
          <w:szCs w:val="32"/>
          <w14:ligatures w14:val="none"/>
        </w:rPr>
      </w:pPr>
      <w:r w:rsidRPr="00FB4E2D">
        <w:rPr>
          <w:rFonts w:ascii="Times New Roman" w:eastAsia="Times New Roman" w:hAnsi="Times New Roman" w:cs="Times New Roman"/>
          <w:noProof/>
          <w:kern w:val="0"/>
          <w:szCs w:val="32"/>
          <w14:ligatures w14:val="none"/>
        </w:rPr>
        <w:t>Figure 58 shows that the independence of lawyers is generally</w:t>
      </w:r>
      <w:r w:rsidRPr="00FB4E2D">
        <w:rPr>
          <w:rFonts w:ascii="Times New Roman" w:eastAsia="Times New Roman" w:hAnsi="Times New Roman" w:cs="Times New Roman"/>
          <w:noProof/>
          <w:kern w:val="0"/>
          <w14:ligatures w14:val="none"/>
        </w:rPr>
        <w:t xml:space="preserve"> ensured, allowing lawyers to freely pursue their activities of advising and representing their clients.</w:t>
      </w:r>
    </w:p>
    <w:p w14:paraId="5F70B07F" w14:textId="77777777" w:rsidR="00A02C07" w:rsidRPr="00FB4E2D" w:rsidRDefault="00A02C07" w:rsidP="00A02C07">
      <w:pPr>
        <w:spacing w:line="259" w:lineRule="auto"/>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br w:type="page"/>
      </w:r>
    </w:p>
    <w:p w14:paraId="012FE443" w14:textId="77777777" w:rsidR="00A02C07" w:rsidRPr="00FB4E2D" w:rsidRDefault="00A02C07" w:rsidP="00A02C07">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 xml:space="preserve">2.3.2. </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Pr="00FB4E2D">
        <w:rPr>
          <w:rFonts w:ascii="Times New Roman" w:eastAsia="Times New Roman" w:hAnsi="Times New Roman" w:cs="Times New Roman"/>
          <w:b/>
          <w:noProof/>
          <w:kern w:val="0"/>
          <w14:ligatures w14:val="none"/>
        </w:rPr>
        <w:t>Perceived judicial independence and effectiveness of investment protection</w:t>
      </w:r>
    </w:p>
    <w:p w14:paraId="255495F0"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How the </w:t>
      </w:r>
      <w:r w:rsidRPr="00FB4E2D">
        <w:rPr>
          <w:rFonts w:ascii="Times New Roman" w:eastAsia="Times New Roman" w:hAnsi="Times New Roman" w:cs="Times New Roman"/>
          <w:b/>
          <w:noProof/>
          <w:kern w:val="0"/>
          <w:u w:val="single"/>
          <w14:ligatures w14:val="none"/>
        </w:rPr>
        <w:t>general public</w:t>
      </w:r>
      <w:r w:rsidRPr="00FB4E2D">
        <w:rPr>
          <w:rFonts w:ascii="Times New Roman" w:eastAsia="Times New Roman" w:hAnsi="Times New Roman" w:cs="Times New Roman"/>
          <w:b/>
          <w:noProof/>
          <w:kern w:val="0"/>
          <w14:ligatures w14:val="none"/>
        </w:rPr>
        <w:t xml:space="preserve"> perceives the </w:t>
      </w:r>
      <w:r w:rsidRPr="00FB4E2D">
        <w:rPr>
          <w:rFonts w:ascii="Times New Roman" w:eastAsia="Times New Roman" w:hAnsi="Times New Roman" w:cs="Times New Roman"/>
          <w:b/>
          <w:noProof/>
          <w:kern w:val="0"/>
          <w:u w:val="single"/>
          <w14:ligatures w14:val="none"/>
        </w:rPr>
        <w:t>independence of courts and judges</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i/>
          <w:noProof/>
          <w:kern w:val="0"/>
          <w14:ligatures w14:val="none"/>
        </w:rPr>
        <w:t xml:space="preserve"> (source: Eurobarometer (</w:t>
      </w:r>
      <w:r w:rsidRPr="00FB4E2D">
        <w:rPr>
          <w:rFonts w:ascii="Times New Roman" w:eastAsia="Times New Roman" w:hAnsi="Times New Roman" w:cs="Times New Roman"/>
          <w:i/>
          <w:noProof/>
          <w:kern w:val="0"/>
          <w:vertAlign w:val="superscript"/>
          <w14:ligatures w14:val="none"/>
        </w:rPr>
        <w:footnoteReference w:id="108"/>
      </w:r>
      <w:r w:rsidRPr="00FB4E2D">
        <w:rPr>
          <w:rFonts w:ascii="Times New Roman" w:eastAsia="Times New Roman" w:hAnsi="Times New Roman" w:cs="Times New Roman"/>
          <w:i/>
          <w:noProof/>
          <w:kern w:val="0"/>
          <w14:ligatures w14:val="none"/>
        </w:rPr>
        <w:t>) – from left to right, light colours: 2016, 2024 and 2025, dark colours: 2026)</w:t>
      </w:r>
      <w:bookmarkStart w:id="399" w:name="_Ref441845836"/>
      <w:r w:rsidRPr="00FB4E2D">
        <w:rPr>
          <w:rFonts w:ascii="Times New Roman" w:eastAsia="Times New Roman" w:hAnsi="Times New Roman" w:cs="Times New Roman"/>
          <w:i/>
          <w:noProof/>
          <w:kern w:val="0"/>
          <w14:ligatures w14:val="none"/>
        </w:rPr>
        <w:t xml:space="preserve"> </w:t>
      </w:r>
    </w:p>
    <w:p w14:paraId="3908E97D" w14:textId="61344875" w:rsidR="00A02C07" w:rsidRPr="00FB4E2D" w:rsidRDefault="0069133A" w:rsidP="00A02C07">
      <w:pPr>
        <w:spacing w:after="0" w:line="240" w:lineRule="auto"/>
        <w:jc w:val="both"/>
        <w:rPr>
          <w:rFonts w:ascii="Times New Roman" w:eastAsia="Calibri" w:hAnsi="Times New Roman" w:cs="Times New Roman"/>
          <w:i/>
          <w:noProof/>
          <w:kern w:val="0"/>
          <w:sz w:val="20"/>
          <w:szCs w:val="22"/>
          <w14:ligatures w14:val="none"/>
        </w:rPr>
      </w:pPr>
      <w:r w:rsidRPr="00FB4E2D">
        <w:rPr>
          <w:rFonts w:ascii="Times New Roman" w:eastAsia="Calibri" w:hAnsi="Times New Roman" w:cs="Times New Roman"/>
          <w:i/>
          <w:noProof/>
          <w:kern w:val="0"/>
          <w:sz w:val="20"/>
          <w:szCs w:val="22"/>
          <w:lang w:val="en-GB" w:eastAsia="en-GB"/>
          <w14:ligatures w14:val="none"/>
        </w:rPr>
        <w:drawing>
          <wp:inline distT="0" distB="0" distL="0" distR="0" wp14:anchorId="14412F29" wp14:editId="275E04CF">
            <wp:extent cx="5760000" cy="2694465"/>
            <wp:effectExtent l="0" t="0" r="0" b="0"/>
            <wp:docPr id="1844804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60000" cy="2694465"/>
                    </a:xfrm>
                    <a:prstGeom prst="rect">
                      <a:avLst/>
                    </a:prstGeom>
                    <a:noFill/>
                  </pic:spPr>
                </pic:pic>
              </a:graphicData>
            </a:graphic>
          </wp:inline>
        </w:drawing>
      </w:r>
    </w:p>
    <w:p w14:paraId="25F22276" w14:textId="77777777" w:rsidR="00A02C07" w:rsidRPr="00FB4E2D" w:rsidRDefault="00A02C07" w:rsidP="00A02C07">
      <w:pPr>
        <w:spacing w:after="0" w:line="240" w:lineRule="auto"/>
        <w:jc w:val="both"/>
        <w:rPr>
          <w:rFonts w:ascii="Times New Roman" w:eastAsia="Calibri" w:hAnsi="Times New Roman" w:cs="Times New Roman"/>
          <w:noProof/>
          <w:kern w:val="0"/>
          <w:sz w:val="28"/>
          <w:szCs w:val="28"/>
          <w14:ligatures w14:val="none"/>
        </w:rPr>
      </w:pPr>
      <w:r w:rsidRPr="00FB4E2D">
        <w:rPr>
          <w:rFonts w:ascii="Times New Roman" w:eastAsia="Calibri" w:hAnsi="Times New Roman" w:cs="Times New Roman"/>
          <w:i/>
          <w:noProof/>
          <w:kern w:val="0"/>
          <w:sz w:val="20"/>
          <w:szCs w:val="20"/>
          <w14:ligatures w14:val="none"/>
        </w:rPr>
        <w:t>(*) Member States are ordered first by the percentage of respondents who stated that the independence of courts and judges is ‘very good’ or ‘fairly good’ (total good); if some Member States have the same percentage of ‘total good’, then they are ordered by the percentage of respondents who stated that the independence of courts and judges is ‘fairly bad’ or ‘very bad’ (total bad); if some Member States have the same percentage of total good and total bad, then they are ordered by the percentage of respondents who stated that the independence of courts and judges is very good; if some Member States have the same percentage of total good, total bad and ‘very good’ then they are ordered by the percentage of respondents who stated that the independence of courts and judges is ‘very bad’.</w:t>
      </w:r>
    </w:p>
    <w:p w14:paraId="5520D3F2" w14:textId="77777777" w:rsidR="00A02C07" w:rsidRPr="00FB4E2D" w:rsidRDefault="00A02C07" w:rsidP="00A02C07">
      <w:pPr>
        <w:spacing w:before="120"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Figure 49 shows the main reasons given by respondents for a perceived lack of independence of courts and judges. Respondents among the general public who rated the independence of the justice system as being ‘fairly bad’ or ‘very bad’ could choose between three reasons to explain their rating. The Member States are listed in the same order as in Figure 48. </w:t>
      </w:r>
    </w:p>
    <w:p w14:paraId="676FC4E7" w14:textId="77777777" w:rsidR="00A02C07" w:rsidRPr="00FB4E2D" w:rsidRDefault="00A02C07" w:rsidP="00A02C07">
      <w:pPr>
        <w:spacing w:line="259" w:lineRule="auto"/>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45E1B187" w14:textId="7777777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Main reasons among the general public for the perceived lack of indepen</w:t>
      </w:r>
      <w:bookmarkStart w:id="400" w:name="_Hlk197337728"/>
      <w:bookmarkStart w:id="401" w:name="_Hlk197337700"/>
      <w:bookmarkStart w:id="402" w:name="_Hlk197337715"/>
      <w:r w:rsidRPr="00FB4E2D">
        <w:rPr>
          <w:rFonts w:ascii="Times New Roman" w:eastAsia="Times New Roman" w:hAnsi="Times New Roman" w:cs="Times New Roman"/>
          <w:b/>
          <w:noProof/>
          <w:kern w:val="0"/>
          <w14:ligatures w14:val="none"/>
        </w:rPr>
        <w:t>d</w:t>
      </w:r>
      <w:bookmarkEnd w:id="400"/>
      <w:r w:rsidRPr="00FB4E2D">
        <w:rPr>
          <w:rFonts w:ascii="Times New Roman" w:eastAsia="Times New Roman" w:hAnsi="Times New Roman" w:cs="Times New Roman"/>
          <w:b/>
          <w:noProof/>
          <w:kern w:val="0"/>
          <w14:ligatures w14:val="none"/>
        </w:rPr>
        <w:t>ence</w:t>
      </w:r>
      <w:bookmarkEnd w:id="401"/>
      <w:r w:rsidRPr="00FB4E2D">
        <w:rPr>
          <w:rFonts w:ascii="Times New Roman" w:eastAsia="Times New Roman" w:hAnsi="Times New Roman" w:cs="Times New Roman"/>
          <w:b/>
          <w:noProof/>
          <w:kern w:val="0"/>
          <w14:ligatures w14:val="none"/>
        </w:rPr>
        <w:t xml:space="preserve"> </w:t>
      </w:r>
      <w:bookmarkEnd w:id="402"/>
      <w:r w:rsidRPr="00FB4E2D">
        <w:rPr>
          <w:rFonts w:ascii="Times New Roman" w:eastAsia="Times New Roman" w:hAnsi="Times New Roman" w:cs="Times New Roman"/>
          <w:i/>
          <w:noProof/>
          <w:kern w:val="0"/>
          <w14:ligatures w14:val="none"/>
        </w:rPr>
        <w:t>(share of all respondents -</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i/>
          <w:noProof/>
          <w:kern w:val="0"/>
          <w14:ligatures w14:val="none"/>
        </w:rPr>
        <w:t>higher value means more influence) (source: Eurobarometer (</w:t>
      </w:r>
      <w:r w:rsidRPr="00FB4E2D">
        <w:rPr>
          <w:rFonts w:ascii="Times New Roman" w:eastAsia="Times New Roman" w:hAnsi="Times New Roman" w:cs="Times New Roman"/>
          <w:i/>
          <w:noProof/>
          <w:kern w:val="0"/>
          <w:vertAlign w:val="superscript"/>
          <w14:ligatures w14:val="none"/>
        </w:rPr>
        <w:footnoteReference w:id="109"/>
      </w:r>
      <w:r w:rsidRPr="00FB4E2D">
        <w:rPr>
          <w:rFonts w:ascii="Times New Roman" w:eastAsia="Times New Roman" w:hAnsi="Times New Roman" w:cs="Times New Roman"/>
          <w:i/>
          <w:noProof/>
          <w:kern w:val="0"/>
          <w14:ligatures w14:val="none"/>
        </w:rPr>
        <w:t>))</w:t>
      </w:r>
    </w:p>
    <w:p w14:paraId="4EC6EB21" w14:textId="4E0AD78F" w:rsidR="00172309" w:rsidRPr="00FB4E2D" w:rsidRDefault="00172309" w:rsidP="00AC4078">
      <w:pPr>
        <w:spacing w:after="0" w:line="240" w:lineRule="auto"/>
        <w:jc w:val="both"/>
        <w:rPr>
          <w:rFonts w:ascii="Times New Roman" w:eastAsia="Times New Roman" w:hAnsi="Times New Roman" w:cs="Times New Roman"/>
          <w:i/>
          <w:noProof/>
          <w:kern w:val="0"/>
          <w14:ligatures w14:val="none"/>
        </w:rPr>
      </w:pPr>
      <w:r w:rsidRPr="00FB4E2D">
        <w:rPr>
          <w:rFonts w:ascii="Times New Roman" w:eastAsia="Times New Roman" w:hAnsi="Times New Roman" w:cs="Times New Roman"/>
          <w:i/>
          <w:noProof/>
          <w:kern w:val="0"/>
          <w:lang w:val="en-GB" w:eastAsia="en-GB"/>
          <w14:ligatures w14:val="none"/>
        </w:rPr>
        <w:drawing>
          <wp:inline distT="0" distB="0" distL="0" distR="0" wp14:anchorId="1E3E59ED" wp14:editId="789FB9A6">
            <wp:extent cx="5760000" cy="2902136"/>
            <wp:effectExtent l="0" t="0" r="0" b="0"/>
            <wp:docPr id="6276720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60000" cy="2902136"/>
                    </a:xfrm>
                    <a:prstGeom prst="rect">
                      <a:avLst/>
                    </a:prstGeom>
                    <a:noFill/>
                  </pic:spPr>
                </pic:pic>
              </a:graphicData>
            </a:graphic>
          </wp:inline>
        </w:drawing>
      </w:r>
    </w:p>
    <w:bookmarkEnd w:id="399"/>
    <w:p w14:paraId="7E645930" w14:textId="58C020B0" w:rsidR="00A02C07" w:rsidRPr="00FB4E2D" w:rsidRDefault="00A02C07" w:rsidP="00AC4078">
      <w:pPr>
        <w:spacing w:before="240" w:after="120" w:line="240" w:lineRule="auto"/>
        <w:jc w:val="both"/>
        <w:rPr>
          <w:rFonts w:ascii="Calibri" w:eastAsia="Calibri" w:hAnsi="Calibri" w:cs="Times New Roman"/>
          <w:noProof/>
          <w:kern w:val="0"/>
          <w:sz w:val="22"/>
          <w:szCs w:val="22"/>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How companies perceive the independence of courts and judges </w:t>
      </w:r>
      <w:r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i/>
          <w:noProof/>
          <w:kern w:val="0"/>
          <w14:ligatures w14:val="none"/>
        </w:rPr>
        <w:t xml:space="preserve"> (source: Eurobarometer (</w:t>
      </w:r>
      <w:r w:rsidRPr="00FB4E2D">
        <w:rPr>
          <w:rFonts w:ascii="Times New Roman" w:eastAsia="Times New Roman" w:hAnsi="Times New Roman" w:cs="Times New Roman"/>
          <w:i/>
          <w:noProof/>
          <w:kern w:val="0"/>
          <w:vertAlign w:val="superscript"/>
          <w14:ligatures w14:val="none"/>
        </w:rPr>
        <w:footnoteReference w:id="110"/>
      </w:r>
      <w:r w:rsidRPr="00FB4E2D">
        <w:rPr>
          <w:rFonts w:ascii="Times New Roman" w:eastAsia="Times New Roman" w:hAnsi="Times New Roman" w:cs="Times New Roman"/>
          <w:i/>
          <w:noProof/>
          <w:kern w:val="0"/>
          <w14:ligatures w14:val="none"/>
        </w:rPr>
        <w:t>) –</w:t>
      </w:r>
      <w:r w:rsidRPr="00FB4E2D">
        <w:rPr>
          <w:rFonts w:ascii="Times New Roman" w:eastAsia="Times New Roman" w:hAnsi="Times New Roman" w:cs="Times New Roman"/>
          <w:b/>
          <w:i/>
          <w:noProof/>
          <w:kern w:val="0"/>
          <w14:ligatures w14:val="none"/>
        </w:rPr>
        <w:t xml:space="preserve"> </w:t>
      </w:r>
      <w:r w:rsidRPr="00FB4E2D">
        <w:rPr>
          <w:rFonts w:ascii="Times New Roman" w:eastAsia="Times New Roman" w:hAnsi="Times New Roman" w:cs="Times New Roman"/>
          <w:i/>
          <w:noProof/>
          <w:kern w:val="0"/>
          <w14:ligatures w14:val="none"/>
        </w:rPr>
        <w:t>from left to right, light colours: 2016, 202</w:t>
      </w:r>
      <w:r w:rsidR="00D46A3C" w:rsidRPr="00FB4E2D">
        <w:rPr>
          <w:rFonts w:ascii="Times New Roman" w:eastAsia="Times New Roman" w:hAnsi="Times New Roman" w:cs="Times New Roman"/>
          <w:i/>
          <w:noProof/>
          <w:kern w:val="0"/>
          <w14:ligatures w14:val="none"/>
        </w:rPr>
        <w:t>4</w:t>
      </w:r>
      <w:r w:rsidRPr="00FB4E2D">
        <w:rPr>
          <w:rFonts w:ascii="Times New Roman" w:eastAsia="Times New Roman" w:hAnsi="Times New Roman" w:cs="Times New Roman"/>
          <w:i/>
          <w:noProof/>
          <w:kern w:val="0"/>
          <w14:ligatures w14:val="none"/>
        </w:rPr>
        <w:t xml:space="preserve"> and 202</w:t>
      </w:r>
      <w:r w:rsidR="00D46A3C" w:rsidRPr="00FB4E2D">
        <w:rPr>
          <w:rFonts w:ascii="Times New Roman" w:eastAsia="Times New Roman" w:hAnsi="Times New Roman" w:cs="Times New Roman"/>
          <w:i/>
          <w:noProof/>
          <w:kern w:val="0"/>
          <w14:ligatures w14:val="none"/>
        </w:rPr>
        <w:t>5</w:t>
      </w:r>
      <w:r w:rsidRPr="00FB4E2D">
        <w:rPr>
          <w:rFonts w:ascii="Times New Roman" w:eastAsia="Times New Roman" w:hAnsi="Times New Roman" w:cs="Times New Roman"/>
          <w:i/>
          <w:noProof/>
          <w:kern w:val="0"/>
          <w14:ligatures w14:val="none"/>
        </w:rPr>
        <w:t>, dark colours: 202</w:t>
      </w:r>
      <w:r w:rsidR="00D46A3C" w:rsidRPr="00FB4E2D">
        <w:rPr>
          <w:rFonts w:ascii="Times New Roman" w:eastAsia="Times New Roman" w:hAnsi="Times New Roman" w:cs="Times New Roman"/>
          <w:i/>
          <w:noProof/>
          <w:kern w:val="0"/>
          <w14:ligatures w14:val="none"/>
        </w:rPr>
        <w:t>6</w:t>
      </w:r>
      <w:r w:rsidRPr="00FB4E2D">
        <w:rPr>
          <w:rFonts w:ascii="Times New Roman" w:eastAsia="Times New Roman" w:hAnsi="Times New Roman" w:cs="Times New Roman"/>
          <w:i/>
          <w:noProof/>
          <w:kern w:val="0"/>
          <w14:ligatures w14:val="none"/>
        </w:rPr>
        <w:t>)</w:t>
      </w:r>
      <w:bookmarkStart w:id="403" w:name="_Ref441845852"/>
    </w:p>
    <w:p w14:paraId="6ABE7BC6" w14:textId="39FA1F84" w:rsidR="00A02C07" w:rsidRPr="00FB4E2D" w:rsidRDefault="00E8170C" w:rsidP="00A02C07">
      <w:pPr>
        <w:spacing w:after="0" w:line="240" w:lineRule="auto"/>
        <w:jc w:val="both"/>
        <w:rPr>
          <w:rFonts w:ascii="Times New Roman" w:eastAsia="Calibri" w:hAnsi="Times New Roman" w:cs="Times New Roman"/>
          <w:i/>
          <w:noProof/>
          <w:kern w:val="0"/>
          <w:sz w:val="20"/>
          <w:szCs w:val="20"/>
          <w14:ligatures w14:val="none"/>
        </w:rPr>
      </w:pPr>
      <w:r>
        <w:rPr>
          <w:rFonts w:ascii="Times New Roman" w:eastAsia="Calibri" w:hAnsi="Times New Roman" w:cs="Times New Roman"/>
          <w:i/>
          <w:noProof/>
          <w:kern w:val="0"/>
          <w:sz w:val="20"/>
          <w:szCs w:val="20"/>
          <w:lang w:val="en-GB" w:eastAsia="en-GB"/>
          <w14:ligatures w14:val="none"/>
        </w:rPr>
        <w:drawing>
          <wp:inline distT="0" distB="0" distL="0" distR="0" wp14:anchorId="7DA0D9DC" wp14:editId="39B4D51A">
            <wp:extent cx="5760000" cy="2621068"/>
            <wp:effectExtent l="0" t="0" r="0" b="8255"/>
            <wp:docPr id="774176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60000" cy="2621068"/>
                    </a:xfrm>
                    <a:prstGeom prst="rect">
                      <a:avLst/>
                    </a:prstGeom>
                    <a:noFill/>
                  </pic:spPr>
                </pic:pic>
              </a:graphicData>
            </a:graphic>
          </wp:inline>
        </w:drawing>
      </w:r>
    </w:p>
    <w:p w14:paraId="289F4627" w14:textId="77777777" w:rsidR="00A02C07" w:rsidRPr="00FB4E2D" w:rsidRDefault="00A02C07" w:rsidP="00A02C07">
      <w:pPr>
        <w:spacing w:after="0" w:line="240" w:lineRule="auto"/>
        <w:jc w:val="both"/>
        <w:rPr>
          <w:rFonts w:ascii="Times New Roman" w:eastAsia="Calibri" w:hAnsi="Times New Roman" w:cs="Times New Roman"/>
          <w:i/>
          <w:noProof/>
          <w:kern w:val="0"/>
          <w:sz w:val="20"/>
          <w:szCs w:val="20"/>
          <w14:ligatures w14:val="none"/>
        </w:rPr>
      </w:pPr>
      <w:r w:rsidRPr="00FB4E2D">
        <w:rPr>
          <w:rFonts w:ascii="Times New Roman" w:eastAsia="Calibri" w:hAnsi="Times New Roman" w:cs="Times New Roman"/>
          <w:i/>
          <w:noProof/>
          <w:kern w:val="0"/>
          <w:sz w:val="20"/>
          <w:szCs w:val="20"/>
          <w14:ligatures w14:val="none"/>
        </w:rPr>
        <w:t>(*) Member States are ordered first by the percentage of respondents who stated that the independence of courts and judges is ‘very good’ or ‘fairly good’ (total good); if some Member States have the same percentage of total good, then they are ordered by the percentage of respondents who stated that the independence of courts and judges is ‘fairly bad’ or ‘very bad’ (total bad); if some Member States have the same percentage of total good and total bad, then they are ordered by the percentage of respondents who stated that the independence of courts and judges is ‘very good’; if some Member States have the same percentage of total good, total bad and ‘very good’, then they are ordered by the percentage of respondents who stated that the independence of courts and judges is ‘very bad’.</w:t>
      </w:r>
    </w:p>
    <w:p w14:paraId="01531D3D" w14:textId="112672CE" w:rsidR="00A02C07" w:rsidRPr="00FB4E2D" w:rsidRDefault="00A02C07" w:rsidP="00A02C07">
      <w:pPr>
        <w:spacing w:before="120"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Figure 51 shows the main reasons given by companies for the perceived lack of independence of courts and judges. Respondents</w:t>
      </w:r>
      <w:r w:rsidR="006E5A6E" w:rsidRPr="00FB4E2D">
        <w:rPr>
          <w:rFonts w:ascii="Times New Roman" w:eastAsia="Calibri" w:hAnsi="Times New Roman" w:cs="Times New Roman"/>
          <w:noProof/>
          <w:kern w:val="0"/>
          <w14:ligatures w14:val="none"/>
        </w:rPr>
        <w:t xml:space="preserve"> who</w:t>
      </w:r>
      <w:r w:rsidRPr="00FB4E2D">
        <w:rPr>
          <w:rFonts w:ascii="Times New Roman" w:eastAsia="Calibri" w:hAnsi="Times New Roman" w:cs="Times New Roman"/>
          <w:noProof/>
          <w:kern w:val="0"/>
          <w14:ligatures w14:val="none"/>
        </w:rPr>
        <w:t xml:space="preserve"> rated the independence of the justice system as being ‘fairly bad’ or ‘very bad,’ could choose between three reasons to explain their rating. The Member States are listed in the same order as in Figure 50.</w:t>
      </w:r>
    </w:p>
    <w:p w14:paraId="6C95632E" w14:textId="77777777" w:rsidR="00A02C07" w:rsidRPr="00FB4E2D" w:rsidRDefault="00A02C07" w:rsidP="00A02C07">
      <w:pPr>
        <w:keepNext/>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Main reasons among companies for the perceived lack of independence </w:t>
      </w:r>
      <w:r w:rsidRPr="00FB4E2D">
        <w:rPr>
          <w:rFonts w:ascii="Times New Roman" w:eastAsia="Times New Roman" w:hAnsi="Times New Roman" w:cs="Times New Roman"/>
          <w:i/>
          <w:noProof/>
          <w:kern w:val="0"/>
          <w14:ligatures w14:val="none"/>
        </w:rPr>
        <w:t>(rate of all respondents -</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i/>
          <w:noProof/>
          <w:kern w:val="0"/>
          <w14:ligatures w14:val="none"/>
        </w:rPr>
        <w:t>higher value means more influence) (source: Eurobarometer (</w:t>
      </w:r>
      <w:r w:rsidRPr="00FB4E2D">
        <w:rPr>
          <w:rFonts w:ascii="Times New Roman" w:eastAsia="Times New Roman" w:hAnsi="Times New Roman" w:cs="Times New Roman"/>
          <w:i/>
          <w:noProof/>
          <w:kern w:val="0"/>
          <w:vertAlign w:val="superscript"/>
          <w14:ligatures w14:val="none"/>
        </w:rPr>
        <w:footnoteReference w:id="111"/>
      </w:r>
      <w:r w:rsidRPr="00FB4E2D">
        <w:rPr>
          <w:rFonts w:ascii="Times New Roman" w:eastAsia="Times New Roman" w:hAnsi="Times New Roman" w:cs="Times New Roman"/>
          <w:i/>
          <w:noProof/>
          <w:kern w:val="0"/>
          <w14:ligatures w14:val="none"/>
        </w:rPr>
        <w:t>))</w:t>
      </w:r>
    </w:p>
    <w:p w14:paraId="3A0ADA7E" w14:textId="29C3AE0D" w:rsidR="00A02C07" w:rsidRPr="00FB4E2D" w:rsidRDefault="00765241" w:rsidP="00A02C07">
      <w:pPr>
        <w:spacing w:after="0" w:line="240" w:lineRule="auto"/>
        <w:rPr>
          <w:rFonts w:ascii="Calibri" w:eastAsia="Calibri" w:hAnsi="Calibri" w:cs="Times New Roman"/>
          <w:noProof/>
          <w:kern w:val="0"/>
          <w:sz w:val="22"/>
          <w:szCs w:val="22"/>
          <w14:ligatures w14:val="none"/>
        </w:rPr>
      </w:pPr>
      <w:r>
        <w:rPr>
          <w:rFonts w:ascii="Calibri" w:eastAsia="Calibri" w:hAnsi="Calibri" w:cs="Times New Roman"/>
          <w:noProof/>
          <w:kern w:val="0"/>
          <w:sz w:val="22"/>
          <w:szCs w:val="22"/>
          <w:lang w:val="en-GB" w:eastAsia="en-GB"/>
          <w14:ligatures w14:val="none"/>
        </w:rPr>
        <w:drawing>
          <wp:inline distT="0" distB="0" distL="0" distR="0" wp14:anchorId="2796BAD0" wp14:editId="494DFE45">
            <wp:extent cx="5760000" cy="2732831"/>
            <wp:effectExtent l="0" t="0" r="0" b="0"/>
            <wp:docPr id="1641593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60000" cy="2732831"/>
                    </a:xfrm>
                    <a:prstGeom prst="rect">
                      <a:avLst/>
                    </a:prstGeom>
                    <a:noFill/>
                  </pic:spPr>
                </pic:pic>
              </a:graphicData>
            </a:graphic>
          </wp:inline>
        </w:drawing>
      </w:r>
    </w:p>
    <w:p w14:paraId="4D6CDFAD" w14:textId="7ADA1FBE" w:rsidR="00A02C07" w:rsidRPr="00FB4E2D" w:rsidRDefault="00A02C07" w:rsidP="00A02C07">
      <w:pPr>
        <w:spacing w:before="240" w:after="120" w:line="259" w:lineRule="auto"/>
        <w:jc w:val="both"/>
        <w:rPr>
          <w:rFonts w:ascii="Times New Roman" w:eastAsia="Times New Roman" w:hAnsi="Times New Roman" w:cs="Times New Roman"/>
          <w:i/>
          <w:noProof/>
          <w:color w:val="1F497D"/>
          <w:kern w:val="0"/>
          <w14:ligatures w14:val="none"/>
        </w:rPr>
      </w:pPr>
      <w:r w:rsidRPr="00FB4E2D">
        <w:rPr>
          <w:rFonts w:ascii="Times New Roman" w:eastAsia="Times New Roman" w:hAnsi="Times New Roman" w:cs="Times New Roman"/>
          <w:noProof/>
          <w:kern w:val="0"/>
          <w14:ligatures w14:val="none"/>
        </w:rPr>
        <w:t xml:space="preserve">Promoting, facilitating and protecting investment are key priorities within the EU single market. EU law aims to maintain a harmonious </w:t>
      </w:r>
      <w:r w:rsidR="006E5A6E" w:rsidRPr="00FB4E2D">
        <w:rPr>
          <w:rFonts w:ascii="Times New Roman" w:eastAsia="Times New Roman" w:hAnsi="Times New Roman" w:cs="Times New Roman"/>
          <w:noProof/>
          <w:kern w:val="0"/>
          <w14:ligatures w14:val="none"/>
        </w:rPr>
        <w:t xml:space="preserve">balance </w:t>
      </w:r>
      <w:r w:rsidRPr="00FB4E2D">
        <w:rPr>
          <w:rFonts w:ascii="Times New Roman" w:eastAsia="Times New Roman" w:hAnsi="Times New Roman" w:cs="Times New Roman"/>
          <w:noProof/>
          <w:kern w:val="0"/>
          <w14:ligatures w14:val="none"/>
        </w:rPr>
        <w:t xml:space="preserve">between protecting investments and pursuing other public interest goals that </w:t>
      </w:r>
      <w:r w:rsidR="00762D1A" w:rsidRPr="00FB4E2D">
        <w:rPr>
          <w:rFonts w:ascii="Times New Roman" w:eastAsia="Times New Roman" w:hAnsi="Times New Roman" w:cs="Times New Roman"/>
          <w:noProof/>
          <w:kern w:val="0"/>
          <w14:ligatures w14:val="none"/>
        </w:rPr>
        <w:t xml:space="preserve">improve </w:t>
      </w:r>
      <w:r w:rsidRPr="00FB4E2D">
        <w:rPr>
          <w:rFonts w:ascii="Times New Roman" w:eastAsia="Times New Roman" w:hAnsi="Times New Roman" w:cs="Times New Roman"/>
          <w:noProof/>
          <w:kern w:val="0"/>
          <w14:ligatures w14:val="none"/>
        </w:rPr>
        <w:t xml:space="preserve">the welfare of its people. Figure 52 shows, for the fifth time, the indicator on how companies perceive the effectiveness of investment protection by the law and courts </w:t>
      </w:r>
      <w:r w:rsidR="00762D1A" w:rsidRPr="00FB4E2D">
        <w:rPr>
          <w:rFonts w:ascii="Times New Roman" w:eastAsia="Times New Roman" w:hAnsi="Times New Roman" w:cs="Times New Roman"/>
          <w:noProof/>
          <w:kern w:val="0"/>
          <w14:ligatures w14:val="none"/>
        </w:rPr>
        <w:t>in relation to what they see as</w:t>
      </w:r>
      <w:r w:rsidRPr="00FB4E2D">
        <w:rPr>
          <w:rFonts w:ascii="Times New Roman" w:eastAsia="Times New Roman" w:hAnsi="Times New Roman" w:cs="Times New Roman"/>
          <w:noProof/>
          <w:kern w:val="0"/>
          <w14:ligatures w14:val="none"/>
        </w:rPr>
        <w:t xml:space="preserve"> unjustified decisions or inaction by the State.</w:t>
      </w:r>
    </w:p>
    <w:p w14:paraId="64CDC9C2" w14:textId="77777777" w:rsidR="00A02C07" w:rsidRPr="00FB4E2D" w:rsidRDefault="00A02C07" w:rsidP="00A02C07">
      <w:pPr>
        <w:keepNext/>
        <w:spacing w:before="240" w:after="120" w:line="240" w:lineRule="auto"/>
        <w:jc w:val="both"/>
        <w:rPr>
          <w:rFonts w:ascii="Times New Roman" w:eastAsia="Times New Roman" w:hAnsi="Times New Roman" w:cs="Times New Roman"/>
          <w:i/>
          <w:noProof/>
          <w:kern w:val="0"/>
          <w14:ligatures w14:val="none"/>
        </w:rPr>
      </w:pPr>
      <w:bookmarkStart w:id="404" w:name="_Hlk198021898"/>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How companies perceive the effectiveness of investment protection by the law and courts </w:t>
      </w:r>
      <w:r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i/>
          <w:noProof/>
          <w:kern w:val="0"/>
          <w14:ligatures w14:val="none"/>
        </w:rPr>
        <w:t xml:space="preserve"> (source: Eurobarometer (</w:t>
      </w:r>
      <w:r w:rsidRPr="00FB4E2D">
        <w:rPr>
          <w:rFonts w:ascii="Times New Roman" w:eastAsia="Times New Roman" w:hAnsi="Times New Roman" w:cs="Times New Roman"/>
          <w:i/>
          <w:noProof/>
          <w:kern w:val="0"/>
          <w:vertAlign w:val="superscript"/>
          <w14:ligatures w14:val="none"/>
        </w:rPr>
        <w:footnoteReference w:id="112"/>
      </w:r>
      <w:r w:rsidRPr="00FB4E2D">
        <w:rPr>
          <w:rFonts w:ascii="Times New Roman" w:eastAsia="Times New Roman" w:hAnsi="Times New Roman" w:cs="Times New Roman"/>
          <w:i/>
          <w:noProof/>
          <w:kern w:val="0"/>
          <w14:ligatures w14:val="none"/>
        </w:rPr>
        <w:t>) – from left to right, light colours: 2022, 2024, 2025, dark colours: 2026)</w:t>
      </w:r>
    </w:p>
    <w:p w14:paraId="45C2167B" w14:textId="1492CA63" w:rsidR="00A02C07" w:rsidRPr="00FB4E2D" w:rsidRDefault="003B61F8" w:rsidP="00A02C07">
      <w:pPr>
        <w:keepNext/>
        <w:spacing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lang w:val="en-GB" w:eastAsia="en-GB"/>
          <w14:ligatures w14:val="none"/>
        </w:rPr>
        <w:drawing>
          <wp:inline distT="0" distB="0" distL="0" distR="0" wp14:anchorId="0C26F0A7" wp14:editId="63558F81">
            <wp:extent cx="5760000" cy="2454519"/>
            <wp:effectExtent l="0" t="0" r="0" b="3175"/>
            <wp:docPr id="3321184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60000" cy="2454519"/>
                    </a:xfrm>
                    <a:prstGeom prst="rect">
                      <a:avLst/>
                    </a:prstGeom>
                    <a:noFill/>
                  </pic:spPr>
                </pic:pic>
              </a:graphicData>
            </a:graphic>
          </wp:inline>
        </w:drawing>
      </w:r>
    </w:p>
    <w:bookmarkEnd w:id="404"/>
    <w:p w14:paraId="41E541F4" w14:textId="77777777" w:rsidR="00A02C07" w:rsidRPr="00FB4E2D" w:rsidRDefault="00A02C07" w:rsidP="00A02C07">
      <w:pPr>
        <w:spacing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i/>
          <w:noProof/>
          <w:kern w:val="0"/>
          <w:sz w:val="20"/>
          <w:szCs w:val="20"/>
          <w14:ligatures w14:val="none"/>
        </w:rPr>
        <w:t xml:space="preserve">(*) Member States are ordered first by the combined percentage of respondents who stated that they are very or fairly confident in investment protection by the law and courts (total confident); if some Member States have the same percentage of total confident, then they are ordered by the percentage of respondents who stated that they are ‘fairly unconfident’ or ‘very unconfident’ in the effectiveness of investment protection (total unconfident); if some Member States have the same percentage of total confident and total unconfident, then they are ordered by the percentage of respondents who stated that they are ‘very confident’ in the effectiveness of investment protection; if some Member States have the same percentage of total confident, total unconfident and ‘very confident’, then they are ordered by the percentage of respondents who stated that they are ‘very unconfident’ in the effectiveness of investment protection. </w:t>
      </w:r>
    </w:p>
    <w:p w14:paraId="131FFC3E" w14:textId="1D00B017" w:rsidR="00A02C07" w:rsidRPr="00FB4E2D" w:rsidRDefault="00A02C07" w:rsidP="00A02C07">
      <w:pPr>
        <w:spacing w:before="120" w:after="0" w:line="259"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Figure 53 shows the main reasons given by companies for the perceived lack of effectiveness of investment protection. Respondents </w:t>
      </w:r>
      <w:r w:rsidR="00762D1A" w:rsidRPr="00FB4E2D">
        <w:rPr>
          <w:rFonts w:ascii="Times New Roman" w:eastAsia="Calibri" w:hAnsi="Times New Roman" w:cs="Times New Roman"/>
          <w:noProof/>
          <w:kern w:val="0"/>
          <w14:ligatures w14:val="none"/>
        </w:rPr>
        <w:t xml:space="preserve">who </w:t>
      </w:r>
      <w:r w:rsidRPr="00FB4E2D">
        <w:rPr>
          <w:rFonts w:ascii="Times New Roman" w:eastAsia="Calibri" w:hAnsi="Times New Roman" w:cs="Times New Roman"/>
          <w:noProof/>
          <w:kern w:val="0"/>
          <w14:ligatures w14:val="none"/>
        </w:rPr>
        <w:t>rated their level of confidence as ‘fairly unconfident’ or ‘very unconfident’, could choose between four reasons to explain their rating (and some indicated ‘other’). The Member States are listed in the same order as in Figure 52.</w:t>
      </w:r>
    </w:p>
    <w:p w14:paraId="4D1C9EC1" w14:textId="77777777" w:rsidR="00A02C07" w:rsidRPr="00FB4E2D" w:rsidRDefault="00A02C07" w:rsidP="00A02C07">
      <w:pPr>
        <w:keepNext/>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Main reasons among companies for their perceived lack of effectiveness of investment protection </w:t>
      </w:r>
      <w:r w:rsidRPr="00FB4E2D">
        <w:rPr>
          <w:rFonts w:ascii="Times New Roman" w:eastAsia="Times New Roman" w:hAnsi="Times New Roman" w:cs="Times New Roman"/>
          <w:i/>
          <w:noProof/>
          <w:kern w:val="0"/>
          <w14:ligatures w14:val="none"/>
        </w:rPr>
        <w:t>(rate of all respondents -</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i/>
          <w:noProof/>
          <w:kern w:val="0"/>
          <w14:ligatures w14:val="none"/>
        </w:rPr>
        <w:t>higher value means more influence) (source: Eurobarometer (</w:t>
      </w:r>
      <w:r w:rsidRPr="00FB4E2D">
        <w:rPr>
          <w:rFonts w:ascii="Times New Roman" w:eastAsia="Times New Roman" w:hAnsi="Times New Roman" w:cs="Times New Roman"/>
          <w:i/>
          <w:noProof/>
          <w:kern w:val="0"/>
          <w:vertAlign w:val="superscript"/>
          <w14:ligatures w14:val="none"/>
        </w:rPr>
        <w:footnoteReference w:id="113"/>
      </w:r>
      <w:r w:rsidRPr="00FB4E2D">
        <w:rPr>
          <w:rFonts w:ascii="Times New Roman" w:eastAsia="Times New Roman" w:hAnsi="Times New Roman" w:cs="Times New Roman"/>
          <w:i/>
          <w:noProof/>
          <w:kern w:val="0"/>
          <w14:ligatures w14:val="none"/>
        </w:rPr>
        <w:t>))</w:t>
      </w:r>
    </w:p>
    <w:p w14:paraId="5E032FD9" w14:textId="47221596" w:rsidR="00A02C07" w:rsidRPr="00FB4E2D" w:rsidRDefault="00FA04CE" w:rsidP="00A02C07">
      <w:pPr>
        <w:keepNext/>
        <w:spacing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lang w:val="en-GB" w:eastAsia="en-GB"/>
          <w14:ligatures w14:val="none"/>
        </w:rPr>
        <w:drawing>
          <wp:inline distT="0" distB="0" distL="0" distR="0" wp14:anchorId="444F4152" wp14:editId="329628B1">
            <wp:extent cx="5760000" cy="4951440"/>
            <wp:effectExtent l="0" t="0" r="0" b="1905"/>
            <wp:docPr id="2929004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60000" cy="4951440"/>
                    </a:xfrm>
                    <a:prstGeom prst="rect">
                      <a:avLst/>
                    </a:prstGeom>
                    <a:noFill/>
                  </pic:spPr>
                </pic:pic>
              </a:graphicData>
            </a:graphic>
          </wp:inline>
        </w:drawing>
      </w:r>
    </w:p>
    <w:p w14:paraId="5D3EAC88" w14:textId="77777777" w:rsidR="00AD14E7" w:rsidRPr="00FB4E2D" w:rsidRDefault="00AD14E7">
      <w:pPr>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3B4F7A97" w14:textId="0375E77F" w:rsidR="00A02C07" w:rsidRPr="00FB4E2D" w:rsidRDefault="00A02C07" w:rsidP="00A02C07">
      <w:pPr>
        <w:keepNext/>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How judges perceive whether cases have been allocated to judges in circumvention of the established rules or procedures </w:t>
      </w:r>
      <w:r w:rsidRPr="00FB4E2D">
        <w:rPr>
          <w:rFonts w:ascii="Times New Roman" w:eastAsia="Times New Roman" w:hAnsi="Times New Roman" w:cs="Times New Roman"/>
          <w:i/>
          <w:noProof/>
          <w:kern w:val="0"/>
          <w14:ligatures w14:val="none"/>
        </w:rPr>
        <w:t>(source: European Network of Councils for the Judiciary (</w:t>
      </w:r>
      <w:r w:rsidRPr="00FB4E2D">
        <w:rPr>
          <w:rFonts w:ascii="Times New Roman" w:eastAsia="Times New Roman" w:hAnsi="Times New Roman" w:cs="Times New Roman"/>
          <w:i/>
          <w:noProof/>
          <w:kern w:val="0"/>
          <w:vertAlign w:val="superscript"/>
          <w14:ligatures w14:val="none"/>
        </w:rPr>
        <w:footnoteReference w:id="114"/>
      </w:r>
      <w:r w:rsidRPr="00FB4E2D">
        <w:rPr>
          <w:rFonts w:ascii="Times New Roman" w:eastAsia="Times New Roman" w:hAnsi="Times New Roman" w:cs="Times New Roman"/>
          <w:i/>
          <w:noProof/>
          <w:kern w:val="0"/>
          <w14:ligatures w14:val="none"/>
        </w:rPr>
        <w:t>), 2025)</w:t>
      </w:r>
    </w:p>
    <w:p w14:paraId="731EB5C3" w14:textId="77777777" w:rsidR="00A02C07" w:rsidRPr="00FB4E2D" w:rsidRDefault="00A02C07" w:rsidP="00A02C07">
      <w:pPr>
        <w:spacing w:after="0" w:line="259" w:lineRule="auto"/>
        <w:jc w:val="both"/>
        <w:rPr>
          <w:rFonts w:ascii="Times New Roman" w:eastAsia="Times New Roman" w:hAnsi="Times New Roman" w:cs="Times New Roman"/>
          <w:noProof/>
          <w:kern w:val="0"/>
          <w:highlight w:val="yellow"/>
          <w14:ligatures w14:val="none"/>
        </w:rPr>
      </w:pPr>
      <w:r w:rsidRPr="00FB4E2D">
        <w:rPr>
          <w:rFonts w:ascii="Times New Roman" w:eastAsia="Times New Roman" w:hAnsi="Times New Roman" w:cs="Times New Roman"/>
          <w:noProof/>
          <w:kern w:val="0"/>
          <w:lang w:val="en-GB" w:eastAsia="en-GB"/>
          <w14:ligatures w14:val="none"/>
        </w:rPr>
        <w:drawing>
          <wp:inline distT="0" distB="0" distL="0" distR="0" wp14:anchorId="44F2265B" wp14:editId="6B98F4A8">
            <wp:extent cx="5760000" cy="3017051"/>
            <wp:effectExtent l="0" t="0" r="0" b="0"/>
            <wp:docPr id="2008785359" name="Picture 2"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785359" name="Picture 2" descr="A graph of different colored bars&#10;&#10;AI-generated content may be incorre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60000" cy="3017051"/>
                    </a:xfrm>
                    <a:prstGeom prst="rect">
                      <a:avLst/>
                    </a:prstGeom>
                    <a:noFill/>
                  </pic:spPr>
                </pic:pic>
              </a:graphicData>
            </a:graphic>
          </wp:inline>
        </w:drawing>
      </w:r>
    </w:p>
    <w:p w14:paraId="7C3001E8" w14:textId="77777777" w:rsidR="00A02C07" w:rsidRPr="00FB4E2D" w:rsidRDefault="00A02C07" w:rsidP="00A02C07">
      <w:pPr>
        <w:spacing w:line="259" w:lineRule="auto"/>
        <w:rPr>
          <w:rFonts w:ascii="Times New Roman" w:eastAsia="Times New Roman" w:hAnsi="Times New Roman" w:cs="Times New Roman"/>
          <w:b/>
          <w:noProof/>
          <w:kern w:val="0"/>
          <w:highlight w:val="yellow"/>
          <w14:ligatures w14:val="none"/>
        </w:rPr>
      </w:pPr>
      <w:bookmarkStart w:id="405" w:name="_Toc409530232"/>
      <w:bookmarkStart w:id="406" w:name="_Toc438545681"/>
      <w:bookmarkStart w:id="407" w:name="_Toc438548331"/>
      <w:bookmarkStart w:id="408" w:name="_Toc438548517"/>
      <w:bookmarkStart w:id="409" w:name="_Toc440017705"/>
      <w:bookmarkStart w:id="410" w:name="_Toc440018089"/>
      <w:bookmarkStart w:id="411" w:name="_Toc440033387"/>
      <w:bookmarkStart w:id="412" w:name="_Toc440035238"/>
      <w:bookmarkStart w:id="413" w:name="_Toc440036533"/>
      <w:bookmarkStart w:id="414" w:name="_Toc440042475"/>
      <w:bookmarkStart w:id="415" w:name="_Toc440291128"/>
      <w:bookmarkStart w:id="416" w:name="_Toc440294691"/>
      <w:bookmarkStart w:id="417" w:name="_Toc440295193"/>
      <w:bookmarkStart w:id="418" w:name="_Toc440296598"/>
      <w:bookmarkStart w:id="419" w:name="_Toc440625082"/>
      <w:bookmarkStart w:id="420" w:name="_Toc440626412"/>
      <w:bookmarkStart w:id="421" w:name="_Toc440628866"/>
      <w:bookmarkStart w:id="422" w:name="_Toc441571140"/>
      <w:bookmarkStart w:id="423" w:name="_Toc441581642"/>
      <w:bookmarkStart w:id="424" w:name="_Toc441585909"/>
      <w:bookmarkStart w:id="425" w:name="_Toc441595844"/>
      <w:bookmarkStart w:id="426" w:name="_Toc441596021"/>
      <w:bookmarkStart w:id="427" w:name="_Toc441748146"/>
      <w:bookmarkStart w:id="428" w:name="_Toc441755431"/>
      <w:bookmarkStart w:id="429" w:name="_Toc441756468"/>
      <w:bookmarkStart w:id="430" w:name="_Toc441757512"/>
      <w:bookmarkStart w:id="431" w:name="_Toc441766641"/>
      <w:bookmarkStart w:id="432" w:name="_Toc441766980"/>
      <w:bookmarkStart w:id="433" w:name="_Toc442187981"/>
      <w:bookmarkStart w:id="434" w:name="_Toc442262073"/>
      <w:bookmarkStart w:id="435" w:name="_Toc442362480"/>
      <w:bookmarkStart w:id="436" w:name="_Toc442374816"/>
      <w:bookmarkStart w:id="437" w:name="_Toc442425956"/>
      <w:bookmarkStart w:id="438" w:name="_Toc442453082"/>
      <w:bookmarkStart w:id="439" w:name="_Toc443484540"/>
      <w:bookmarkStart w:id="440" w:name="_Toc443484762"/>
      <w:bookmarkStart w:id="441" w:name="_Toc443509503"/>
      <w:bookmarkStart w:id="442" w:name="_Toc446014832"/>
      <w:bookmarkEnd w:id="403"/>
      <w:r w:rsidRPr="00FB4E2D">
        <w:rPr>
          <w:rFonts w:ascii="Times New Roman" w:eastAsia="Times New Roman" w:hAnsi="Times New Roman" w:cs="Times New Roman"/>
          <w:b/>
          <w:noProof/>
          <w:kern w:val="0"/>
          <w:highlight w:val="yellow"/>
          <w14:ligatures w14:val="none"/>
        </w:rPr>
        <w:br w:type="page"/>
      </w:r>
    </w:p>
    <w:p w14:paraId="58C61C16" w14:textId="77777777" w:rsidR="00A02C07" w:rsidRPr="00FB4E2D" w:rsidRDefault="00A02C07" w:rsidP="00A02C07">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2.3.3. Structural judicial independence</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14:paraId="43306D1B" w14:textId="77777777" w:rsidR="00A02C07" w:rsidRPr="00FB4E2D" w:rsidRDefault="00A02C07" w:rsidP="00A02C07">
      <w:pPr>
        <w:spacing w:after="120" w:line="240" w:lineRule="auto"/>
        <w:jc w:val="both"/>
        <w:rPr>
          <w:rFonts w:ascii="Times New Roman" w:eastAsia="Times New Roman" w:hAnsi="Times New Roman" w:cs="Times New Roman"/>
          <w:noProof/>
          <w:kern w:val="0"/>
          <w:szCs w:val="22"/>
          <w14:ligatures w14:val="none"/>
        </w:rPr>
      </w:pPr>
      <w:r w:rsidRPr="00FB4E2D">
        <w:rPr>
          <w:rFonts w:ascii="Times New Roman" w:eastAsia="Times New Roman" w:hAnsi="Times New Roman" w:cs="Times New Roman"/>
          <w:noProof/>
          <w:kern w:val="0"/>
          <w14:ligatures w14:val="none"/>
        </w:rPr>
        <w:t>The guarantees of structural independence require rules, particularly on the composition of the court and the appointment, length of service and grounds for abstention, rejection and dismissal of its members, that are such as to dispel any reasonable doubt in the minds of individuals as to the imperviousness of the court to external factors and its neutrality with respect to the interests before it (</w:t>
      </w:r>
      <w:r w:rsidRPr="00FB4E2D">
        <w:rPr>
          <w:rFonts w:ascii="Times New Roman" w:eastAsia="Times New Roman" w:hAnsi="Times New Roman" w:cs="Times New Roman"/>
          <w:noProof/>
          <w:kern w:val="0"/>
          <w:vertAlign w:val="superscript"/>
          <w14:ligatures w14:val="none"/>
        </w:rPr>
        <w:footnoteReference w:id="115"/>
      </w:r>
      <w:r w:rsidRPr="00FB4E2D">
        <w:rPr>
          <w:rFonts w:ascii="Times New Roman" w:eastAsia="Times New Roman" w:hAnsi="Times New Roman" w:cs="Times New Roman"/>
          <w:noProof/>
          <w:kern w:val="0"/>
          <w14:ligatures w14:val="none"/>
        </w:rPr>
        <w:t>). They must, in particular, be such as to preclude not only any direct influence, in the form of instructions, but also types of influence that are more indirect and that are liable to have an effect on the decisions of the judges concerned (</w:t>
      </w:r>
      <w:r w:rsidRPr="00FB4E2D">
        <w:rPr>
          <w:rFonts w:ascii="Times New Roman" w:eastAsia="Times New Roman" w:hAnsi="Times New Roman" w:cs="Times New Roman"/>
          <w:noProof/>
          <w:kern w:val="0"/>
          <w:vertAlign w:val="superscript"/>
          <w14:ligatures w14:val="none"/>
        </w:rPr>
        <w:footnoteReference w:id="116"/>
      </w:r>
      <w:r w:rsidRPr="00FB4E2D">
        <w:rPr>
          <w:rFonts w:ascii="Times New Roman" w:eastAsia="Times New Roman" w:hAnsi="Times New Roman" w:cs="Times New Roman"/>
          <w:noProof/>
          <w:kern w:val="0"/>
          <w14:ligatures w14:val="none"/>
        </w:rPr>
        <w:t>).</w:t>
      </w:r>
    </w:p>
    <w:p w14:paraId="33D67AFA" w14:textId="77777777" w:rsidR="00A02C07" w:rsidRPr="00FB4E2D" w:rsidRDefault="00A02C07" w:rsidP="00A02C07">
      <w:pPr>
        <w:spacing w:after="120" w:line="240" w:lineRule="auto"/>
        <w:jc w:val="both"/>
        <w:rPr>
          <w:rFonts w:ascii="Times New Roman" w:eastAsia="Calibri" w:hAnsi="Times New Roman" w:cs="Times New Roman"/>
          <w:noProof/>
          <w:kern w:val="0"/>
          <w:szCs w:val="22"/>
          <w14:ligatures w14:val="none"/>
        </w:rPr>
      </w:pPr>
      <w:r w:rsidRPr="00FB4E2D">
        <w:rPr>
          <w:rFonts w:ascii="Times New Roman" w:eastAsia="Times New Roman" w:hAnsi="Times New Roman" w:cs="Times New Roman"/>
          <w:noProof/>
          <w:kern w:val="0"/>
          <w14:ligatures w14:val="none"/>
        </w:rPr>
        <w:t xml:space="preserve">European standards have been developed, particularly by the Council of Europe, for example in the </w:t>
      </w:r>
      <w:r w:rsidRPr="00FB4E2D">
        <w:rPr>
          <w:rFonts w:ascii="Times New Roman" w:eastAsia="Times New Roman" w:hAnsi="Times New Roman" w:cs="Times New Roman"/>
          <w:i/>
          <w:noProof/>
          <w:kern w:val="0"/>
          <w14:ligatures w14:val="none"/>
        </w:rPr>
        <w:t>2010 Council of Europe Recommendation on judges: independence, efficiency and responsibilities</w:t>
      </w:r>
      <w:r w:rsidRPr="00FB4E2D">
        <w:rPr>
          <w:rFonts w:ascii="Times New Roman" w:eastAsia="Times New Roman" w:hAnsi="Times New Roman" w:cs="Times New Roman"/>
          <w:noProof/>
          <w:kern w:val="0"/>
          <w14:ligatures w14:val="none"/>
        </w:rPr>
        <w:t xml:space="preserve"> (</w:t>
      </w:r>
      <w:r w:rsidRPr="00FB4E2D">
        <w:rPr>
          <w:rFonts w:ascii="Times New Roman" w:eastAsia="Calibri" w:hAnsi="Times New Roman" w:cs="Times New Roman"/>
          <w:noProof/>
          <w:kern w:val="0"/>
          <w:vertAlign w:val="superscript"/>
          <w14:ligatures w14:val="none"/>
        </w:rPr>
        <w:footnoteReference w:id="117"/>
      </w:r>
      <w:r w:rsidRPr="00FB4E2D">
        <w:rPr>
          <w:rFonts w:ascii="Times New Roman" w:eastAsia="Times New Roman" w:hAnsi="Times New Roman" w:cs="Times New Roman"/>
          <w:noProof/>
          <w:kern w:val="0"/>
          <w14:ligatures w14:val="none"/>
        </w:rPr>
        <w:t xml:space="preserve">). The EU Justice Scoreboard presents certain indicators on issues that are relevant when assessing how justice systems are organised to safeguard judicial independence. </w:t>
      </w:r>
      <w:r w:rsidRPr="00FB4E2D">
        <w:rPr>
          <w:rFonts w:ascii="Times New Roman" w:eastAsia="Times New Roman" w:hAnsi="Times New Roman" w:cs="Times New Roman"/>
          <w:noProof/>
          <w:kern w:val="0"/>
          <w:szCs w:val="22"/>
          <w14:ligatures w14:val="none"/>
        </w:rPr>
        <w:t>I</w:t>
      </w:r>
      <w:r w:rsidRPr="00FB4E2D">
        <w:rPr>
          <w:rFonts w:ascii="Times New Roman" w:eastAsia="Calibri" w:hAnsi="Times New Roman" w:cs="Times New Roman"/>
          <w:noProof/>
          <w:kern w:val="0"/>
          <w:szCs w:val="22"/>
          <w14:ligatures w14:val="none"/>
        </w:rPr>
        <w:t xml:space="preserve">mplementing policies and practices to promote integrity and prevent corruption within the judiciary </w:t>
      </w:r>
      <w:r w:rsidRPr="00FB4E2D">
        <w:rPr>
          <w:rFonts w:ascii="Times New Roman" w:eastAsia="Calibri" w:hAnsi="Times New Roman" w:cs="Times New Roman"/>
          <w:noProof/>
          <w:kern w:val="0"/>
          <w14:ligatures w14:val="none"/>
        </w:rPr>
        <w:t xml:space="preserve">is </w:t>
      </w:r>
      <w:r w:rsidRPr="00FB4E2D">
        <w:rPr>
          <w:rFonts w:ascii="Times New Roman" w:eastAsia="Calibri" w:hAnsi="Times New Roman" w:cs="Times New Roman"/>
          <w:noProof/>
          <w:kern w:val="0"/>
          <w:szCs w:val="22"/>
          <w14:ligatures w14:val="none"/>
        </w:rPr>
        <w:t>also essential to guarantee judicial independence. Ultimately, the effective protection of judicial independence also requires, beyond whatever necessary norms, a culture of integrity and impartiality shared by magistrates and respected by wider society.</w:t>
      </w:r>
    </w:p>
    <w:p w14:paraId="46389E50" w14:textId="1040A1A5"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This edition of the Scoreboard contains new and updated indicators on: safeguards regarding probationary periods for judges (Figure 5</w:t>
      </w:r>
      <w:r w:rsidR="20B9AFAF" w:rsidRPr="00FB4E2D">
        <w:rPr>
          <w:rFonts w:ascii="Times New Roman" w:eastAsia="Times New Roman" w:hAnsi="Times New Roman" w:cs="Times New Roman"/>
          <w:noProof/>
        </w:rPr>
        <w:t>5</w:t>
      </w:r>
      <w:r w:rsidRPr="00FB4E2D">
        <w:rPr>
          <w:rFonts w:ascii="Times New Roman" w:eastAsia="Times New Roman" w:hAnsi="Times New Roman" w:cs="Times New Roman"/>
          <w:noProof/>
          <w:kern w:val="0"/>
          <w14:ligatures w14:val="none"/>
        </w:rPr>
        <w:t xml:space="preserve">) </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noProof/>
          <w:kern w:val="0"/>
          <w:vertAlign w:val="superscript"/>
          <w14:ligatures w14:val="none"/>
        </w:rPr>
        <w:footnoteReference w:id="118"/>
      </w:r>
      <w:r w:rsidR="00067E4B" w:rsidRPr="00FB4E2D">
        <w:rPr>
          <w:rFonts w:ascii="Times New Roman" w:eastAsia="Times New Roman" w:hAnsi="Times New Roman" w:cs="Times New Roman"/>
          <w:noProof/>
          <w:kern w:val="0"/>
          <w14:ligatures w14:val="none"/>
        </w:rPr>
        <w:t xml:space="preserve">), </w:t>
      </w:r>
      <w:r w:rsidR="00067E4B" w:rsidRPr="00FB4E2D">
        <w:rPr>
          <w:rFonts w:ascii="Times New Roman" w:eastAsia="Times New Roman" w:hAnsi="Times New Roman" w:cs="Times New Roman"/>
          <w:noProof/>
        </w:rPr>
        <w:t>allocation</w:t>
      </w:r>
      <w:r w:rsidR="5670CC73" w:rsidRPr="00FB4E2D">
        <w:rPr>
          <w:rFonts w:ascii="Times New Roman" w:eastAsia="Times New Roman" w:hAnsi="Times New Roman" w:cs="Times New Roman"/>
          <w:noProof/>
        </w:rPr>
        <w:t xml:space="preserve"> of </w:t>
      </w:r>
      <w:r w:rsidR="70E6EA09" w:rsidRPr="00FB4E2D">
        <w:rPr>
          <w:rFonts w:ascii="Times New Roman" w:eastAsia="Times New Roman" w:hAnsi="Times New Roman" w:cs="Times New Roman"/>
          <w:noProof/>
        </w:rPr>
        <w:t>criminal case</w:t>
      </w:r>
      <w:r w:rsidR="293243AB" w:rsidRPr="00FB4E2D">
        <w:rPr>
          <w:rFonts w:ascii="Times New Roman" w:eastAsia="Times New Roman" w:hAnsi="Times New Roman" w:cs="Times New Roman"/>
          <w:noProof/>
        </w:rPr>
        <w:t>s</w:t>
      </w:r>
      <w:r w:rsidR="70E6EA09" w:rsidRPr="00FB4E2D">
        <w:rPr>
          <w:rFonts w:ascii="Times New Roman" w:eastAsia="Times New Roman" w:hAnsi="Times New Roman" w:cs="Times New Roman"/>
          <w:noProof/>
        </w:rPr>
        <w:t xml:space="preserve"> within the prosecution offices</w:t>
      </w:r>
      <w:r w:rsidRPr="00FB4E2D">
        <w:rPr>
          <w:rFonts w:ascii="Times New Roman" w:eastAsia="Times New Roman" w:hAnsi="Times New Roman" w:cs="Times New Roman"/>
          <w:noProof/>
          <w:kern w:val="0"/>
          <w14:ligatures w14:val="none"/>
        </w:rPr>
        <w:t xml:space="preserve"> (Figure 57) </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noProof/>
          <w:kern w:val="0"/>
          <w:vertAlign w:val="superscript"/>
          <w14:ligatures w14:val="none"/>
        </w:rPr>
        <w:footnoteReference w:id="119"/>
      </w:r>
      <w:r w:rsidRPr="00FB4E2D">
        <w:rPr>
          <w:rFonts w:ascii="Times New Roman" w:eastAsia="Calibri" w:hAnsi="Times New Roman" w:cs="Times New Roman"/>
          <w:noProof/>
          <w:kern w:val="0"/>
          <w14:ligatures w14:val="none"/>
        </w:rPr>
        <w:t xml:space="preserve">), </w:t>
      </w:r>
      <w:r w:rsidRPr="00FB4E2D">
        <w:rPr>
          <w:rFonts w:ascii="Times New Roman" w:eastAsia="Times New Roman" w:hAnsi="Times New Roman" w:cs="Times New Roman"/>
          <w:noProof/>
          <w:kern w:val="0"/>
          <w14:ligatures w14:val="none"/>
        </w:rPr>
        <w:t>and on the independence of bars and lawyers (Figure 58) (</w:t>
      </w:r>
      <w:r w:rsidRPr="00FB4E2D">
        <w:rPr>
          <w:rFonts w:ascii="Times New Roman" w:eastAsia="Times New Roman" w:hAnsi="Times New Roman" w:cs="Times New Roman"/>
          <w:noProof/>
          <w:kern w:val="0"/>
          <w:vertAlign w:val="superscript"/>
          <w14:ligatures w14:val="none"/>
        </w:rPr>
        <w:footnoteReference w:id="120"/>
      </w:r>
      <w:r w:rsidRPr="00FB4E2D">
        <w:rPr>
          <w:rFonts w:ascii="Times New Roman" w:eastAsia="Times New Roman" w:hAnsi="Times New Roman" w:cs="Times New Roman"/>
          <w:noProof/>
          <w:kern w:val="0"/>
          <w14:ligatures w14:val="none"/>
        </w:rPr>
        <w:t>). The figures present the national frameworks as they were in December 2024.</w:t>
      </w:r>
    </w:p>
    <w:p w14:paraId="051E4692" w14:textId="77777777" w:rsidR="00A02C07" w:rsidRPr="00FB4E2D" w:rsidRDefault="00A02C07" w:rsidP="00A02C07">
      <w:pPr>
        <w:spacing w:after="120" w:line="240" w:lineRule="auto"/>
        <w:jc w:val="both"/>
        <w:rPr>
          <w:rFonts w:ascii="Times New Roman" w:eastAsia="Calibri" w:hAnsi="Times New Roman" w:cs="Times New Roman"/>
          <w:noProof/>
          <w:kern w:val="0"/>
          <w:szCs w:val="22"/>
          <w14:ligatures w14:val="none"/>
        </w:rPr>
      </w:pPr>
      <w:r w:rsidRPr="00FB4E2D">
        <w:rPr>
          <w:rFonts w:ascii="Times New Roman" w:eastAsia="Times New Roman" w:hAnsi="Times New Roman" w:cs="Times New Roman"/>
          <w:noProof/>
          <w:kern w:val="0"/>
          <w:szCs w:val="22"/>
          <w14:ligatures w14:val="none"/>
        </w:rPr>
        <w:t xml:space="preserve">The figures presented in the Scoreboard do not provide an assessment or present quantitative data on the effectiveness of the safeguards. They are not intended to reflect the complexity and details of the procedures and accompanying safeguards. </w:t>
      </w:r>
    </w:p>
    <w:p w14:paraId="75860AE7" w14:textId="77777777" w:rsidR="00A02C07" w:rsidRPr="00FB4E2D" w:rsidRDefault="00A02C07" w:rsidP="00A02C07">
      <w:pPr>
        <w:keepNext/>
        <w:tabs>
          <w:tab w:val="left" w:pos="850"/>
        </w:tabs>
        <w:spacing w:before="240" w:after="120" w:line="240" w:lineRule="auto"/>
        <w:ind w:left="720" w:hanging="720"/>
        <w:jc w:val="both"/>
        <w:outlineLvl w:val="3"/>
        <w:rPr>
          <w:rFonts w:ascii="Times New Roman" w:eastAsia="Symbol" w:hAnsi="Times New Roman" w:cs="Symbol"/>
          <w:i/>
          <w:noProof/>
          <w:kern w:val="0"/>
          <w14:ligatures w14:val="none"/>
        </w:rPr>
      </w:pPr>
      <w:r w:rsidRPr="00FB4E2D">
        <w:rPr>
          <w:rFonts w:ascii="Times New Roman" w:eastAsia="Symbol" w:hAnsi="Times New Roman" w:cs="Symbol"/>
          <w:i/>
          <w:noProof/>
          <w:kern w:val="0"/>
          <w14:ligatures w14:val="none"/>
        </w:rPr>
        <w:t>– Safeguards regarding probationary periods for judges –</w:t>
      </w:r>
    </w:p>
    <w:p w14:paraId="325D4524" w14:textId="77777777" w:rsidR="00A02C07" w:rsidRPr="00FB4E2D" w:rsidRDefault="00A02C07" w:rsidP="00A02C07">
      <w:pPr>
        <w:spacing w:after="120" w:line="240" w:lineRule="auto"/>
        <w:jc w:val="both"/>
        <w:rPr>
          <w:rFonts w:ascii="Times New Roman" w:eastAsia="Calibri" w:hAnsi="Times New Roman" w:cs="Times New Roman"/>
          <w:noProof/>
          <w:color w:val="000000"/>
          <w:kern w:val="0"/>
          <w:szCs w:val="22"/>
          <w:shd w:val="clear" w:color="auto" w:fill="FFFFFF"/>
          <w14:ligatures w14:val="none"/>
        </w:rPr>
      </w:pPr>
      <w:r w:rsidRPr="00FB4E2D">
        <w:rPr>
          <w:rFonts w:ascii="Times New Roman" w:eastAsia="Times New Roman" w:hAnsi="Times New Roman" w:cs="Times New Roman"/>
          <w:noProof/>
          <w:kern w:val="0"/>
          <w14:ligatures w14:val="none"/>
        </w:rPr>
        <w:t>Where they exist, probationary periods for new judges must include all necessary safeguards, be based on established international standards, and not be unnecessarily long. Final appointment after the probation period should be the rule (</w:t>
      </w:r>
      <w:r w:rsidRPr="00FB4E2D">
        <w:rPr>
          <w:rFonts w:ascii="Times New Roman" w:eastAsia="Calibri" w:hAnsi="Times New Roman" w:cs="Times New Roman"/>
          <w:noProof/>
          <w:color w:val="000000"/>
          <w:kern w:val="0"/>
          <w:szCs w:val="22"/>
          <w:vertAlign w:val="superscript"/>
          <w14:ligatures w14:val="none"/>
        </w:rPr>
        <w:footnoteReference w:id="121"/>
      </w:r>
      <w:r w:rsidRPr="00FB4E2D">
        <w:rPr>
          <w:rFonts w:ascii="Times New Roman" w:eastAsia="Times New Roman" w:hAnsi="Times New Roman" w:cs="Times New Roman"/>
          <w:noProof/>
          <w:kern w:val="0"/>
          <w14:ligatures w14:val="none"/>
        </w:rPr>
        <w:t>)</w:t>
      </w:r>
      <w:r w:rsidRPr="00FB4E2D">
        <w:rPr>
          <w:rFonts w:ascii="Times New Roman" w:eastAsia="Calibri" w:hAnsi="Times New Roman" w:cs="Times New Roman"/>
          <w:noProof/>
          <w:color w:val="000000"/>
          <w:kern w:val="0"/>
          <w:szCs w:val="22"/>
          <w:shd w:val="clear" w:color="auto" w:fill="FFFFFF"/>
          <w14:ligatures w14:val="none"/>
        </w:rPr>
        <w:t>.</w:t>
      </w:r>
    </w:p>
    <w:p w14:paraId="3F324E6B" w14:textId="77777777"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 55 shows whether judges are appointed for a probationary period, and if they are, the safeguards in place in relation to the assessment of the judge’s performance during the probationary period (and by which body), and according to what criteria and where these are defined. </w:t>
      </w:r>
    </w:p>
    <w:p w14:paraId="1446142A" w14:textId="77777777" w:rsidR="00A02C07" w:rsidRPr="00FB4E2D" w:rsidRDefault="00A02C07">
      <w:pPr>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332A8593" w14:textId="48B2F3F7"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Safeguards regarding probationary periods for judges </w:t>
      </w:r>
      <w:r w:rsidRPr="00FB4E2D">
        <w:rPr>
          <w:rFonts w:ascii="Times New Roman" w:eastAsia="Times New Roman" w:hAnsi="Times New Roman" w:cs="Times New Roman"/>
          <w:noProof/>
          <w:kern w:val="0"/>
          <w14:ligatures w14:val="none"/>
        </w:rPr>
        <w:t>(*) (</w:t>
      </w:r>
      <w:r w:rsidRPr="00FB4E2D">
        <w:rPr>
          <w:rFonts w:ascii="Times New Roman" w:eastAsia="Times New Roman" w:hAnsi="Times New Roman" w:cs="Times New Roman"/>
          <w:i/>
          <w:noProof/>
          <w:kern w:val="0"/>
          <w14:ligatures w14:val="none"/>
        </w:rPr>
        <w:t>source: European Network of Councils for the Judiciary and Network of Presidents of Supreme Judicial Courts of the EU (</w:t>
      </w:r>
      <w:r w:rsidRPr="00FB4E2D">
        <w:rPr>
          <w:rFonts w:ascii="Times New Roman" w:eastAsia="Times New Roman" w:hAnsi="Times New Roman" w:cs="Times New Roman"/>
          <w:i/>
          <w:noProof/>
          <w:kern w:val="0"/>
          <w:vertAlign w:val="superscript"/>
          <w14:ligatures w14:val="none"/>
        </w:rPr>
        <w:footnoteReference w:id="122"/>
      </w:r>
      <w:r w:rsidRPr="00FB4E2D">
        <w:rPr>
          <w:rFonts w:ascii="Times New Roman" w:eastAsia="Times New Roman" w:hAnsi="Times New Roman" w:cs="Times New Roman"/>
          <w:i/>
          <w:noProof/>
          <w:kern w:val="0"/>
          <w14:ligatures w14:val="none"/>
        </w:rPr>
        <w:t>))</w:t>
      </w:r>
    </w:p>
    <w:p w14:paraId="01531F24" w14:textId="11B30BED" w:rsidR="00A02C07" w:rsidRPr="00FB4E2D" w:rsidRDefault="009858EE" w:rsidP="00A02C07">
      <w:pPr>
        <w:spacing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lang w:val="en-GB" w:eastAsia="en-GB"/>
          <w14:ligatures w14:val="none"/>
        </w:rPr>
        <w:drawing>
          <wp:inline distT="0" distB="0" distL="0" distR="0" wp14:anchorId="51B6C2B1" wp14:editId="1CE03D27">
            <wp:extent cx="5760000" cy="3426588"/>
            <wp:effectExtent l="0" t="0" r="0" b="2540"/>
            <wp:docPr id="1580228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60000" cy="3426588"/>
                    </a:xfrm>
                    <a:prstGeom prst="rect">
                      <a:avLst/>
                    </a:prstGeom>
                    <a:noFill/>
                  </pic:spPr>
                </pic:pic>
              </a:graphicData>
            </a:graphic>
          </wp:inline>
        </w:drawing>
      </w:r>
    </w:p>
    <w:p w14:paraId="6CDE472C" w14:textId="29173439" w:rsidR="00A02C07" w:rsidRPr="00FB4E2D" w:rsidRDefault="00B07C21" w:rsidP="00116E76">
      <w:pPr>
        <w:spacing w:after="200" w:line="240" w:lineRule="auto"/>
        <w:jc w:val="both"/>
        <w:rPr>
          <w:rFonts w:ascii="Calibri" w:eastAsia="Calibri" w:hAnsi="Calibri" w:cs="Times New Roman"/>
          <w:noProof/>
          <w:kern w:val="0"/>
          <w:sz w:val="22"/>
          <w:szCs w:val="22"/>
          <w14:ligatures w14:val="none"/>
        </w:rPr>
      </w:pPr>
      <w:r w:rsidRPr="00B07C21">
        <w:rPr>
          <w:rFonts w:ascii="Times New Roman" w:eastAsia="Times New Roman" w:hAnsi="Times New Roman" w:cs="Times New Roman"/>
          <w:i/>
          <w:noProof/>
          <w:kern w:val="0"/>
          <w:sz w:val="20"/>
          <w:szCs w:val="20"/>
          <w14:ligatures w14:val="none"/>
        </w:rPr>
        <w:t xml:space="preserve">(*) Non-coloured blocks indicate no data. </w:t>
      </w:r>
      <w:r w:rsidRPr="00B07C21">
        <w:rPr>
          <w:rFonts w:ascii="Times New Roman" w:eastAsia="Times New Roman" w:hAnsi="Times New Roman" w:cs="Times New Roman"/>
          <w:b/>
          <w:bCs/>
          <w:i/>
          <w:noProof/>
          <w:kern w:val="0"/>
          <w:sz w:val="20"/>
          <w:szCs w:val="20"/>
          <w14:ligatures w14:val="none"/>
        </w:rPr>
        <w:t>BG</w:t>
      </w:r>
      <w:r w:rsidRPr="00B07C21">
        <w:rPr>
          <w:rFonts w:ascii="Times New Roman" w:eastAsia="Times New Roman" w:hAnsi="Times New Roman" w:cs="Times New Roman"/>
          <w:i/>
          <w:noProof/>
          <w:kern w:val="0"/>
          <w:sz w:val="20"/>
          <w:szCs w:val="20"/>
          <w14:ligatures w14:val="none"/>
        </w:rPr>
        <w:t xml:space="preserve">: Reviews are conducted by the Council of the Judiciary and the Supreme Administrative Court. Consequences of unfavourable assessment: prolongation or dismissal. Review of the assessment by the council for the judiciary and a court. </w:t>
      </w:r>
      <w:r w:rsidRPr="00B07C21">
        <w:rPr>
          <w:rFonts w:ascii="Times New Roman" w:eastAsia="Times New Roman" w:hAnsi="Times New Roman" w:cs="Times New Roman"/>
          <w:b/>
          <w:bCs/>
          <w:i/>
          <w:noProof/>
          <w:kern w:val="0"/>
          <w:sz w:val="20"/>
          <w:szCs w:val="20"/>
          <w14:ligatures w14:val="none"/>
        </w:rPr>
        <w:t>DE</w:t>
      </w:r>
      <w:r w:rsidRPr="00B07C21">
        <w:rPr>
          <w:rFonts w:ascii="Times New Roman" w:eastAsia="Times New Roman" w:hAnsi="Times New Roman" w:cs="Times New Roman"/>
          <w:i/>
          <w:noProof/>
          <w:kern w:val="0"/>
          <w:sz w:val="20"/>
          <w:szCs w:val="20"/>
          <w14:ligatures w14:val="none"/>
        </w:rPr>
        <w:t xml:space="preserve">: The chart reflects the situation for state judges. For federal judges there is not probationary period. Assessments of state judges during their probationary period has to be specifically requested. According to Section 22 subsection 1 of the German Judiciary Act a judge on probation can be dismissed on expiry of six, twelve, eighteen or twenty-four months following their appointment. Even though the Section does not literally say so, objective reasons are required for a dismissal. Section 22 subsection 2 states that a judge on probation can be dismissed on expiry of the third or fourth year (1) where they are not suited to hold judicial office, or (2) where a judicial selection committee refuses to give them judicial tenure for life or for a specified term. Furthermore, according two subsection 3 of Section 22 a judge on probation can in addition be dismissed where they have conducted themself in a manner, which would lead, in the case of a judge for life, to a disciplinary measure imposable in formal disciplinary proceedings. Finally, in the cases under subsections 1 and 2 the judge is notified of the dismissal order at least six weeks before the day of dismissal. Review during probationary period performed by special service courts for state judges in the 16 states. Consequences of unfavourable assessment: dismissal. Review of the assessment by a court.  </w:t>
      </w:r>
      <w:r w:rsidRPr="00B07C21">
        <w:rPr>
          <w:rFonts w:ascii="Times New Roman" w:eastAsia="Times New Roman" w:hAnsi="Times New Roman" w:cs="Times New Roman"/>
          <w:b/>
          <w:bCs/>
          <w:i/>
          <w:noProof/>
          <w:kern w:val="0"/>
          <w:sz w:val="20"/>
          <w:szCs w:val="20"/>
          <w14:ligatures w14:val="none"/>
        </w:rPr>
        <w:t>EE</w:t>
      </w:r>
      <w:r w:rsidRPr="00B07C21">
        <w:rPr>
          <w:rFonts w:ascii="Times New Roman" w:eastAsia="Times New Roman" w:hAnsi="Times New Roman" w:cs="Times New Roman"/>
          <w:i/>
          <w:noProof/>
          <w:kern w:val="0"/>
          <w:sz w:val="20"/>
          <w:szCs w:val="20"/>
          <w14:ligatures w14:val="none"/>
        </w:rPr>
        <w:t xml:space="preserve">: If there is an unfavourable assessment, according to §100 of the Courts Act a person may be released from the office of judge due to unsuitability for office only within three years after appointment to office if the judge has been declared unsuitable for office by a decision of the Supreme Court en banc. Upon assessment of suitability for the office of judge, the Supreme Court en banc considers the proposal of a person or body entitled to commence disciplinary proceedings, the opinion of the judge’s examination committee and other information characterising the work of the judge. Consequences of unfavourable assessment: dismissal. Review of the assessment by a court. </w:t>
      </w:r>
      <w:r w:rsidRPr="00B07C21">
        <w:rPr>
          <w:rFonts w:ascii="Times New Roman" w:eastAsia="Times New Roman" w:hAnsi="Times New Roman" w:cs="Times New Roman"/>
          <w:b/>
          <w:bCs/>
          <w:i/>
          <w:noProof/>
          <w:kern w:val="0"/>
          <w:sz w:val="20"/>
          <w:szCs w:val="20"/>
          <w14:ligatures w14:val="none"/>
        </w:rPr>
        <w:t>EL:</w:t>
      </w:r>
      <w:r w:rsidRPr="00B07C21">
        <w:rPr>
          <w:rFonts w:ascii="Times New Roman" w:eastAsia="Times New Roman" w:hAnsi="Times New Roman" w:cs="Times New Roman"/>
          <w:i/>
          <w:noProof/>
          <w:kern w:val="0"/>
          <w:sz w:val="20"/>
          <w:szCs w:val="20"/>
          <w14:ligatures w14:val="none"/>
        </w:rPr>
        <w:t xml:space="preserve"> Probationary period of 10 months. Assessment by the council for the judiciary (administrative courts) or by the Appeal Court sitting in council and consisting of the President, the Prosecutor and three Appeal judges (civil and criminal courts). Consequences of unfavourable assessment: prolongation or dismissal. EL (administrative courts): Review before the plenum of the Council of State. EL (civil and criminal courts): no review. </w:t>
      </w:r>
      <w:r w:rsidRPr="00B07C21">
        <w:rPr>
          <w:rFonts w:ascii="Calibri" w:eastAsia="Yu Mincho" w:hAnsi="Calibri" w:cs="Arial"/>
          <w:noProof/>
          <w:kern w:val="0"/>
          <w:sz w:val="22"/>
          <w:szCs w:val="22"/>
          <w14:ligatures w14:val="none"/>
        </w:rPr>
        <w:t xml:space="preserve"> </w:t>
      </w:r>
      <w:r w:rsidRPr="00B07C21">
        <w:rPr>
          <w:rFonts w:ascii="Times New Roman" w:eastAsia="Times New Roman" w:hAnsi="Times New Roman" w:cs="Times New Roman"/>
          <w:b/>
          <w:i/>
          <w:noProof/>
          <w:kern w:val="0"/>
          <w:sz w:val="20"/>
          <w:szCs w:val="20"/>
          <w14:ligatures w14:val="none"/>
        </w:rPr>
        <w:t>ES:</w:t>
      </w:r>
      <w:r w:rsidRPr="00B07C21">
        <w:rPr>
          <w:rFonts w:ascii="Times New Roman" w:eastAsia="Times New Roman" w:hAnsi="Times New Roman" w:cs="Times New Roman"/>
          <w:i/>
          <w:noProof/>
          <w:kern w:val="0"/>
          <w:sz w:val="20"/>
          <w:szCs w:val="20"/>
          <w14:ligatures w14:val="none"/>
        </w:rPr>
        <w:t xml:space="preserve"> The Judicial School performs the mandatory assessment of how the judge worked during the probationary period based on quantitative and qualitative criteria. The probationary period includes not only one year of theoretical and practical activities in the school for judiciary but also two more steps, a trainee activity and a period of acting as a judge under the supervision of a senior/permanent judge. During these periods, assessments criteria are qualitative in the vast majority of cases but there exists also a quantitative assessment (for example on the number of judgments issued) to fulfil requirements. Candidates who do not pass the course may take it again and will be incorporated to the new promotion. If they do not pass the course in the second attempt, they will be finally excluded and any rights to access the Judicial Career by virtue of the access examinations will lapse. Consequences of unfavourable assessment: prolongation. Review of the assessment by the council for the judiciary and a court. </w:t>
      </w:r>
      <w:r w:rsidRPr="00B07C21">
        <w:rPr>
          <w:rFonts w:ascii="Times New Roman" w:eastAsia="Times New Roman" w:hAnsi="Times New Roman" w:cs="Times New Roman"/>
          <w:b/>
          <w:bCs/>
          <w:i/>
          <w:noProof/>
          <w:kern w:val="0"/>
          <w:sz w:val="20"/>
          <w:szCs w:val="20"/>
          <w14:ligatures w14:val="none"/>
        </w:rPr>
        <w:t>IT (civil and criminal courts)</w:t>
      </w:r>
      <w:r w:rsidRPr="00B07C21">
        <w:rPr>
          <w:rFonts w:ascii="Times New Roman" w:eastAsia="Times New Roman" w:hAnsi="Times New Roman" w:cs="Times New Roman"/>
          <w:i/>
          <w:noProof/>
          <w:kern w:val="0"/>
          <w:sz w:val="20"/>
          <w:szCs w:val="20"/>
          <w14:ligatures w14:val="none"/>
        </w:rPr>
        <w:t xml:space="preserve">: Consequences of unfavourable assessment: prolongation or dismissal. </w:t>
      </w:r>
      <w:r w:rsidRPr="00B07C21">
        <w:rPr>
          <w:rFonts w:ascii="Times New Roman" w:eastAsia="Times New Roman" w:hAnsi="Times New Roman" w:cs="Times New Roman"/>
          <w:b/>
          <w:bCs/>
          <w:i/>
          <w:noProof/>
          <w:kern w:val="0"/>
          <w:sz w:val="20"/>
          <w:szCs w:val="20"/>
          <w14:ligatures w14:val="none"/>
        </w:rPr>
        <w:t>CY:</w:t>
      </w:r>
      <w:r w:rsidRPr="00B07C21">
        <w:rPr>
          <w:rFonts w:ascii="Times New Roman" w:eastAsia="Times New Roman" w:hAnsi="Times New Roman" w:cs="Times New Roman"/>
          <w:i/>
          <w:noProof/>
          <w:kern w:val="0"/>
          <w:sz w:val="20"/>
          <w:szCs w:val="20"/>
          <w14:ligatures w14:val="none"/>
        </w:rPr>
        <w:t xml:space="preserve"> Probationary period of 2 years. Consequences of unfavourable assessment: prolongation or dismissal. Review of the assessment by a court.  </w:t>
      </w:r>
      <w:r w:rsidRPr="00B07C21">
        <w:rPr>
          <w:rFonts w:ascii="Times New Roman" w:eastAsia="Times New Roman" w:hAnsi="Times New Roman" w:cs="Times New Roman"/>
          <w:b/>
          <w:bCs/>
          <w:i/>
          <w:noProof/>
          <w:kern w:val="0"/>
          <w:sz w:val="20"/>
          <w:szCs w:val="20"/>
          <w14:ligatures w14:val="none"/>
        </w:rPr>
        <w:t xml:space="preserve">LV: </w:t>
      </w:r>
      <w:r w:rsidRPr="00B07C21">
        <w:rPr>
          <w:rFonts w:ascii="Times New Roman" w:eastAsia="Times New Roman" w:hAnsi="Times New Roman" w:cs="Times New Roman"/>
          <w:i/>
          <w:noProof/>
          <w:kern w:val="0"/>
          <w:sz w:val="20"/>
          <w:szCs w:val="20"/>
          <w14:ligatures w14:val="none"/>
        </w:rPr>
        <w:t xml:space="preserve">A judge of a district (city) court is appointed to the office by Parliament, upon proposal of the Minister of Justice, for three years. After three years served in the office, Parliament, upon the proposal of the Minister of Justice, on the basis of statement of the Judicial Qualification Committee provided in its assessment of professional activity of the judge, appoints the judge of a district (city) court to the office without limitation of term of office, or appoints him or her to the office repeatedly for the term not exceeding two years. After expiration of repeated term of office, Parliament approves the judge of a district (city) court to the office without limitation of term of office. If work of a judge is unsatisfactory, the Minister of Justice, based on the statement of the Judicial Qualification Committee provided in its assessment of professional activity of the judge, does not nominate the candidature of a judge for re-appointment or re-approval to the office of a judge. Consequences of unfavourable assessment: prolongation or dismissal. </w:t>
      </w:r>
      <w:r w:rsidRPr="00B07C21">
        <w:rPr>
          <w:rFonts w:ascii="Times New Roman" w:eastAsia="Times New Roman" w:hAnsi="Times New Roman" w:cs="Times New Roman"/>
          <w:b/>
          <w:bCs/>
          <w:i/>
          <w:noProof/>
          <w:kern w:val="0"/>
          <w:sz w:val="20"/>
          <w:szCs w:val="20"/>
          <w14:ligatures w14:val="none"/>
        </w:rPr>
        <w:t>HU</w:t>
      </w:r>
      <w:r w:rsidRPr="00B07C21">
        <w:rPr>
          <w:rFonts w:ascii="Times New Roman" w:eastAsia="Times New Roman" w:hAnsi="Times New Roman" w:cs="Times New Roman"/>
          <w:i/>
          <w:noProof/>
          <w:kern w:val="0"/>
          <w:sz w:val="20"/>
          <w:szCs w:val="20"/>
          <w14:ligatures w14:val="none"/>
        </w:rPr>
        <w:t xml:space="preserve">: Probationary period of 3 years. Consequences of unfavourable assessment: dismissal. Review of the assessment by the service court. If the evaluation of a judge ends with a result that the judge is not sufficient for the judicial job, a procedure starts to define if the dismissal is necessary (similar to a disciplinary procedure). The judge can turn to the service court against the assessment done by the president of court. Only the service court can dismiss the judge. After an amendment of the internal rules of the intermediate “minor” assessment after the first year those are less formal and less detailed than before, therefore they cannot be regarded as a review anymore. </w:t>
      </w:r>
      <w:r w:rsidRPr="00B07C21">
        <w:rPr>
          <w:rFonts w:ascii="Times New Roman" w:eastAsia="Times New Roman" w:hAnsi="Times New Roman" w:cs="Times New Roman"/>
          <w:b/>
          <w:bCs/>
          <w:i/>
          <w:noProof/>
          <w:kern w:val="0"/>
          <w:sz w:val="20"/>
          <w:szCs w:val="20"/>
          <w14:ligatures w14:val="none"/>
        </w:rPr>
        <w:t xml:space="preserve">NL: </w:t>
      </w:r>
      <w:r w:rsidRPr="00B07C21">
        <w:rPr>
          <w:rFonts w:ascii="Times New Roman" w:eastAsia="Times New Roman" w:hAnsi="Times New Roman" w:cs="Times New Roman"/>
          <w:i/>
          <w:noProof/>
          <w:kern w:val="0"/>
          <w:sz w:val="20"/>
          <w:szCs w:val="20"/>
          <w14:ligatures w14:val="none"/>
        </w:rPr>
        <w:t xml:space="preserve">Probation period up to 4 years, depending on professional experience. Consequences of unfavourable assessment: dismissal. </w:t>
      </w:r>
      <w:r w:rsidRPr="00B07C21">
        <w:rPr>
          <w:rFonts w:ascii="Times New Roman" w:eastAsia="Times New Roman" w:hAnsi="Times New Roman" w:cs="Times New Roman"/>
          <w:b/>
          <w:bCs/>
          <w:i/>
          <w:noProof/>
          <w:kern w:val="0"/>
          <w:sz w:val="20"/>
          <w:szCs w:val="20"/>
          <w14:ligatures w14:val="none"/>
        </w:rPr>
        <w:t>PT:</w:t>
      </w:r>
      <w:r w:rsidRPr="00B07C21">
        <w:rPr>
          <w:rFonts w:ascii="Times New Roman" w:eastAsia="Times New Roman" w:hAnsi="Times New Roman" w:cs="Times New Roman"/>
          <w:i/>
          <w:noProof/>
          <w:kern w:val="0"/>
          <w:sz w:val="20"/>
          <w:szCs w:val="20"/>
          <w14:ligatures w14:val="none"/>
        </w:rPr>
        <w:t xml:space="preserve"> Probationary period between 1 Sept. and 15 July (could be extended up to 6 months). The High Judicial Council gather information on the suitability, merit and performance of the probationary magistrate, and the Centre for Judicial Studies (Ministry of Justice) must provide them with the appropriate information on a regular basis. The Pedagogical Council of the Centre for Judicial Studies may, on a proposal from the Director, issue a reasoned opinion to the effect that a magistrate on probation should not be appointed on a permanent basis if it concludes that the magistrate is not suitable for the job. Consequences of unfavourable assessment: dismissal.</w:t>
      </w:r>
    </w:p>
    <w:p w14:paraId="265D4B70" w14:textId="77777777" w:rsidR="00A02C07" w:rsidRPr="00FB4E2D" w:rsidRDefault="00A02C07" w:rsidP="00A02C07">
      <w:pPr>
        <w:keepNext/>
        <w:tabs>
          <w:tab w:val="left" w:pos="850"/>
        </w:tabs>
        <w:spacing w:before="240" w:after="120" w:line="240" w:lineRule="auto"/>
        <w:ind w:left="720" w:hanging="720"/>
        <w:jc w:val="both"/>
        <w:outlineLvl w:val="3"/>
        <w:rPr>
          <w:rFonts w:ascii="Times New Roman" w:eastAsia="Symbol" w:hAnsi="Times New Roman" w:cs="Symbol"/>
          <w:i/>
          <w:noProof/>
          <w:kern w:val="0"/>
          <w14:ligatures w14:val="none"/>
        </w:rPr>
      </w:pPr>
      <w:r w:rsidRPr="00FB4E2D">
        <w:rPr>
          <w:rFonts w:ascii="Times New Roman" w:eastAsia="Symbol" w:hAnsi="Times New Roman" w:cs="Symbol"/>
          <w:i/>
          <w:noProof/>
          <w:kern w:val="0"/>
          <w14:ligatures w14:val="none"/>
        </w:rPr>
        <w:t>– Safeguards relating to the functioning of national prosecution services in the EU –</w:t>
      </w:r>
    </w:p>
    <w:p w14:paraId="6423CEA5" w14:textId="41EC7B76"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Public prosecution plays a major role in the criminal justice system and in cooperation between Member States in criminal matters. The proper functioning of the national prosecution service is crucial for the effective fight against crime, including economic and financial crime, such as money laundering and corruption. According to the case law of the Court of Justice o</w:t>
      </w:r>
      <w:r w:rsidR="00762D1A" w:rsidRPr="00FB4E2D">
        <w:rPr>
          <w:rFonts w:ascii="Times New Roman" w:eastAsia="Times New Roman" w:hAnsi="Times New Roman" w:cs="Times New Roman"/>
          <w:noProof/>
          <w:kern w:val="0"/>
          <w14:ligatures w14:val="none"/>
        </w:rPr>
        <w:t>n</w:t>
      </w:r>
      <w:r w:rsidRPr="00FB4E2D">
        <w:rPr>
          <w:rFonts w:ascii="Times New Roman" w:eastAsia="Times New Roman" w:hAnsi="Times New Roman" w:cs="Times New Roman"/>
          <w:noProof/>
          <w:kern w:val="0"/>
          <w14:ligatures w14:val="none"/>
        </w:rPr>
        <w:t xml:space="preserve"> the European Arrest Warrant Framework Decision (</w:t>
      </w:r>
      <w:r w:rsidRPr="00FB4E2D">
        <w:rPr>
          <w:rFonts w:ascii="Times New Roman" w:eastAsia="Times New Roman" w:hAnsi="Times New Roman" w:cs="Times New Roman"/>
          <w:noProof/>
          <w:kern w:val="0"/>
          <w:vertAlign w:val="superscript"/>
          <w14:ligatures w14:val="none"/>
        </w:rPr>
        <w:footnoteReference w:id="123"/>
      </w:r>
      <w:r w:rsidRPr="00FB4E2D">
        <w:rPr>
          <w:rFonts w:ascii="Times New Roman" w:eastAsia="Times New Roman" w:hAnsi="Times New Roman" w:cs="Times New Roman"/>
          <w:noProof/>
          <w:kern w:val="0"/>
          <w14:ligatures w14:val="none"/>
        </w:rPr>
        <w:t xml:space="preserve">), </w:t>
      </w:r>
      <w:r w:rsidR="00762D1A" w:rsidRPr="00FB4E2D">
        <w:rPr>
          <w:rFonts w:ascii="Times New Roman" w:eastAsia="Times New Roman" w:hAnsi="Times New Roman" w:cs="Times New Roman"/>
          <w:noProof/>
          <w:kern w:val="0"/>
          <w14:ligatures w14:val="none"/>
        </w:rPr>
        <w:t xml:space="preserve">a </w:t>
      </w:r>
      <w:r w:rsidRPr="00FB4E2D">
        <w:rPr>
          <w:rFonts w:ascii="Times New Roman" w:eastAsia="Times New Roman" w:hAnsi="Times New Roman" w:cs="Times New Roman"/>
          <w:noProof/>
          <w:kern w:val="0"/>
          <w14:ligatures w14:val="none"/>
        </w:rPr>
        <w:t>public prosecutor’s office can be considered a Member State judicial authority for the purpose of issuing and executing a European arrest warrant whenever it can act independently, without being exposed to the risk of being subject, directly or indirectly, to directions or instructions issued by the executive (e.g. a Minister for Justice) in a specific case (</w:t>
      </w:r>
      <w:r w:rsidRPr="00FB4E2D">
        <w:rPr>
          <w:rFonts w:ascii="Times New Roman" w:eastAsia="Times New Roman" w:hAnsi="Times New Roman" w:cs="Times New Roman"/>
          <w:noProof/>
          <w:kern w:val="0"/>
          <w:vertAlign w:val="superscript"/>
          <w14:ligatures w14:val="none"/>
        </w:rPr>
        <w:footnoteReference w:id="124"/>
      </w:r>
      <w:r w:rsidRPr="00FB4E2D">
        <w:rPr>
          <w:rFonts w:ascii="Times New Roman" w:eastAsia="Times New Roman" w:hAnsi="Times New Roman" w:cs="Times New Roman"/>
          <w:noProof/>
          <w:kern w:val="0"/>
          <w14:ligatures w14:val="none"/>
        </w:rPr>
        <w:t xml:space="preserve">). </w:t>
      </w:r>
    </w:p>
    <w:p w14:paraId="4CBB6A4E" w14:textId="77777777" w:rsidR="00A02C07" w:rsidRPr="00FB4E2D" w:rsidRDefault="00A02C07" w:rsidP="00A02C07">
      <w:pPr>
        <w:spacing w:after="120" w:line="240" w:lineRule="auto"/>
        <w:jc w:val="both"/>
        <w:rPr>
          <w:rFonts w:ascii="Times New Roman" w:eastAsia="Times New Roman" w:hAnsi="Times New Roman" w:cs="Times New Roman"/>
          <w:noProof/>
          <w:kern w:val="0"/>
          <w:szCs w:val="22"/>
          <w14:ligatures w14:val="none"/>
        </w:rPr>
      </w:pPr>
      <w:r w:rsidRPr="00FB4E2D">
        <w:rPr>
          <w:rFonts w:ascii="Times New Roman" w:eastAsia="Times New Roman" w:hAnsi="Times New Roman" w:cs="Times New Roman"/>
          <w:noProof/>
          <w:kern w:val="0"/>
          <w14:ligatures w14:val="none"/>
        </w:rPr>
        <w:t>The organisation of national prosecution services varies across the EU and there is no uniform model for all Member States. However, the Council of Europe has noted a widespread tendency to have a more independent prosecutor’s office, rather than one subordinate or linked to the executive (</w:t>
      </w:r>
      <w:r w:rsidRPr="00FB4E2D">
        <w:rPr>
          <w:rFonts w:ascii="Times New Roman" w:eastAsia="Times New Roman" w:hAnsi="Times New Roman" w:cs="Times New Roman"/>
          <w:noProof/>
          <w:kern w:val="0"/>
          <w:vertAlign w:val="superscript"/>
          <w14:ligatures w14:val="none"/>
        </w:rPr>
        <w:footnoteReference w:id="125"/>
      </w:r>
      <w:r w:rsidRPr="00FB4E2D">
        <w:rPr>
          <w:rFonts w:ascii="Times New Roman" w:eastAsia="Times New Roman" w:hAnsi="Times New Roman" w:cs="Times New Roman"/>
          <w:noProof/>
          <w:kern w:val="0"/>
          <w14:ligatures w14:val="none"/>
        </w:rPr>
        <w:t>). According to the Consultative Council of European Prosecutors, an effective and autonomous prosecution service committed to upholding the rule of law and human rights in the administration of justice is one of the pillars of a democratic state (</w:t>
      </w:r>
      <w:r w:rsidRPr="00FB4E2D">
        <w:rPr>
          <w:rFonts w:ascii="Times New Roman" w:eastAsia="Times New Roman" w:hAnsi="Times New Roman" w:cs="Times New Roman"/>
          <w:noProof/>
          <w:kern w:val="0"/>
          <w:vertAlign w:val="superscript"/>
          <w14:ligatures w14:val="none"/>
        </w:rPr>
        <w:footnoteReference w:id="126"/>
      </w:r>
      <w:r w:rsidRPr="00FB4E2D">
        <w:rPr>
          <w:rFonts w:ascii="Times New Roman" w:eastAsia="Times New Roman" w:hAnsi="Times New Roman" w:cs="Times New Roman"/>
          <w:noProof/>
          <w:kern w:val="0"/>
          <w14:ligatures w14:val="none"/>
        </w:rPr>
        <w:t>).</w:t>
      </w:r>
    </w:p>
    <w:p w14:paraId="4CEA0E6C" w14:textId="28492F8A" w:rsidR="00A02C07" w:rsidRPr="00FB4E2D" w:rsidRDefault="00A02C07" w:rsidP="00A02C07">
      <w:pPr>
        <w:spacing w:before="120" w:after="120" w:line="240" w:lineRule="auto"/>
        <w:jc w:val="both"/>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noProof/>
          <w:kern w:val="0"/>
          <w14:ligatures w14:val="none"/>
        </w:rPr>
        <w:t>In order to present the autonomy of the prosecution services in the Member States, the figures below provide an overview of the hierarchical powers within the prosecution services, as well as the system for allocation of cases used in the different Member States. These figures do not assess the effective functioning of the prosecution services, which requires a qualitative assessment taking into account specific circumstances of each Member State. Figure 56 presents the main management powers of the Prosecutor General over lower ranking prosecutors, and Figure 57 presents the systems for allocation of cases available in the Member States.</w:t>
      </w:r>
    </w:p>
    <w:p w14:paraId="46B3C51E" w14:textId="77777777" w:rsidR="003D3FBF" w:rsidRDefault="003D3FBF">
      <w:pPr>
        <w:rPr>
          <w:rFonts w:ascii="Times New Roman" w:eastAsia="Calibri" w:hAnsi="Times New Roman" w:cs="Times New Roman"/>
          <w:b/>
          <w:noProof/>
          <w:spacing w:val="-6"/>
          <w:kern w:val="0"/>
          <w14:ligatures w14:val="none"/>
        </w:rPr>
      </w:pPr>
      <w:r>
        <w:rPr>
          <w:rFonts w:ascii="Times New Roman" w:eastAsia="Calibri" w:hAnsi="Times New Roman" w:cs="Times New Roman"/>
          <w:b/>
          <w:noProof/>
          <w:spacing w:val="-6"/>
          <w:kern w:val="0"/>
          <w14:ligatures w14:val="none"/>
        </w:rPr>
        <w:br w:type="page"/>
      </w:r>
    </w:p>
    <w:p w14:paraId="4A382824" w14:textId="474BEC44"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u w:val="single"/>
          <w14:ligatures w14:val="none"/>
        </w:rPr>
        <w:t>Prosecutor General</w:t>
      </w:r>
      <w:r w:rsidRPr="00FB4E2D">
        <w:rPr>
          <w:rFonts w:ascii="Times New Roman" w:eastAsia="Times New Roman" w:hAnsi="Times New Roman" w:cs="Times New Roman"/>
          <w:b/>
          <w:noProof/>
          <w:kern w:val="0"/>
          <w14:ligatures w14:val="none"/>
        </w:rPr>
        <w:t xml:space="preserve">: powers </w:t>
      </w:r>
      <w:r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i/>
          <w:noProof/>
          <w:kern w:val="0"/>
          <w14:ligatures w14:val="none"/>
        </w:rPr>
        <w:t xml:space="preserve">(Source: </w:t>
      </w:r>
      <w:r w:rsidRPr="00FB4E2D">
        <w:rPr>
          <w:rFonts w:ascii="Times New Roman" w:eastAsia="Calibri" w:hAnsi="Times New Roman" w:cs="Times New Roman"/>
          <w:i/>
          <w:noProof/>
          <w:kern w:val="0"/>
          <w14:ligatures w14:val="none"/>
        </w:rPr>
        <w:t>European Commission with the NADAL (</w:t>
      </w:r>
      <w:r w:rsidRPr="00FB4E2D">
        <w:rPr>
          <w:rFonts w:ascii="Times New Roman" w:eastAsia="Calibri" w:hAnsi="Times New Roman" w:cs="Times New Roman"/>
          <w:i/>
          <w:noProof/>
          <w:kern w:val="0"/>
          <w:vertAlign w:val="superscript"/>
          <w14:ligatures w14:val="none"/>
        </w:rPr>
        <w:footnoteReference w:id="127"/>
      </w:r>
      <w:r w:rsidRPr="00FB4E2D">
        <w:rPr>
          <w:rFonts w:ascii="Times New Roman" w:eastAsia="Calibri" w:hAnsi="Times New Roman" w:cs="Times New Roman"/>
          <w:i/>
          <w:noProof/>
          <w:kern w:val="0"/>
          <w14:ligatures w14:val="none"/>
        </w:rPr>
        <w:t>)</w:t>
      </w:r>
      <w:r w:rsidRPr="00FB4E2D">
        <w:rPr>
          <w:rFonts w:ascii="Times New Roman" w:eastAsia="Times New Roman" w:hAnsi="Times New Roman" w:cs="Times New Roman"/>
          <w:i/>
          <w:noProof/>
          <w:kern w:val="0"/>
          <w14:ligatures w14:val="none"/>
        </w:rPr>
        <w:t>)</w:t>
      </w:r>
    </w:p>
    <w:p w14:paraId="6768BDEC" w14:textId="53A81563" w:rsidR="00A02C07" w:rsidRPr="00FB4E2D" w:rsidRDefault="00525A78" w:rsidP="00A02C07">
      <w:pPr>
        <w:spacing w:after="0" w:line="240" w:lineRule="auto"/>
        <w:jc w:val="both"/>
        <w:rPr>
          <w:rFonts w:ascii="Times New Roman" w:eastAsia="Times New Roman" w:hAnsi="Times New Roman" w:cs="Times New Roman"/>
          <w:b/>
          <w:i/>
          <w:noProof/>
          <w:kern w:val="0"/>
          <w:sz w:val="20"/>
          <w:szCs w:val="20"/>
          <w14:ligatures w14:val="none"/>
        </w:rPr>
      </w:pPr>
      <w:r w:rsidRPr="00FB4E2D">
        <w:rPr>
          <w:rFonts w:ascii="Times New Roman" w:eastAsia="Times New Roman" w:hAnsi="Times New Roman" w:cs="Times New Roman"/>
          <w:b/>
          <w:i/>
          <w:noProof/>
          <w:kern w:val="0"/>
          <w:sz w:val="20"/>
          <w:szCs w:val="20"/>
          <w:lang w:val="en-GB" w:eastAsia="en-GB"/>
          <w14:ligatures w14:val="none"/>
        </w:rPr>
        <w:drawing>
          <wp:inline distT="0" distB="0" distL="0" distR="0" wp14:anchorId="624C694D" wp14:editId="5AC895F3">
            <wp:extent cx="5760000" cy="3094362"/>
            <wp:effectExtent l="0" t="0" r="0" b="0"/>
            <wp:docPr id="459630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60000" cy="3094362"/>
                    </a:xfrm>
                    <a:prstGeom prst="rect">
                      <a:avLst/>
                    </a:prstGeom>
                    <a:noFill/>
                  </pic:spPr>
                </pic:pic>
              </a:graphicData>
            </a:graphic>
          </wp:inline>
        </w:drawing>
      </w:r>
    </w:p>
    <w:p w14:paraId="384B0690" w14:textId="7D687F3C" w:rsidR="00A02C07" w:rsidRPr="00FB4E2D" w:rsidRDefault="00A02C07" w:rsidP="00116E76">
      <w:pPr>
        <w:spacing w:line="240" w:lineRule="auto"/>
        <w:jc w:val="both"/>
        <w:rPr>
          <w:rFonts w:ascii="Times New Roman" w:eastAsia="Times New Roman" w:hAnsi="Times New Roman" w:cs="Times New Roman"/>
          <w:i/>
          <w:noProof/>
          <w:kern w:val="0"/>
          <w:sz w:val="20"/>
          <w:szCs w:val="20"/>
          <w:highlight w:val="yellow"/>
          <w14:ligatures w14:val="none"/>
        </w:rPr>
      </w:pPr>
      <w:r w:rsidRPr="00FB4E2D">
        <w:rPr>
          <w:rFonts w:ascii="Times New Roman" w:eastAsia="Times New Roman" w:hAnsi="Times New Roman" w:cs="Times New Roman"/>
          <w:i/>
          <w:noProof/>
          <w:kern w:val="0"/>
          <w:sz w:val="20"/>
          <w:szCs w:val="20"/>
          <w14:ligatures w14:val="none"/>
        </w:rPr>
        <w:t xml:space="preserve">(*) The Member States appear in the alphabetical order of their geographical names in the original language. </w:t>
      </w:r>
      <w:r w:rsidR="00FC2721" w:rsidRPr="00FB4E2D">
        <w:rPr>
          <w:rFonts w:ascii="Times New Roman" w:eastAsia="Times New Roman" w:hAnsi="Times New Roman" w:cs="Times New Roman"/>
          <w:i/>
          <w:noProof/>
          <w:sz w:val="20"/>
          <w:szCs w:val="20"/>
        </w:rPr>
        <w:t>BE:</w:t>
      </w:r>
      <w:r w:rsidR="00053715" w:rsidRPr="00FB4E2D">
        <w:rPr>
          <w:rFonts w:ascii="Times New Roman" w:eastAsia="Times New Roman" w:hAnsi="Times New Roman" w:cs="Times New Roman"/>
          <w:i/>
          <w:noProof/>
          <w:sz w:val="20"/>
          <w:szCs w:val="20"/>
        </w:rPr>
        <w:t xml:space="preserve"> The Prosecutor General may instruct the public prosecutor to reopen a criminal investigation.</w:t>
      </w:r>
      <w:r w:rsidR="00FC2721"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b/>
          <w:i/>
          <w:noProof/>
          <w:kern w:val="0"/>
          <w:sz w:val="20"/>
          <w:szCs w:val="20"/>
          <w14:ligatures w14:val="none"/>
        </w:rPr>
        <w:t>BG</w:t>
      </w:r>
      <w:r w:rsidRPr="00FB4E2D">
        <w:rPr>
          <w:rFonts w:ascii="Times New Roman" w:eastAsia="Times New Roman" w:hAnsi="Times New Roman" w:cs="Times New Roman"/>
          <w:i/>
          <w:noProof/>
          <w:kern w:val="0"/>
          <w:sz w:val="20"/>
          <w:szCs w:val="20"/>
          <w14:ligatures w14:val="none"/>
        </w:rPr>
        <w:t>: The powers of promotion, evaluation and disciplinary sanctions are exercised through the position of the Prosecutor General in the Supreme Judicial Council.</w:t>
      </w:r>
      <w:r w:rsidR="00D24F41" w:rsidRPr="00FB4E2D">
        <w:rPr>
          <w:rFonts w:ascii="Times New Roman" w:eastAsia="Times New Roman" w:hAnsi="Times New Roman" w:cs="Times New Roman"/>
          <w:i/>
          <w:noProof/>
          <w:sz w:val="20"/>
          <w:szCs w:val="20"/>
        </w:rPr>
        <w:t xml:space="preserve"> While there is no provision that allows the Prosecutor General </w:t>
      </w:r>
      <w:r w:rsidR="00BD5E4F" w:rsidRPr="00FB4E2D">
        <w:rPr>
          <w:rFonts w:ascii="Times New Roman" w:eastAsia="Times New Roman" w:hAnsi="Times New Roman" w:cs="Times New Roman"/>
          <w:i/>
          <w:noProof/>
          <w:sz w:val="20"/>
          <w:szCs w:val="20"/>
        </w:rPr>
        <w:t xml:space="preserve">to </w:t>
      </w:r>
      <w:r w:rsidR="00DC2495" w:rsidRPr="00FB4E2D">
        <w:rPr>
          <w:rFonts w:ascii="Times New Roman" w:eastAsia="Times New Roman" w:hAnsi="Times New Roman" w:cs="Times New Roman"/>
          <w:i/>
          <w:noProof/>
          <w:sz w:val="20"/>
          <w:szCs w:val="20"/>
        </w:rPr>
        <w:t xml:space="preserve">transfer a case, </w:t>
      </w:r>
      <w:r w:rsidR="007E0F46" w:rsidRPr="00FB4E2D">
        <w:rPr>
          <w:rFonts w:ascii="Times New Roman" w:eastAsia="Times New Roman" w:hAnsi="Times New Roman" w:cs="Times New Roman"/>
          <w:i/>
          <w:noProof/>
          <w:sz w:val="20"/>
          <w:szCs w:val="20"/>
        </w:rPr>
        <w:t xml:space="preserve">there are practical </w:t>
      </w:r>
      <w:r w:rsidR="00B93D9E" w:rsidRPr="00FB4E2D">
        <w:rPr>
          <w:rFonts w:ascii="Times New Roman" w:eastAsia="Times New Roman" w:hAnsi="Times New Roman" w:cs="Times New Roman"/>
          <w:i/>
          <w:noProof/>
          <w:sz w:val="20"/>
          <w:szCs w:val="20"/>
        </w:rPr>
        <w:t>possibilities that could allow for it.</w:t>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CZ</w:t>
      </w:r>
      <w:r w:rsidRPr="00FB4E2D">
        <w:rPr>
          <w:rFonts w:ascii="Times New Roman" w:eastAsia="Times New Roman" w:hAnsi="Times New Roman" w:cs="Times New Roman"/>
          <w:i/>
          <w:noProof/>
          <w:kern w:val="0"/>
          <w:sz w:val="20"/>
          <w:szCs w:val="20"/>
          <w14:ligatures w14:val="none"/>
        </w:rPr>
        <w:t xml:space="preserve">: </w:t>
      </w:r>
      <w:r w:rsidR="00C80C8E" w:rsidRPr="00FB4E2D">
        <w:rPr>
          <w:rFonts w:ascii="Times New Roman" w:eastAsia="Times New Roman" w:hAnsi="Times New Roman" w:cs="Times New Roman"/>
          <w:i/>
          <w:noProof/>
          <w:sz w:val="20"/>
          <w:szCs w:val="20"/>
        </w:rPr>
        <w:t>P</w:t>
      </w:r>
      <w:r w:rsidRPr="00FB4E2D">
        <w:rPr>
          <w:rFonts w:ascii="Times New Roman" w:eastAsia="Times New Roman" w:hAnsi="Times New Roman" w:cs="Times New Roman"/>
          <w:i/>
          <w:noProof/>
          <w:kern w:val="0"/>
          <w:sz w:val="20"/>
          <w:szCs w:val="20"/>
          <w14:ligatures w14:val="none"/>
        </w:rPr>
        <w:t xml:space="preserve">ower to give instructions in individual cases only for the Prosecutor General Office and directed towards high public prosecutor offices. </w:t>
      </w:r>
      <w:r w:rsidR="00F057C8" w:rsidRPr="00FB4E2D">
        <w:rPr>
          <w:rFonts w:ascii="Times New Roman" w:eastAsia="Times New Roman" w:hAnsi="Times New Roman" w:cs="Times New Roman"/>
          <w:i/>
          <w:noProof/>
          <w:sz w:val="20"/>
          <w:szCs w:val="20"/>
        </w:rPr>
        <w:t>The power to decide on individual evaluation of prosecutors</w:t>
      </w:r>
      <w:r w:rsidR="002006BA" w:rsidRPr="00FB4E2D">
        <w:rPr>
          <w:rFonts w:ascii="Times New Roman" w:eastAsia="Times New Roman" w:hAnsi="Times New Roman" w:cs="Times New Roman"/>
          <w:i/>
          <w:noProof/>
          <w:sz w:val="20"/>
          <w:szCs w:val="20"/>
        </w:rPr>
        <w:t xml:space="preserve"> applies only within the Prosecutor General’s Office</w:t>
      </w:r>
      <w:r w:rsidR="00AE2777" w:rsidRPr="00FB4E2D">
        <w:rPr>
          <w:rFonts w:ascii="Times New Roman" w:eastAsia="Times New Roman" w:hAnsi="Times New Roman" w:cs="Times New Roman"/>
          <w:i/>
          <w:noProof/>
          <w:sz w:val="20"/>
          <w:szCs w:val="20"/>
        </w:rPr>
        <w:t>.</w:t>
      </w:r>
      <w:r w:rsidR="00F057C8"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b/>
          <w:i/>
          <w:noProof/>
          <w:kern w:val="0"/>
          <w:sz w:val="20"/>
          <w:szCs w:val="20"/>
          <w14:ligatures w14:val="none"/>
        </w:rPr>
        <w:t>EL</w:t>
      </w:r>
      <w:r w:rsidRPr="00FB4E2D">
        <w:rPr>
          <w:rFonts w:ascii="Times New Roman" w:eastAsia="Times New Roman" w:hAnsi="Times New Roman" w:cs="Times New Roman"/>
          <w:i/>
          <w:noProof/>
          <w:kern w:val="0"/>
          <w:sz w:val="20"/>
          <w:szCs w:val="20"/>
          <w14:ligatures w14:val="none"/>
        </w:rPr>
        <w:t>:</w:t>
      </w:r>
      <w:r w:rsidR="00C80C8E" w:rsidRPr="00FB4E2D">
        <w:rPr>
          <w:rFonts w:ascii="Times New Roman" w:eastAsia="Times New Roman" w:hAnsi="Times New Roman" w:cs="Times New Roman"/>
          <w:i/>
          <w:noProof/>
          <w:kern w:val="0"/>
          <w:sz w:val="20"/>
          <w:szCs w:val="20"/>
          <w14:ligatures w14:val="none"/>
        </w:rPr>
        <w:t xml:space="preserve"> </w:t>
      </w:r>
      <w:r w:rsidR="00C80C8E" w:rsidRPr="00FB4E2D">
        <w:rPr>
          <w:rFonts w:ascii="Times New Roman" w:eastAsia="Times New Roman" w:hAnsi="Times New Roman" w:cs="Times New Roman"/>
          <w:i/>
          <w:noProof/>
          <w:sz w:val="20"/>
          <w:szCs w:val="20"/>
        </w:rPr>
        <w:t>The</w:t>
      </w:r>
      <w:r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i/>
          <w:noProof/>
          <w:kern w:val="0"/>
          <w:sz w:val="20"/>
          <w:szCs w:val="20"/>
          <w14:ligatures w14:val="none"/>
        </w:rPr>
        <w:t>General Prosecutor has the right to address general directions and recommendations</w:t>
      </w:r>
      <w:r w:rsidR="00C80C8E" w:rsidRPr="00FB4E2D">
        <w:rPr>
          <w:rFonts w:ascii="Times New Roman" w:eastAsia="Times New Roman" w:hAnsi="Times New Roman" w:cs="Times New Roman"/>
          <w:i/>
          <w:noProof/>
          <w:sz w:val="20"/>
          <w:szCs w:val="20"/>
        </w:rPr>
        <w:t xml:space="preserve"> to all prosecutors in the country</w:t>
      </w:r>
      <w:r w:rsidR="00C80C8E" w:rsidRPr="00FB4E2D">
        <w:rPr>
          <w:rFonts w:ascii="Times New Roman" w:eastAsia="Times New Roman" w:hAnsi="Times New Roman" w:cs="Times New Roman"/>
          <w:i/>
          <w:noProof/>
          <w:kern w:val="0"/>
          <w:sz w:val="20"/>
          <w:szCs w:val="20"/>
          <w14:ligatures w14:val="none"/>
        </w:rPr>
        <w:t>.</w:t>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ES</w:t>
      </w:r>
      <w:r w:rsidRPr="00FB4E2D">
        <w:rPr>
          <w:rFonts w:ascii="Times New Roman" w:eastAsia="Times New Roman" w:hAnsi="Times New Roman" w:cs="Times New Roman"/>
          <w:i/>
          <w:noProof/>
          <w:kern w:val="0"/>
          <w:sz w:val="20"/>
          <w:szCs w:val="20"/>
          <w14:ligatures w14:val="none"/>
        </w:rPr>
        <w:t xml:space="preserve">: The Attorney General sets internal orders and instructions appropriate to the service and to the exercise of prosecuting functions, which may be general or related to specific matters. The transfer without consent of a prosecutor is possible only in cases of high workload. </w:t>
      </w:r>
      <w:r w:rsidRPr="00FB4E2D">
        <w:rPr>
          <w:rFonts w:ascii="Times New Roman" w:eastAsia="Times New Roman" w:hAnsi="Times New Roman" w:cs="Times New Roman"/>
          <w:b/>
          <w:i/>
          <w:noProof/>
          <w:kern w:val="0"/>
          <w:sz w:val="20"/>
          <w:szCs w:val="20"/>
          <w14:ligatures w14:val="none"/>
        </w:rPr>
        <w:t>IT</w:t>
      </w:r>
      <w:r w:rsidRPr="00FB4E2D">
        <w:rPr>
          <w:rFonts w:ascii="Times New Roman" w:eastAsia="Times New Roman" w:hAnsi="Times New Roman" w:cs="Times New Roman"/>
          <w:i/>
          <w:noProof/>
          <w:kern w:val="0"/>
          <w:sz w:val="20"/>
          <w:szCs w:val="20"/>
          <w14:ligatures w14:val="none"/>
        </w:rPr>
        <w:t xml:space="preserve">: Prosecutors General at the Court of Appeal have the powers to remove an individual case from a prosecutor in case of inaction; also, they can acquire data and information from the prosecution offices of the district and to send these to the Prosecutor General at the Court of Cassation, in order to verify the correct and uniform functioning of the prosecution offices and compliance with the rules on due process. The Prosecutor General at the Court of Cassation is in charge by Law of the control over the National Anti-Mafia Directorate, and of resolving the conflicts of competence between two or more territorial prosecution offices. </w:t>
      </w:r>
      <w:r w:rsidRPr="00FB4E2D">
        <w:rPr>
          <w:rFonts w:ascii="Times New Roman" w:eastAsia="Times New Roman" w:hAnsi="Times New Roman" w:cs="Times New Roman"/>
          <w:b/>
          <w:i/>
          <w:noProof/>
          <w:kern w:val="0"/>
          <w:sz w:val="20"/>
          <w:szCs w:val="20"/>
          <w14:ligatures w14:val="none"/>
        </w:rPr>
        <w:t>CY</w:t>
      </w:r>
      <w:r w:rsidRPr="00FB4E2D">
        <w:rPr>
          <w:rFonts w:ascii="Times New Roman" w:eastAsia="Times New Roman" w:hAnsi="Times New Roman" w:cs="Times New Roman"/>
          <w:i/>
          <w:noProof/>
          <w:kern w:val="0"/>
          <w:sz w:val="20"/>
          <w:szCs w:val="20"/>
          <w14:ligatures w14:val="none"/>
        </w:rPr>
        <w:t xml:space="preserve">: The Attorney General decides on minor disciplinary violations. In serious disciplinary offences, the Attorney General does not propose sanctions but recommends the initiation of disciplinary measures by the Public Service Commission. </w:t>
      </w:r>
      <w:r w:rsidRPr="00FB4E2D">
        <w:rPr>
          <w:rFonts w:ascii="Times New Roman" w:eastAsia="Times New Roman" w:hAnsi="Times New Roman" w:cs="Times New Roman"/>
          <w:b/>
          <w:i/>
          <w:noProof/>
          <w:kern w:val="0"/>
          <w:sz w:val="20"/>
          <w:szCs w:val="20"/>
          <w14:ligatures w14:val="none"/>
        </w:rPr>
        <w:t>LT</w:t>
      </w:r>
      <w:r w:rsidRPr="00FB4E2D">
        <w:rPr>
          <w:rFonts w:ascii="Times New Roman" w:eastAsia="Times New Roman" w:hAnsi="Times New Roman" w:cs="Times New Roman"/>
          <w:i/>
          <w:noProof/>
          <w:kern w:val="0"/>
          <w:sz w:val="20"/>
          <w:szCs w:val="20"/>
          <w14:ligatures w14:val="none"/>
        </w:rPr>
        <w:t xml:space="preserve">: As to the instructions on individual cases, the Prosecutor General (PG) cannot instruct which decision to make; as to the promotion of prosecutors, the PG decides on the conclusions of the Prosecutor Selection Commission or the Chief Prosecutor Selection Commission; as to the decision on disciplinary measure the PG decides on the conclusions of the Prosecutor Ethics Commission or the Internal Investigation Commission. The PG </w:t>
      </w:r>
      <w:r w:rsidR="00EA12B0" w:rsidRPr="00FB4E2D">
        <w:rPr>
          <w:rFonts w:ascii="Times New Roman" w:eastAsia="Times New Roman" w:hAnsi="Times New Roman" w:cs="Times New Roman"/>
          <w:i/>
          <w:noProof/>
          <w:sz w:val="20"/>
          <w:szCs w:val="20"/>
        </w:rPr>
        <w:t>does</w:t>
      </w:r>
      <w:r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i/>
          <w:noProof/>
          <w:kern w:val="0"/>
          <w:sz w:val="20"/>
          <w:szCs w:val="20"/>
          <w14:ligatures w14:val="none"/>
        </w:rPr>
        <w:t xml:space="preserve">have the right to remove the prosecutor from the pre-trial investigation. </w:t>
      </w:r>
      <w:r w:rsidRPr="00FB4E2D">
        <w:rPr>
          <w:rFonts w:ascii="Times New Roman" w:eastAsia="Times New Roman" w:hAnsi="Times New Roman" w:cs="Times New Roman"/>
          <w:b/>
          <w:i/>
          <w:noProof/>
          <w:kern w:val="0"/>
          <w:sz w:val="20"/>
          <w:szCs w:val="20"/>
          <w14:ligatures w14:val="none"/>
        </w:rPr>
        <w:t>LU</w:t>
      </w:r>
      <w:r w:rsidRPr="00FB4E2D">
        <w:rPr>
          <w:rFonts w:ascii="Times New Roman" w:eastAsia="Times New Roman" w:hAnsi="Times New Roman" w:cs="Times New Roman"/>
          <w:i/>
          <w:noProof/>
          <w:kern w:val="0"/>
          <w:sz w:val="20"/>
          <w:szCs w:val="20"/>
          <w14:ligatures w14:val="none"/>
        </w:rPr>
        <w:t xml:space="preserve">: The Prosecutor General has the power to instruct prosecution services to prosecute in a case (but cannot instruct not to prosecute). </w:t>
      </w:r>
      <w:r w:rsidR="00EA12B0" w:rsidRPr="00FB4E2D">
        <w:rPr>
          <w:rFonts w:ascii="Times New Roman" w:eastAsia="Times New Roman" w:hAnsi="Times New Roman" w:cs="Times New Roman"/>
          <w:i/>
          <w:noProof/>
          <w:sz w:val="20"/>
          <w:szCs w:val="20"/>
        </w:rPr>
        <w:t>To promote</w:t>
      </w:r>
      <w:r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i/>
          <w:noProof/>
          <w:kern w:val="0"/>
          <w:sz w:val="20"/>
          <w:szCs w:val="20"/>
          <w14:ligatures w14:val="none"/>
        </w:rPr>
        <w:t>a prosecutor, the state prosecutor / Prosecutor General</w:t>
      </w:r>
      <w:r w:rsidR="00EA12B0"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i/>
          <w:noProof/>
          <w:kern w:val="0"/>
          <w:sz w:val="20"/>
          <w:szCs w:val="20"/>
          <w14:ligatures w14:val="none"/>
        </w:rPr>
        <w:t xml:space="preserve">suggests the promotion to the executive </w:t>
      </w:r>
      <w:r w:rsidR="00EA12B0" w:rsidRPr="00FB4E2D">
        <w:rPr>
          <w:rFonts w:ascii="Times New Roman" w:eastAsia="Times New Roman" w:hAnsi="Times New Roman" w:cs="Times New Roman"/>
          <w:i/>
          <w:noProof/>
          <w:sz w:val="20"/>
          <w:szCs w:val="20"/>
        </w:rPr>
        <w:t xml:space="preserve">by means of a favourable opinion </w:t>
      </w:r>
      <w:r w:rsidRPr="00FB4E2D">
        <w:rPr>
          <w:rFonts w:ascii="Times New Roman" w:eastAsia="Times New Roman" w:hAnsi="Times New Roman" w:cs="Times New Roman"/>
          <w:i/>
          <w:noProof/>
          <w:kern w:val="0"/>
          <w:sz w:val="20"/>
          <w:szCs w:val="20"/>
          <w14:ligatures w14:val="none"/>
        </w:rPr>
        <w:t xml:space="preserve">and the Head of State signs the nomination. </w:t>
      </w:r>
      <w:r w:rsidR="00190F57" w:rsidRPr="00FB4E2D">
        <w:rPr>
          <w:rFonts w:ascii="Times New Roman" w:eastAsia="Times New Roman" w:hAnsi="Times New Roman" w:cs="Times New Roman"/>
          <w:b/>
          <w:i/>
          <w:noProof/>
          <w:sz w:val="20"/>
          <w:szCs w:val="20"/>
        </w:rPr>
        <w:t>NL</w:t>
      </w:r>
      <w:r w:rsidR="00190F57" w:rsidRPr="00FB4E2D">
        <w:rPr>
          <w:rFonts w:ascii="Times New Roman" w:eastAsia="Times New Roman" w:hAnsi="Times New Roman" w:cs="Times New Roman"/>
          <w:i/>
          <w:noProof/>
          <w:sz w:val="20"/>
          <w:szCs w:val="20"/>
        </w:rPr>
        <w:t>: There is a stepwise competence regarding the general and specific power to issue instructions. The Judiciary (Organization) Act Article 130, paragraph 6 states that the Board can issue instructions to the prosecution service. The Judiciary (Organization) Act Article 136, paragraph 3</w:t>
      </w:r>
      <w:r w:rsidR="00A26194" w:rsidRPr="00FB4E2D">
        <w:rPr>
          <w:rFonts w:ascii="Times New Roman" w:eastAsia="Times New Roman" w:hAnsi="Times New Roman" w:cs="Times New Roman"/>
          <w:i/>
          <w:noProof/>
          <w:sz w:val="20"/>
          <w:szCs w:val="20"/>
        </w:rPr>
        <w:t>,</w:t>
      </w:r>
      <w:r w:rsidR="00190F57" w:rsidRPr="00FB4E2D">
        <w:rPr>
          <w:rFonts w:ascii="Times New Roman" w:eastAsia="Times New Roman" w:hAnsi="Times New Roman" w:cs="Times New Roman"/>
          <w:i/>
          <w:noProof/>
          <w:sz w:val="20"/>
          <w:szCs w:val="20"/>
        </w:rPr>
        <w:t xml:space="preserve"> states that the head of the district office can issue instructions to the civil servants working at his districts office relating to the tasks and responsibilities of his office. </w:t>
      </w:r>
      <w:r w:rsidR="00405084" w:rsidRPr="00FB4E2D">
        <w:rPr>
          <w:rFonts w:ascii="Times New Roman" w:eastAsia="Times New Roman" w:hAnsi="Times New Roman" w:cs="Times New Roman"/>
          <w:i/>
          <w:noProof/>
          <w:sz w:val="20"/>
          <w:szCs w:val="20"/>
        </w:rPr>
        <w:t xml:space="preserve">The Board of Prosecutors General decides whether the candidate is to be nominated </w:t>
      </w:r>
      <w:r w:rsidR="00852FC8" w:rsidRPr="00FB4E2D">
        <w:rPr>
          <w:rFonts w:ascii="Times New Roman" w:eastAsia="Times New Roman" w:hAnsi="Times New Roman" w:cs="Times New Roman"/>
          <w:i/>
          <w:noProof/>
          <w:sz w:val="20"/>
          <w:szCs w:val="20"/>
        </w:rPr>
        <w:t>for appointment by</w:t>
      </w:r>
      <w:r w:rsidR="00405084" w:rsidRPr="00FB4E2D">
        <w:rPr>
          <w:rFonts w:ascii="Times New Roman" w:eastAsia="Times New Roman" w:hAnsi="Times New Roman" w:cs="Times New Roman"/>
          <w:i/>
          <w:noProof/>
          <w:sz w:val="20"/>
          <w:szCs w:val="20"/>
        </w:rPr>
        <w:t xml:space="preserve"> the King for appointment as a senior Public Prosecutor. The actual appointment takes place by royal decree.</w:t>
      </w:r>
      <w:r w:rsidR="00190F57"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b/>
          <w:i/>
          <w:noProof/>
          <w:kern w:val="0"/>
          <w:sz w:val="20"/>
          <w:szCs w:val="20"/>
          <w14:ligatures w14:val="none"/>
        </w:rPr>
        <w:t>AT</w:t>
      </w:r>
      <w:r w:rsidRPr="00FB4E2D">
        <w:rPr>
          <w:rFonts w:ascii="Times New Roman" w:eastAsia="Times New Roman" w:hAnsi="Times New Roman" w:cs="Times New Roman"/>
          <w:i/>
          <w:noProof/>
          <w:kern w:val="0"/>
          <w:sz w:val="20"/>
          <w:szCs w:val="20"/>
          <w14:ligatures w14:val="none"/>
        </w:rPr>
        <w:t xml:space="preserve">: The powers of the Prosecutor General do not include direct management over the prosecution service as referred to in the chart. The Independent Personnel Body, consisting of four prosecutors, evaluates a prosecutor. </w:t>
      </w:r>
      <w:r w:rsidRPr="00FB4E2D">
        <w:rPr>
          <w:rFonts w:ascii="Times New Roman" w:eastAsia="Times New Roman" w:hAnsi="Times New Roman" w:cs="Times New Roman"/>
          <w:b/>
          <w:i/>
          <w:noProof/>
          <w:kern w:val="0"/>
          <w:sz w:val="20"/>
          <w:szCs w:val="20"/>
          <w14:ligatures w14:val="none"/>
        </w:rPr>
        <w:t>PL</w:t>
      </w:r>
      <w:r w:rsidRPr="00FB4E2D">
        <w:rPr>
          <w:rFonts w:ascii="Times New Roman" w:eastAsia="Times New Roman" w:hAnsi="Times New Roman" w:cs="Times New Roman"/>
          <w:i/>
          <w:noProof/>
          <w:kern w:val="0"/>
          <w:sz w:val="20"/>
          <w:szCs w:val="20"/>
          <w14:ligatures w14:val="none"/>
        </w:rPr>
        <w:t xml:space="preserve">: The Prosecutor General is also the Minister of Justice. </w:t>
      </w:r>
      <w:r w:rsidRPr="00FB4E2D">
        <w:rPr>
          <w:rFonts w:ascii="Times New Roman" w:eastAsia="Times New Roman" w:hAnsi="Times New Roman" w:cs="Times New Roman"/>
          <w:b/>
          <w:i/>
          <w:noProof/>
          <w:kern w:val="0"/>
          <w:sz w:val="20"/>
          <w:szCs w:val="20"/>
          <w14:ligatures w14:val="none"/>
        </w:rPr>
        <w:t>RO</w:t>
      </w:r>
      <w:r w:rsidRPr="00FB4E2D">
        <w:rPr>
          <w:rFonts w:ascii="Times New Roman" w:eastAsia="Times New Roman" w:hAnsi="Times New Roman" w:cs="Times New Roman"/>
          <w:i/>
          <w:noProof/>
          <w:kern w:val="0"/>
          <w:sz w:val="20"/>
          <w:szCs w:val="20"/>
          <w14:ligatures w14:val="none"/>
        </w:rPr>
        <w:t xml:space="preserve">: The General Prosecutor has the power to transfer an individual case from a prosecution unit to another prosecution unit and to issue general guidance </w:t>
      </w:r>
      <w:r w:rsidR="003B0ADE" w:rsidRPr="00FB4E2D">
        <w:rPr>
          <w:rFonts w:ascii="Times New Roman" w:eastAsia="Times New Roman" w:hAnsi="Times New Roman" w:cs="Times New Roman"/>
          <w:i/>
          <w:noProof/>
          <w:sz w:val="20"/>
          <w:szCs w:val="20"/>
        </w:rPr>
        <w:t xml:space="preserve">on </w:t>
      </w:r>
      <w:r w:rsidRPr="00FB4E2D">
        <w:rPr>
          <w:rFonts w:ascii="Times New Roman" w:eastAsia="Times New Roman" w:hAnsi="Times New Roman" w:cs="Times New Roman"/>
          <w:i/>
          <w:noProof/>
          <w:kern w:val="0"/>
          <w:sz w:val="20"/>
          <w:szCs w:val="20"/>
          <w14:ligatures w14:val="none"/>
        </w:rPr>
        <w:t xml:space="preserve">prosecution policies, in order to guarantee a unitary approach on criminal investigations. </w:t>
      </w:r>
      <w:r w:rsidRPr="00FB4E2D">
        <w:rPr>
          <w:rFonts w:ascii="Times New Roman" w:eastAsia="Times New Roman" w:hAnsi="Times New Roman" w:cs="Times New Roman"/>
          <w:b/>
          <w:i/>
          <w:noProof/>
          <w:kern w:val="0"/>
          <w:sz w:val="20"/>
          <w:szCs w:val="20"/>
          <w14:ligatures w14:val="none"/>
        </w:rPr>
        <w:t>SI</w:t>
      </w:r>
      <w:r w:rsidRPr="00FB4E2D">
        <w:rPr>
          <w:rFonts w:ascii="Times New Roman" w:eastAsia="Times New Roman" w:hAnsi="Times New Roman" w:cs="Times New Roman"/>
          <w:i/>
          <w:noProof/>
          <w:kern w:val="0"/>
          <w:sz w:val="20"/>
          <w:szCs w:val="20"/>
          <w14:ligatures w14:val="none"/>
        </w:rPr>
        <w:t xml:space="preserve">: Both the Prosecutor General and the head of </w:t>
      </w:r>
      <w:r w:rsidR="003B0ADE" w:rsidRPr="00FB4E2D">
        <w:rPr>
          <w:rFonts w:ascii="Times New Roman" w:eastAsia="Times New Roman" w:hAnsi="Times New Roman" w:cs="Times New Roman"/>
          <w:i/>
          <w:noProof/>
          <w:sz w:val="20"/>
          <w:szCs w:val="20"/>
        </w:rPr>
        <w:t xml:space="preserve">the </w:t>
      </w:r>
      <w:r w:rsidRPr="00FB4E2D">
        <w:rPr>
          <w:rFonts w:ascii="Times New Roman" w:eastAsia="Times New Roman" w:hAnsi="Times New Roman" w:cs="Times New Roman"/>
          <w:i/>
          <w:noProof/>
          <w:kern w:val="0"/>
          <w:sz w:val="20"/>
          <w:szCs w:val="20"/>
          <w14:ligatures w14:val="none"/>
        </w:rPr>
        <w:t>State Prosecutor’s Offices have the powers to issue general guidance on prosecution policy and to remove an individual case assigned to a prosecutor.</w:t>
      </w:r>
      <w:r w:rsidRPr="00FB4E2D" w:rsidDel="004141E0">
        <w:rPr>
          <w:rFonts w:ascii="Times New Roman" w:eastAsia="Times New Roman" w:hAnsi="Times New Roman" w:cs="Times New Roman"/>
          <w:i/>
          <w:noProof/>
          <w:kern w:val="0"/>
          <w:sz w:val="20"/>
          <w:szCs w:val="20"/>
          <w14:ligatures w14:val="none"/>
        </w:rPr>
        <w:t xml:space="preserve"> </w:t>
      </w:r>
    </w:p>
    <w:p w14:paraId="08ED16B0" w14:textId="744200A0" w:rsidR="0067030E" w:rsidRPr="00FB4E2D" w:rsidRDefault="00A02C07" w:rsidP="00116E76">
      <w:pPr>
        <w:spacing w:before="240" w:after="120" w:line="240" w:lineRule="auto"/>
        <w:jc w:val="both"/>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noProof/>
          <w:spacing w:val="-6"/>
          <w:kern w:val="0"/>
          <w14:ligatures w14:val="none"/>
        </w:rPr>
        <w:t>Figure 57 presents, for the first time, how criminal cases are allocated within the prosecution offices. Systems vary among Member States, with some prosecution offices allocating criminal cases through random allocation made by an automated system, some in which cases are allocated by superior prosecutors to lower prosecutors based on their specialisation and some</w:t>
      </w:r>
      <w:r w:rsidR="00762D1A" w:rsidRPr="00FB4E2D">
        <w:rPr>
          <w:rFonts w:ascii="Times New Roman" w:eastAsia="Calibri" w:hAnsi="Times New Roman" w:cs="Times New Roman"/>
          <w:noProof/>
          <w:spacing w:val="-6"/>
          <w:kern w:val="0"/>
          <w14:ligatures w14:val="none"/>
        </w:rPr>
        <w:t xml:space="preserve"> in which</w:t>
      </w:r>
      <w:r w:rsidRPr="00FB4E2D">
        <w:rPr>
          <w:rFonts w:ascii="Times New Roman" w:eastAsia="Calibri" w:hAnsi="Times New Roman" w:cs="Times New Roman"/>
          <w:noProof/>
          <w:spacing w:val="-6"/>
          <w:kern w:val="0"/>
          <w14:ligatures w14:val="none"/>
        </w:rPr>
        <w:t xml:space="preserve">allocation of cases depends on availability of prosecutors according to the predefined work schedule. External oversight in the allocation of cases to prosecutors is exercised by the hierarchically superior prosecutors, a body within the prosecution, or by an external body (e.g. ministry of justice). </w:t>
      </w:r>
    </w:p>
    <w:p w14:paraId="228C1DDC" w14:textId="02DA39EE" w:rsidR="00A02C07" w:rsidRPr="00FB4E2D" w:rsidRDefault="00A02C07"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u w:val="single"/>
          <w14:ligatures w14:val="none"/>
        </w:rPr>
        <w:t>Prosecution services</w:t>
      </w:r>
      <w:r w:rsidRPr="00FB4E2D">
        <w:rPr>
          <w:rFonts w:ascii="Times New Roman" w:eastAsia="Times New Roman" w:hAnsi="Times New Roman" w:cs="Times New Roman"/>
          <w:b/>
          <w:noProof/>
          <w:kern w:val="0"/>
          <w14:ligatures w14:val="none"/>
        </w:rPr>
        <w:t xml:space="preserve">: systems for allocation of cases </w:t>
      </w:r>
      <w:r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i/>
          <w:noProof/>
          <w:kern w:val="0"/>
          <w14:ligatures w14:val="none"/>
        </w:rPr>
        <w:t xml:space="preserve">(Source: </w:t>
      </w:r>
      <w:r w:rsidRPr="00FB4E2D">
        <w:rPr>
          <w:rFonts w:ascii="Times New Roman" w:eastAsia="Calibri" w:hAnsi="Times New Roman" w:cs="Times New Roman"/>
          <w:i/>
          <w:noProof/>
          <w:kern w:val="0"/>
          <w14:ligatures w14:val="none"/>
        </w:rPr>
        <w:t>European Commission with the NADAL (</w:t>
      </w:r>
      <w:r w:rsidRPr="00FB4E2D">
        <w:rPr>
          <w:rFonts w:ascii="Times New Roman" w:eastAsia="Calibri" w:hAnsi="Times New Roman" w:cs="Times New Roman"/>
          <w:i/>
          <w:noProof/>
          <w:kern w:val="0"/>
          <w:vertAlign w:val="superscript"/>
          <w14:ligatures w14:val="none"/>
        </w:rPr>
        <w:footnoteReference w:id="128"/>
      </w:r>
      <w:r w:rsidRPr="00FB4E2D">
        <w:rPr>
          <w:rFonts w:ascii="Times New Roman" w:eastAsia="Calibri" w:hAnsi="Times New Roman" w:cs="Times New Roman"/>
          <w:i/>
          <w:noProof/>
          <w:kern w:val="0"/>
          <w14:ligatures w14:val="none"/>
        </w:rPr>
        <w:t>)</w:t>
      </w:r>
      <w:r w:rsidRPr="00FB4E2D">
        <w:rPr>
          <w:rFonts w:ascii="Times New Roman" w:eastAsia="Times New Roman" w:hAnsi="Times New Roman" w:cs="Times New Roman"/>
          <w:i/>
          <w:noProof/>
          <w:kern w:val="0"/>
          <w14:ligatures w14:val="none"/>
        </w:rPr>
        <w:t>)</w:t>
      </w:r>
    </w:p>
    <w:p w14:paraId="15994651" w14:textId="34463A07" w:rsidR="00A02C07" w:rsidRPr="00FB4E2D" w:rsidRDefault="00A02C07" w:rsidP="0067030E">
      <w:pPr>
        <w:spacing w:after="0" w:line="240" w:lineRule="auto"/>
        <w:jc w:val="both"/>
        <w:rPr>
          <w:rFonts w:ascii="Times New Roman" w:eastAsia="Times New Roman" w:hAnsi="Times New Roman" w:cs="Times New Roman"/>
          <w:i/>
          <w:noProof/>
          <w:sz w:val="20"/>
          <w:szCs w:val="20"/>
        </w:rPr>
      </w:pPr>
      <w:r w:rsidRPr="00FB4E2D">
        <w:rPr>
          <w:rFonts w:ascii="Times New Roman" w:eastAsia="Times New Roman" w:hAnsi="Times New Roman" w:cs="Times New Roman"/>
          <w:i/>
          <w:noProof/>
          <w:kern w:val="0"/>
          <w:lang w:val="en-GB" w:eastAsia="en-GB"/>
          <w14:ligatures w14:val="none"/>
        </w:rPr>
        <w:drawing>
          <wp:inline distT="0" distB="0" distL="0" distR="0" wp14:anchorId="73C447DE" wp14:editId="66798CC7">
            <wp:extent cx="5760000" cy="2384667"/>
            <wp:effectExtent l="0" t="0" r="0" b="0"/>
            <wp:docPr id="1849712933" name="Picture 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2933" name="Picture 2" descr="A graph of different colored lines&#10;&#10;AI-generated content may be incorrect."/>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60000" cy="2384667"/>
                    </a:xfrm>
                    <a:prstGeom prst="rect">
                      <a:avLst/>
                    </a:prstGeom>
                    <a:noFill/>
                  </pic:spPr>
                </pic:pic>
              </a:graphicData>
            </a:graphic>
          </wp:inline>
        </w:drawing>
      </w:r>
      <w:r w:rsidR="00C5236F"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BE</w:t>
      </w:r>
      <w:r w:rsidRPr="00FB4E2D">
        <w:rPr>
          <w:rFonts w:ascii="Times New Roman" w:eastAsia="Times New Roman" w:hAnsi="Times New Roman" w:cs="Times New Roman"/>
          <w:i/>
          <w:noProof/>
          <w:kern w:val="0"/>
          <w:sz w:val="20"/>
          <w:szCs w:val="20"/>
          <w14:ligatures w14:val="none"/>
        </w:rPr>
        <w:t xml:space="preserve">: In most public prosecutors' offices, </w:t>
      </w:r>
      <w:r w:rsidR="004551A7" w:rsidRPr="00FB4E2D">
        <w:rPr>
          <w:rFonts w:ascii="Times New Roman" w:eastAsia="Times New Roman" w:hAnsi="Times New Roman" w:cs="Times New Roman"/>
          <w:i/>
          <w:noProof/>
          <w:kern w:val="0"/>
          <w:sz w:val="20"/>
          <w:szCs w:val="20"/>
          <w14:ligatures w14:val="none"/>
        </w:rPr>
        <w:t xml:space="preserve">allocation is </w:t>
      </w:r>
      <w:r w:rsidR="004551A7" w:rsidRPr="00FB4E2D">
        <w:rPr>
          <w:rFonts w:ascii="Times New Roman" w:eastAsia="Times New Roman" w:hAnsi="Times New Roman" w:cs="Times New Roman"/>
          <w:i/>
          <w:noProof/>
          <w:sz w:val="20"/>
          <w:szCs w:val="20"/>
        </w:rPr>
        <w:t xml:space="preserve">based on </w:t>
      </w:r>
      <w:r w:rsidR="004551A7" w:rsidRPr="00FB4E2D">
        <w:rPr>
          <w:rFonts w:ascii="Times New Roman" w:eastAsia="Times New Roman" w:hAnsi="Times New Roman" w:cs="Times New Roman"/>
          <w:i/>
          <w:noProof/>
          <w:kern w:val="0"/>
          <w:sz w:val="20"/>
          <w:szCs w:val="20"/>
          <w14:ligatures w14:val="none"/>
        </w:rPr>
        <w:t xml:space="preserve">the subject matter (e.g. money laundering, environmental offences). Usually, within a department of the prosecution service, prosecutors </w:t>
      </w:r>
      <w:r w:rsidRPr="00FB4E2D">
        <w:rPr>
          <w:rFonts w:ascii="Times New Roman" w:eastAsia="Times New Roman" w:hAnsi="Times New Roman" w:cs="Times New Roman"/>
          <w:i/>
          <w:noProof/>
          <w:kern w:val="0"/>
          <w:sz w:val="20"/>
          <w:szCs w:val="20"/>
          <w14:ligatures w14:val="none"/>
        </w:rPr>
        <w:t>are divided into teams that specialise in one or more phenomena/types of crime (e.g. cybercrime, human trafficking, drugs) and within those teams, cases are assigned using a distribution key that was agreed upon with the other team members and the team leader.</w:t>
      </w:r>
      <w:r w:rsidR="00B553B0" w:rsidRPr="00FB4E2D">
        <w:rPr>
          <w:rFonts w:ascii="Times New Roman" w:eastAsia="Times New Roman" w:hAnsi="Times New Roman" w:cs="Times New Roman"/>
          <w:i/>
          <w:noProof/>
          <w:sz w:val="20"/>
          <w:szCs w:val="20"/>
        </w:rPr>
        <w:t xml:space="preserve"> Today, the case </w:t>
      </w:r>
      <w:r w:rsidR="0E6C3F03" w:rsidRPr="00FB4E2D">
        <w:rPr>
          <w:rFonts w:ascii="Times New Roman" w:eastAsia="Times New Roman" w:hAnsi="Times New Roman" w:cs="Times New Roman"/>
          <w:i/>
          <w:iCs/>
          <w:noProof/>
          <w:sz w:val="20"/>
          <w:szCs w:val="20"/>
        </w:rPr>
        <w:t>allocation</w:t>
      </w:r>
      <w:r w:rsidR="0E6C3F03" w:rsidRPr="00FB4E2D">
        <w:rPr>
          <w:noProof/>
        </w:rPr>
        <w:t xml:space="preserve"> </w:t>
      </w:r>
      <w:r w:rsidR="00B553B0" w:rsidRPr="00FB4E2D">
        <w:rPr>
          <w:rFonts w:ascii="Times New Roman" w:eastAsia="Times New Roman" w:hAnsi="Times New Roman" w:cs="Times New Roman"/>
          <w:i/>
          <w:noProof/>
          <w:sz w:val="20"/>
          <w:szCs w:val="20"/>
        </w:rPr>
        <w:t xml:space="preserve">is also done by a ‘parameter box’ that </w:t>
      </w:r>
      <w:r w:rsidR="1B47D4F3" w:rsidRPr="00FB4E2D">
        <w:rPr>
          <w:rFonts w:ascii="Times New Roman" w:eastAsia="Times New Roman" w:hAnsi="Times New Roman" w:cs="Times New Roman"/>
          <w:i/>
          <w:noProof/>
          <w:sz w:val="20"/>
          <w:szCs w:val="20"/>
        </w:rPr>
        <w:t>assigns</w:t>
      </w:r>
      <w:r w:rsidR="1B47D4F3" w:rsidRPr="00FB4E2D">
        <w:rPr>
          <w:rFonts w:ascii="Times New Roman" w:eastAsia="Times New Roman" w:hAnsi="Times New Roman" w:cs="Times New Roman"/>
          <w:noProof/>
        </w:rPr>
        <w:t xml:space="preserve"> </w:t>
      </w:r>
      <w:r w:rsidR="00B553B0" w:rsidRPr="00FB4E2D">
        <w:rPr>
          <w:rFonts w:ascii="Times New Roman" w:eastAsia="Times New Roman" w:hAnsi="Times New Roman" w:cs="Times New Roman"/>
          <w:i/>
          <w:noProof/>
          <w:sz w:val="20"/>
          <w:szCs w:val="20"/>
        </w:rPr>
        <w:t>cases automatically.</w:t>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BG</w:t>
      </w:r>
      <w:r w:rsidRPr="00FB4E2D">
        <w:rPr>
          <w:rFonts w:ascii="Times New Roman" w:eastAsia="Times New Roman" w:hAnsi="Times New Roman" w:cs="Times New Roman"/>
          <w:i/>
          <w:noProof/>
          <w:kern w:val="0"/>
          <w:sz w:val="20"/>
          <w:szCs w:val="20"/>
          <w14:ligatures w14:val="none"/>
        </w:rPr>
        <w:t xml:space="preserve">: Cases and case files are distributed based on the random selection principle through even electronic assignment in the order of their receipt. </w:t>
      </w:r>
      <w:r w:rsidRPr="00FB4E2D">
        <w:rPr>
          <w:rFonts w:ascii="Times New Roman" w:eastAsia="Times New Roman" w:hAnsi="Times New Roman" w:cs="Times New Roman"/>
          <w:b/>
          <w:i/>
          <w:noProof/>
          <w:kern w:val="0"/>
          <w:sz w:val="20"/>
          <w:szCs w:val="20"/>
          <w14:ligatures w14:val="none"/>
        </w:rPr>
        <w:t>CZ</w:t>
      </w:r>
      <w:r w:rsidRPr="00FB4E2D">
        <w:rPr>
          <w:rFonts w:ascii="Times New Roman" w:eastAsia="Times New Roman" w:hAnsi="Times New Roman" w:cs="Times New Roman"/>
          <w:i/>
          <w:noProof/>
          <w:kern w:val="0"/>
          <w:sz w:val="20"/>
          <w:szCs w:val="20"/>
          <w14:ligatures w14:val="none"/>
        </w:rPr>
        <w:t xml:space="preserve">: The cases are allocated to prosecutors by the heads of prosecution offices, their deputies or prosecutors determined by them (e. g. directors of departments). The specialisations are laid down by internal regulation. </w:t>
      </w:r>
      <w:r w:rsidRPr="00FB4E2D">
        <w:rPr>
          <w:rFonts w:ascii="Times New Roman" w:eastAsia="Times New Roman" w:hAnsi="Times New Roman" w:cs="Times New Roman"/>
          <w:b/>
          <w:i/>
          <w:noProof/>
          <w:kern w:val="0"/>
          <w:sz w:val="20"/>
          <w:szCs w:val="20"/>
          <w14:ligatures w14:val="none"/>
        </w:rPr>
        <w:t>DK</w:t>
      </w:r>
      <w:r w:rsidRPr="00FB4E2D">
        <w:rPr>
          <w:rFonts w:ascii="Times New Roman" w:eastAsia="Times New Roman" w:hAnsi="Times New Roman" w:cs="Times New Roman"/>
          <w:i/>
          <w:noProof/>
          <w:kern w:val="0"/>
          <w:sz w:val="20"/>
          <w:szCs w:val="20"/>
          <w14:ligatures w14:val="none"/>
        </w:rPr>
        <w:t xml:space="preserve">: </w:t>
      </w:r>
      <w:r w:rsidR="004B542C" w:rsidRPr="00FB4E2D">
        <w:rPr>
          <w:rFonts w:ascii="Times New Roman" w:eastAsia="Times New Roman" w:hAnsi="Times New Roman" w:cs="Times New Roman"/>
          <w:i/>
          <w:noProof/>
          <w:kern w:val="0"/>
          <w:sz w:val="20"/>
          <w:szCs w:val="20"/>
          <w14:ligatures w14:val="none"/>
        </w:rPr>
        <w:t xml:space="preserve">A schedule for allocation of cases is created within the local </w:t>
      </w:r>
      <w:r w:rsidR="004B542C" w:rsidRPr="00FB4E2D">
        <w:rPr>
          <w:rFonts w:ascii="Times New Roman" w:eastAsia="Times New Roman" w:hAnsi="Times New Roman" w:cs="Times New Roman"/>
          <w:i/>
          <w:noProof/>
          <w:sz w:val="20"/>
          <w:szCs w:val="20"/>
        </w:rPr>
        <w:t>p</w:t>
      </w:r>
      <w:r w:rsidR="004B542C" w:rsidRPr="00FB4E2D">
        <w:rPr>
          <w:rFonts w:ascii="Times New Roman" w:eastAsia="Times New Roman" w:hAnsi="Times New Roman" w:cs="Times New Roman"/>
          <w:i/>
          <w:noProof/>
          <w:kern w:val="0"/>
          <w:sz w:val="20"/>
          <w:szCs w:val="20"/>
          <w14:ligatures w14:val="none"/>
        </w:rPr>
        <w:t xml:space="preserve">rosecution </w:t>
      </w:r>
      <w:r w:rsidR="004B542C" w:rsidRPr="00FB4E2D">
        <w:rPr>
          <w:rFonts w:ascii="Times New Roman" w:eastAsia="Times New Roman" w:hAnsi="Times New Roman" w:cs="Times New Roman"/>
          <w:i/>
          <w:noProof/>
          <w:sz w:val="20"/>
          <w:szCs w:val="20"/>
        </w:rPr>
        <w:t>s</w:t>
      </w:r>
      <w:r w:rsidR="004B542C" w:rsidRPr="00FB4E2D">
        <w:rPr>
          <w:rFonts w:ascii="Times New Roman" w:eastAsia="Times New Roman" w:hAnsi="Times New Roman" w:cs="Times New Roman"/>
          <w:i/>
          <w:noProof/>
          <w:kern w:val="0"/>
          <w:sz w:val="20"/>
          <w:szCs w:val="20"/>
          <w14:ligatures w14:val="none"/>
        </w:rPr>
        <w:t xml:space="preserve">ervice, based on the prosecutor’s specialisation, seniority and workload. </w:t>
      </w:r>
      <w:r w:rsidR="004B542C" w:rsidRPr="00FB4E2D">
        <w:rPr>
          <w:rFonts w:ascii="Times New Roman" w:eastAsia="Times New Roman" w:hAnsi="Times New Roman" w:cs="Times New Roman"/>
          <w:b/>
          <w:i/>
          <w:noProof/>
          <w:kern w:val="0"/>
          <w:sz w:val="20"/>
          <w:szCs w:val="20"/>
          <w14:ligatures w14:val="none"/>
        </w:rPr>
        <w:t>DE</w:t>
      </w:r>
      <w:r w:rsidR="004B542C" w:rsidRPr="00FB4E2D">
        <w:rPr>
          <w:rFonts w:ascii="Times New Roman" w:eastAsia="Times New Roman" w:hAnsi="Times New Roman" w:cs="Times New Roman"/>
          <w:i/>
          <w:noProof/>
          <w:kern w:val="0"/>
          <w:sz w:val="20"/>
          <w:szCs w:val="20"/>
          <w14:ligatures w14:val="none"/>
        </w:rPr>
        <w:t xml:space="preserve">: Within a public prosecutor's office, cases are assigned according to a fixed allocation of business. It is possible for the head of the office to make individual assignments. </w:t>
      </w:r>
      <w:r w:rsidR="004B542C" w:rsidRPr="00FB4E2D">
        <w:rPr>
          <w:rFonts w:ascii="Times New Roman" w:eastAsia="Times New Roman" w:hAnsi="Times New Roman" w:cs="Times New Roman"/>
          <w:b/>
          <w:i/>
          <w:noProof/>
          <w:kern w:val="0"/>
          <w:sz w:val="20"/>
          <w:szCs w:val="20"/>
          <w14:ligatures w14:val="none"/>
        </w:rPr>
        <w:t>IE</w:t>
      </w:r>
      <w:r w:rsidR="004B542C" w:rsidRPr="00FB4E2D">
        <w:rPr>
          <w:rFonts w:ascii="Times New Roman" w:eastAsia="Times New Roman" w:hAnsi="Times New Roman" w:cs="Times New Roman"/>
          <w:i/>
          <w:noProof/>
          <w:kern w:val="0"/>
          <w:sz w:val="20"/>
          <w:szCs w:val="20"/>
          <w14:ligatures w14:val="none"/>
        </w:rPr>
        <w:t xml:space="preserve">: Cases are allocated to a prosecutor on the basis of specialisation, seniority and capacity. Cases are allocated by </w:t>
      </w:r>
      <w:r w:rsidR="004B542C" w:rsidRPr="00FB4E2D">
        <w:rPr>
          <w:rFonts w:ascii="Times New Roman" w:eastAsia="Times New Roman" w:hAnsi="Times New Roman" w:cs="Times New Roman"/>
          <w:i/>
          <w:noProof/>
          <w:sz w:val="20"/>
          <w:szCs w:val="20"/>
        </w:rPr>
        <w:t>u</w:t>
      </w:r>
      <w:r w:rsidR="004B542C" w:rsidRPr="00FB4E2D">
        <w:rPr>
          <w:rFonts w:ascii="Times New Roman" w:eastAsia="Times New Roman" w:hAnsi="Times New Roman" w:cs="Times New Roman"/>
          <w:i/>
          <w:noProof/>
          <w:kern w:val="0"/>
          <w:sz w:val="20"/>
          <w:szCs w:val="20"/>
          <w14:ligatures w14:val="none"/>
        </w:rPr>
        <w:t xml:space="preserve">nit </w:t>
      </w:r>
      <w:r w:rsidR="004B542C" w:rsidRPr="00FB4E2D">
        <w:rPr>
          <w:rFonts w:ascii="Times New Roman" w:eastAsia="Times New Roman" w:hAnsi="Times New Roman" w:cs="Times New Roman"/>
          <w:i/>
          <w:noProof/>
          <w:sz w:val="20"/>
          <w:szCs w:val="20"/>
        </w:rPr>
        <w:t>m</w:t>
      </w:r>
      <w:r w:rsidR="004B542C" w:rsidRPr="00FB4E2D">
        <w:rPr>
          <w:rFonts w:ascii="Times New Roman" w:eastAsia="Times New Roman" w:hAnsi="Times New Roman" w:cs="Times New Roman"/>
          <w:i/>
          <w:noProof/>
          <w:kern w:val="0"/>
          <w:sz w:val="20"/>
          <w:szCs w:val="20"/>
          <w14:ligatures w14:val="none"/>
        </w:rPr>
        <w:t xml:space="preserve">anagers who are aware of their team’s current caseloads. </w:t>
      </w:r>
      <w:r w:rsidR="004B542C" w:rsidRPr="00FB4E2D">
        <w:rPr>
          <w:rFonts w:ascii="Times New Roman" w:eastAsia="Times New Roman" w:hAnsi="Times New Roman" w:cs="Times New Roman"/>
          <w:b/>
          <w:i/>
          <w:noProof/>
          <w:kern w:val="0"/>
          <w:sz w:val="20"/>
          <w:szCs w:val="20"/>
          <w14:ligatures w14:val="none"/>
        </w:rPr>
        <w:t>EL</w:t>
      </w:r>
      <w:r w:rsidR="004B542C" w:rsidRPr="00FB4E2D">
        <w:rPr>
          <w:rFonts w:ascii="Times New Roman" w:eastAsia="Times New Roman" w:hAnsi="Times New Roman" w:cs="Times New Roman"/>
          <w:i/>
          <w:noProof/>
          <w:kern w:val="0"/>
          <w:sz w:val="20"/>
          <w:szCs w:val="20"/>
          <w14:ligatures w14:val="none"/>
        </w:rPr>
        <w:t xml:space="preserve">: Case allocation is one of the duties of the </w:t>
      </w:r>
      <w:r w:rsidR="004B542C" w:rsidRPr="00FB4E2D">
        <w:rPr>
          <w:rFonts w:ascii="Times New Roman" w:eastAsia="Times New Roman" w:hAnsi="Times New Roman" w:cs="Times New Roman"/>
          <w:i/>
          <w:noProof/>
          <w:sz w:val="20"/>
          <w:szCs w:val="20"/>
        </w:rPr>
        <w:t>h</w:t>
      </w:r>
      <w:r w:rsidR="004B542C" w:rsidRPr="00FB4E2D">
        <w:rPr>
          <w:rFonts w:ascii="Times New Roman" w:eastAsia="Times New Roman" w:hAnsi="Times New Roman" w:cs="Times New Roman"/>
          <w:i/>
          <w:noProof/>
          <w:kern w:val="0"/>
          <w:sz w:val="20"/>
          <w:szCs w:val="20"/>
          <w14:ligatures w14:val="none"/>
        </w:rPr>
        <w:t xml:space="preserve">eads of the prosecution offices. They take into account the specific needs of each prosecution office, the number of staff, the seniority of the Prosecutors serving at the Office and, in certain cases, their specialisation. </w:t>
      </w:r>
      <w:r w:rsidR="004B542C" w:rsidRPr="00FB4E2D">
        <w:rPr>
          <w:rFonts w:ascii="Times New Roman" w:eastAsia="Times New Roman" w:hAnsi="Times New Roman" w:cs="Times New Roman"/>
          <w:b/>
          <w:i/>
          <w:noProof/>
          <w:kern w:val="0"/>
          <w:sz w:val="20"/>
          <w:szCs w:val="20"/>
          <w14:ligatures w14:val="none"/>
        </w:rPr>
        <w:t>ES</w:t>
      </w:r>
      <w:r w:rsidR="004B542C" w:rsidRPr="00FB4E2D">
        <w:rPr>
          <w:rFonts w:ascii="Times New Roman" w:eastAsia="Times New Roman" w:hAnsi="Times New Roman" w:cs="Times New Roman"/>
          <w:i/>
          <w:noProof/>
          <w:kern w:val="0"/>
          <w:sz w:val="20"/>
          <w:szCs w:val="20"/>
          <w14:ligatures w14:val="none"/>
        </w:rPr>
        <w:t xml:space="preserve">: Chief </w:t>
      </w:r>
      <w:r w:rsidR="004B542C" w:rsidRPr="00FB4E2D">
        <w:rPr>
          <w:rFonts w:ascii="Times New Roman" w:eastAsia="Times New Roman" w:hAnsi="Times New Roman" w:cs="Times New Roman"/>
          <w:i/>
          <w:noProof/>
          <w:sz w:val="20"/>
          <w:szCs w:val="20"/>
        </w:rPr>
        <w:t>p</w:t>
      </w:r>
      <w:r w:rsidR="004B542C" w:rsidRPr="00FB4E2D">
        <w:rPr>
          <w:rFonts w:ascii="Times New Roman" w:eastAsia="Times New Roman" w:hAnsi="Times New Roman" w:cs="Times New Roman"/>
          <w:i/>
          <w:noProof/>
          <w:kern w:val="0"/>
          <w:sz w:val="20"/>
          <w:szCs w:val="20"/>
          <w14:ligatures w14:val="none"/>
        </w:rPr>
        <w:t xml:space="preserve">rosecutors are responsible for organising the services and for the transparent and equitable distribution of work among the staff of their prosecution office. </w:t>
      </w:r>
      <w:r w:rsidR="004B542C" w:rsidRPr="00FB4E2D">
        <w:rPr>
          <w:rFonts w:ascii="Times New Roman" w:eastAsia="Times New Roman" w:hAnsi="Times New Roman" w:cs="Times New Roman"/>
          <w:b/>
          <w:i/>
          <w:noProof/>
          <w:kern w:val="0"/>
          <w:sz w:val="20"/>
          <w:szCs w:val="20"/>
          <w14:ligatures w14:val="none"/>
        </w:rPr>
        <w:t>IT</w:t>
      </w:r>
      <w:r w:rsidR="004B542C" w:rsidRPr="00FB4E2D">
        <w:rPr>
          <w:rFonts w:ascii="Times New Roman" w:eastAsia="Times New Roman" w:hAnsi="Times New Roman" w:cs="Times New Roman"/>
          <w:i/>
          <w:noProof/>
          <w:kern w:val="0"/>
          <w:sz w:val="20"/>
          <w:szCs w:val="20"/>
          <w14:ligatures w14:val="none"/>
        </w:rPr>
        <w:t xml:space="preserve">: Random allocation can be exceptionally waived. </w:t>
      </w:r>
      <w:r w:rsidR="004B542C" w:rsidRPr="00FB4E2D">
        <w:rPr>
          <w:rFonts w:ascii="Times New Roman" w:eastAsia="Times New Roman" w:hAnsi="Times New Roman" w:cs="Times New Roman"/>
          <w:b/>
          <w:i/>
          <w:noProof/>
          <w:kern w:val="0"/>
          <w:sz w:val="20"/>
          <w:szCs w:val="20"/>
          <w14:ligatures w14:val="none"/>
        </w:rPr>
        <w:t>LV</w:t>
      </w:r>
      <w:r w:rsidR="004B542C" w:rsidRPr="00FB4E2D">
        <w:rPr>
          <w:rFonts w:ascii="Times New Roman" w:eastAsia="Times New Roman" w:hAnsi="Times New Roman" w:cs="Times New Roman"/>
          <w:i/>
          <w:noProof/>
          <w:kern w:val="0"/>
          <w:sz w:val="20"/>
          <w:szCs w:val="20"/>
          <w14:ligatures w14:val="none"/>
        </w:rPr>
        <w:t xml:space="preserve">: Cases are allocated to units of the prosecution office corresponding to the specialisation indicated in internal regulatory enactments, and further to prosecutors – by the heads of prosecution offices. </w:t>
      </w:r>
      <w:r w:rsidR="004B542C" w:rsidRPr="00FB4E2D">
        <w:rPr>
          <w:rFonts w:ascii="Times New Roman" w:eastAsia="Times New Roman" w:hAnsi="Times New Roman" w:cs="Times New Roman"/>
          <w:b/>
          <w:i/>
          <w:noProof/>
          <w:kern w:val="0"/>
          <w:sz w:val="20"/>
          <w:szCs w:val="20"/>
          <w14:ligatures w14:val="none"/>
        </w:rPr>
        <w:t>LT</w:t>
      </w:r>
      <w:r w:rsidR="004B542C" w:rsidRPr="00FB4E2D">
        <w:rPr>
          <w:rFonts w:ascii="Times New Roman" w:eastAsia="Times New Roman" w:hAnsi="Times New Roman" w:cs="Times New Roman"/>
          <w:i/>
          <w:noProof/>
          <w:kern w:val="0"/>
          <w:sz w:val="20"/>
          <w:szCs w:val="20"/>
          <w14:ligatures w14:val="none"/>
        </w:rPr>
        <w:t xml:space="preserve">: Cases are allocated on the basis of the location and qualification of the offence; the location and jurisdiction of the prosecutors; the specialisation and workload of the prosecutors; and the size and complexity of the criminal case. The allocation is made through the integrated criminal procedure information system (IBPS). </w:t>
      </w:r>
      <w:r w:rsidR="004B542C" w:rsidRPr="00FB4E2D">
        <w:rPr>
          <w:rFonts w:ascii="Times New Roman" w:eastAsia="Times New Roman" w:hAnsi="Times New Roman" w:cs="Times New Roman"/>
          <w:b/>
          <w:i/>
          <w:noProof/>
          <w:kern w:val="0"/>
          <w:sz w:val="20"/>
          <w:szCs w:val="20"/>
          <w14:ligatures w14:val="none"/>
        </w:rPr>
        <w:t>LU</w:t>
      </w:r>
      <w:r w:rsidR="004B542C" w:rsidRPr="00FB4E2D">
        <w:rPr>
          <w:rFonts w:ascii="Times New Roman" w:eastAsia="Times New Roman" w:hAnsi="Times New Roman" w:cs="Times New Roman"/>
          <w:i/>
          <w:noProof/>
          <w:kern w:val="0"/>
          <w:sz w:val="20"/>
          <w:szCs w:val="20"/>
          <w14:ligatures w14:val="none"/>
        </w:rPr>
        <w:t xml:space="preserve">: The Prosecution Office is the only responsible authority. </w:t>
      </w:r>
      <w:r w:rsidR="004B542C" w:rsidRPr="00FB4E2D">
        <w:rPr>
          <w:rFonts w:ascii="Times New Roman" w:eastAsia="Times New Roman" w:hAnsi="Times New Roman" w:cs="Times New Roman"/>
          <w:b/>
          <w:i/>
          <w:noProof/>
          <w:kern w:val="0"/>
          <w:sz w:val="20"/>
          <w:szCs w:val="20"/>
          <w14:ligatures w14:val="none"/>
        </w:rPr>
        <w:t>HU</w:t>
      </w:r>
      <w:r w:rsidR="004B542C" w:rsidRPr="00FB4E2D">
        <w:rPr>
          <w:rFonts w:ascii="Times New Roman" w:eastAsia="Times New Roman" w:hAnsi="Times New Roman" w:cs="Times New Roman"/>
          <w:i/>
          <w:noProof/>
          <w:kern w:val="0"/>
          <w:sz w:val="20"/>
          <w:szCs w:val="20"/>
          <w14:ligatures w14:val="none"/>
        </w:rPr>
        <w:t xml:space="preserve">: After registration and preliminary search for background, all incoming documents have to be presented to the head at the Office of the Prosecutor General having competence to manage the case in accordance with the </w:t>
      </w:r>
      <w:r w:rsidR="004B542C" w:rsidRPr="00FB4E2D">
        <w:rPr>
          <w:rFonts w:ascii="Times New Roman" w:eastAsia="Times New Roman" w:hAnsi="Times New Roman" w:cs="Times New Roman"/>
          <w:i/>
          <w:noProof/>
          <w:sz w:val="20"/>
          <w:szCs w:val="20"/>
        </w:rPr>
        <w:t>r</w:t>
      </w:r>
      <w:r w:rsidR="004B542C" w:rsidRPr="00FB4E2D">
        <w:rPr>
          <w:rFonts w:ascii="Times New Roman" w:eastAsia="Times New Roman" w:hAnsi="Times New Roman" w:cs="Times New Roman"/>
          <w:i/>
          <w:noProof/>
          <w:kern w:val="0"/>
          <w:sz w:val="20"/>
          <w:szCs w:val="20"/>
          <w14:ligatures w14:val="none"/>
        </w:rPr>
        <w:t xml:space="preserve">ules of </w:t>
      </w:r>
      <w:r w:rsidR="004B542C" w:rsidRPr="00FB4E2D">
        <w:rPr>
          <w:rFonts w:ascii="Times New Roman" w:eastAsia="Times New Roman" w:hAnsi="Times New Roman" w:cs="Times New Roman"/>
          <w:i/>
          <w:noProof/>
          <w:sz w:val="20"/>
          <w:szCs w:val="20"/>
        </w:rPr>
        <w:t>p</w:t>
      </w:r>
      <w:r w:rsidR="004B542C" w:rsidRPr="00FB4E2D">
        <w:rPr>
          <w:rFonts w:ascii="Times New Roman" w:eastAsia="Times New Roman" w:hAnsi="Times New Roman" w:cs="Times New Roman"/>
          <w:i/>
          <w:noProof/>
          <w:kern w:val="0"/>
          <w:sz w:val="20"/>
          <w:szCs w:val="20"/>
          <w14:ligatures w14:val="none"/>
        </w:rPr>
        <w:t xml:space="preserve">rocedure, to the chief prosecutor at the Appellate Chief Prosecution Office, to the chief prosecutor at the Chief Prosecution Office, to the head of the District Prosecution Office at the District Prosecution Office, or to the person or head of the organisational unit designated by them, for the purpose of selecting the appropriate computerised filing system or case log book and designating the case worker. If case worker assignments are already predetermined based on regional or case-specific distribution, the document must go directly to the pre-assigned case worker unless the responsible leader decides otherwise. </w:t>
      </w:r>
      <w:r w:rsidRPr="00FB4E2D">
        <w:rPr>
          <w:rFonts w:ascii="Times New Roman" w:eastAsia="Times New Roman" w:hAnsi="Times New Roman" w:cs="Times New Roman"/>
          <w:b/>
          <w:i/>
          <w:noProof/>
          <w:kern w:val="0"/>
          <w:sz w:val="20"/>
          <w:szCs w:val="20"/>
          <w14:ligatures w14:val="none"/>
        </w:rPr>
        <w:t>MT</w:t>
      </w:r>
      <w:r w:rsidRPr="00FB4E2D">
        <w:rPr>
          <w:rFonts w:ascii="Times New Roman" w:eastAsia="Times New Roman" w:hAnsi="Times New Roman" w:cs="Times New Roman"/>
          <w:i/>
          <w:noProof/>
          <w:kern w:val="0"/>
          <w:sz w:val="20"/>
          <w:szCs w:val="20"/>
          <w14:ligatures w14:val="none"/>
        </w:rPr>
        <w:t xml:space="preserve">: The cases are allocated according to specialisation. The complexity of the case and the experience of prosecutors are taken into consideration when allocating cases. Another factor is the case-load of the individual prosecutors. </w:t>
      </w:r>
      <w:r w:rsidRPr="00FB4E2D">
        <w:rPr>
          <w:rFonts w:ascii="Times New Roman" w:eastAsia="Times New Roman" w:hAnsi="Times New Roman" w:cs="Times New Roman"/>
          <w:b/>
          <w:i/>
          <w:noProof/>
          <w:kern w:val="0"/>
          <w:sz w:val="20"/>
          <w:szCs w:val="20"/>
          <w14:ligatures w14:val="none"/>
        </w:rPr>
        <w:t>NL</w:t>
      </w:r>
      <w:r w:rsidRPr="00FB4E2D">
        <w:rPr>
          <w:rFonts w:ascii="Times New Roman" w:eastAsia="Times New Roman" w:hAnsi="Times New Roman" w:cs="Times New Roman"/>
          <w:i/>
          <w:noProof/>
          <w:kern w:val="0"/>
          <w:sz w:val="20"/>
          <w:szCs w:val="20"/>
          <w14:ligatures w14:val="none"/>
        </w:rPr>
        <w:t xml:space="preserve">: Allocation takes place by the “weekly shift” of the district public prosecutor’s office or through a project proposal of the most specialised unit. The authority responsible for the allocation is the chief of the public prosecutor’s office. </w:t>
      </w:r>
      <w:r w:rsidRPr="00FB4E2D">
        <w:rPr>
          <w:rFonts w:ascii="Times New Roman" w:eastAsia="Times New Roman" w:hAnsi="Times New Roman" w:cs="Times New Roman"/>
          <w:b/>
          <w:i/>
          <w:noProof/>
          <w:kern w:val="0"/>
          <w:sz w:val="20"/>
          <w:szCs w:val="20"/>
          <w14:ligatures w14:val="none"/>
        </w:rPr>
        <w:t>AT</w:t>
      </w:r>
      <w:r w:rsidRPr="00FB4E2D">
        <w:rPr>
          <w:rFonts w:ascii="Times New Roman" w:eastAsia="Times New Roman" w:hAnsi="Times New Roman" w:cs="Times New Roman"/>
          <w:i/>
          <w:noProof/>
          <w:kern w:val="0"/>
          <w:sz w:val="20"/>
          <w:szCs w:val="20"/>
          <w14:ligatures w14:val="none"/>
        </w:rPr>
        <w:t xml:space="preserve">: </w:t>
      </w:r>
      <w:r w:rsidR="00FE00EF" w:rsidRPr="00FB4E2D">
        <w:rPr>
          <w:rFonts w:ascii="Times New Roman" w:eastAsia="Times New Roman" w:hAnsi="Times New Roman" w:cs="Times New Roman"/>
          <w:i/>
          <w:noProof/>
          <w:kern w:val="0"/>
          <w:sz w:val="20"/>
          <w:szCs w:val="20"/>
          <w14:ligatures w14:val="none"/>
        </w:rPr>
        <w:t>Cases are distributed according to a general, predetermined allocation of duties defined by the head of the prosecution service in coordination with the superior service authority. These rules of allocation may also provide for the designation of specialised units for certain types of cases. The allocation of these cases is then based on this specialisation. Certain types of cases are already assigned by law to a specialised public prosecutor's office (Centrali</w:t>
      </w:r>
      <w:r w:rsidR="00FE00EF" w:rsidRPr="00FB4E2D">
        <w:rPr>
          <w:rFonts w:ascii="Times New Roman" w:eastAsia="Times New Roman" w:hAnsi="Times New Roman" w:cs="Times New Roman"/>
          <w:i/>
          <w:noProof/>
          <w:sz w:val="20"/>
          <w:szCs w:val="20"/>
        </w:rPr>
        <w:t>s</w:t>
      </w:r>
      <w:r w:rsidR="00FE00EF" w:rsidRPr="00FB4E2D">
        <w:rPr>
          <w:rFonts w:ascii="Times New Roman" w:eastAsia="Times New Roman" w:hAnsi="Times New Roman" w:cs="Times New Roman"/>
          <w:i/>
          <w:noProof/>
          <w:kern w:val="0"/>
          <w:sz w:val="20"/>
          <w:szCs w:val="20"/>
          <w14:ligatures w14:val="none"/>
        </w:rPr>
        <w:t xml:space="preserve">ed Public Prosecutor's Office for Combating Economic Crimes and Corruption). </w:t>
      </w:r>
      <w:r w:rsidR="00FE00EF" w:rsidRPr="00FB4E2D">
        <w:rPr>
          <w:rFonts w:ascii="Times New Roman" w:eastAsia="Times New Roman" w:hAnsi="Times New Roman" w:cs="Times New Roman"/>
          <w:b/>
          <w:i/>
          <w:noProof/>
          <w:kern w:val="0"/>
          <w:sz w:val="20"/>
          <w:szCs w:val="20"/>
          <w14:ligatures w14:val="none"/>
        </w:rPr>
        <w:t>PT</w:t>
      </w:r>
      <w:r w:rsidR="00FE00EF" w:rsidRPr="00FB4E2D">
        <w:rPr>
          <w:rFonts w:ascii="Times New Roman" w:eastAsia="Times New Roman" w:hAnsi="Times New Roman" w:cs="Times New Roman"/>
          <w:i/>
          <w:noProof/>
          <w:kern w:val="0"/>
          <w:sz w:val="20"/>
          <w:szCs w:val="20"/>
          <w14:ligatures w14:val="none"/>
        </w:rPr>
        <w:t xml:space="preserve">: For some specific crimes, cases are allocated to a prosecutor based on </w:t>
      </w:r>
      <w:r w:rsidR="00FE00EF" w:rsidRPr="00FB4E2D">
        <w:rPr>
          <w:rFonts w:ascii="Times New Roman" w:eastAsia="Times New Roman" w:hAnsi="Times New Roman" w:cs="Times New Roman"/>
          <w:i/>
          <w:noProof/>
          <w:sz w:val="20"/>
          <w:szCs w:val="20"/>
        </w:rPr>
        <w:t>their</w:t>
      </w:r>
      <w:r w:rsidR="00FE00EF" w:rsidRPr="00FB4E2D">
        <w:rPr>
          <w:rFonts w:ascii="Times New Roman" w:eastAsia="Times New Roman" w:hAnsi="Times New Roman" w:cs="Times New Roman"/>
          <w:i/>
          <w:noProof/>
          <w:kern w:val="0"/>
          <w:sz w:val="20"/>
          <w:szCs w:val="20"/>
          <w14:ligatures w14:val="none"/>
        </w:rPr>
        <w:t xml:space="preserve"> specialisation. </w:t>
      </w:r>
      <w:r w:rsidR="00FE00EF" w:rsidRPr="00FB4E2D">
        <w:rPr>
          <w:rFonts w:ascii="Times New Roman" w:eastAsia="Times New Roman" w:hAnsi="Times New Roman" w:cs="Times New Roman"/>
          <w:b/>
          <w:i/>
          <w:noProof/>
          <w:kern w:val="0"/>
          <w:sz w:val="20"/>
          <w:szCs w:val="20"/>
          <w14:ligatures w14:val="none"/>
        </w:rPr>
        <w:t>RO</w:t>
      </w:r>
      <w:r w:rsidR="00FE00EF" w:rsidRPr="00FB4E2D">
        <w:rPr>
          <w:rFonts w:ascii="Times New Roman" w:eastAsia="Times New Roman" w:hAnsi="Times New Roman" w:cs="Times New Roman"/>
          <w:i/>
          <w:noProof/>
          <w:kern w:val="0"/>
          <w:sz w:val="20"/>
          <w:szCs w:val="20"/>
          <w14:ligatures w14:val="none"/>
        </w:rPr>
        <w:t xml:space="preserve">: Beside the specialisation of the prosecutors the cases are allocated taking into account the legal competence of the prosecutor's offices depending on their rank. </w:t>
      </w:r>
      <w:r w:rsidR="00FE00EF" w:rsidRPr="00FB4E2D">
        <w:rPr>
          <w:rFonts w:ascii="Times New Roman" w:eastAsia="Times New Roman" w:hAnsi="Times New Roman" w:cs="Times New Roman"/>
          <w:b/>
          <w:i/>
          <w:noProof/>
          <w:kern w:val="0"/>
          <w:sz w:val="20"/>
          <w:szCs w:val="20"/>
          <w14:ligatures w14:val="none"/>
        </w:rPr>
        <w:t>SK</w:t>
      </w:r>
      <w:r w:rsidR="00FE00EF" w:rsidRPr="00FB4E2D">
        <w:rPr>
          <w:rFonts w:ascii="Times New Roman" w:eastAsia="Times New Roman" w:hAnsi="Times New Roman" w:cs="Times New Roman"/>
          <w:i/>
          <w:noProof/>
          <w:kern w:val="0"/>
          <w:sz w:val="20"/>
          <w:szCs w:val="20"/>
          <w14:ligatures w14:val="none"/>
        </w:rPr>
        <w:t xml:space="preserve">: Cases are assigned to individual prosecutors by the chief prosecutor (e.g. a district prosecutor assigns new cases to prosecutors of the relevant district prosecutor's office), based on their specialisation according to a predetermined ratio of assigned cases between prosecutors working on the same agenda (specialisation) depending on overall caseload. The schedule is created by the chief prosecutor depending on the overall caseload and the number of active prosecutors, while the specialisation of a particular prosecutor is determined by the relevant district/regional prosecutor. In practice, there are cases when one prosecutor has several specialisations due to the lower budget of a particular prosecutor's office or the lack of prosecutors. The lists of prosecutor specialists are notified to superior prosecutor's offices. </w:t>
      </w:r>
      <w:r w:rsidR="00FE00EF" w:rsidRPr="00FB4E2D">
        <w:rPr>
          <w:rFonts w:ascii="Times New Roman" w:eastAsia="Times New Roman" w:hAnsi="Times New Roman" w:cs="Times New Roman"/>
          <w:b/>
          <w:i/>
          <w:noProof/>
          <w:kern w:val="0"/>
          <w:sz w:val="20"/>
          <w:szCs w:val="20"/>
          <w14:ligatures w14:val="none"/>
        </w:rPr>
        <w:t>FI</w:t>
      </w:r>
      <w:r w:rsidR="00FE00EF" w:rsidRPr="00FB4E2D">
        <w:rPr>
          <w:rFonts w:ascii="Times New Roman" w:eastAsia="Times New Roman" w:hAnsi="Times New Roman" w:cs="Times New Roman"/>
          <w:i/>
          <w:noProof/>
          <w:kern w:val="0"/>
          <w:sz w:val="20"/>
          <w:szCs w:val="20"/>
          <w14:ligatures w14:val="none"/>
        </w:rPr>
        <w:t xml:space="preserve">: The cases in prosecution areas are distributed by the deputy chief prosecutors to their subordinates. The basis is their expertise and the number of cases they have at </w:t>
      </w:r>
      <w:r w:rsidR="00FE00EF" w:rsidRPr="00FB4E2D">
        <w:rPr>
          <w:rFonts w:ascii="Times New Roman" w:eastAsia="Times New Roman" w:hAnsi="Times New Roman" w:cs="Times New Roman"/>
          <w:i/>
          <w:noProof/>
          <w:sz w:val="20"/>
          <w:szCs w:val="20"/>
        </w:rPr>
        <w:t>that time</w:t>
      </w:r>
      <w:r w:rsidR="00FE00EF" w:rsidRPr="00FB4E2D">
        <w:rPr>
          <w:rFonts w:ascii="Times New Roman" w:eastAsia="Times New Roman" w:hAnsi="Times New Roman" w:cs="Times New Roman"/>
          <w:i/>
          <w:noProof/>
          <w:kern w:val="0"/>
          <w:sz w:val="20"/>
          <w:szCs w:val="20"/>
          <w14:ligatures w14:val="none"/>
        </w:rPr>
        <w:t xml:space="preserve">. In </w:t>
      </w:r>
      <w:r w:rsidR="00FE00EF" w:rsidRPr="00FB4E2D">
        <w:rPr>
          <w:rFonts w:ascii="Times New Roman" w:eastAsia="Times New Roman" w:hAnsi="Times New Roman" w:cs="Times New Roman"/>
          <w:i/>
          <w:noProof/>
          <w:sz w:val="20"/>
          <w:szCs w:val="20"/>
        </w:rPr>
        <w:t xml:space="preserve">the Office of the </w:t>
      </w:r>
      <w:r w:rsidR="00FE00EF" w:rsidRPr="00FB4E2D">
        <w:rPr>
          <w:rFonts w:ascii="Times New Roman" w:eastAsia="Times New Roman" w:hAnsi="Times New Roman" w:cs="Times New Roman"/>
          <w:i/>
          <w:noProof/>
          <w:kern w:val="0"/>
          <w:sz w:val="20"/>
          <w:szCs w:val="20"/>
          <w14:ligatures w14:val="none"/>
        </w:rPr>
        <w:t>Prosecutor General</w:t>
      </w:r>
      <w:r w:rsidR="00FE00EF" w:rsidRPr="00FB4E2D">
        <w:rPr>
          <w:rFonts w:ascii="Times New Roman" w:eastAsia="Times New Roman" w:hAnsi="Times New Roman" w:cs="Times New Roman"/>
          <w:i/>
          <w:noProof/>
          <w:sz w:val="20"/>
          <w:szCs w:val="20"/>
        </w:rPr>
        <w:t>,</w:t>
      </w:r>
      <w:r w:rsidR="00FE00EF" w:rsidRPr="00FB4E2D">
        <w:rPr>
          <w:rFonts w:ascii="Times New Roman" w:eastAsia="Times New Roman" w:hAnsi="Times New Roman" w:cs="Times New Roman"/>
          <w:i/>
          <w:noProof/>
          <w:kern w:val="0"/>
          <w:sz w:val="20"/>
          <w:szCs w:val="20"/>
          <w14:ligatures w14:val="none"/>
        </w:rPr>
        <w:t xml:space="preserve"> cases are distributed by department chiefs who are senior state prosecutors, and in more severe and important cases by </w:t>
      </w:r>
      <w:r w:rsidR="00FE00EF" w:rsidRPr="00FB4E2D">
        <w:rPr>
          <w:rFonts w:ascii="Times New Roman" w:eastAsia="Times New Roman" w:hAnsi="Times New Roman" w:cs="Times New Roman"/>
          <w:i/>
          <w:noProof/>
          <w:sz w:val="20"/>
          <w:szCs w:val="20"/>
        </w:rPr>
        <w:t xml:space="preserve">the </w:t>
      </w:r>
      <w:r w:rsidR="00FE00EF" w:rsidRPr="00FB4E2D">
        <w:rPr>
          <w:rFonts w:ascii="Times New Roman" w:eastAsia="Times New Roman" w:hAnsi="Times New Roman" w:cs="Times New Roman"/>
          <w:i/>
          <w:noProof/>
          <w:kern w:val="0"/>
          <w:sz w:val="20"/>
          <w:szCs w:val="20"/>
          <w14:ligatures w14:val="none"/>
        </w:rPr>
        <w:t xml:space="preserve">Prosecutor General or their deputy. </w:t>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SE</w:t>
      </w:r>
      <w:r w:rsidRPr="00FB4E2D">
        <w:rPr>
          <w:rFonts w:ascii="Times New Roman" w:eastAsia="Times New Roman" w:hAnsi="Times New Roman" w:cs="Times New Roman"/>
          <w:i/>
          <w:noProof/>
          <w:kern w:val="0"/>
          <w:sz w:val="20"/>
          <w:szCs w:val="20"/>
          <w14:ligatures w14:val="none"/>
        </w:rPr>
        <w:t xml:space="preserve">: Allocation of a case varies between different prosecution chambers. There is a list with the names of the prosecutors and their respective specialisation. The cases are then distributed by a prosecutor's officer or by a chief prosecutor (or deputy chief prosecutor) to the different prosecutors so that a fair distribution is obtained within the different specialties. If there is someone deprived of liberty in the case, it is usually the chief prosecutor or the deputy chief prosecutor who distributes the case according to specialty and workload.  </w:t>
      </w:r>
    </w:p>
    <w:p w14:paraId="24517650" w14:textId="118E7E40" w:rsidR="00837FE6" w:rsidRPr="00FB4E2D" w:rsidRDefault="00837FE6" w:rsidP="00837FE6">
      <w:pPr>
        <w:spacing w:before="240" w:after="120" w:line="240" w:lineRule="auto"/>
        <w:jc w:val="both"/>
        <w:rPr>
          <w:rFonts w:ascii="Times New Roman" w:eastAsia="Symbol" w:hAnsi="Times New Roman" w:cs="Symbol"/>
          <w:i/>
          <w:noProof/>
          <w:kern w:val="0"/>
          <w14:ligatures w14:val="none"/>
        </w:rPr>
      </w:pPr>
      <w:r w:rsidRPr="00FB4E2D">
        <w:rPr>
          <w:rFonts w:ascii="Times New Roman" w:eastAsia="Times New Roman" w:hAnsi="Times New Roman" w:cs="Times New Roman"/>
          <w:b/>
          <w:bCs/>
          <w:i/>
          <w:noProof/>
          <w:kern w:val="0"/>
          <w:sz w:val="20"/>
          <w:szCs w:val="20"/>
          <w14:ligatures w14:val="none"/>
        </w:rPr>
        <w:t>On external oversight:</w:t>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bCs/>
          <w:i/>
          <w:noProof/>
          <w:kern w:val="0"/>
          <w:sz w:val="20"/>
          <w:szCs w:val="20"/>
          <w14:ligatures w14:val="none"/>
        </w:rPr>
        <w:t>BE</w:t>
      </w:r>
      <w:r w:rsidRPr="00FB4E2D">
        <w:rPr>
          <w:rFonts w:ascii="Times New Roman" w:eastAsia="Times New Roman" w:hAnsi="Times New Roman" w:cs="Times New Roman"/>
          <w:i/>
          <w:noProof/>
          <w:kern w:val="0"/>
          <w:sz w:val="20"/>
          <w:szCs w:val="20"/>
          <w14:ligatures w14:val="none"/>
        </w:rPr>
        <w:t>: The board of</w:t>
      </w:r>
      <w:r w:rsidR="00924A38" w:rsidRPr="00FB4E2D">
        <w:rPr>
          <w:rFonts w:ascii="Times New Roman" w:eastAsia="Times New Roman" w:hAnsi="Times New Roman" w:cs="Times New Roman"/>
          <w:i/>
          <w:noProof/>
          <w:kern w:val="0"/>
          <w:sz w:val="20"/>
          <w:szCs w:val="20"/>
          <w14:ligatures w14:val="none"/>
        </w:rPr>
        <w:t xml:space="preserve"> public ministry</w:t>
      </w:r>
      <w:r w:rsidRPr="00FB4E2D">
        <w:rPr>
          <w:rFonts w:ascii="Times New Roman" w:eastAsia="Times New Roman" w:hAnsi="Times New Roman" w:cs="Times New Roman"/>
          <w:i/>
          <w:noProof/>
          <w:kern w:val="0"/>
          <w:sz w:val="20"/>
          <w:szCs w:val="20"/>
          <w14:ligatures w14:val="none"/>
        </w:rPr>
        <w:t xml:space="preserve">. This does not apply to the Court of Cassation. </w:t>
      </w:r>
      <w:r w:rsidRPr="00FB4E2D">
        <w:rPr>
          <w:rFonts w:ascii="Times New Roman" w:eastAsia="Times New Roman" w:hAnsi="Times New Roman" w:cs="Times New Roman"/>
          <w:b/>
          <w:bCs/>
          <w:i/>
          <w:noProof/>
          <w:kern w:val="0"/>
          <w:sz w:val="20"/>
          <w:szCs w:val="20"/>
          <w14:ligatures w14:val="none"/>
        </w:rPr>
        <w:t>BG</w:t>
      </w:r>
      <w:r w:rsidRPr="00FB4E2D">
        <w:rPr>
          <w:rFonts w:ascii="Times New Roman" w:eastAsia="Times New Roman" w:hAnsi="Times New Roman" w:cs="Times New Roman"/>
          <w:i/>
          <w:noProof/>
          <w:kern w:val="0"/>
          <w:sz w:val="20"/>
          <w:szCs w:val="20"/>
          <w14:ligatures w14:val="none"/>
        </w:rPr>
        <w:t xml:space="preserve">: Inspectors from the Inspectorate to the Supreme Judicial Council. </w:t>
      </w:r>
      <w:r w:rsidRPr="00FB4E2D">
        <w:rPr>
          <w:rFonts w:ascii="Times New Roman" w:eastAsia="Times New Roman" w:hAnsi="Times New Roman" w:cs="Times New Roman"/>
          <w:b/>
          <w:bCs/>
          <w:i/>
          <w:noProof/>
          <w:kern w:val="0"/>
          <w:sz w:val="20"/>
          <w:szCs w:val="20"/>
          <w14:ligatures w14:val="none"/>
        </w:rPr>
        <w:t>CZ</w:t>
      </w:r>
      <w:r w:rsidRPr="00FB4E2D">
        <w:rPr>
          <w:rFonts w:ascii="Times New Roman" w:eastAsia="Times New Roman" w:hAnsi="Times New Roman" w:cs="Times New Roman"/>
          <w:i/>
          <w:noProof/>
          <w:kern w:val="0"/>
          <w:sz w:val="20"/>
          <w:szCs w:val="20"/>
          <w14:ligatures w14:val="none"/>
        </w:rPr>
        <w:t xml:space="preserve">: Theoretically, the procedure of supervision by the next closest superior prosecution office can be initiated, but nobody has ever done so. </w:t>
      </w:r>
      <w:r w:rsidRPr="00FB4E2D">
        <w:rPr>
          <w:rFonts w:ascii="Times New Roman" w:eastAsia="Times New Roman" w:hAnsi="Times New Roman" w:cs="Times New Roman"/>
          <w:b/>
          <w:bCs/>
          <w:i/>
          <w:noProof/>
          <w:kern w:val="0"/>
          <w:sz w:val="20"/>
          <w:szCs w:val="20"/>
          <w14:ligatures w14:val="none"/>
        </w:rPr>
        <w:t>DE</w:t>
      </w:r>
      <w:r w:rsidRPr="00FB4E2D">
        <w:rPr>
          <w:rFonts w:ascii="Times New Roman" w:eastAsia="Times New Roman" w:hAnsi="Times New Roman" w:cs="Times New Roman"/>
          <w:i/>
          <w:noProof/>
          <w:kern w:val="0"/>
          <w:sz w:val="20"/>
          <w:szCs w:val="20"/>
          <w14:ligatures w14:val="none"/>
        </w:rPr>
        <w:t xml:space="preserve">: The oversight mechanisms are in place within the official hierarchy. The responsible ministry also exercises administrative and professional supervision. </w:t>
      </w:r>
      <w:r w:rsidRPr="00FB4E2D">
        <w:rPr>
          <w:rFonts w:ascii="Times New Roman" w:eastAsia="Times New Roman" w:hAnsi="Times New Roman" w:cs="Times New Roman"/>
          <w:b/>
          <w:bCs/>
          <w:i/>
          <w:noProof/>
          <w:kern w:val="0"/>
          <w:sz w:val="20"/>
          <w:szCs w:val="20"/>
          <w14:ligatures w14:val="none"/>
        </w:rPr>
        <w:t>NL</w:t>
      </w:r>
      <w:r w:rsidRPr="00FB4E2D">
        <w:rPr>
          <w:rFonts w:ascii="Times New Roman" w:eastAsia="Times New Roman" w:hAnsi="Times New Roman" w:cs="Times New Roman"/>
          <w:i/>
          <w:noProof/>
          <w:kern w:val="0"/>
          <w:sz w:val="20"/>
          <w:szCs w:val="20"/>
          <w14:ligatures w14:val="none"/>
        </w:rPr>
        <w:t xml:space="preserve">: Criminal cases are registered in the national integrated criminal justice system and in the national case overview system of each public prosecutor’s office. </w:t>
      </w:r>
      <w:r w:rsidRPr="00FB4E2D">
        <w:rPr>
          <w:rFonts w:ascii="Times New Roman" w:eastAsia="Times New Roman" w:hAnsi="Times New Roman" w:cs="Times New Roman"/>
          <w:b/>
          <w:bCs/>
          <w:i/>
          <w:noProof/>
          <w:kern w:val="0"/>
          <w:sz w:val="20"/>
          <w:szCs w:val="20"/>
          <w14:ligatures w14:val="none"/>
        </w:rPr>
        <w:t>RO</w:t>
      </w:r>
      <w:r w:rsidRPr="00FB4E2D">
        <w:rPr>
          <w:rFonts w:ascii="Times New Roman" w:eastAsia="Times New Roman" w:hAnsi="Times New Roman" w:cs="Times New Roman"/>
          <w:i/>
          <w:noProof/>
          <w:kern w:val="0"/>
          <w:sz w:val="20"/>
          <w:szCs w:val="20"/>
          <w14:ligatures w14:val="none"/>
        </w:rPr>
        <w:t xml:space="preserve">: Both the Prosecutor General and the Judicial Inspectorate have the possibility to check how the allocation of cases was done. </w:t>
      </w:r>
      <w:r w:rsidRPr="00FB4E2D">
        <w:rPr>
          <w:rFonts w:ascii="Times New Roman" w:eastAsia="Times New Roman" w:hAnsi="Times New Roman" w:cs="Times New Roman"/>
          <w:b/>
          <w:bCs/>
          <w:i/>
          <w:noProof/>
          <w:kern w:val="0"/>
          <w:sz w:val="20"/>
          <w:szCs w:val="20"/>
          <w14:ligatures w14:val="none"/>
        </w:rPr>
        <w:t>SI</w:t>
      </w:r>
      <w:r w:rsidRPr="00FB4E2D">
        <w:rPr>
          <w:rFonts w:ascii="Times New Roman" w:eastAsia="Times New Roman" w:hAnsi="Times New Roman" w:cs="Times New Roman"/>
          <w:i/>
          <w:noProof/>
          <w:kern w:val="0"/>
          <w:sz w:val="20"/>
          <w:szCs w:val="20"/>
          <w14:ligatures w14:val="none"/>
        </w:rPr>
        <w:t>: Ministry of Justice has the possibility of judicial supervision. Department for the organisation and development of management can make a supervision on the initiative of Prosecutor General.</w:t>
      </w:r>
    </w:p>
    <w:p w14:paraId="73AA7A89" w14:textId="77777777" w:rsidR="00116E76" w:rsidRDefault="00116E76" w:rsidP="00837FE6">
      <w:pPr>
        <w:spacing w:before="240" w:after="120" w:line="240" w:lineRule="auto"/>
        <w:jc w:val="both"/>
        <w:rPr>
          <w:rFonts w:ascii="Times New Roman" w:eastAsia="Symbol" w:hAnsi="Times New Roman" w:cs="Symbol"/>
          <w:i/>
          <w:noProof/>
          <w:kern w:val="0"/>
          <w14:ligatures w14:val="none"/>
        </w:rPr>
      </w:pPr>
    </w:p>
    <w:p w14:paraId="23E890AF" w14:textId="77777777" w:rsidR="00116E76" w:rsidRDefault="00116E76">
      <w:pPr>
        <w:rPr>
          <w:rFonts w:ascii="Times New Roman" w:eastAsia="Symbol" w:hAnsi="Times New Roman" w:cs="Symbol"/>
          <w:i/>
          <w:noProof/>
          <w:kern w:val="0"/>
          <w14:ligatures w14:val="none"/>
        </w:rPr>
      </w:pPr>
      <w:r>
        <w:rPr>
          <w:rFonts w:ascii="Times New Roman" w:eastAsia="Symbol" w:hAnsi="Times New Roman" w:cs="Symbol"/>
          <w:i/>
          <w:noProof/>
          <w:kern w:val="0"/>
          <w14:ligatures w14:val="none"/>
        </w:rPr>
        <w:br w:type="page"/>
      </w:r>
    </w:p>
    <w:p w14:paraId="7A3B53CA" w14:textId="6E2BDDCA" w:rsidR="00A02C07" w:rsidRPr="00FB4E2D" w:rsidRDefault="00A02C07" w:rsidP="00837FE6">
      <w:pPr>
        <w:spacing w:before="240" w:after="120" w:line="240" w:lineRule="auto"/>
        <w:jc w:val="both"/>
        <w:rPr>
          <w:rFonts w:ascii="Times New Roman" w:eastAsia="Symbol" w:hAnsi="Times New Roman" w:cs="Symbol"/>
          <w:i/>
          <w:noProof/>
          <w:kern w:val="0"/>
          <w14:ligatures w14:val="none"/>
        </w:rPr>
      </w:pPr>
      <w:r w:rsidRPr="00FB4E2D">
        <w:rPr>
          <w:rFonts w:ascii="Times New Roman" w:eastAsia="Symbol" w:hAnsi="Times New Roman" w:cs="Symbol"/>
          <w:i/>
          <w:noProof/>
          <w:kern w:val="0"/>
          <w14:ligatures w14:val="none"/>
        </w:rPr>
        <w:t>– Independence of bars and lawyers in the EU –</w:t>
      </w:r>
    </w:p>
    <w:p w14:paraId="510A52CF" w14:textId="25B8DCD6"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Lawyers and their professional associations play a fundamental role in ensuring the protection of fundamental rights and the rule of law (</w:t>
      </w:r>
      <w:r w:rsidRPr="00FB4E2D">
        <w:rPr>
          <w:rFonts w:ascii="Times New Roman" w:eastAsia="Times New Roman" w:hAnsi="Times New Roman" w:cs="Times New Roman"/>
          <w:noProof/>
          <w:kern w:val="0"/>
          <w:vertAlign w:val="superscript"/>
          <w14:ligatures w14:val="none"/>
        </w:rPr>
        <w:footnoteReference w:id="129"/>
      </w:r>
      <w:r w:rsidRPr="00FB4E2D">
        <w:rPr>
          <w:rFonts w:ascii="Times New Roman" w:eastAsia="Times New Roman" w:hAnsi="Times New Roman" w:cs="Times New Roman"/>
          <w:noProof/>
          <w:kern w:val="0"/>
          <w14:ligatures w14:val="none"/>
        </w:rPr>
        <w:t xml:space="preserve">). Their ability to act freely, loyally and confidentially in the exclusive interest of their clients is essential not only for the protection of the rights of their clients, but also for the credibility, effectiveness and legitimacy of justice systems and respect for the rule of law across the European Union. The Court of Justice of the European Union has already recognised that legal professional privilege and the confidentiality of lawyer-client communications constitute general principles of EU law, closely linked to the rights </w:t>
      </w:r>
      <w:r w:rsidR="00762D1A" w:rsidRPr="00FB4E2D">
        <w:rPr>
          <w:rFonts w:ascii="Times New Roman" w:eastAsia="Times New Roman" w:hAnsi="Times New Roman" w:cs="Times New Roman"/>
          <w:noProof/>
          <w:kern w:val="0"/>
          <w14:ligatures w14:val="none"/>
        </w:rPr>
        <w:t>to a</w:t>
      </w:r>
      <w:r w:rsidRPr="00FB4E2D">
        <w:rPr>
          <w:rFonts w:ascii="Times New Roman" w:eastAsia="Times New Roman" w:hAnsi="Times New Roman" w:cs="Times New Roman"/>
          <w:noProof/>
          <w:kern w:val="0"/>
          <w14:ligatures w14:val="none"/>
        </w:rPr>
        <w:t xml:space="preserve"> defence and the proper administration of justice (</w:t>
      </w:r>
      <w:r w:rsidRPr="00FB4E2D">
        <w:rPr>
          <w:rFonts w:ascii="Times New Roman" w:eastAsia="Times New Roman" w:hAnsi="Times New Roman" w:cs="Times New Roman"/>
          <w:noProof/>
          <w:kern w:val="0"/>
          <w:vertAlign w:val="superscript"/>
          <w14:ligatures w14:val="none"/>
        </w:rPr>
        <w:footnoteReference w:id="130"/>
      </w:r>
      <w:r w:rsidRPr="00FB4E2D">
        <w:rPr>
          <w:rFonts w:ascii="Times New Roman" w:eastAsia="Times New Roman" w:hAnsi="Times New Roman" w:cs="Times New Roman"/>
          <w:noProof/>
          <w:kern w:val="0"/>
          <w14:ligatures w14:val="none"/>
        </w:rPr>
        <w:t>). A fair system of administering justice requires that lawyers be free to pursue their activities of advising and representing their clients. Lawyers’ membership of a liberal profession and the authority deriving from that membership help maintain their independence, and bar associations play an important role in helping to ensure lawyers’ independence. European standards set out the freedom of exercise of the profession of lawyer and the independence of bar associations. These standards also set out the basic principles for disciplinary proceedings against lawyers (</w:t>
      </w:r>
      <w:r w:rsidRPr="00FB4E2D">
        <w:rPr>
          <w:rFonts w:ascii="Times New Roman" w:eastAsia="Times New Roman" w:hAnsi="Times New Roman" w:cs="Times New Roman"/>
          <w:noProof/>
          <w:kern w:val="0"/>
          <w:vertAlign w:val="superscript"/>
          <w14:ligatures w14:val="none"/>
        </w:rPr>
        <w:footnoteReference w:id="131"/>
      </w:r>
      <w:r w:rsidRPr="00FB4E2D">
        <w:rPr>
          <w:rFonts w:ascii="Times New Roman" w:eastAsia="Times New Roman" w:hAnsi="Times New Roman" w:cs="Times New Roman"/>
          <w:noProof/>
          <w:kern w:val="0"/>
          <w14:ligatures w14:val="none"/>
        </w:rPr>
        <w:t xml:space="preserve">). </w:t>
      </w:r>
    </w:p>
    <w:p w14:paraId="7B173C77" w14:textId="77777777" w:rsidR="0007408C" w:rsidRDefault="0007408C">
      <w:pPr>
        <w:rPr>
          <w:rFonts w:ascii="Times New Roman" w:eastAsia="Calibri" w:hAnsi="Times New Roman" w:cs="Times New Roman"/>
          <w:b/>
          <w:noProof/>
          <w:spacing w:val="-6"/>
          <w:kern w:val="0"/>
          <w14:ligatures w14:val="none"/>
        </w:rPr>
      </w:pPr>
      <w:r>
        <w:rPr>
          <w:rFonts w:ascii="Times New Roman" w:eastAsia="Calibri" w:hAnsi="Times New Roman" w:cs="Times New Roman"/>
          <w:b/>
          <w:noProof/>
          <w:spacing w:val="-6"/>
          <w:kern w:val="0"/>
          <w14:ligatures w14:val="none"/>
        </w:rPr>
        <w:br w:type="page"/>
      </w:r>
    </w:p>
    <w:p w14:paraId="6C7D2221" w14:textId="77777777" w:rsidR="00A02C07" w:rsidRPr="00FB4E2D" w:rsidRDefault="00A02C07" w:rsidP="00F56964">
      <w:pPr>
        <w:spacing w:after="0" w:line="259" w:lineRule="auto"/>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u w:val="single"/>
          <w14:ligatures w14:val="none"/>
        </w:rPr>
        <w:t>Independence of bars and lawyers</w:t>
      </w:r>
      <w:r w:rsidRPr="00FB4E2D">
        <w:rPr>
          <w:rFonts w:ascii="Times New Roman" w:eastAsia="Times New Roman" w:hAnsi="Times New Roman" w:cs="Times New Roman"/>
          <w:b/>
          <w:noProof/>
          <w:kern w:val="0"/>
          <w14:ligatures w14:val="none"/>
        </w:rPr>
        <w:t xml:space="preserve">, </w:t>
      </w:r>
      <w:r w:rsidRPr="00FB4E2D">
        <w:rPr>
          <w:rFonts w:ascii="Times New Roman" w:eastAsia="Calibri" w:hAnsi="Times New Roman" w:cs="Times New Roman"/>
          <w:b/>
          <w:noProof/>
          <w:kern w:val="0"/>
          <w14:ligatures w14:val="none"/>
        </w:rPr>
        <w:t xml:space="preserve">2025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(source: European Commission with the CCBE (</w:t>
      </w:r>
      <w:r w:rsidRPr="00FB4E2D">
        <w:rPr>
          <w:rFonts w:ascii="Times New Roman" w:eastAsia="Calibri" w:hAnsi="Times New Roman" w:cs="Times New Roman"/>
          <w:i/>
          <w:noProof/>
          <w:kern w:val="0"/>
          <w:vertAlign w:val="superscript"/>
          <w14:ligatures w14:val="none"/>
        </w:rPr>
        <w:footnoteReference w:id="132"/>
      </w:r>
      <w:r w:rsidRPr="00FB4E2D">
        <w:rPr>
          <w:rFonts w:ascii="Times New Roman" w:eastAsia="Calibri" w:hAnsi="Times New Roman" w:cs="Times New Roman"/>
          <w:i/>
          <w:noProof/>
          <w:kern w:val="0"/>
          <w14:ligatures w14:val="none"/>
        </w:rPr>
        <w:t xml:space="preserve">)) </w:t>
      </w:r>
    </w:p>
    <w:p w14:paraId="17932EAC" w14:textId="77777777" w:rsidR="00A02C07" w:rsidRPr="00FB4E2D" w:rsidRDefault="00A02C07" w:rsidP="00A02C07">
      <w:pPr>
        <w:spacing w:after="0" w:line="240" w:lineRule="auto"/>
        <w:jc w:val="both"/>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lang w:val="en-GB" w:eastAsia="en-GB"/>
          <w14:ligatures w14:val="none"/>
        </w:rPr>
        <w:drawing>
          <wp:inline distT="0" distB="0" distL="0" distR="0" wp14:anchorId="1FDD0D0B" wp14:editId="4790E6A3">
            <wp:extent cx="5760000" cy="3668723"/>
            <wp:effectExtent l="0" t="0" r="0" b="8255"/>
            <wp:docPr id="916261738" name="Picture 3"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61738" name="Picture 3" descr="A graph of different colored squares&#10;&#10;AI-generated content may be incorrec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60000" cy="3668723"/>
                    </a:xfrm>
                    <a:prstGeom prst="rect">
                      <a:avLst/>
                    </a:prstGeom>
                    <a:noFill/>
                  </pic:spPr>
                </pic:pic>
              </a:graphicData>
            </a:graphic>
          </wp:inline>
        </w:drawing>
      </w:r>
    </w:p>
    <w:p w14:paraId="2CEE734C" w14:textId="045D379D" w:rsidR="00A02C07" w:rsidRPr="00F56964" w:rsidRDefault="00A02C07" w:rsidP="0007408C">
      <w:pPr>
        <w:spacing w:after="0" w:line="240" w:lineRule="auto"/>
        <w:jc w:val="both"/>
        <w:rPr>
          <w:rFonts w:ascii="Times New Roman" w:eastAsia="Times New Roman" w:hAnsi="Times New Roman" w:cs="Times New Roman"/>
          <w:i/>
          <w:noProof/>
          <w:kern w:val="0"/>
          <w:sz w:val="19"/>
          <w:szCs w:val="19"/>
          <w14:ligatures w14:val="none"/>
        </w:rPr>
      </w:pPr>
      <w:r w:rsidRPr="00F56964">
        <w:rPr>
          <w:rFonts w:ascii="Times New Roman" w:eastAsia="Calibri" w:hAnsi="Times New Roman" w:cs="Times New Roman"/>
          <w:i/>
          <w:noProof/>
          <w:kern w:val="0"/>
          <w:sz w:val="19"/>
          <w:szCs w:val="19"/>
          <w:lang w:eastAsia="en-GB"/>
          <w14:ligatures w14:val="none"/>
        </w:rPr>
        <w:t>(*) Based on the survey results, Member States could score a maximum of 9</w:t>
      </w:r>
      <w:r w:rsidR="002B7D0A">
        <w:rPr>
          <w:rFonts w:ascii="Times New Roman" w:eastAsia="Calibri" w:hAnsi="Times New Roman" w:cs="Times New Roman"/>
          <w:i/>
          <w:noProof/>
          <w:kern w:val="0"/>
          <w:sz w:val="19"/>
          <w:szCs w:val="19"/>
          <w:lang w:eastAsia="en-GB"/>
          <w14:ligatures w14:val="none"/>
        </w:rPr>
        <w:t>.5</w:t>
      </w:r>
      <w:r w:rsidRPr="00F56964">
        <w:rPr>
          <w:rFonts w:ascii="Times New Roman" w:eastAsia="Calibri" w:hAnsi="Times New Roman" w:cs="Times New Roman"/>
          <w:i/>
          <w:noProof/>
          <w:kern w:val="0"/>
          <w:sz w:val="19"/>
          <w:szCs w:val="19"/>
          <w:lang w:eastAsia="en-GB"/>
          <w14:ligatures w14:val="none"/>
        </w:rPr>
        <w:t xml:space="preserve"> points. The survey was conducted at the end of 20</w:t>
      </w:r>
      <w:r w:rsidR="00F540BE" w:rsidRPr="00F56964">
        <w:rPr>
          <w:rFonts w:ascii="Times New Roman" w:eastAsia="Calibri" w:hAnsi="Times New Roman" w:cs="Times New Roman"/>
          <w:i/>
          <w:noProof/>
          <w:kern w:val="0"/>
          <w:sz w:val="19"/>
          <w:szCs w:val="19"/>
          <w:lang w:eastAsia="en-GB"/>
          <w14:ligatures w14:val="none"/>
        </w:rPr>
        <w:t>2</w:t>
      </w:r>
      <w:r w:rsidRPr="00F56964">
        <w:rPr>
          <w:rFonts w:ascii="Times New Roman" w:eastAsia="Calibri" w:hAnsi="Times New Roman" w:cs="Times New Roman"/>
          <w:i/>
          <w:noProof/>
          <w:kern w:val="0"/>
          <w:sz w:val="19"/>
          <w:szCs w:val="19"/>
          <w:lang w:eastAsia="en-GB"/>
          <w14:ligatures w14:val="none"/>
        </w:rPr>
        <w:t>4. For the question on guarantees of the confidentiality of the lawyer/client relationship, 0.5 points were awarded for each scenario fully covered (search and seizure of e-data held by the lawyer, search of the lawyer’s premises, interception of lawyer/client communication, surveillance of the lawyer or their premises,</w:t>
      </w:r>
      <w:r w:rsidRPr="00F56964">
        <w:rPr>
          <w:rFonts w:ascii="Calibri" w:eastAsia="Calibri" w:hAnsi="Calibri" w:cs="Times New Roman"/>
          <w:noProof/>
          <w:kern w:val="0"/>
          <w:sz w:val="19"/>
          <w:szCs w:val="19"/>
          <w14:ligatures w14:val="none"/>
        </w:rPr>
        <w:t xml:space="preserve"> </w:t>
      </w:r>
      <w:r w:rsidRPr="00F56964">
        <w:rPr>
          <w:rFonts w:ascii="Times New Roman" w:eastAsia="Calibri" w:hAnsi="Times New Roman" w:cs="Times New Roman"/>
          <w:i/>
          <w:noProof/>
          <w:kern w:val="0"/>
          <w:sz w:val="19"/>
          <w:szCs w:val="19"/>
          <w:lang w:eastAsia="en-GB"/>
          <w14:ligatures w14:val="none"/>
        </w:rPr>
        <w:t xml:space="preserve">tax audit of the law firm and other administrative checks). For all other criteria fully met, 1 point was awarded. No points were awarded if the criterion was not met. </w:t>
      </w:r>
      <w:r w:rsidRPr="00F56964">
        <w:rPr>
          <w:rFonts w:ascii="Times New Roman" w:eastAsia="Times New Roman" w:hAnsi="Times New Roman" w:cs="Times New Roman"/>
          <w:b/>
          <w:i/>
          <w:noProof/>
          <w:kern w:val="0"/>
          <w:sz w:val="19"/>
          <w:szCs w:val="19"/>
          <w14:ligatures w14:val="none"/>
        </w:rPr>
        <w:t>MT</w:t>
      </w:r>
      <w:r w:rsidRPr="00F56964">
        <w:rPr>
          <w:rFonts w:ascii="Times New Roman" w:eastAsia="Times New Roman" w:hAnsi="Times New Roman" w:cs="Times New Roman"/>
          <w:i/>
          <w:noProof/>
          <w:kern w:val="0"/>
          <w:sz w:val="19"/>
          <w:szCs w:val="19"/>
          <w14:ligatures w14:val="none"/>
        </w:rPr>
        <w:t xml:space="preserve">: 2020 replies, adapted to the new methodology. </w:t>
      </w:r>
      <w:r w:rsidRPr="00F56964">
        <w:rPr>
          <w:rFonts w:ascii="Times New Roman" w:eastAsia="Times New Roman" w:hAnsi="Times New Roman" w:cs="Times New Roman"/>
          <w:b/>
          <w:i/>
          <w:noProof/>
          <w:kern w:val="0"/>
          <w:sz w:val="19"/>
          <w:szCs w:val="19"/>
          <w14:ligatures w14:val="none"/>
        </w:rPr>
        <w:t>EE</w:t>
      </w:r>
      <w:r w:rsidRPr="00F56964">
        <w:rPr>
          <w:rFonts w:ascii="Times New Roman" w:eastAsia="Times New Roman" w:hAnsi="Times New Roman" w:cs="Times New Roman"/>
          <w:i/>
          <w:noProof/>
          <w:kern w:val="0"/>
          <w:sz w:val="19"/>
          <w:szCs w:val="19"/>
          <w14:ligatures w14:val="none"/>
        </w:rPr>
        <w:t>: The Ministry of Justice has broad supervisory powers over the organisation of the legal aid system.</w:t>
      </w:r>
      <w:r w:rsidRPr="00F56964">
        <w:rPr>
          <w:rFonts w:ascii="Calibri" w:eastAsia="Yu Mincho" w:hAnsi="Calibri" w:cs="Arial"/>
          <w:noProof/>
          <w:kern w:val="0"/>
          <w:sz w:val="19"/>
          <w:szCs w:val="19"/>
          <w14:ligatures w14:val="none"/>
        </w:rPr>
        <w:t xml:space="preserve"> </w:t>
      </w:r>
      <w:r w:rsidR="00CE7204" w:rsidRPr="00F56964">
        <w:rPr>
          <w:rFonts w:ascii="Times New Roman" w:eastAsia="Times New Roman" w:hAnsi="Times New Roman" w:cs="Times New Roman"/>
          <w:i/>
          <w:noProof/>
          <w:kern w:val="0"/>
          <w:sz w:val="19"/>
          <w:szCs w:val="19"/>
          <w14:ligatures w14:val="none"/>
        </w:rPr>
        <w:t>The score</w:t>
      </w:r>
      <w:r w:rsidRPr="00F56964">
        <w:rPr>
          <w:rFonts w:ascii="Times New Roman" w:eastAsia="Times New Roman" w:hAnsi="Times New Roman" w:cs="Times New Roman"/>
          <w:i/>
          <w:noProof/>
          <w:kern w:val="0"/>
          <w:sz w:val="19"/>
          <w:szCs w:val="19"/>
          <w14:ligatures w14:val="none"/>
        </w:rPr>
        <w:t xml:space="preserve"> takes into account the decision of the Supreme Court’s decision of 10</w:t>
      </w:r>
      <w:r w:rsidR="00CE7204" w:rsidRPr="00F56964">
        <w:rPr>
          <w:rFonts w:ascii="Times New Roman" w:eastAsia="Times New Roman" w:hAnsi="Times New Roman" w:cs="Times New Roman"/>
          <w:i/>
          <w:noProof/>
          <w:kern w:val="0"/>
          <w:sz w:val="19"/>
          <w:szCs w:val="19"/>
          <w14:ligatures w14:val="none"/>
        </w:rPr>
        <w:t> </w:t>
      </w:r>
      <w:r w:rsidRPr="00F56964">
        <w:rPr>
          <w:rFonts w:ascii="Times New Roman" w:eastAsia="Times New Roman" w:hAnsi="Times New Roman" w:cs="Times New Roman"/>
          <w:i/>
          <w:noProof/>
          <w:kern w:val="0"/>
          <w:sz w:val="19"/>
          <w:szCs w:val="19"/>
          <w14:ligatures w14:val="none"/>
        </w:rPr>
        <w:t>October</w:t>
      </w:r>
      <w:r w:rsidR="00CE7204" w:rsidRPr="00F56964">
        <w:rPr>
          <w:rFonts w:ascii="Times New Roman" w:eastAsia="Times New Roman" w:hAnsi="Times New Roman" w:cs="Times New Roman"/>
          <w:i/>
          <w:noProof/>
          <w:kern w:val="0"/>
          <w:sz w:val="19"/>
          <w:szCs w:val="19"/>
          <w14:ligatures w14:val="none"/>
        </w:rPr>
        <w:t> </w:t>
      </w:r>
      <w:r w:rsidRPr="00F56964">
        <w:rPr>
          <w:rFonts w:ascii="Times New Roman" w:eastAsia="Times New Roman" w:hAnsi="Times New Roman" w:cs="Times New Roman"/>
          <w:i/>
          <w:noProof/>
          <w:kern w:val="0"/>
          <w:sz w:val="19"/>
          <w:szCs w:val="19"/>
          <w14:ligatures w14:val="none"/>
        </w:rPr>
        <w:t xml:space="preserve">2025 on the lawyer-client communications, and the fact that the Ministry of Justice and Digital Affairs is working towards specifying the law to clarify the rule on interception of lawyer-client communications. </w:t>
      </w:r>
      <w:r w:rsidRPr="00F56964">
        <w:rPr>
          <w:rFonts w:ascii="Times New Roman" w:eastAsia="Times New Roman" w:hAnsi="Times New Roman" w:cs="Times New Roman"/>
          <w:b/>
          <w:i/>
          <w:noProof/>
          <w:kern w:val="0"/>
          <w:sz w:val="19"/>
          <w:szCs w:val="19"/>
          <w14:ligatures w14:val="none"/>
        </w:rPr>
        <w:t>LT</w:t>
      </w:r>
      <w:r w:rsidRPr="00F56964">
        <w:rPr>
          <w:rFonts w:ascii="Times New Roman" w:eastAsia="Times New Roman" w:hAnsi="Times New Roman" w:cs="Times New Roman"/>
          <w:i/>
          <w:noProof/>
          <w:kern w:val="0"/>
          <w:sz w:val="19"/>
          <w:szCs w:val="19"/>
          <w14:ligatures w14:val="none"/>
        </w:rPr>
        <w:t xml:space="preserve">: According to the Law on the Bar, the Bar Council can institute disciplinary action against lawyers. However, the Law on the Bar establishes that the Minister of Justice also has such a right. Overall, the Bar Council is an independent body, but if the Minister of Justice initiates disciplinary action against a lawyer, the Bar has no say in the proceedings, and the case proceeds directly to the </w:t>
      </w:r>
      <w:r w:rsidR="00CE7204" w:rsidRPr="00F56964">
        <w:rPr>
          <w:rFonts w:ascii="Times New Roman" w:eastAsia="Times New Roman" w:hAnsi="Times New Roman" w:cs="Times New Roman"/>
          <w:i/>
          <w:noProof/>
          <w:kern w:val="0"/>
          <w:sz w:val="19"/>
          <w:szCs w:val="19"/>
          <w14:ligatures w14:val="none"/>
        </w:rPr>
        <w:t>d</w:t>
      </w:r>
      <w:r w:rsidRPr="00F56964">
        <w:rPr>
          <w:rFonts w:ascii="Times New Roman" w:eastAsia="Times New Roman" w:hAnsi="Times New Roman" w:cs="Times New Roman"/>
          <w:i/>
          <w:noProof/>
          <w:kern w:val="0"/>
          <w:sz w:val="19"/>
          <w:szCs w:val="19"/>
          <w14:ligatures w14:val="none"/>
        </w:rPr>
        <w:t xml:space="preserve">isciplinary </w:t>
      </w:r>
      <w:r w:rsidR="00CE7204" w:rsidRPr="00F56964">
        <w:rPr>
          <w:rFonts w:ascii="Times New Roman" w:eastAsia="Times New Roman" w:hAnsi="Times New Roman" w:cs="Times New Roman"/>
          <w:i/>
          <w:noProof/>
          <w:kern w:val="0"/>
          <w:sz w:val="19"/>
          <w:szCs w:val="19"/>
          <w14:ligatures w14:val="none"/>
        </w:rPr>
        <w:t>c</w:t>
      </w:r>
      <w:r w:rsidRPr="00F56964">
        <w:rPr>
          <w:rFonts w:ascii="Times New Roman" w:eastAsia="Times New Roman" w:hAnsi="Times New Roman" w:cs="Times New Roman"/>
          <w:i/>
          <w:noProof/>
          <w:kern w:val="0"/>
          <w:sz w:val="19"/>
          <w:szCs w:val="19"/>
          <w14:ligatures w14:val="none"/>
        </w:rPr>
        <w:t xml:space="preserve">ourt. On search and seizure of electronic data held by lawyers, if the device is seized, an electronic copy of its data is created. After creating such a copy, law enforcement officers search the data for specific keywords. As a rule, a delegated lawyer participates in such a search as an authorised representative of the Bar Council. However, no safeguards are ensuring that any other data has not been searched or examined without the participation of the authorised representative. On interception of lawyer-client communication, the formal guarantees exist but law enforcement authorities follow the approach that possibly criminal activities of a lawyer are not subject to the lawyer-client privilege. </w:t>
      </w:r>
      <w:r w:rsidRPr="00F56964">
        <w:rPr>
          <w:rFonts w:ascii="Times New Roman" w:eastAsia="Times New Roman" w:hAnsi="Times New Roman" w:cs="Times New Roman"/>
          <w:b/>
          <w:i/>
          <w:noProof/>
          <w:kern w:val="0"/>
          <w:sz w:val="19"/>
          <w:szCs w:val="19"/>
          <w14:ligatures w14:val="none"/>
        </w:rPr>
        <w:t>PL</w:t>
      </w:r>
      <w:r w:rsidRPr="00F56964">
        <w:rPr>
          <w:rFonts w:ascii="Times New Roman" w:eastAsia="Times New Roman" w:hAnsi="Times New Roman" w:cs="Times New Roman"/>
          <w:i/>
          <w:noProof/>
          <w:kern w:val="0"/>
          <w:sz w:val="19"/>
          <w:szCs w:val="19"/>
          <w14:ligatures w14:val="none"/>
        </w:rPr>
        <w:t xml:space="preserve">: The Ministry of Justice has a supervisory role over the bar, organising bar examinations and setting the amount of minimal legal fees (following non-mandatory opinion of the supreme bar council). </w:t>
      </w:r>
      <w:r w:rsidRPr="00F56964">
        <w:rPr>
          <w:rFonts w:ascii="Times New Roman" w:eastAsia="Times New Roman" w:hAnsi="Times New Roman" w:cs="Times New Roman"/>
          <w:b/>
          <w:i/>
          <w:noProof/>
          <w:kern w:val="0"/>
          <w:sz w:val="19"/>
          <w:szCs w:val="19"/>
          <w14:ligatures w14:val="none"/>
        </w:rPr>
        <w:t>SI</w:t>
      </w:r>
      <w:r w:rsidRPr="00F56964">
        <w:rPr>
          <w:rFonts w:ascii="Times New Roman" w:eastAsia="Times New Roman" w:hAnsi="Times New Roman" w:cs="Times New Roman"/>
          <w:i/>
          <w:noProof/>
          <w:kern w:val="0"/>
          <w:sz w:val="19"/>
          <w:szCs w:val="19"/>
          <w14:ligatures w14:val="none"/>
        </w:rPr>
        <w:t xml:space="preserve">: Disciplinary proceedings are conducted exclusively within the bar association itself. An appeal is possible against the decision of the disciplinary committee of the first instance, which is considered by the disciplinary committee of the second instance. There is no possibility of appeal against the decisions of the disciplinary committee of second instance. </w:t>
      </w:r>
      <w:r w:rsidRPr="00F56964">
        <w:rPr>
          <w:rFonts w:ascii="Times New Roman" w:eastAsia="Times New Roman" w:hAnsi="Times New Roman" w:cs="Times New Roman"/>
          <w:b/>
          <w:i/>
          <w:noProof/>
          <w:kern w:val="0"/>
          <w:sz w:val="19"/>
          <w:szCs w:val="19"/>
          <w14:ligatures w14:val="none"/>
        </w:rPr>
        <w:t>SK</w:t>
      </w:r>
      <w:r w:rsidRPr="00F56964">
        <w:rPr>
          <w:rFonts w:ascii="Times New Roman" w:eastAsia="Times New Roman" w:hAnsi="Times New Roman" w:cs="Times New Roman"/>
          <w:i/>
          <w:noProof/>
          <w:kern w:val="0"/>
          <w:sz w:val="19"/>
          <w:szCs w:val="19"/>
          <w14:ligatures w14:val="none"/>
        </w:rPr>
        <w:t xml:space="preserve">: Primarily, it is the independent supervision committee of the Slovak Bar Association that files a petition based on a complaint. However, the Minister of Justice may also initiate a disciplinary proceeding if ‘a lawyer performed an act which might be viewed as a professional misconduct under the legal rules which were in force so far, the chair of the supervision committee or the Minister of Justice (acting in their capacity of a petitioner) may </w:t>
      </w:r>
      <w:r w:rsidR="00A14233" w:rsidRPr="00F56964">
        <w:rPr>
          <w:rFonts w:ascii="Times New Roman" w:eastAsia="Times New Roman" w:hAnsi="Times New Roman" w:cs="Times New Roman"/>
          <w:i/>
          <w:noProof/>
          <w:kern w:val="0"/>
          <w:sz w:val="19"/>
          <w:szCs w:val="19"/>
          <w14:ligatures w14:val="none"/>
        </w:rPr>
        <w:t xml:space="preserve">apply </w:t>
      </w:r>
      <w:r w:rsidRPr="00F56964">
        <w:rPr>
          <w:rFonts w:ascii="Times New Roman" w:eastAsia="Times New Roman" w:hAnsi="Times New Roman" w:cs="Times New Roman"/>
          <w:i/>
          <w:noProof/>
          <w:kern w:val="0"/>
          <w:sz w:val="19"/>
          <w:szCs w:val="19"/>
          <w14:ligatures w14:val="none"/>
        </w:rPr>
        <w:t xml:space="preserve">for commencement of the disciplinary proceeding to the appropriate bar´s governing body.’ </w:t>
      </w:r>
      <w:r w:rsidRPr="00F56964">
        <w:rPr>
          <w:rFonts w:ascii="Times New Roman" w:eastAsia="Times New Roman" w:hAnsi="Times New Roman" w:cs="Times New Roman"/>
          <w:b/>
          <w:i/>
          <w:noProof/>
          <w:kern w:val="0"/>
          <w:sz w:val="19"/>
          <w:szCs w:val="19"/>
          <w14:ligatures w14:val="none"/>
        </w:rPr>
        <w:t>FI:</w:t>
      </w:r>
      <w:r w:rsidRPr="00F56964">
        <w:rPr>
          <w:rFonts w:ascii="Times New Roman" w:eastAsia="Times New Roman" w:hAnsi="Times New Roman" w:cs="Times New Roman"/>
          <w:i/>
          <w:noProof/>
          <w:kern w:val="0"/>
          <w:sz w:val="19"/>
          <w:szCs w:val="19"/>
          <w14:ligatures w14:val="none"/>
        </w:rPr>
        <w:t xml:space="preserve"> The bar association is under the supervision of the Chancellor of Justice as public authority. The Chancellor has supervisory authority over attorneys as regulated in the Advocates Act. </w:t>
      </w:r>
    </w:p>
    <w:p w14:paraId="52C9FA8F" w14:textId="1530B72F" w:rsidR="00D862AC" w:rsidRPr="00FB4E2D" w:rsidRDefault="00D862AC" w:rsidP="00D862AC">
      <w:pPr>
        <w:keepNext/>
        <w:spacing w:before="360" w:after="120" w:line="240" w:lineRule="auto"/>
        <w:jc w:val="both"/>
        <w:outlineLvl w:val="1"/>
        <w:rPr>
          <w:rFonts w:ascii="Times New Roman" w:eastAsia="Times New Roman" w:hAnsi="Times New Roman" w:cs="Times New Roman"/>
          <w:b/>
          <w:noProof/>
          <w:kern w:val="0"/>
          <w14:ligatures w14:val="none"/>
        </w:rPr>
      </w:pPr>
      <w:bookmarkStart w:id="443" w:name="_Hlk201232789"/>
      <w:r w:rsidRPr="00FB4E2D">
        <w:rPr>
          <w:rFonts w:ascii="Times New Roman" w:eastAsia="Times New Roman" w:hAnsi="Times New Roman" w:cs="Times New Roman"/>
          <w:b/>
          <w:noProof/>
          <w:kern w:val="0"/>
          <w14:ligatures w14:val="none"/>
        </w:rPr>
        <w:t xml:space="preserve">2.4. Other indicators relevant for the single market </w:t>
      </w:r>
    </w:p>
    <w:p w14:paraId="299E1286" w14:textId="77777777" w:rsidR="00A02C07" w:rsidRPr="00FB4E2D" w:rsidRDefault="00A02C07" w:rsidP="00A02C07">
      <w:pPr>
        <w:spacing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Beyond the courts, prosecution services and other judicial bodies, which are important for the independent application of EU law, several other public authorities are tasked with applying EU law in specific areas, such as anti-corruption, public procurement and competition. </w:t>
      </w:r>
    </w:p>
    <w:bookmarkEnd w:id="443"/>
    <w:p w14:paraId="3039589A" w14:textId="77777777" w:rsidR="00A02C07" w:rsidRPr="00FB4E2D" w:rsidRDefault="00A02C07" w:rsidP="00A02C07">
      <w:pPr>
        <w:spacing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Following-up from the introduction of this section in the 2025 EU Justice Scoreboard, the 2026 edition includes additional charts related to bodies that are pivotal for the good functioning of the single market such as new indicators on </w:t>
      </w:r>
      <w:r w:rsidRPr="00FB4E2D">
        <w:rPr>
          <w:rFonts w:ascii="Times New Roman" w:eastAsia="Times New Roman" w:hAnsi="Times New Roman" w:cs="Times New Roman"/>
          <w:noProof/>
          <w:kern w:val="0"/>
          <w14:ligatures w14:val="none"/>
        </w:rPr>
        <w:t>national frameworks regarding transparency of lobbying</w:t>
      </w:r>
      <w:r w:rsidRPr="00FB4E2D">
        <w:rPr>
          <w:rFonts w:ascii="Times New Roman" w:eastAsia="Calibri" w:hAnsi="Times New Roman" w:cs="Times New Roman"/>
          <w:noProof/>
          <w:kern w:val="0"/>
          <w14:ligatures w14:val="none"/>
        </w:rPr>
        <w:t xml:space="preserve"> and on the functioning of the supreme audit institutions, which play an important role in the area of anti-corruption. It also presents data on the perceived independence and functioning of the national competition authorities and the first instance public procurement review bodies, which are key authorities for the functioning of the single market. </w:t>
      </w:r>
    </w:p>
    <w:p w14:paraId="2308CF15" w14:textId="77777777" w:rsidR="00A02C07" w:rsidRPr="00FB4E2D" w:rsidRDefault="00D862AC" w:rsidP="00211CBD">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 xml:space="preserve">2.4.1. </w:t>
      </w:r>
      <w:r w:rsidR="00A02C07" w:rsidRPr="00FB4E2D">
        <w:rPr>
          <w:rFonts w:ascii="Times New Roman" w:eastAsia="Times New Roman" w:hAnsi="Times New Roman" w:cs="Times New Roman"/>
          <w:b/>
          <w:noProof/>
          <w:kern w:val="0"/>
          <w14:ligatures w14:val="none"/>
        </w:rPr>
        <w:t>Summary of indicators relevant for the single market</w:t>
      </w:r>
    </w:p>
    <w:p w14:paraId="23FD28E1" w14:textId="04E7D05C" w:rsidR="00A02C07" w:rsidRPr="00FB4E2D" w:rsidRDefault="00A02C07" w:rsidP="00A02C07">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Calibri" w:hAnsi="Times New Roman" w:cs="Times New Roman"/>
          <w:noProof/>
          <w:kern w:val="0"/>
          <w14:ligatures w14:val="none"/>
        </w:rPr>
        <w:t>Beyond the courts, prosecution services and other judicial bodies,</w:t>
      </w:r>
      <w:r w:rsidRPr="00FB4E2D">
        <w:rPr>
          <w:rFonts w:ascii="Times New Roman" w:eastAsia="Times New Roman" w:hAnsi="Times New Roman" w:cs="Times New Roman"/>
          <w:noProof/>
          <w:kern w:val="0"/>
          <w14:ligatures w14:val="none"/>
        </w:rPr>
        <w:t xml:space="preserve"> the 2026 Justice Scoreboard </w:t>
      </w:r>
      <w:r w:rsidR="00B16A55" w:rsidRPr="00FB4E2D">
        <w:rPr>
          <w:rFonts w:ascii="Times New Roman" w:eastAsia="Times New Roman" w:hAnsi="Times New Roman" w:cs="Times New Roman"/>
          <w:noProof/>
          <w:kern w:val="0"/>
          <w14:ligatures w14:val="none"/>
        </w:rPr>
        <w:t xml:space="preserve">again </w:t>
      </w:r>
      <w:r w:rsidRPr="00FB4E2D">
        <w:rPr>
          <w:rFonts w:ascii="Times New Roman" w:eastAsia="Times New Roman" w:hAnsi="Times New Roman" w:cs="Times New Roman"/>
          <w:noProof/>
          <w:kern w:val="0"/>
          <w14:ligatures w14:val="none"/>
        </w:rPr>
        <w:t xml:space="preserve">presents </w:t>
      </w:r>
      <w:r w:rsidR="00B16A55" w:rsidRPr="00FB4E2D">
        <w:rPr>
          <w:rFonts w:ascii="Times New Roman" w:eastAsia="Times New Roman" w:hAnsi="Times New Roman" w:cs="Times New Roman"/>
          <w:noProof/>
          <w:kern w:val="0"/>
          <w14:ligatures w14:val="none"/>
        </w:rPr>
        <w:t>data on</w:t>
      </w:r>
      <w:r w:rsidRPr="00FB4E2D">
        <w:rPr>
          <w:rFonts w:ascii="Times New Roman" w:eastAsia="Times New Roman" w:hAnsi="Times New Roman" w:cs="Times New Roman"/>
          <w:noProof/>
          <w:kern w:val="0"/>
          <w14:ligatures w14:val="none"/>
        </w:rPr>
        <w:t xml:space="preserve"> other public authorities, </w:t>
      </w:r>
      <w:r w:rsidR="00B16A55" w:rsidRPr="00FB4E2D">
        <w:rPr>
          <w:rFonts w:ascii="Times New Roman" w:eastAsia="Times New Roman" w:hAnsi="Times New Roman" w:cs="Times New Roman"/>
          <w:noProof/>
          <w:kern w:val="0"/>
          <w14:ligatures w14:val="none"/>
        </w:rPr>
        <w:t xml:space="preserve">that </w:t>
      </w:r>
      <w:r w:rsidRPr="00FB4E2D">
        <w:rPr>
          <w:rFonts w:ascii="Times New Roman" w:eastAsia="Times New Roman" w:hAnsi="Times New Roman" w:cs="Times New Roman"/>
          <w:noProof/>
          <w:kern w:val="0"/>
          <w14:ligatures w14:val="none"/>
        </w:rPr>
        <w:t xml:space="preserve">are </w:t>
      </w:r>
      <w:r w:rsidRPr="00FB4E2D">
        <w:rPr>
          <w:rFonts w:ascii="Times New Roman" w:eastAsia="Calibri" w:hAnsi="Times New Roman" w:cs="Times New Roman"/>
          <w:noProof/>
          <w:kern w:val="0"/>
          <w14:ligatures w14:val="none"/>
        </w:rPr>
        <w:t>tasked with applying EU law in specific areas, such as anti-corruption, public procurement and competition</w:t>
      </w:r>
      <w:r w:rsidRPr="00FB4E2D">
        <w:rPr>
          <w:rFonts w:ascii="Times New Roman" w:eastAsia="Times New Roman" w:hAnsi="Times New Roman" w:cs="Times New Roman"/>
          <w:noProof/>
          <w:kern w:val="0"/>
          <w14:ligatures w14:val="none"/>
        </w:rPr>
        <w:t xml:space="preserve">. </w:t>
      </w:r>
    </w:p>
    <w:p w14:paraId="421607D2" w14:textId="718E5982" w:rsidR="00A02C07" w:rsidRPr="00FB4E2D" w:rsidRDefault="00A02C07" w:rsidP="00A02C07">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Figures </w:t>
      </w:r>
      <w:r w:rsidRPr="00FB4E2D">
        <w:rPr>
          <w:rFonts w:ascii="Times New Roman" w:eastAsia="Times New Roman" w:hAnsi="Times New Roman" w:cs="Times New Roman"/>
          <w:noProof/>
          <w:kern w:val="0"/>
          <w14:ligatures w14:val="none"/>
        </w:rPr>
        <w:t>59</w:t>
      </w:r>
      <w:r w:rsidRPr="00FB4E2D">
        <w:rPr>
          <w:rFonts w:ascii="Times New Roman" w:eastAsia="Calibri" w:hAnsi="Times New Roman" w:cs="Times New Roman"/>
          <w:noProof/>
          <w:kern w:val="0"/>
          <w14:ligatures w14:val="none"/>
        </w:rPr>
        <w:t xml:space="preserve"> and 60 present updated information on how companies perceive the independence of the </w:t>
      </w:r>
      <w:r w:rsidRPr="00FB4E2D">
        <w:rPr>
          <w:rFonts w:ascii="Times New Roman" w:eastAsia="Times New Roman" w:hAnsi="Times New Roman" w:cs="Times New Roman"/>
          <w:noProof/>
          <w:kern w:val="0"/>
          <w14:ligatures w14:val="none"/>
        </w:rPr>
        <w:t>first</w:t>
      </w:r>
      <w:r w:rsidRPr="00FB4E2D">
        <w:rPr>
          <w:rFonts w:ascii="Times New Roman" w:eastAsia="Calibri" w:hAnsi="Times New Roman" w:cs="Times New Roman"/>
          <w:noProof/>
          <w:kern w:val="0"/>
          <w14:ligatures w14:val="none"/>
        </w:rPr>
        <w:t xml:space="preserve"> instance public procurement review bodies and of the national competition authorities.</w:t>
      </w:r>
      <w:r w:rsidR="00FA639B" w:rsidRPr="00FB4E2D">
        <w:rPr>
          <w:rFonts w:ascii="Times New Roman" w:eastAsia="Calibri" w:hAnsi="Times New Roman" w:cs="Times New Roman"/>
          <w:noProof/>
          <w:kern w:val="0"/>
          <w14:ligatures w14:val="none"/>
        </w:rPr>
        <w:t xml:space="preserve"> </w:t>
      </w:r>
      <w:r w:rsidR="00FA639B" w:rsidRPr="00FB4E2D">
        <w:rPr>
          <w:rFonts w:ascii="Times New Roman" w:eastAsia="Times New Roman" w:hAnsi="Times New Roman" w:cs="Times New Roman"/>
          <w:noProof/>
          <w:kern w:val="0"/>
          <w14:ligatures w14:val="none"/>
        </w:rPr>
        <w:t xml:space="preserve">Compared with last year, the companies’ perception of independence </w:t>
      </w:r>
      <w:r w:rsidR="00FA639B" w:rsidRPr="00FB4E2D">
        <w:rPr>
          <w:rFonts w:ascii="Times New Roman" w:eastAsia="Calibri" w:hAnsi="Times New Roman" w:cs="Times New Roman"/>
          <w:noProof/>
          <w:kern w:val="0"/>
          <w14:ligatures w14:val="none"/>
        </w:rPr>
        <w:t xml:space="preserve">of the </w:t>
      </w:r>
      <w:r w:rsidR="00FA639B" w:rsidRPr="00FB4E2D">
        <w:rPr>
          <w:rFonts w:ascii="Times New Roman" w:eastAsia="Times New Roman" w:hAnsi="Times New Roman" w:cs="Times New Roman"/>
          <w:noProof/>
          <w:kern w:val="0"/>
          <w14:ligatures w14:val="none"/>
        </w:rPr>
        <w:t>first</w:t>
      </w:r>
      <w:r w:rsidR="00FA639B" w:rsidRPr="00FB4E2D">
        <w:rPr>
          <w:rFonts w:ascii="Times New Roman" w:eastAsia="Calibri" w:hAnsi="Times New Roman" w:cs="Times New Roman"/>
          <w:noProof/>
          <w:kern w:val="0"/>
          <w14:ligatures w14:val="none"/>
        </w:rPr>
        <w:t xml:space="preserve"> instance public procurement review bodies</w:t>
      </w:r>
      <w:r w:rsidR="00FA639B" w:rsidRPr="00FB4E2D">
        <w:rPr>
          <w:rFonts w:ascii="Times New Roman" w:eastAsia="Times New Roman" w:hAnsi="Times New Roman" w:cs="Times New Roman"/>
          <w:noProof/>
          <w:kern w:val="0"/>
          <w14:ligatures w14:val="none"/>
        </w:rPr>
        <w:t xml:space="preserve"> improved or remained stable in </w:t>
      </w:r>
      <w:r w:rsidR="00EE744F" w:rsidRPr="00FB4E2D">
        <w:rPr>
          <w:rFonts w:ascii="Times New Roman" w:eastAsia="Times New Roman" w:hAnsi="Times New Roman" w:cs="Times New Roman"/>
          <w:noProof/>
          <w:kern w:val="0"/>
          <w14:ligatures w14:val="none"/>
        </w:rPr>
        <w:t>14</w:t>
      </w:r>
      <w:r w:rsidR="00FA639B" w:rsidRPr="00FB4E2D">
        <w:rPr>
          <w:rFonts w:ascii="Times New Roman" w:eastAsia="Times New Roman" w:hAnsi="Times New Roman" w:cs="Times New Roman"/>
          <w:noProof/>
          <w:kern w:val="0"/>
          <w14:ligatures w14:val="none"/>
        </w:rPr>
        <w:t xml:space="preserve"> Member States and decreased in </w:t>
      </w:r>
      <w:r w:rsidR="00EE744F" w:rsidRPr="00FB4E2D">
        <w:rPr>
          <w:rFonts w:ascii="Times New Roman" w:eastAsia="Times New Roman" w:hAnsi="Times New Roman" w:cs="Times New Roman"/>
          <w:noProof/>
          <w:kern w:val="0"/>
          <w14:ligatures w14:val="none"/>
        </w:rPr>
        <w:t>13</w:t>
      </w:r>
      <w:r w:rsidR="00FA639B" w:rsidRPr="00FB4E2D">
        <w:rPr>
          <w:rFonts w:ascii="Times New Roman" w:eastAsia="Times New Roman" w:hAnsi="Times New Roman" w:cs="Times New Roman"/>
          <w:noProof/>
          <w:kern w:val="0"/>
          <w14:ligatures w14:val="none"/>
        </w:rPr>
        <w:t xml:space="preserve"> Member States.</w:t>
      </w:r>
      <w:r w:rsidR="00ED3E2C" w:rsidRPr="00FB4E2D">
        <w:rPr>
          <w:rFonts w:ascii="Times New Roman" w:eastAsia="Times New Roman" w:hAnsi="Times New Roman" w:cs="Times New Roman"/>
          <w:noProof/>
          <w:kern w:val="0"/>
          <w14:ligatures w14:val="none"/>
        </w:rPr>
        <w:t xml:space="preserve"> Compared with last year, the companies’ perception of independence </w:t>
      </w:r>
      <w:r w:rsidR="00ED3E2C" w:rsidRPr="00FB4E2D">
        <w:rPr>
          <w:rFonts w:ascii="Times New Roman" w:eastAsia="Calibri" w:hAnsi="Times New Roman" w:cs="Times New Roman"/>
          <w:noProof/>
          <w:kern w:val="0"/>
          <w14:ligatures w14:val="none"/>
        </w:rPr>
        <w:t>of the national competition authorities</w:t>
      </w:r>
      <w:r w:rsidR="00ED3E2C" w:rsidRPr="00FB4E2D">
        <w:rPr>
          <w:rFonts w:ascii="Times New Roman" w:eastAsia="Times New Roman" w:hAnsi="Times New Roman" w:cs="Times New Roman"/>
          <w:noProof/>
          <w:kern w:val="0"/>
          <w14:ligatures w14:val="none"/>
        </w:rPr>
        <w:t xml:space="preserve"> improved or remained stable in 10 Member States and decreased in 1</w:t>
      </w:r>
      <w:r w:rsidR="0034755C" w:rsidRPr="00FB4E2D">
        <w:rPr>
          <w:rFonts w:ascii="Times New Roman" w:eastAsia="Times New Roman" w:hAnsi="Times New Roman" w:cs="Times New Roman"/>
          <w:noProof/>
          <w:kern w:val="0"/>
          <w14:ligatures w14:val="none"/>
        </w:rPr>
        <w:t>7</w:t>
      </w:r>
      <w:r w:rsidR="00ED3E2C" w:rsidRPr="00FB4E2D">
        <w:rPr>
          <w:rFonts w:ascii="Times New Roman" w:eastAsia="Times New Roman" w:hAnsi="Times New Roman" w:cs="Times New Roman"/>
          <w:noProof/>
          <w:kern w:val="0"/>
          <w14:ligatures w14:val="none"/>
        </w:rPr>
        <w:t xml:space="preserve"> Member States.</w:t>
      </w:r>
    </w:p>
    <w:p w14:paraId="531A0F05" w14:textId="7D0CD31F" w:rsidR="00B16A55" w:rsidRPr="00FB4E2D" w:rsidRDefault="00A02C07" w:rsidP="00A02C07">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2026 Justice Scoreboard presents updated and new information </w:t>
      </w:r>
      <w:r w:rsidR="00B16A55" w:rsidRPr="00FB4E2D">
        <w:rPr>
          <w:rFonts w:ascii="Times New Roman" w:eastAsia="Times New Roman" w:hAnsi="Times New Roman" w:cs="Times New Roman"/>
          <w:noProof/>
          <w:kern w:val="0"/>
          <w14:ligatures w14:val="none"/>
        </w:rPr>
        <w:t xml:space="preserve">on </w:t>
      </w:r>
      <w:r w:rsidRPr="00FB4E2D">
        <w:rPr>
          <w:rFonts w:ascii="Times New Roman" w:eastAsia="Times New Roman" w:hAnsi="Times New Roman" w:cs="Times New Roman"/>
          <w:noProof/>
          <w:kern w:val="0"/>
          <w14:ligatures w14:val="none"/>
        </w:rPr>
        <w:t xml:space="preserve">independent authorities which are relevant for the functioning of the single market. Figure 61 presents the term of appointment of members and/or heads of first instance public procurement review bodies. </w:t>
      </w:r>
    </w:p>
    <w:p w14:paraId="6236D316" w14:textId="700C590D" w:rsidR="00A02C07" w:rsidRPr="00FB4E2D" w:rsidRDefault="005C77F1" w:rsidP="00A02C07">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 62 presents </w:t>
      </w:r>
      <w:r w:rsidR="00A02C07" w:rsidRPr="00FB4E2D">
        <w:rPr>
          <w:rFonts w:ascii="Times New Roman" w:eastAsia="Times New Roman" w:hAnsi="Times New Roman" w:cs="Times New Roman"/>
          <w:noProof/>
          <w:kern w:val="0"/>
          <w14:ligatures w14:val="none"/>
        </w:rPr>
        <w:t xml:space="preserve">updated information on the way in which members and/or heads of national competition authorities are appointed and dismissed. </w:t>
      </w:r>
    </w:p>
    <w:p w14:paraId="6C4CDDFD" w14:textId="24C12D41" w:rsidR="00A02C07" w:rsidRPr="00FB4E2D" w:rsidRDefault="00A02C07" w:rsidP="00A02C07">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Figures 63 and 64 present whether the supreme audit institutions have the right to access the required information in law and practice and what measures they have at their disposal </w:t>
      </w:r>
      <w:r w:rsidR="00B16A55" w:rsidRPr="00FB4E2D">
        <w:rPr>
          <w:rFonts w:ascii="Times New Roman" w:eastAsia="Times New Roman" w:hAnsi="Times New Roman" w:cs="Times New Roman"/>
          <w:noProof/>
          <w:kern w:val="0"/>
          <w14:ligatures w14:val="none"/>
        </w:rPr>
        <w:t>if</w:t>
      </w:r>
      <w:r w:rsidRPr="00FB4E2D">
        <w:rPr>
          <w:rFonts w:ascii="Times New Roman" w:eastAsia="Times New Roman" w:hAnsi="Times New Roman" w:cs="Times New Roman"/>
          <w:noProof/>
          <w:kern w:val="0"/>
          <w14:ligatures w14:val="none"/>
        </w:rPr>
        <w:t xml:space="preserve"> access to information is not granted. </w:t>
      </w:r>
    </w:p>
    <w:p w14:paraId="1B073CDB" w14:textId="3D9F6417" w:rsidR="00B77A9C" w:rsidRPr="00FB4E2D" w:rsidRDefault="00B77A9C" w:rsidP="00B77A9C">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Figures 65 to 67 present jurisdictions </w:t>
      </w:r>
      <w:r w:rsidR="00D0421F" w:rsidRPr="00FB4E2D">
        <w:rPr>
          <w:rFonts w:ascii="Times New Roman" w:eastAsia="Times New Roman" w:hAnsi="Times New Roman" w:cs="Times New Roman"/>
          <w:noProof/>
          <w:kern w:val="0"/>
          <w14:ligatures w14:val="none"/>
        </w:rPr>
        <w:t xml:space="preserve">of </w:t>
      </w:r>
      <w:r w:rsidR="00801F16" w:rsidRPr="00FB4E2D">
        <w:rPr>
          <w:rFonts w:ascii="Times New Roman" w:eastAsia="Times New Roman" w:hAnsi="Times New Roman" w:cs="Times New Roman"/>
          <w:noProof/>
          <w:kern w:val="0"/>
          <w14:ligatures w14:val="none"/>
        </w:rPr>
        <w:t>s</w:t>
      </w:r>
      <w:r w:rsidR="00D0421F" w:rsidRPr="00FB4E2D">
        <w:rPr>
          <w:rFonts w:ascii="Times New Roman" w:eastAsia="Times New Roman" w:hAnsi="Times New Roman" w:cs="Times New Roman"/>
          <w:noProof/>
          <w:kern w:val="0"/>
          <w14:ligatures w14:val="none"/>
        </w:rPr>
        <w:t xml:space="preserve">upreme </w:t>
      </w:r>
      <w:r w:rsidR="00801F16" w:rsidRPr="00FB4E2D">
        <w:rPr>
          <w:rFonts w:ascii="Times New Roman" w:eastAsia="Times New Roman" w:hAnsi="Times New Roman" w:cs="Times New Roman"/>
          <w:noProof/>
          <w:kern w:val="0"/>
          <w14:ligatures w14:val="none"/>
        </w:rPr>
        <w:t>a</w:t>
      </w:r>
      <w:r w:rsidR="00D0421F" w:rsidRPr="00FB4E2D">
        <w:rPr>
          <w:rFonts w:ascii="Times New Roman" w:eastAsia="Times New Roman" w:hAnsi="Times New Roman" w:cs="Times New Roman"/>
          <w:noProof/>
          <w:kern w:val="0"/>
          <w14:ligatures w14:val="none"/>
        </w:rPr>
        <w:t xml:space="preserve">dministrative </w:t>
      </w:r>
      <w:r w:rsidR="00801F16" w:rsidRPr="00FB4E2D">
        <w:rPr>
          <w:rFonts w:ascii="Times New Roman" w:eastAsia="Times New Roman" w:hAnsi="Times New Roman" w:cs="Times New Roman"/>
          <w:noProof/>
          <w:kern w:val="0"/>
          <w14:ligatures w14:val="none"/>
        </w:rPr>
        <w:t>c</w:t>
      </w:r>
      <w:r w:rsidR="00D0421F" w:rsidRPr="00FB4E2D">
        <w:rPr>
          <w:rFonts w:ascii="Times New Roman" w:eastAsia="Times New Roman" w:hAnsi="Times New Roman" w:cs="Times New Roman"/>
          <w:noProof/>
          <w:kern w:val="0"/>
          <w14:ligatures w14:val="none"/>
        </w:rPr>
        <w:t xml:space="preserve">ourts </w:t>
      </w:r>
      <w:r w:rsidR="00BE4F5F" w:rsidRPr="00FB4E2D">
        <w:rPr>
          <w:rFonts w:ascii="Times New Roman" w:eastAsia="Times New Roman" w:hAnsi="Times New Roman" w:cs="Times New Roman"/>
          <w:noProof/>
          <w:kern w:val="0"/>
          <w14:ligatures w14:val="none"/>
        </w:rPr>
        <w:t>in</w:t>
      </w:r>
      <w:r w:rsidRPr="00FB4E2D">
        <w:rPr>
          <w:rFonts w:ascii="Times New Roman" w:eastAsia="Times New Roman" w:hAnsi="Times New Roman" w:cs="Times New Roman"/>
          <w:noProof/>
          <w:kern w:val="0"/>
          <w14:ligatures w14:val="none"/>
        </w:rPr>
        <w:t xml:space="preserve"> business-related cases and what measures they have at their disposal to improve their efficiency</w:t>
      </w:r>
      <w:r w:rsidR="00F07D39" w:rsidRPr="00FB4E2D">
        <w:rPr>
          <w:rFonts w:ascii="Times New Roman" w:eastAsia="Times New Roman" w:hAnsi="Times New Roman" w:cs="Times New Roman"/>
          <w:noProof/>
          <w:kern w:val="0"/>
          <w14:ligatures w14:val="none"/>
        </w:rPr>
        <w:t xml:space="preserve"> in these cases</w:t>
      </w:r>
      <w:r w:rsidRPr="00FB4E2D">
        <w:rPr>
          <w:rFonts w:ascii="Times New Roman" w:eastAsia="Times New Roman" w:hAnsi="Times New Roman" w:cs="Times New Roman"/>
          <w:noProof/>
          <w:kern w:val="0"/>
          <w14:ligatures w14:val="none"/>
        </w:rPr>
        <w:t>.</w:t>
      </w:r>
      <w:r w:rsidRPr="00FB4E2D">
        <w:rPr>
          <w:rFonts w:ascii="Calibri" w:eastAsia="Yu Mincho" w:hAnsi="Calibri" w:cs="Arial"/>
          <w:noProof/>
          <w:kern w:val="0"/>
          <w:sz w:val="22"/>
          <w:szCs w:val="22"/>
          <w14:ligatures w14:val="none"/>
        </w:rPr>
        <w:t xml:space="preserve"> </w:t>
      </w:r>
    </w:p>
    <w:p w14:paraId="32425A26" w14:textId="072143D1" w:rsidR="00A02C07" w:rsidRPr="00FB4E2D" w:rsidRDefault="00A02C07" w:rsidP="00A02C07">
      <w:pPr>
        <w:widowControl w:val="0"/>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Figures 68 </w:t>
      </w:r>
      <w:r w:rsidR="007807B9" w:rsidRPr="00FB4E2D">
        <w:rPr>
          <w:rFonts w:ascii="Times New Roman" w:eastAsia="Times New Roman" w:hAnsi="Times New Roman" w:cs="Times New Roman"/>
          <w:noProof/>
        </w:rPr>
        <w:t>and</w:t>
      </w:r>
      <w:r w:rsidR="00787A14" w:rsidRPr="00FB4E2D">
        <w:rPr>
          <w:rFonts w:ascii="Times New Roman" w:eastAsia="Times New Roman" w:hAnsi="Times New Roman" w:cs="Times New Roman"/>
          <w:noProof/>
          <w:kern w:val="0"/>
          <w14:ligatures w14:val="none"/>
        </w:rPr>
        <w:t xml:space="preserve"> </w:t>
      </w:r>
      <w:r w:rsidR="0AB8ABEC" w:rsidRPr="00FB4E2D">
        <w:rPr>
          <w:rFonts w:ascii="Times New Roman" w:eastAsia="Times New Roman" w:hAnsi="Times New Roman" w:cs="Times New Roman"/>
          <w:noProof/>
          <w:kern w:val="0"/>
          <w14:ligatures w14:val="none"/>
        </w:rPr>
        <w:t>69</w:t>
      </w:r>
      <w:r w:rsidRPr="00FB4E2D">
        <w:rPr>
          <w:rFonts w:ascii="Times New Roman" w:eastAsia="Times New Roman" w:hAnsi="Times New Roman" w:cs="Times New Roman"/>
          <w:noProof/>
          <w:kern w:val="0"/>
          <w14:ligatures w14:val="none"/>
        </w:rPr>
        <w:t xml:space="preserve"> present national frameworks regarding transparency of lobbying. </w:t>
      </w:r>
    </w:p>
    <w:p w14:paraId="09F4A142" w14:textId="77777777" w:rsidR="000433F7" w:rsidRPr="00FB4E2D" w:rsidRDefault="000433F7">
      <w:pPr>
        <w:rPr>
          <w:rFonts w:ascii="Times New Roman" w:eastAsia="Times New Roman" w:hAnsi="Times New Roman" w:cs="Times New Roman"/>
          <w:b/>
          <w:noProof/>
          <w:kern w:val="0"/>
          <w14:ligatures w14:val="none"/>
        </w:rPr>
      </w:pPr>
      <w:bookmarkStart w:id="444" w:name="_Toc442362481"/>
      <w:bookmarkStart w:id="445" w:name="_Toc442374817"/>
      <w:bookmarkStart w:id="446" w:name="_Toc442425957"/>
      <w:bookmarkStart w:id="447" w:name="_Toc442453083"/>
      <w:bookmarkStart w:id="448" w:name="_Toc443484542"/>
      <w:bookmarkStart w:id="449" w:name="_Toc443484764"/>
      <w:bookmarkStart w:id="450" w:name="_Toc443509505"/>
      <w:bookmarkStart w:id="451" w:name="_Toc446014834"/>
      <w:bookmarkStart w:id="452" w:name="_Toc441755432"/>
      <w:bookmarkStart w:id="453" w:name="_Toc441756469"/>
      <w:bookmarkStart w:id="454" w:name="_Toc441757513"/>
      <w:bookmarkStart w:id="455" w:name="_Toc441766642"/>
      <w:bookmarkStart w:id="456" w:name="_Toc441766981"/>
      <w:bookmarkStart w:id="457" w:name="_Toc442187982"/>
      <w:bookmarkStart w:id="458" w:name="_Toc442262074"/>
      <w:r w:rsidRPr="00FB4E2D">
        <w:rPr>
          <w:rFonts w:ascii="Times New Roman" w:eastAsia="Times New Roman" w:hAnsi="Times New Roman" w:cs="Times New Roman"/>
          <w:b/>
          <w:noProof/>
          <w:kern w:val="0"/>
          <w14:ligatures w14:val="none"/>
        </w:rPr>
        <w:br w:type="page"/>
      </w:r>
    </w:p>
    <w:p w14:paraId="36894211" w14:textId="46CEE359" w:rsidR="00A02C07" w:rsidRPr="00FB4E2D" w:rsidRDefault="00A02C07" w:rsidP="00211CBD">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 xml:space="preserve">2.4.2. </w:t>
      </w:r>
      <w:r w:rsidRPr="00FB4E2D">
        <w:rPr>
          <w:rFonts w:ascii="Times New Roman" w:eastAsia="Symbol" w:hAnsi="Times New Roman" w:cs="Symbol"/>
          <w:b/>
          <w:noProof/>
          <w:kern w:val="0"/>
          <w14:ligatures w14:val="none"/>
        </w:rPr>
        <w:t>Independent authorities relevant for the functioning of the single market</w:t>
      </w:r>
    </w:p>
    <w:p w14:paraId="4AB84CFC" w14:textId="2838C3E9" w:rsidR="00A02C07" w:rsidRPr="00FB4E2D" w:rsidRDefault="00A02C07" w:rsidP="00A02C07">
      <w:pPr>
        <w:spacing w:before="240"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Independent authorities are a key rule</w:t>
      </w:r>
      <w:r w:rsidR="00844348"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noProof/>
          <w:kern w:val="0"/>
          <w14:ligatures w14:val="none"/>
        </w:rPr>
        <w:t>of</w:t>
      </w:r>
      <w:r w:rsidR="00844348"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noProof/>
          <w:kern w:val="0"/>
          <w14:ligatures w14:val="none"/>
        </w:rPr>
        <w:t>law safeguard for the functioning of the single market. Following up on the 2025 EU Justice Scoreboard, the 2026 edition presents new structural aspects of some of these authorities, such as the first instance public procurement review bodies, national competition authorities and the supreme audit institutions. It presents for the second time the perceived independence of the first instance public procurement review bodies, and of the national competition authorities.</w:t>
      </w:r>
    </w:p>
    <w:p w14:paraId="1B6E2BFA" w14:textId="4732A61F" w:rsidR="00A02C07" w:rsidRPr="00FB4E2D" w:rsidRDefault="00A02C07" w:rsidP="007807B9">
      <w:pPr>
        <w:keepNext/>
        <w:spacing w:before="120"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 59 presents how companies perceive the independence of the first instance public procurement review bodies. These bodies are set up in Member States on the basis of the Remedies Directives (Directive 89/665/EEC and Directive 92/13/EEC, as amended by Directive 2007/66/EC and Directive 2014/23/EU). According to the Remedies Directives, as regards contracts falling within the scope of Directive 2014/23/EU, Directive 2014/24/EU and Directive 2014/25/EU, decisions taken by the contracting authorities and contracting entities may be reviewed effectively and, in particular, </w:t>
      </w:r>
      <w:r w:rsidRPr="00FB4E2D">
        <w:rPr>
          <w:rFonts w:ascii="Times New Roman" w:eastAsia="Times New Roman" w:hAnsi="Times New Roman" w:cs="Times New Roman"/>
          <w:noProof/>
        </w:rPr>
        <w:t xml:space="preserve">as rapidly as possible on the grounds that such decisions have </w:t>
      </w:r>
      <w:r w:rsidR="00067E4B" w:rsidRPr="00FB4E2D">
        <w:rPr>
          <w:rFonts w:ascii="Times New Roman" w:eastAsia="Times New Roman" w:hAnsi="Times New Roman" w:cs="Times New Roman"/>
          <w:noProof/>
        </w:rPr>
        <w:t>infringed national</w:t>
      </w:r>
      <w:r w:rsidRPr="00FB4E2D">
        <w:rPr>
          <w:rFonts w:ascii="Times New Roman" w:eastAsia="Times New Roman" w:hAnsi="Times New Roman" w:cs="Times New Roman"/>
          <w:noProof/>
        </w:rPr>
        <w:t xml:space="preserve"> rules transposing </w:t>
      </w:r>
      <w:r w:rsidR="004C0FB8" w:rsidRPr="00FB4E2D">
        <w:rPr>
          <w:rFonts w:ascii="Times New Roman" w:eastAsia="Times New Roman" w:hAnsi="Times New Roman" w:cs="Times New Roman"/>
          <w:noProof/>
        </w:rPr>
        <w:t>Union law.</w:t>
      </w:r>
      <w:r w:rsidRPr="00FB4E2D">
        <w:rPr>
          <w:rFonts w:ascii="Times New Roman" w:eastAsia="Times New Roman" w:hAnsi="Times New Roman" w:cs="Times New Roman"/>
          <w:noProof/>
        </w:rPr>
        <w:t xml:space="preserve"> </w:t>
      </w:r>
      <w:r w:rsidRPr="00FB4E2D">
        <w:rPr>
          <w:rFonts w:ascii="Times New Roman" w:eastAsia="Times New Roman" w:hAnsi="Times New Roman" w:cs="Times New Roman"/>
          <w:noProof/>
          <w:kern w:val="0"/>
          <w14:ligatures w14:val="none"/>
        </w:rPr>
        <w:t xml:space="preserve">The body responsible for the review may be judicial or non-judicial. Non-judicial bodies usually take the form of an independent administrative authority. In that case, the Remedies Directives stipulate further procedural requirements as well as the availability of further judicial review. </w:t>
      </w:r>
    </w:p>
    <w:p w14:paraId="6C99D3C9" w14:textId="77777777" w:rsidR="00A02C07" w:rsidRPr="00FB4E2D" w:rsidRDefault="00A02C07" w:rsidP="00A02C07">
      <w:pPr>
        <w:keepNext/>
        <w:spacing w:before="240" w:after="120" w:line="240" w:lineRule="auto"/>
        <w:jc w:val="both"/>
        <w:rPr>
          <w:rFonts w:ascii="Calibri" w:eastAsia="Calibri" w:hAnsi="Calibri" w:cs="Times New Roman"/>
          <w:noProof/>
          <w:kern w:val="0"/>
          <w:sz w:val="22"/>
          <w:szCs w:val="22"/>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How </w:t>
      </w:r>
      <w:r w:rsidRPr="00FB4E2D">
        <w:rPr>
          <w:rFonts w:ascii="Times New Roman" w:eastAsia="Times New Roman" w:hAnsi="Times New Roman" w:cs="Times New Roman"/>
          <w:b/>
          <w:noProof/>
          <w:kern w:val="0"/>
          <w:u w:val="single"/>
          <w14:ligatures w14:val="none"/>
        </w:rPr>
        <w:t>companies</w:t>
      </w:r>
      <w:r w:rsidRPr="00FB4E2D">
        <w:rPr>
          <w:rFonts w:ascii="Times New Roman" w:eastAsia="Times New Roman" w:hAnsi="Times New Roman" w:cs="Times New Roman"/>
          <w:b/>
          <w:noProof/>
          <w:kern w:val="0"/>
          <w14:ligatures w14:val="none"/>
        </w:rPr>
        <w:t xml:space="preserve"> perceive the independence of the </w:t>
      </w:r>
      <w:r w:rsidRPr="00FB4E2D">
        <w:rPr>
          <w:rFonts w:ascii="Times New Roman" w:eastAsia="Times New Roman" w:hAnsi="Times New Roman" w:cs="Times New Roman"/>
          <w:b/>
          <w:noProof/>
          <w:kern w:val="0"/>
          <w:u w:val="single"/>
          <w14:ligatures w14:val="none"/>
        </w:rPr>
        <w:t>first instance public procurement review bodies</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i/>
          <w:noProof/>
          <w:kern w:val="0"/>
          <w14:ligatures w14:val="none"/>
        </w:rPr>
        <w:t xml:space="preserve"> (source: Eurobarometer (</w:t>
      </w:r>
      <w:r w:rsidRPr="00FB4E2D">
        <w:rPr>
          <w:rFonts w:ascii="Times New Roman" w:eastAsia="Times New Roman" w:hAnsi="Times New Roman" w:cs="Times New Roman"/>
          <w:i/>
          <w:noProof/>
          <w:kern w:val="0"/>
          <w:vertAlign w:val="superscript"/>
          <w14:ligatures w14:val="none"/>
        </w:rPr>
        <w:footnoteReference w:id="133"/>
      </w:r>
      <w:r w:rsidRPr="00FB4E2D">
        <w:rPr>
          <w:rFonts w:ascii="Times New Roman" w:eastAsia="Times New Roman" w:hAnsi="Times New Roman" w:cs="Times New Roman"/>
          <w:i/>
          <w:noProof/>
          <w:kern w:val="0"/>
          <w14:ligatures w14:val="none"/>
        </w:rPr>
        <w:t>) -</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i/>
          <w:noProof/>
          <w:kern w:val="0"/>
          <w14:ligatures w14:val="none"/>
        </w:rPr>
        <w:t>from left to right, light colours: 2025, dark colours: 2026)</w:t>
      </w:r>
    </w:p>
    <w:p w14:paraId="645EA82C" w14:textId="3D23BCAB" w:rsidR="00A02C07" w:rsidRPr="00FB4E2D" w:rsidRDefault="002804E0" w:rsidP="00A02C07">
      <w:pPr>
        <w:spacing w:after="0" w:line="259" w:lineRule="auto"/>
        <w:jc w:val="both"/>
        <w:rPr>
          <w:rFonts w:ascii="Calibri" w:eastAsia="Yu Mincho" w:hAnsi="Calibri" w:cs="Arial"/>
          <w:noProof/>
          <w:kern w:val="0"/>
          <w:sz w:val="22"/>
          <w:szCs w:val="22"/>
          <w14:ligatures w14:val="none"/>
        </w:rPr>
      </w:pPr>
      <w:r w:rsidRPr="00FB4E2D">
        <w:rPr>
          <w:rFonts w:ascii="Calibri" w:eastAsia="Yu Mincho" w:hAnsi="Calibri" w:cs="Arial"/>
          <w:noProof/>
          <w:kern w:val="0"/>
          <w:sz w:val="22"/>
          <w:szCs w:val="22"/>
          <w:lang w:val="en-GB" w:eastAsia="en-GB"/>
          <w14:ligatures w14:val="none"/>
        </w:rPr>
        <w:drawing>
          <wp:inline distT="0" distB="0" distL="0" distR="0" wp14:anchorId="3F0AADAC" wp14:editId="78897749">
            <wp:extent cx="5760000" cy="2657105"/>
            <wp:effectExtent l="0" t="0" r="0" b="0"/>
            <wp:docPr id="14669959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60000" cy="2657105"/>
                    </a:xfrm>
                    <a:prstGeom prst="rect">
                      <a:avLst/>
                    </a:prstGeom>
                    <a:noFill/>
                  </pic:spPr>
                </pic:pic>
              </a:graphicData>
            </a:graphic>
          </wp:inline>
        </w:drawing>
      </w:r>
    </w:p>
    <w:p w14:paraId="1E669E64" w14:textId="77777777" w:rsidR="00A02C07" w:rsidRPr="00FB4E2D" w:rsidRDefault="00A02C07" w:rsidP="00A02C07">
      <w:pPr>
        <w:spacing w:after="0" w:line="240" w:lineRule="auto"/>
        <w:jc w:val="both"/>
        <w:rPr>
          <w:rFonts w:ascii="Calibri" w:eastAsia="Calibri" w:hAnsi="Calibri" w:cs="Calibri"/>
          <w:noProof/>
          <w:kern w:val="0"/>
          <w:sz w:val="22"/>
          <w:szCs w:val="22"/>
          <w14:ligatures w14:val="none"/>
        </w:rPr>
      </w:pPr>
      <w:r w:rsidRPr="00FB4E2D">
        <w:rPr>
          <w:rFonts w:ascii="Times New Roman" w:eastAsia="Times New Roman" w:hAnsi="Times New Roman" w:cs="Times New Roman"/>
          <w:i/>
          <w:noProof/>
          <w:color w:val="000000"/>
          <w:kern w:val="0"/>
          <w:sz w:val="20"/>
          <w:szCs w:val="20"/>
          <w14:ligatures w14:val="none"/>
        </w:rPr>
        <w:t>(*) Member States are ordered first by the percentage of respondents who stated that the independence is ‘very good’ or ‘fairly good’ (total good); if some Member States have the same percentage of total good, then they are ordered by the percentage of respondents who stated that the independence is ‘fairly bad’ or ‘very bad’ (total bad); if some Member States have the same percentage of total good and total bad, then they are ordered by the percentage of respondents who stated that the independence is ‘very good’; if some Member States have the same percentage of total good, total bad and ‘very good’, then they are ordered by the percentage of respondents who stated that the independence is ‘very bad’.</w:t>
      </w:r>
    </w:p>
    <w:p w14:paraId="61D72636" w14:textId="77777777" w:rsidR="00A02C07" w:rsidRPr="00FB4E2D" w:rsidRDefault="00A02C07" w:rsidP="00A02C07">
      <w:pPr>
        <w:spacing w:before="120"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Figure 60 presents how companies perceive the independence of the national competition authorities. These authorities form a part of a decentralised system that is based on the parallel competence of the Commission and the national competition authorities and national courts of the Member States to enforce EU antitrust rules. As such, they are one of the key authorities for the functioning of the single market.</w:t>
      </w:r>
    </w:p>
    <w:p w14:paraId="15E1D530" w14:textId="75F2B766" w:rsidR="00A02C07" w:rsidRPr="00FB4E2D" w:rsidRDefault="00A02C07" w:rsidP="00A02C07">
      <w:pPr>
        <w:keepNext/>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00EA326A" w:rsidRPr="00FB4E2D">
        <w:rPr>
          <w:rFonts w:ascii="Times New Roman" w:eastAsia="Calibri" w:hAnsi="Times New Roman" w:cs="Times New Roman"/>
          <w:b/>
          <w:noProof/>
          <w:spacing w:val="-6"/>
          <w:kern w:val="0"/>
          <w14:ligatures w14:val="none"/>
        </w:rPr>
        <w:t>:</w:t>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How companies perceive the </w:t>
      </w:r>
      <w:r w:rsidRPr="00FB4E2D">
        <w:rPr>
          <w:rFonts w:ascii="Times New Roman" w:eastAsia="Times New Roman" w:hAnsi="Times New Roman" w:cs="Times New Roman"/>
          <w:b/>
          <w:noProof/>
          <w:kern w:val="0"/>
          <w:u w:val="single"/>
          <w14:ligatures w14:val="none"/>
        </w:rPr>
        <w:t>independence of the national competition authorities</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i/>
          <w:noProof/>
          <w:kern w:val="0"/>
          <w14:ligatures w14:val="none"/>
        </w:rPr>
        <w:t xml:space="preserve"> (source: Eurobarometer (</w:t>
      </w:r>
      <w:r w:rsidRPr="00FB4E2D">
        <w:rPr>
          <w:rFonts w:ascii="Times New Roman" w:eastAsia="Times New Roman" w:hAnsi="Times New Roman" w:cs="Times New Roman"/>
          <w:i/>
          <w:noProof/>
          <w:kern w:val="0"/>
          <w:vertAlign w:val="superscript"/>
          <w14:ligatures w14:val="none"/>
        </w:rPr>
        <w:footnoteReference w:id="134"/>
      </w:r>
      <w:r w:rsidRPr="00FB4E2D">
        <w:rPr>
          <w:rFonts w:ascii="Times New Roman" w:eastAsia="Times New Roman" w:hAnsi="Times New Roman" w:cs="Times New Roman"/>
          <w:i/>
          <w:noProof/>
          <w:kern w:val="0"/>
          <w14:ligatures w14:val="none"/>
        </w:rPr>
        <w:t>) -</w:t>
      </w:r>
      <w:r w:rsidRPr="00FB4E2D">
        <w:rPr>
          <w:rFonts w:ascii="Times New Roman" w:eastAsia="Times New Roman" w:hAnsi="Times New Roman" w:cs="Times New Roman"/>
          <w:b/>
          <w:noProof/>
          <w:kern w:val="0"/>
          <w14:ligatures w14:val="none"/>
        </w:rPr>
        <w:t xml:space="preserve"> </w:t>
      </w:r>
      <w:r w:rsidRPr="00FB4E2D">
        <w:rPr>
          <w:rFonts w:ascii="Times New Roman" w:eastAsia="Times New Roman" w:hAnsi="Times New Roman" w:cs="Times New Roman"/>
          <w:i/>
          <w:noProof/>
          <w:kern w:val="0"/>
          <w14:ligatures w14:val="none"/>
        </w:rPr>
        <w:t>left to right, light colours: 2025, dark colours: 2026)</w:t>
      </w:r>
    </w:p>
    <w:p w14:paraId="13BC57AD" w14:textId="64281ECD" w:rsidR="00A02C07" w:rsidRPr="00FB4E2D" w:rsidRDefault="00292FA1" w:rsidP="00A02C07">
      <w:pPr>
        <w:keepNext/>
        <w:spacing w:after="0" w:line="240" w:lineRule="auto"/>
        <w:jc w:val="both"/>
        <w:rPr>
          <w:rFonts w:ascii="Calibri" w:eastAsia="Yu Mincho" w:hAnsi="Calibri" w:cs="Arial"/>
          <w:noProof/>
          <w:kern w:val="0"/>
          <w:sz w:val="22"/>
          <w:szCs w:val="22"/>
          <w14:ligatures w14:val="none"/>
        </w:rPr>
      </w:pPr>
      <w:r w:rsidRPr="00FB4E2D">
        <w:rPr>
          <w:rFonts w:ascii="Calibri" w:eastAsia="Yu Mincho" w:hAnsi="Calibri" w:cs="Arial"/>
          <w:noProof/>
          <w:kern w:val="0"/>
          <w:sz w:val="22"/>
          <w:szCs w:val="22"/>
          <w:lang w:val="en-GB" w:eastAsia="en-GB"/>
          <w14:ligatures w14:val="none"/>
        </w:rPr>
        <w:drawing>
          <wp:inline distT="0" distB="0" distL="0" distR="0" wp14:anchorId="0DC98A38" wp14:editId="52D597B7">
            <wp:extent cx="5760000" cy="2759872"/>
            <wp:effectExtent l="0" t="0" r="0" b="2540"/>
            <wp:docPr id="12898778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60000" cy="2759872"/>
                    </a:xfrm>
                    <a:prstGeom prst="rect">
                      <a:avLst/>
                    </a:prstGeom>
                    <a:noFill/>
                  </pic:spPr>
                </pic:pic>
              </a:graphicData>
            </a:graphic>
          </wp:inline>
        </w:drawing>
      </w:r>
    </w:p>
    <w:p w14:paraId="3B7C3508" w14:textId="77777777" w:rsidR="00A02C07" w:rsidRPr="00FB4E2D" w:rsidRDefault="00A02C07" w:rsidP="00A02C07">
      <w:pPr>
        <w:keepNext/>
        <w:spacing w:after="0" w:line="240" w:lineRule="auto"/>
        <w:jc w:val="both"/>
        <w:rPr>
          <w:rFonts w:ascii="Calibri" w:eastAsia="Calibri" w:hAnsi="Calibri" w:cs="Calibri"/>
          <w:noProof/>
          <w:kern w:val="0"/>
          <w:sz w:val="22"/>
          <w:szCs w:val="22"/>
          <w14:ligatures w14:val="none"/>
        </w:rPr>
      </w:pPr>
      <w:r w:rsidRPr="00FB4E2D">
        <w:rPr>
          <w:rFonts w:ascii="Times New Roman" w:eastAsia="Times New Roman" w:hAnsi="Times New Roman" w:cs="Times New Roman"/>
          <w:i/>
          <w:noProof/>
          <w:color w:val="000000"/>
          <w:kern w:val="0"/>
          <w:sz w:val="20"/>
          <w:szCs w:val="20"/>
          <w14:ligatures w14:val="none"/>
        </w:rPr>
        <w:t>(*) Member States are ordered first by the percentage of respondents who stated that the independence is ‘very good’ or ‘fairly good’ (total good); if some Member States have the same percentage of total good, then they are ordered by the percentage of respondents who stated that the independence is ‘fairly bad’ or ‘very bad’ (total bad); if some Member States have the same percentage of total good and total bad, then they are ordered by the percentage of respondents who stated that the independence is ‘very good’; if some Member States have the same percentage of total good, total bad and ‘very good’, then they are ordered by the percentage of respondents who stated that the independence is ‘very bad’.</w:t>
      </w:r>
    </w:p>
    <w:p w14:paraId="270B3BB0" w14:textId="77777777" w:rsidR="00A02C07" w:rsidRPr="00FB4E2D" w:rsidRDefault="00A02C07" w:rsidP="00A02C07">
      <w:pPr>
        <w:spacing w:before="240"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Figure 61 shows the term of appointment of the members and presidents of the first instance public procurement review bodies, namely whether they are appointed for an unlimited term, or for a limited term, and in this case whether it is renewable or non-renewable. The footnote indicates the length of term in years. In majority of Member States the term of members and presidents of the first instance review bodies is from 4 to 8 years and renewable.</w:t>
      </w:r>
    </w:p>
    <w:p w14:paraId="193BE88B" w14:textId="77777777" w:rsidR="005222C7" w:rsidRDefault="005222C7">
      <w:pPr>
        <w:rPr>
          <w:rFonts w:ascii="Times New Roman" w:eastAsia="Calibri" w:hAnsi="Times New Roman" w:cs="Times New Roman"/>
          <w:b/>
          <w:noProof/>
          <w:spacing w:val="-6"/>
          <w:kern w:val="0"/>
          <w14:ligatures w14:val="none"/>
        </w:rPr>
      </w:pPr>
      <w:r>
        <w:rPr>
          <w:rFonts w:ascii="Times New Roman" w:eastAsia="Calibri" w:hAnsi="Times New Roman" w:cs="Times New Roman"/>
          <w:b/>
          <w:noProof/>
          <w:spacing w:val="-6"/>
          <w:kern w:val="0"/>
          <w14:ligatures w14:val="none"/>
        </w:rPr>
        <w:br w:type="page"/>
      </w:r>
    </w:p>
    <w:p w14:paraId="4251EB30" w14:textId="2359C4ED"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Calibri" w:hAnsi="Times New Roman" w:cs="Times New Roman"/>
          <w:b/>
          <w:noProof/>
          <w:spacing w:val="-6"/>
          <w:kern w:val="0"/>
          <w:u w:val="single"/>
          <w14:ligatures w14:val="none"/>
        </w:rPr>
        <w:t xml:space="preserve">First instance </w:t>
      </w:r>
      <w:r w:rsidRPr="00FB4E2D">
        <w:rPr>
          <w:rFonts w:ascii="Times New Roman" w:eastAsia="Times New Roman" w:hAnsi="Times New Roman" w:cs="Times New Roman"/>
          <w:b/>
          <w:noProof/>
          <w:kern w:val="0"/>
          <w:u w:val="single"/>
          <w14:ligatures w14:val="none"/>
        </w:rPr>
        <w:t>public procurement review bodies</w:t>
      </w:r>
      <w:r w:rsidRPr="00FB4E2D">
        <w:rPr>
          <w:rFonts w:ascii="Times New Roman" w:eastAsia="Times New Roman" w:hAnsi="Times New Roman" w:cs="Times New Roman"/>
          <w:b/>
          <w:noProof/>
          <w:kern w:val="0"/>
          <w14:ligatures w14:val="none"/>
        </w:rPr>
        <w:t xml:space="preserve">: </w:t>
      </w:r>
      <w:bookmarkStart w:id="459" w:name="_Hlk197337964"/>
      <w:r w:rsidRPr="00FB4E2D">
        <w:rPr>
          <w:rFonts w:ascii="Times New Roman" w:eastAsia="Times New Roman" w:hAnsi="Times New Roman" w:cs="Times New Roman"/>
          <w:b/>
          <w:noProof/>
          <w:kern w:val="0"/>
          <w14:ligatures w14:val="none"/>
        </w:rPr>
        <w:t>term of appointment of members and president</w:t>
      </w:r>
      <w:r w:rsidRPr="00FB4E2D">
        <w:rPr>
          <w:rFonts w:ascii="Times New Roman" w:eastAsia="Calibri" w:hAnsi="Times New Roman" w:cs="Times New Roman"/>
          <w:b/>
          <w:noProof/>
          <w:kern w:val="0"/>
          <w14:ligatures w14:val="none"/>
        </w:rPr>
        <w:t xml:space="preserve"> </w:t>
      </w:r>
      <w:bookmarkStart w:id="460" w:name="_Hlk197337935"/>
      <w:bookmarkStart w:id="461" w:name="_Hlk197337948"/>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bookmarkEnd w:id="459"/>
      <w:bookmarkEnd w:id="460"/>
      <w:r w:rsidRPr="00FB4E2D">
        <w:rPr>
          <w:rFonts w:ascii="Times New Roman" w:eastAsia="Calibri" w:hAnsi="Times New Roman" w:cs="Times New Roman"/>
          <w:b/>
          <w:noProof/>
          <w:kern w:val="0"/>
          <w14:ligatures w14:val="none"/>
        </w:rPr>
        <w:t xml:space="preserve"> </w:t>
      </w:r>
      <w:bookmarkEnd w:id="461"/>
      <w:r w:rsidRPr="00FB4E2D">
        <w:rPr>
          <w:rFonts w:ascii="Times New Roman" w:eastAsia="Calibri" w:hAnsi="Times New Roman" w:cs="Times New Roman"/>
          <w:i/>
          <w:noProof/>
          <w:kern w:val="0"/>
          <w14:ligatures w14:val="none"/>
        </w:rPr>
        <w:t>(source: European Commission with the Network of First Instance Review Bodies on Public Procurement)</w:t>
      </w:r>
    </w:p>
    <w:p w14:paraId="5BB87776" w14:textId="77777777" w:rsidR="00A02C07" w:rsidRPr="00FB4E2D" w:rsidRDefault="00A02C07" w:rsidP="00A02C07">
      <w:pPr>
        <w:spacing w:after="0" w:line="240" w:lineRule="auto"/>
        <w:jc w:val="both"/>
        <w:rPr>
          <w:rFonts w:ascii="Times New Roman" w:eastAsia="Calibri" w:hAnsi="Times New Roman" w:cs="Times New Roman"/>
          <w:i/>
          <w:noProof/>
          <w:kern w:val="0"/>
          <w:highlight w:val="yellow"/>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727883EB" wp14:editId="6396D019">
            <wp:extent cx="5760000" cy="1696297"/>
            <wp:effectExtent l="0" t="0" r="0" b="0"/>
            <wp:docPr id="1538985447" name="Picture 1" descr="A char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85447" name="Picture 1" descr="A chart with text and numbers&#10;&#10;AI-generated content may be incorrec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60000" cy="1696297"/>
                    </a:xfrm>
                    <a:prstGeom prst="rect">
                      <a:avLst/>
                    </a:prstGeom>
                    <a:noFill/>
                  </pic:spPr>
                </pic:pic>
              </a:graphicData>
            </a:graphic>
          </wp:inline>
        </w:drawing>
      </w:r>
    </w:p>
    <w:p w14:paraId="3B581B26" w14:textId="3F00700E" w:rsidR="0040430C" w:rsidRPr="00FB4E2D" w:rsidRDefault="00A02C07" w:rsidP="008C2B2E">
      <w:pPr>
        <w:spacing w:line="240" w:lineRule="auto"/>
        <w:jc w:val="both"/>
        <w:rPr>
          <w:rFonts w:ascii="Times New Roman" w:eastAsia="Yu Mincho" w:hAnsi="Times New Roman" w:cs="Times New Roman"/>
          <w:b/>
          <w:bCs/>
          <w:i/>
          <w:iCs/>
          <w:noProof/>
          <w:kern w:val="0"/>
          <w:sz w:val="20"/>
          <w:szCs w:val="20"/>
          <w14:ligatures w14:val="none"/>
        </w:rPr>
      </w:pPr>
      <w:r w:rsidRPr="00FB4E2D">
        <w:rPr>
          <w:rFonts w:ascii="Times New Roman" w:eastAsia="Times New Roman" w:hAnsi="Times New Roman" w:cs="Times New Roman"/>
          <w:i/>
          <w:noProof/>
          <w:kern w:val="0"/>
          <w:sz w:val="20"/>
          <w:szCs w:val="20"/>
          <w14:ligatures w14:val="none"/>
        </w:rPr>
        <w:t xml:space="preserve">(*) </w:t>
      </w:r>
      <w:r w:rsidR="00E761CE" w:rsidRPr="00FB4E2D">
        <w:rPr>
          <w:rFonts w:ascii="Times New Roman" w:eastAsia="Times New Roman" w:hAnsi="Times New Roman" w:cs="Times New Roman"/>
          <w:i/>
          <w:noProof/>
          <w:kern w:val="0"/>
          <w:sz w:val="20"/>
          <w:szCs w:val="20"/>
          <w14:ligatures w14:val="none"/>
        </w:rPr>
        <w:t xml:space="preserve">The chart refers to the </w:t>
      </w:r>
      <w:r w:rsidR="00F9493F" w:rsidRPr="00FB4E2D">
        <w:rPr>
          <w:rFonts w:ascii="Times New Roman" w:eastAsia="Times New Roman" w:hAnsi="Times New Roman" w:cs="Times New Roman"/>
          <w:i/>
          <w:noProof/>
          <w:kern w:val="0"/>
          <w:sz w:val="20"/>
          <w:szCs w:val="20"/>
          <w14:ligatures w14:val="none"/>
        </w:rPr>
        <w:t xml:space="preserve">bodies listed </w:t>
      </w:r>
      <w:r w:rsidR="0078527D" w:rsidRPr="00FB4E2D">
        <w:rPr>
          <w:rFonts w:ascii="Times New Roman" w:eastAsia="Times New Roman" w:hAnsi="Times New Roman" w:cs="Times New Roman"/>
          <w:i/>
          <w:noProof/>
          <w:kern w:val="0"/>
          <w:sz w:val="20"/>
          <w:szCs w:val="20"/>
          <w14:ligatures w14:val="none"/>
        </w:rPr>
        <w:t xml:space="preserve">under Figure 61 in the 2025 EU Justice Scoreboard. </w:t>
      </w:r>
      <w:r w:rsidR="0040430C" w:rsidRPr="00FB4E2D">
        <w:rPr>
          <w:rFonts w:ascii="Times New Roman" w:eastAsia="Yu Mincho" w:hAnsi="Times New Roman" w:cs="Times New Roman"/>
          <w:b/>
          <w:i/>
          <w:noProof/>
          <w:kern w:val="0"/>
          <w:sz w:val="20"/>
          <w:szCs w:val="20"/>
          <w14:ligatures w14:val="none"/>
        </w:rPr>
        <w:t>BG</w:t>
      </w:r>
      <w:r w:rsidR="0040430C" w:rsidRPr="00FB4E2D">
        <w:rPr>
          <w:rFonts w:ascii="Times New Roman" w:eastAsia="Yu Mincho" w:hAnsi="Times New Roman" w:cs="Times New Roman"/>
          <w:i/>
          <w:noProof/>
          <w:kern w:val="0"/>
          <w:sz w:val="20"/>
          <w:szCs w:val="20"/>
          <w14:ligatures w14:val="none"/>
        </w:rPr>
        <w:t>: members and president: seven-year term (cannot be re-elected immediately for another term).</w:t>
      </w:r>
      <w:r w:rsidR="008C2B2E" w:rsidRPr="00FB4E2D">
        <w:rPr>
          <w:rFonts w:ascii="Times New Roman" w:eastAsia="Yu Mincho" w:hAnsi="Times New Roman" w:cs="Times New Roman"/>
          <w:i/>
          <w:noProof/>
          <w:kern w:val="0"/>
          <w:sz w:val="20"/>
          <w:szCs w:val="20"/>
          <w14:ligatures w14:val="none"/>
        </w:rPr>
        <w:t xml:space="preserve"> The 2025 amendments to the Protection of Competition Act introduced a specific transitional arrangement concerning the terms of the members of the Commission on Protection of Competition. Pursuant to this arrangement, upon the expiry of the mandate of the current composition of the Commission, at the subsequent election three of its members shall be elected for a term of three years and six months. Upon the expiry of this term, new members shall be elected in their place in accordance with the established procedure and for the term of office provided for in Article 4(1) of the Act (seven years). This regulatory approach aims to introduce a staggered renewal of the Commission’s composition by differentiating the duration of mandates, thereby ensuring institutional continuity and stability in its functioning</w:t>
      </w:r>
      <w:r w:rsidR="002D5E23" w:rsidRPr="00FB4E2D">
        <w:rPr>
          <w:rFonts w:ascii="Times New Roman" w:eastAsia="Yu Mincho" w:hAnsi="Times New Roman" w:cs="Times New Roman"/>
          <w:i/>
          <w:noProof/>
          <w:kern w:val="0"/>
          <w:sz w:val="20"/>
          <w:szCs w:val="20"/>
          <w14:ligatures w14:val="none"/>
        </w:rPr>
        <w:t>.</w:t>
      </w:r>
      <w:r w:rsidR="0040430C" w:rsidRPr="00FB4E2D">
        <w:rPr>
          <w:rFonts w:ascii="Times New Roman" w:eastAsia="Yu Mincho" w:hAnsi="Times New Roman" w:cs="Times New Roman"/>
          <w:i/>
          <w:noProof/>
          <w:kern w:val="0"/>
          <w:sz w:val="20"/>
          <w:szCs w:val="20"/>
          <w14:ligatures w14:val="none"/>
        </w:rPr>
        <w:t xml:space="preserve"> </w:t>
      </w:r>
      <w:r w:rsidR="0040430C" w:rsidRPr="00FB4E2D">
        <w:rPr>
          <w:rFonts w:ascii="Times New Roman" w:eastAsia="Yu Mincho" w:hAnsi="Times New Roman" w:cs="Times New Roman"/>
          <w:b/>
          <w:i/>
          <w:noProof/>
          <w:kern w:val="0"/>
          <w:sz w:val="20"/>
          <w:szCs w:val="20"/>
          <w14:ligatures w14:val="none"/>
        </w:rPr>
        <w:t>CZ</w:t>
      </w:r>
      <w:r w:rsidR="0040430C" w:rsidRPr="00FB4E2D">
        <w:rPr>
          <w:rFonts w:ascii="Times New Roman" w:eastAsia="Yu Mincho" w:hAnsi="Times New Roman" w:cs="Times New Roman"/>
          <w:i/>
          <w:noProof/>
          <w:kern w:val="0"/>
          <w:sz w:val="20"/>
          <w:szCs w:val="20"/>
          <w14:ligatures w14:val="none"/>
        </w:rPr>
        <w:t xml:space="preserve">: the Office does not have formally established members of the first instance public procurement review body. In practice, the administrative proceedings on review of public procurement are conducted by departments headed by directors; there are three such departments/directors in total. These directors are appointed/ dismissed in accordance with the Public Service Act. The same applies to the members of the departments – public officials who are appointed and dismissed in accordance with the Public Service Act. The president (the vice-chair of the Office): six-year term (unlimited number of terms). The president of the Office for the Protection of Competition acts as the second instance administrative review body. </w:t>
      </w:r>
      <w:r w:rsidR="0040430C" w:rsidRPr="00FB4E2D">
        <w:rPr>
          <w:rFonts w:ascii="Times New Roman" w:eastAsia="Yu Mincho" w:hAnsi="Times New Roman" w:cs="Times New Roman"/>
          <w:b/>
          <w:i/>
          <w:noProof/>
          <w:kern w:val="0"/>
          <w:sz w:val="20"/>
          <w:szCs w:val="20"/>
          <w14:ligatures w14:val="none"/>
        </w:rPr>
        <w:t>DK</w:t>
      </w:r>
      <w:r w:rsidR="0040430C" w:rsidRPr="00FB4E2D">
        <w:rPr>
          <w:rFonts w:ascii="Times New Roman" w:eastAsia="Yu Mincho" w:hAnsi="Times New Roman" w:cs="Times New Roman"/>
          <w:i/>
          <w:noProof/>
          <w:kern w:val="0"/>
          <w:sz w:val="20"/>
          <w:szCs w:val="20"/>
          <w14:ligatures w14:val="none"/>
        </w:rPr>
        <w:t xml:space="preserve">: members and president: four-year term (unlimited number of terms). </w:t>
      </w:r>
      <w:r w:rsidR="0040430C" w:rsidRPr="00FB4E2D">
        <w:rPr>
          <w:rFonts w:ascii="Times New Roman" w:eastAsia="Yu Mincho" w:hAnsi="Times New Roman" w:cs="Times New Roman"/>
          <w:b/>
          <w:i/>
          <w:noProof/>
          <w:kern w:val="0"/>
          <w:sz w:val="20"/>
          <w:szCs w:val="20"/>
          <w14:ligatures w14:val="none"/>
        </w:rPr>
        <w:t>DE</w:t>
      </w:r>
      <w:r w:rsidR="0040430C" w:rsidRPr="00FB4E2D">
        <w:rPr>
          <w:rFonts w:ascii="Times New Roman" w:eastAsia="Yu Mincho" w:hAnsi="Times New Roman" w:cs="Times New Roman"/>
          <w:i/>
          <w:noProof/>
          <w:kern w:val="0"/>
          <w:sz w:val="20"/>
          <w:szCs w:val="20"/>
          <w14:ligatures w14:val="none"/>
        </w:rPr>
        <w:t xml:space="preserve">: members and president: five-year term (unlimited number of terms). </w:t>
      </w:r>
      <w:r w:rsidR="0040430C" w:rsidRPr="00FB4E2D">
        <w:rPr>
          <w:rFonts w:ascii="Times New Roman" w:eastAsia="Yu Mincho" w:hAnsi="Times New Roman" w:cs="Times New Roman"/>
          <w:b/>
          <w:i/>
          <w:noProof/>
          <w:kern w:val="0"/>
          <w:sz w:val="20"/>
          <w:szCs w:val="20"/>
          <w14:ligatures w14:val="none"/>
        </w:rPr>
        <w:t>EE</w:t>
      </w:r>
      <w:r w:rsidR="0040430C" w:rsidRPr="00FB4E2D">
        <w:rPr>
          <w:rFonts w:ascii="Times New Roman" w:eastAsia="Yu Mincho" w:hAnsi="Times New Roman" w:cs="Times New Roman"/>
          <w:i/>
          <w:noProof/>
          <w:kern w:val="0"/>
          <w:sz w:val="20"/>
          <w:szCs w:val="20"/>
          <w14:ligatures w14:val="none"/>
        </w:rPr>
        <w:t xml:space="preserve">: members and president: five-year term (unlimited number of terms). </w:t>
      </w:r>
      <w:r w:rsidR="0040430C" w:rsidRPr="00FB4E2D">
        <w:rPr>
          <w:rFonts w:ascii="Times New Roman" w:eastAsia="Yu Mincho" w:hAnsi="Times New Roman" w:cs="Times New Roman"/>
          <w:b/>
          <w:i/>
          <w:noProof/>
          <w:kern w:val="0"/>
          <w:sz w:val="20"/>
          <w:szCs w:val="20"/>
          <w14:ligatures w14:val="none"/>
        </w:rPr>
        <w:t>EL</w:t>
      </w:r>
      <w:r w:rsidR="0040430C" w:rsidRPr="00FB4E2D">
        <w:rPr>
          <w:rFonts w:ascii="Times New Roman" w:eastAsia="Yu Mincho" w:hAnsi="Times New Roman" w:cs="Times New Roman"/>
          <w:i/>
          <w:noProof/>
          <w:kern w:val="0"/>
          <w:sz w:val="20"/>
          <w:szCs w:val="20"/>
          <w14:ligatures w14:val="none"/>
        </w:rPr>
        <w:t xml:space="preserve">: members and president: five-year term (not more than two terms). </w:t>
      </w:r>
      <w:r w:rsidR="0040430C" w:rsidRPr="00FB4E2D">
        <w:rPr>
          <w:rFonts w:ascii="Times New Roman" w:eastAsia="Yu Mincho" w:hAnsi="Times New Roman" w:cs="Times New Roman"/>
          <w:b/>
          <w:i/>
          <w:noProof/>
          <w:kern w:val="0"/>
          <w:sz w:val="20"/>
          <w:szCs w:val="20"/>
          <w14:ligatures w14:val="none"/>
        </w:rPr>
        <w:t>ES</w:t>
      </w:r>
      <w:r w:rsidR="0040430C" w:rsidRPr="00FB4E2D">
        <w:rPr>
          <w:rFonts w:ascii="Times New Roman" w:eastAsia="Yu Mincho" w:hAnsi="Times New Roman" w:cs="Times New Roman"/>
          <w:i/>
          <w:noProof/>
          <w:kern w:val="0"/>
          <w:sz w:val="20"/>
          <w:szCs w:val="20"/>
          <w14:ligatures w14:val="none"/>
        </w:rPr>
        <w:t xml:space="preserve">: members and president: six-year term (non-renewable). </w:t>
      </w:r>
      <w:r w:rsidR="0040430C" w:rsidRPr="00FB4E2D">
        <w:rPr>
          <w:rFonts w:ascii="Times New Roman" w:eastAsia="Yu Mincho" w:hAnsi="Times New Roman" w:cs="Times New Roman"/>
          <w:b/>
          <w:i/>
          <w:noProof/>
          <w:kern w:val="0"/>
          <w:sz w:val="20"/>
          <w:szCs w:val="20"/>
          <w14:ligatures w14:val="none"/>
        </w:rPr>
        <w:t>HR</w:t>
      </w:r>
      <w:r w:rsidR="0040430C" w:rsidRPr="00FB4E2D">
        <w:rPr>
          <w:rFonts w:ascii="Times New Roman" w:eastAsia="Yu Mincho" w:hAnsi="Times New Roman" w:cs="Times New Roman"/>
          <w:i/>
          <w:noProof/>
          <w:kern w:val="0"/>
          <w:sz w:val="20"/>
          <w:szCs w:val="20"/>
          <w14:ligatures w14:val="none"/>
        </w:rPr>
        <w:t xml:space="preserve">: members and president: five-year term (they may be appointed for two terms). </w:t>
      </w:r>
      <w:r w:rsidR="0040430C" w:rsidRPr="00FB4E2D">
        <w:rPr>
          <w:rFonts w:ascii="Times New Roman" w:eastAsia="Yu Mincho" w:hAnsi="Times New Roman" w:cs="Times New Roman"/>
          <w:b/>
          <w:bCs/>
          <w:i/>
          <w:noProof/>
          <w:kern w:val="0"/>
          <w:sz w:val="20"/>
          <w:szCs w:val="20"/>
          <w14:ligatures w14:val="none"/>
        </w:rPr>
        <w:t xml:space="preserve">CY: </w:t>
      </w:r>
      <w:r w:rsidR="0040430C" w:rsidRPr="00FB4E2D">
        <w:rPr>
          <w:rFonts w:ascii="Times New Roman" w:eastAsia="Yu Mincho" w:hAnsi="Times New Roman" w:cs="Times New Roman"/>
          <w:i/>
          <w:noProof/>
          <w:kern w:val="0"/>
          <w:sz w:val="20"/>
          <w:szCs w:val="20"/>
          <w14:ligatures w14:val="none"/>
        </w:rPr>
        <w:t xml:space="preserve">members and president: five-year term (may be renewed for one additional term).  </w:t>
      </w:r>
      <w:r w:rsidR="0040430C" w:rsidRPr="00FB4E2D">
        <w:rPr>
          <w:rFonts w:ascii="Times New Roman" w:eastAsia="Yu Mincho" w:hAnsi="Times New Roman" w:cs="Times New Roman"/>
          <w:b/>
          <w:i/>
          <w:noProof/>
          <w:kern w:val="0"/>
          <w:sz w:val="20"/>
          <w:szCs w:val="20"/>
          <w14:ligatures w14:val="none"/>
        </w:rPr>
        <w:t>LV</w:t>
      </w:r>
      <w:r w:rsidR="0040430C" w:rsidRPr="00FB4E2D">
        <w:rPr>
          <w:rFonts w:ascii="Times New Roman" w:eastAsia="Yu Mincho" w:hAnsi="Times New Roman" w:cs="Times New Roman"/>
          <w:i/>
          <w:noProof/>
          <w:kern w:val="0"/>
          <w:sz w:val="20"/>
          <w:szCs w:val="20"/>
          <w14:ligatures w14:val="none"/>
        </w:rPr>
        <w:t xml:space="preserve">: members: unlimited term; president: five-year term (not more than two successive terms). </w:t>
      </w:r>
      <w:r w:rsidR="0040430C" w:rsidRPr="00FB4E2D">
        <w:rPr>
          <w:rFonts w:ascii="Times New Roman" w:eastAsia="Yu Mincho" w:hAnsi="Times New Roman" w:cs="Times New Roman"/>
          <w:b/>
          <w:i/>
          <w:noProof/>
          <w:kern w:val="0"/>
          <w:sz w:val="20"/>
          <w:szCs w:val="20"/>
          <w14:ligatures w14:val="none"/>
        </w:rPr>
        <w:t>HU</w:t>
      </w:r>
      <w:r w:rsidR="0040430C" w:rsidRPr="00FB4E2D">
        <w:rPr>
          <w:rFonts w:ascii="Times New Roman" w:eastAsia="Yu Mincho" w:hAnsi="Times New Roman" w:cs="Times New Roman"/>
          <w:i/>
          <w:noProof/>
          <w:kern w:val="0"/>
          <w:sz w:val="20"/>
          <w:szCs w:val="20"/>
          <w14:ligatures w14:val="none"/>
        </w:rPr>
        <w:t xml:space="preserve">: members: unlimited term; the president (the chair and the deputy chair of the Arbitration Board) five-year term (unlimited number of terms). </w:t>
      </w:r>
      <w:r w:rsidR="0040430C" w:rsidRPr="00FB4E2D">
        <w:rPr>
          <w:rFonts w:ascii="Times New Roman" w:eastAsia="Yu Mincho" w:hAnsi="Times New Roman" w:cs="Times New Roman"/>
          <w:b/>
          <w:i/>
          <w:noProof/>
          <w:kern w:val="0"/>
          <w:sz w:val="20"/>
          <w:szCs w:val="20"/>
          <w14:ligatures w14:val="none"/>
        </w:rPr>
        <w:t>PL</w:t>
      </w:r>
      <w:r w:rsidR="0040430C" w:rsidRPr="00FB4E2D">
        <w:rPr>
          <w:rFonts w:ascii="Times New Roman" w:eastAsia="Yu Mincho" w:hAnsi="Times New Roman" w:cs="Times New Roman"/>
          <w:i/>
          <w:noProof/>
          <w:kern w:val="0"/>
          <w:sz w:val="20"/>
          <w:szCs w:val="20"/>
          <w14:ligatures w14:val="none"/>
        </w:rPr>
        <w:t xml:space="preserve">: members: unlimited term; president: three-year term (unlimited number of terms). </w:t>
      </w:r>
      <w:r w:rsidR="0040430C" w:rsidRPr="00FB4E2D">
        <w:rPr>
          <w:rFonts w:ascii="Times New Roman" w:eastAsia="Yu Mincho" w:hAnsi="Times New Roman" w:cs="Times New Roman"/>
          <w:b/>
          <w:i/>
          <w:noProof/>
          <w:kern w:val="0"/>
          <w:sz w:val="20"/>
          <w:szCs w:val="20"/>
          <w14:ligatures w14:val="none"/>
        </w:rPr>
        <w:t>SI</w:t>
      </w:r>
      <w:r w:rsidR="0040430C" w:rsidRPr="00FB4E2D">
        <w:rPr>
          <w:rFonts w:ascii="Times New Roman" w:eastAsia="Yu Mincho" w:hAnsi="Times New Roman" w:cs="Times New Roman"/>
          <w:i/>
          <w:noProof/>
          <w:kern w:val="0"/>
          <w:sz w:val="20"/>
          <w:szCs w:val="20"/>
          <w14:ligatures w14:val="none"/>
        </w:rPr>
        <w:t xml:space="preserve">: members and president: eight-year term (according to the law, the number of terms is not limited, although in practice, none of the members has been appointed for more than two terms). </w:t>
      </w:r>
      <w:r w:rsidR="0040430C" w:rsidRPr="00FB4E2D">
        <w:rPr>
          <w:rFonts w:ascii="Times New Roman" w:eastAsia="Yu Mincho" w:hAnsi="Times New Roman" w:cs="Times New Roman"/>
          <w:b/>
          <w:bCs/>
          <w:i/>
          <w:noProof/>
          <w:kern w:val="0"/>
          <w:sz w:val="20"/>
          <w:szCs w:val="20"/>
          <w14:ligatures w14:val="none"/>
        </w:rPr>
        <w:t>RO:</w:t>
      </w:r>
      <w:r w:rsidR="0040430C" w:rsidRPr="00FB4E2D">
        <w:rPr>
          <w:rFonts w:ascii="Times New Roman" w:eastAsia="Yu Mincho" w:hAnsi="Times New Roman" w:cs="Times New Roman"/>
          <w:i/>
          <w:noProof/>
          <w:kern w:val="0"/>
          <w:sz w:val="20"/>
          <w:szCs w:val="20"/>
          <w14:ligatures w14:val="none"/>
        </w:rPr>
        <w:t xml:space="preserve"> members: unlimited term; president: three-year term (not more than two terms) </w:t>
      </w:r>
      <w:r w:rsidR="0040430C" w:rsidRPr="00FB4E2D">
        <w:rPr>
          <w:rFonts w:ascii="Times New Roman" w:eastAsia="Yu Mincho" w:hAnsi="Times New Roman" w:cs="Times New Roman"/>
          <w:b/>
          <w:bCs/>
          <w:i/>
          <w:noProof/>
          <w:kern w:val="0"/>
          <w:sz w:val="20"/>
          <w:szCs w:val="20"/>
          <w14:ligatures w14:val="none"/>
        </w:rPr>
        <w:t xml:space="preserve">SK: </w:t>
      </w:r>
      <w:r w:rsidR="0040430C" w:rsidRPr="00FB4E2D">
        <w:rPr>
          <w:rFonts w:ascii="Times New Roman" w:eastAsia="Yu Mincho" w:hAnsi="Times New Roman" w:cs="Times New Roman"/>
          <w:i/>
          <w:noProof/>
          <w:kern w:val="0"/>
          <w:sz w:val="20"/>
          <w:szCs w:val="20"/>
          <w14:ligatures w14:val="none"/>
        </w:rPr>
        <w:t>members: unlimited term; vice-chair: five-year term (not more than two successive terms); The Public Procurement Office does not have formally established members of the first instance public procurement review body. In practice, the administrative proceedings on review of public procurement are conducted by the review department headed by director and the vice-chair for the strategic agenda. The director of the review department is appointed/ dismissed in accordance with the Public Service Act. The same applies to members of the review department – public officials who are appointed and dismissed in accordance with the Public Service Act. The vice-chair for the strategic agenda is appointed and dismissed by the Government upon proposal by the head of the Office of the Government. The president of the Public Procurement Office acts as the second instance administrative review body.</w:t>
      </w:r>
    </w:p>
    <w:p w14:paraId="4AD382D1" w14:textId="77777777" w:rsidR="00525DAF" w:rsidRPr="00FB4E2D" w:rsidRDefault="00525DAF" w:rsidP="0040430C">
      <w:pPr>
        <w:spacing w:line="240" w:lineRule="auto"/>
        <w:jc w:val="both"/>
        <w:rPr>
          <w:rFonts w:ascii="Times New Roman" w:eastAsia="Calibri" w:hAnsi="Times New Roman" w:cs="Times New Roman"/>
          <w:i/>
          <w:noProof/>
          <w:kern w:val="0"/>
          <w14:ligatures w14:val="none"/>
        </w:rPr>
      </w:pPr>
      <w:r w:rsidRPr="00FB4E2D">
        <w:rPr>
          <w:rFonts w:ascii="Times New Roman" w:eastAsia="Times New Roman" w:hAnsi="Times New Roman" w:cs="Times New Roman"/>
          <w:noProof/>
          <w:kern w:val="0"/>
          <w14:ligatures w14:val="none"/>
        </w:rPr>
        <w:t>Figure 62 presents an updated overview of the authorities involved in the appointment and dismissal procedures for the members of the decision-making bodies of national competition authorities, which was first presented in the 2025 EU Justice Scoreboard.</w:t>
      </w:r>
    </w:p>
    <w:p w14:paraId="64CAEAAC" w14:textId="49EE3B1B" w:rsidR="00A02C07" w:rsidRPr="00FB4E2D" w:rsidRDefault="00525DAF" w:rsidP="00A02C07">
      <w:pPr>
        <w:spacing w:line="259" w:lineRule="auto"/>
        <w:rPr>
          <w:rFonts w:ascii="Times New Roman" w:eastAsia="Calibri" w:hAnsi="Times New Roman" w:cs="Times New Roman"/>
          <w:b/>
          <w:noProof/>
          <w:spacing w:val="-6"/>
          <w:kern w:val="0"/>
          <w:highlight w:val="yellow"/>
          <w14:ligatures w14:val="none"/>
        </w:rPr>
      </w:pPr>
      <w:r w:rsidRPr="00FB4E2D">
        <w:rPr>
          <w:rFonts w:ascii="Times New Roman" w:eastAsia="Calibri" w:hAnsi="Times New Roman" w:cs="Times New Roman"/>
          <w:b/>
          <w:noProof/>
          <w:spacing w:val="-6"/>
          <w:kern w:val="0"/>
          <w:highlight w:val="yellow"/>
          <w14:ligatures w14:val="none"/>
        </w:rPr>
        <w:br w:type="page"/>
      </w:r>
    </w:p>
    <w:p w14:paraId="5799B49B" w14:textId="0F75A2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u w:val="single"/>
          <w14:ligatures w14:val="none"/>
        </w:rPr>
        <w:t>National competition authorities</w:t>
      </w:r>
      <w:r w:rsidRPr="00FB4E2D">
        <w:rPr>
          <w:rFonts w:ascii="Times New Roman" w:eastAsia="Times New Roman" w:hAnsi="Times New Roman" w:cs="Times New Roman"/>
          <w:b/>
          <w:noProof/>
          <w:kern w:val="0"/>
          <w14:ligatures w14:val="none"/>
        </w:rPr>
        <w:t>: appointment and dismissal</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(source: European Commission with the Network of National Competition Authorities)</w:t>
      </w:r>
    </w:p>
    <w:p w14:paraId="0E9465BD" w14:textId="1223ACEB" w:rsidR="00B467ED" w:rsidRPr="00FB4E2D" w:rsidRDefault="00A02C07" w:rsidP="00B467ED">
      <w:pPr>
        <w:spacing w:after="0" w:line="240" w:lineRule="auto"/>
        <w:jc w:val="both"/>
        <w:rPr>
          <w:rFonts w:ascii="Times New Roman" w:eastAsia="Yu Mincho" w:hAnsi="Times New Roman" w:cs="Times New Roman"/>
          <w:i/>
          <w:noProof/>
          <w:kern w:val="0"/>
          <w:sz w:val="20"/>
          <w:szCs w:val="20"/>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3ADBC714" wp14:editId="42C44D52">
            <wp:extent cx="5760000" cy="2632187"/>
            <wp:effectExtent l="0" t="0" r="0" b="0"/>
            <wp:docPr id="64200610"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00610" name="Picture 1" descr="A graph of different colored bars&#10;&#10;AI-generated content may be incorrec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60000" cy="2632187"/>
                    </a:xfrm>
                    <a:prstGeom prst="rect">
                      <a:avLst/>
                    </a:prstGeom>
                    <a:noFill/>
                  </pic:spPr>
                </pic:pic>
              </a:graphicData>
            </a:graphic>
          </wp:inline>
        </w:drawing>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Yu Mincho" w:hAnsi="Times New Roman" w:cs="Times New Roman"/>
          <w:b/>
          <w:i/>
          <w:noProof/>
          <w:kern w:val="0"/>
          <w:sz w:val="20"/>
          <w:szCs w:val="20"/>
          <w14:ligatures w14:val="none"/>
        </w:rPr>
        <w:t>BE</w:t>
      </w:r>
      <w:r w:rsidRPr="00FB4E2D">
        <w:rPr>
          <w:rFonts w:ascii="Times New Roman" w:eastAsia="Yu Mincho" w:hAnsi="Times New Roman" w:cs="Times New Roman"/>
          <w:i/>
          <w:noProof/>
          <w:kern w:val="0"/>
          <w:sz w:val="20"/>
          <w:szCs w:val="20"/>
          <w14:ligatures w14:val="none"/>
        </w:rPr>
        <w:t xml:space="preserve">: The Minister for the Economy proposes and appoints. The minister appoints a selection committee for the members. The Minister for the Economy proposes the dismissal, the Head of State (King) dismisses. </w:t>
      </w:r>
      <w:r w:rsidRPr="00FB4E2D">
        <w:rPr>
          <w:rFonts w:ascii="Times New Roman" w:eastAsia="Yu Mincho" w:hAnsi="Times New Roman" w:cs="Times New Roman"/>
          <w:b/>
          <w:i/>
          <w:noProof/>
          <w:kern w:val="0"/>
          <w:sz w:val="20"/>
          <w:szCs w:val="20"/>
          <w14:ligatures w14:val="none"/>
        </w:rPr>
        <w:t>CZ</w:t>
      </w:r>
      <w:r w:rsidRPr="00FB4E2D">
        <w:rPr>
          <w:rFonts w:ascii="Times New Roman" w:eastAsia="Yu Mincho" w:hAnsi="Times New Roman" w:cs="Times New Roman"/>
          <w:i/>
          <w:noProof/>
          <w:kern w:val="0"/>
          <w:sz w:val="20"/>
          <w:szCs w:val="20"/>
          <w14:ligatures w14:val="none"/>
        </w:rPr>
        <w:t xml:space="preserve">: The Chart reflects the situation of the Chairperson of the Office. The Government proposes the </w:t>
      </w:r>
      <w:r w:rsidR="003233ED" w:rsidRPr="00FB4E2D">
        <w:rPr>
          <w:rFonts w:ascii="Times New Roman" w:eastAsia="Yu Mincho" w:hAnsi="Times New Roman" w:cs="Times New Roman"/>
          <w:i/>
          <w:noProof/>
          <w:kern w:val="0"/>
          <w:sz w:val="20"/>
          <w:szCs w:val="20"/>
          <w14:ligatures w14:val="none"/>
        </w:rPr>
        <w:t xml:space="preserve">chair </w:t>
      </w:r>
      <w:r w:rsidRPr="00FB4E2D">
        <w:rPr>
          <w:rFonts w:ascii="Times New Roman" w:eastAsia="Yu Mincho" w:hAnsi="Times New Roman" w:cs="Times New Roman"/>
          <w:i/>
          <w:noProof/>
          <w:kern w:val="0"/>
          <w:sz w:val="20"/>
          <w:szCs w:val="20"/>
          <w14:ligatures w14:val="none"/>
        </w:rPr>
        <w:t xml:space="preserve">of the </w:t>
      </w:r>
      <w:r w:rsidR="003233ED" w:rsidRPr="00FB4E2D">
        <w:rPr>
          <w:rFonts w:ascii="Times New Roman" w:eastAsia="Yu Mincho" w:hAnsi="Times New Roman" w:cs="Times New Roman"/>
          <w:i/>
          <w:noProof/>
          <w:kern w:val="0"/>
          <w:sz w:val="20"/>
          <w:szCs w:val="20"/>
          <w14:ligatures w14:val="none"/>
        </w:rPr>
        <w:t>o</w:t>
      </w:r>
      <w:r w:rsidRPr="00FB4E2D">
        <w:rPr>
          <w:rFonts w:ascii="Times New Roman" w:eastAsia="Yu Mincho" w:hAnsi="Times New Roman" w:cs="Times New Roman"/>
          <w:i/>
          <w:noProof/>
          <w:kern w:val="0"/>
          <w:sz w:val="20"/>
          <w:szCs w:val="20"/>
          <w14:ligatures w14:val="none"/>
        </w:rPr>
        <w:t>ffice, the President of the Republic appoints</w:t>
      </w:r>
      <w:r w:rsidR="003233ED" w:rsidRPr="00FB4E2D">
        <w:rPr>
          <w:rFonts w:ascii="Times New Roman" w:eastAsia="Yu Mincho" w:hAnsi="Times New Roman" w:cs="Times New Roman"/>
          <w:i/>
          <w:noProof/>
          <w:kern w:val="0"/>
          <w:sz w:val="20"/>
          <w:szCs w:val="20"/>
          <w14:ligatures w14:val="none"/>
        </w:rPr>
        <w:t xml:space="preserve"> them.</w:t>
      </w:r>
      <w:r w:rsidR="003D0E96" w:rsidRPr="00FB4E2D">
        <w:rPr>
          <w:rFonts w:ascii="Times New Roman" w:eastAsia="Yu Mincho" w:hAnsi="Times New Roman" w:cs="Times New Roman"/>
          <w:i/>
          <w:noProof/>
          <w:kern w:val="0"/>
          <w:sz w:val="20"/>
          <w:szCs w:val="20"/>
          <w14:ligatures w14:val="none"/>
        </w:rPr>
        <w:t xml:space="preserve"> </w:t>
      </w:r>
      <w:r w:rsidRPr="00FB4E2D">
        <w:rPr>
          <w:rFonts w:ascii="Times New Roman" w:eastAsia="Yu Mincho" w:hAnsi="Times New Roman" w:cs="Times New Roman"/>
          <w:i/>
          <w:noProof/>
          <w:kern w:val="0"/>
          <w:sz w:val="20"/>
          <w:szCs w:val="20"/>
          <w14:ligatures w14:val="none"/>
        </w:rPr>
        <w:t xml:space="preserve">The Government proposes the dismissal, the President of the Republic dismisses. The Chairperson of the Office </w:t>
      </w:r>
      <w:r w:rsidR="00AE0628" w:rsidRPr="00FB4E2D">
        <w:rPr>
          <w:rFonts w:ascii="Times New Roman" w:eastAsia="Yu Mincho" w:hAnsi="Times New Roman" w:cs="Times New Roman"/>
          <w:i/>
          <w:noProof/>
          <w:kern w:val="0"/>
          <w:sz w:val="20"/>
          <w:szCs w:val="20"/>
          <w14:ligatures w14:val="none"/>
        </w:rPr>
        <w:t>has three</w:t>
      </w:r>
      <w:r w:rsidRPr="00FB4E2D">
        <w:rPr>
          <w:rFonts w:ascii="Times New Roman" w:eastAsia="Yu Mincho" w:hAnsi="Times New Roman" w:cs="Times New Roman"/>
          <w:i/>
          <w:noProof/>
          <w:kern w:val="0"/>
          <w:sz w:val="20"/>
          <w:szCs w:val="20"/>
          <w14:ligatures w14:val="none"/>
        </w:rPr>
        <w:t xml:space="preserve"> Vice-Chairpersons, </w:t>
      </w:r>
      <w:r w:rsidR="00A21D73" w:rsidRPr="00FB4E2D">
        <w:rPr>
          <w:rFonts w:ascii="Times New Roman" w:eastAsia="Yu Mincho" w:hAnsi="Times New Roman" w:cs="Times New Roman"/>
          <w:i/>
          <w:noProof/>
          <w:kern w:val="0"/>
          <w:sz w:val="20"/>
          <w:szCs w:val="20"/>
          <w14:ligatures w14:val="none"/>
        </w:rPr>
        <w:t>who</w:t>
      </w:r>
      <w:r w:rsidRPr="00FB4E2D">
        <w:rPr>
          <w:rFonts w:ascii="Times New Roman" w:eastAsia="Yu Mincho" w:hAnsi="Times New Roman" w:cs="Times New Roman"/>
          <w:i/>
          <w:noProof/>
          <w:kern w:val="0"/>
          <w:sz w:val="20"/>
          <w:szCs w:val="20"/>
          <w14:ligatures w14:val="none"/>
        </w:rPr>
        <w:t xml:space="preserve"> are appointed and dismissed by the Chairperson on </w:t>
      </w:r>
      <w:r w:rsidR="004C75AC" w:rsidRPr="00FB4E2D">
        <w:rPr>
          <w:rFonts w:ascii="Times New Roman" w:eastAsia="Yu Mincho" w:hAnsi="Times New Roman" w:cs="Times New Roman"/>
          <w:i/>
          <w:noProof/>
          <w:kern w:val="0"/>
          <w:sz w:val="20"/>
          <w:szCs w:val="20"/>
          <w14:ligatures w14:val="none"/>
        </w:rPr>
        <w:t xml:space="preserve">their </w:t>
      </w:r>
      <w:r w:rsidRPr="00FB4E2D">
        <w:rPr>
          <w:rFonts w:ascii="Times New Roman" w:eastAsia="Yu Mincho" w:hAnsi="Times New Roman" w:cs="Times New Roman"/>
          <w:i/>
          <w:noProof/>
          <w:kern w:val="0"/>
          <w:sz w:val="20"/>
          <w:szCs w:val="20"/>
          <w14:ligatures w14:val="none"/>
        </w:rPr>
        <w:t xml:space="preserve">own </w:t>
      </w:r>
      <w:r w:rsidR="004C75AC" w:rsidRPr="00FB4E2D">
        <w:rPr>
          <w:rFonts w:ascii="Times New Roman" w:eastAsia="Yu Mincho" w:hAnsi="Times New Roman" w:cs="Times New Roman"/>
          <w:i/>
          <w:noProof/>
          <w:kern w:val="0"/>
          <w:sz w:val="20"/>
          <w:szCs w:val="20"/>
          <w14:ligatures w14:val="none"/>
        </w:rPr>
        <w:t>initiative</w:t>
      </w:r>
      <w:r w:rsidRPr="00FB4E2D">
        <w:rPr>
          <w:rFonts w:ascii="Times New Roman" w:eastAsia="Yu Mincho" w:hAnsi="Times New Roman" w:cs="Times New Roman"/>
          <w:i/>
          <w:noProof/>
          <w:kern w:val="0"/>
          <w:sz w:val="20"/>
          <w:szCs w:val="20"/>
          <w14:ligatures w14:val="none"/>
        </w:rPr>
        <w:t xml:space="preserve">. </w:t>
      </w:r>
      <w:r w:rsidRPr="00FB4E2D">
        <w:rPr>
          <w:rFonts w:ascii="Times New Roman" w:eastAsia="Yu Mincho" w:hAnsi="Times New Roman" w:cs="Times New Roman"/>
          <w:b/>
          <w:i/>
          <w:noProof/>
          <w:kern w:val="0"/>
          <w:sz w:val="20"/>
          <w:szCs w:val="20"/>
          <w14:ligatures w14:val="none"/>
        </w:rPr>
        <w:t>DK</w:t>
      </w:r>
      <w:r w:rsidRPr="00FB4E2D">
        <w:rPr>
          <w:rFonts w:ascii="Times New Roman" w:eastAsia="Yu Mincho" w:hAnsi="Times New Roman" w:cs="Times New Roman"/>
          <w:i/>
          <w:noProof/>
          <w:kern w:val="0"/>
          <w:sz w:val="20"/>
          <w:szCs w:val="20"/>
          <w14:ligatures w14:val="none"/>
        </w:rPr>
        <w:t>: The Ministry of Industry, Business and Financial Affairs proposes, the Government appoints. There is no authority</w:t>
      </w:r>
      <w:r w:rsidR="00CD6183" w:rsidRPr="00FB4E2D">
        <w:rPr>
          <w:rFonts w:ascii="Times New Roman" w:eastAsia="Yu Mincho" w:hAnsi="Times New Roman" w:cs="Times New Roman"/>
          <w:i/>
          <w:noProof/>
          <w:kern w:val="0"/>
          <w:sz w:val="20"/>
          <w:szCs w:val="20"/>
          <w14:ligatures w14:val="none"/>
        </w:rPr>
        <w:t xml:space="preserve"> that </w:t>
      </w:r>
      <w:r w:rsidRPr="00FB4E2D">
        <w:rPr>
          <w:rFonts w:ascii="Times New Roman" w:eastAsia="Yu Mincho" w:hAnsi="Times New Roman" w:cs="Times New Roman"/>
          <w:i/>
          <w:noProof/>
          <w:kern w:val="0"/>
          <w:sz w:val="20"/>
          <w:szCs w:val="20"/>
          <w14:ligatures w14:val="none"/>
        </w:rPr>
        <w:t xml:space="preserve">proposes a dismissal. The Government dismisses. </w:t>
      </w:r>
      <w:r w:rsidRPr="00FB4E2D">
        <w:rPr>
          <w:rFonts w:ascii="Times New Roman" w:eastAsia="Yu Mincho" w:hAnsi="Times New Roman" w:cs="Times New Roman"/>
          <w:b/>
          <w:i/>
          <w:noProof/>
          <w:kern w:val="0"/>
          <w:sz w:val="20"/>
          <w:szCs w:val="20"/>
          <w14:ligatures w14:val="none"/>
        </w:rPr>
        <w:t>DE</w:t>
      </w:r>
      <w:r w:rsidRPr="00FB4E2D">
        <w:rPr>
          <w:rFonts w:ascii="Times New Roman" w:eastAsia="Yu Mincho" w:hAnsi="Times New Roman" w:cs="Times New Roman"/>
          <w:i/>
          <w:noProof/>
          <w:kern w:val="0"/>
          <w:sz w:val="20"/>
          <w:szCs w:val="20"/>
          <w14:ligatures w14:val="none"/>
        </w:rPr>
        <w:t xml:space="preserve">: The decision-making bodies of the Bundeskartellamt are the decision divisions. The decisions of the decision divisions are taken by the division members (the Chairperson and two associate members). They are civil servants appointed for life and must be qualified to serve as judges or senior civil servants. It is the Authority that proposes case handlers to become a division member, they are appointed by Federal Ministry </w:t>
      </w:r>
      <w:r w:rsidR="00BD5BB3" w:rsidRPr="00FB4E2D">
        <w:rPr>
          <w:rFonts w:ascii="Times New Roman" w:eastAsia="Yu Mincho" w:hAnsi="Times New Roman" w:cs="Times New Roman"/>
          <w:i/>
          <w:noProof/>
          <w:kern w:val="0"/>
          <w:sz w:val="20"/>
          <w:szCs w:val="20"/>
          <w14:ligatures w14:val="none"/>
        </w:rPr>
        <w:t xml:space="preserve">of </w:t>
      </w:r>
      <w:r w:rsidRPr="00FB4E2D">
        <w:rPr>
          <w:rFonts w:ascii="Times New Roman" w:eastAsia="Yu Mincho" w:hAnsi="Times New Roman" w:cs="Times New Roman"/>
          <w:i/>
          <w:noProof/>
          <w:kern w:val="0"/>
          <w:sz w:val="20"/>
          <w:szCs w:val="20"/>
          <w14:ligatures w14:val="none"/>
        </w:rPr>
        <w:t xml:space="preserve">Economic Affairs and Energy. There is no explicit provision for a member of a decision division to be removed from its function. A dismissal, ordered by the Federal Ministry </w:t>
      </w:r>
      <w:r w:rsidR="00BD5BB3" w:rsidRPr="00FB4E2D">
        <w:rPr>
          <w:rFonts w:ascii="Times New Roman" w:eastAsia="Yu Mincho" w:hAnsi="Times New Roman" w:cs="Times New Roman"/>
          <w:i/>
          <w:noProof/>
          <w:kern w:val="0"/>
          <w:sz w:val="20"/>
          <w:szCs w:val="20"/>
          <w14:ligatures w14:val="none"/>
        </w:rPr>
        <w:t>of</w:t>
      </w:r>
      <w:r w:rsidRPr="00FB4E2D">
        <w:rPr>
          <w:rFonts w:ascii="Times New Roman" w:eastAsia="Yu Mincho" w:hAnsi="Times New Roman" w:cs="Times New Roman"/>
          <w:i/>
          <w:noProof/>
          <w:kern w:val="0"/>
          <w:sz w:val="20"/>
          <w:szCs w:val="20"/>
          <w14:ligatures w14:val="none"/>
        </w:rPr>
        <w:t xml:space="preserve"> Economic Affairs and Energy, is only possible under general civil service regulations. The Authority may transfer division members from the division to any other department within the Authority.</w:t>
      </w:r>
      <w:r w:rsidRPr="00FB4E2D">
        <w:rPr>
          <w:rFonts w:ascii="Times New Roman" w:eastAsia="Yu Mincho" w:hAnsi="Times New Roman" w:cs="Times New Roman"/>
          <w:b/>
          <w:i/>
          <w:noProof/>
          <w:kern w:val="0"/>
          <w:sz w:val="20"/>
          <w:szCs w:val="20"/>
          <w14:ligatures w14:val="none"/>
        </w:rPr>
        <w:t xml:space="preserve"> IE</w:t>
      </w:r>
      <w:r w:rsidRPr="00FB4E2D">
        <w:rPr>
          <w:rFonts w:ascii="Times New Roman" w:eastAsia="Yu Mincho" w:hAnsi="Times New Roman" w:cs="Times New Roman"/>
          <w:i/>
          <w:noProof/>
          <w:kern w:val="0"/>
          <w:sz w:val="20"/>
          <w:szCs w:val="20"/>
          <w14:ligatures w14:val="none"/>
        </w:rPr>
        <w:t xml:space="preserve">: The Public Appointments Service proposes, the Minister for Enterprise, Trade and Employment appoints the chairperson and the two to four commissioners. The Minister for Enterprise, Trade and Employment dismisses the chairperson and the two to four commissioners. </w:t>
      </w:r>
      <w:r w:rsidRPr="00FB4E2D">
        <w:rPr>
          <w:rFonts w:ascii="Times New Roman" w:eastAsia="Times New Roman" w:hAnsi="Times New Roman" w:cs="Times New Roman"/>
          <w:b/>
          <w:i/>
          <w:noProof/>
          <w:color w:val="000000"/>
          <w:kern w:val="0"/>
          <w:sz w:val="20"/>
          <w:szCs w:val="20"/>
          <w:lang w:eastAsia="de-DE"/>
          <w14:ligatures w14:val="none"/>
        </w:rPr>
        <w:t xml:space="preserve">EE: </w:t>
      </w:r>
      <w:r w:rsidRPr="00FB4E2D">
        <w:rPr>
          <w:rFonts w:ascii="Times New Roman" w:eastAsia="Times New Roman" w:hAnsi="Times New Roman" w:cs="Times New Roman"/>
          <w:i/>
          <w:noProof/>
          <w:color w:val="000000"/>
          <w:kern w:val="0"/>
          <w:sz w:val="20"/>
          <w:szCs w:val="20"/>
          <w:lang w:eastAsia="de-DE"/>
          <w14:ligatures w14:val="none"/>
        </w:rPr>
        <w:t>The Director General of the Estonian Competition Authority is appointed to and released from office by the Minister of Justice on the proposal of the Secretary General of the Ministry of Justice.</w:t>
      </w:r>
      <w:r w:rsidRPr="00FB4E2D">
        <w:rPr>
          <w:rFonts w:ascii="Times New Roman" w:eastAsia="Times New Roman" w:hAnsi="Times New Roman" w:cs="Times New Roman"/>
          <w:noProof/>
          <w:color w:val="000000"/>
          <w:kern w:val="0"/>
          <w:sz w:val="20"/>
          <w:szCs w:val="20"/>
          <w:lang w:eastAsia="de-DE"/>
          <w14:ligatures w14:val="none"/>
        </w:rPr>
        <w:t xml:space="preserve"> </w:t>
      </w:r>
      <w:r w:rsidRPr="00FB4E2D">
        <w:rPr>
          <w:rFonts w:ascii="Times New Roman" w:eastAsia="Yu Mincho" w:hAnsi="Times New Roman" w:cs="Times New Roman"/>
          <w:b/>
          <w:i/>
          <w:noProof/>
          <w:kern w:val="0"/>
          <w:sz w:val="20"/>
          <w:szCs w:val="20"/>
          <w14:ligatures w14:val="none"/>
        </w:rPr>
        <w:t>EL</w:t>
      </w:r>
      <w:r w:rsidRPr="00FB4E2D">
        <w:rPr>
          <w:rFonts w:ascii="Times New Roman" w:eastAsia="Yu Mincho" w:hAnsi="Times New Roman" w:cs="Times New Roman"/>
          <w:i/>
          <w:noProof/>
          <w:kern w:val="0"/>
          <w:sz w:val="20"/>
          <w:szCs w:val="20"/>
          <w14:ligatures w14:val="none"/>
        </w:rPr>
        <w:t xml:space="preserve">: The Board of the Hellenic Competition Commission, the decision-making body of the Authority, consists of </w:t>
      </w:r>
      <w:r w:rsidR="001826E4" w:rsidRPr="00FB4E2D">
        <w:rPr>
          <w:rFonts w:ascii="Times New Roman" w:eastAsia="Yu Mincho" w:hAnsi="Times New Roman" w:cs="Times New Roman"/>
          <w:i/>
          <w:noProof/>
          <w:kern w:val="0"/>
          <w:sz w:val="20"/>
          <w:szCs w:val="20"/>
          <w14:ligatures w14:val="none"/>
        </w:rPr>
        <w:t>10</w:t>
      </w:r>
      <w:r w:rsidRPr="00FB4E2D">
        <w:rPr>
          <w:rFonts w:ascii="Times New Roman" w:eastAsia="Yu Mincho" w:hAnsi="Times New Roman" w:cs="Times New Roman"/>
          <w:i/>
          <w:noProof/>
          <w:kern w:val="0"/>
          <w:sz w:val="20"/>
          <w:szCs w:val="20"/>
          <w14:ligatures w14:val="none"/>
        </w:rPr>
        <w:t xml:space="preserve"> members, including a </w:t>
      </w:r>
      <w:r w:rsidR="001826E4" w:rsidRPr="00FB4E2D">
        <w:rPr>
          <w:rFonts w:ascii="Times New Roman" w:eastAsia="Yu Mincho" w:hAnsi="Times New Roman" w:cs="Times New Roman"/>
          <w:i/>
          <w:noProof/>
          <w:kern w:val="0"/>
          <w:sz w:val="20"/>
          <w:szCs w:val="20"/>
          <w14:ligatures w14:val="none"/>
        </w:rPr>
        <w:t>president</w:t>
      </w:r>
      <w:r w:rsidRPr="00FB4E2D">
        <w:rPr>
          <w:rFonts w:ascii="Times New Roman" w:eastAsia="Yu Mincho" w:hAnsi="Times New Roman" w:cs="Times New Roman"/>
          <w:i/>
          <w:noProof/>
          <w:kern w:val="0"/>
          <w:sz w:val="20"/>
          <w:szCs w:val="20"/>
          <w14:ligatures w14:val="none"/>
        </w:rPr>
        <w:t xml:space="preserve">, a </w:t>
      </w:r>
      <w:r w:rsidR="001826E4" w:rsidRPr="00FB4E2D">
        <w:rPr>
          <w:rFonts w:ascii="Times New Roman" w:eastAsia="Yu Mincho" w:hAnsi="Times New Roman" w:cs="Times New Roman"/>
          <w:i/>
          <w:noProof/>
          <w:kern w:val="0"/>
          <w:sz w:val="20"/>
          <w:szCs w:val="20"/>
          <w14:ligatures w14:val="none"/>
        </w:rPr>
        <w:t>vice-president</w:t>
      </w:r>
      <w:r w:rsidRPr="00FB4E2D">
        <w:rPr>
          <w:rFonts w:ascii="Times New Roman" w:eastAsia="Yu Mincho" w:hAnsi="Times New Roman" w:cs="Times New Roman"/>
          <w:i/>
          <w:noProof/>
          <w:kern w:val="0"/>
          <w:sz w:val="20"/>
          <w:szCs w:val="20"/>
          <w14:ligatures w14:val="none"/>
        </w:rPr>
        <w:t xml:space="preserve">, six </w:t>
      </w:r>
      <w:r w:rsidR="001826E4" w:rsidRPr="00FB4E2D">
        <w:rPr>
          <w:rFonts w:ascii="Times New Roman" w:eastAsia="Yu Mincho" w:hAnsi="Times New Roman" w:cs="Times New Roman"/>
          <w:i/>
          <w:noProof/>
          <w:kern w:val="0"/>
          <w:sz w:val="20"/>
          <w:szCs w:val="20"/>
          <w14:ligatures w14:val="none"/>
        </w:rPr>
        <w:t>rapporteurs</w:t>
      </w:r>
      <w:r w:rsidRPr="00FB4E2D">
        <w:rPr>
          <w:rFonts w:ascii="Times New Roman" w:eastAsia="Yu Mincho" w:hAnsi="Times New Roman" w:cs="Times New Roman"/>
          <w:i/>
          <w:noProof/>
          <w:kern w:val="0"/>
          <w:sz w:val="20"/>
          <w:szCs w:val="20"/>
          <w14:ligatures w14:val="none"/>
        </w:rPr>
        <w:t xml:space="preserve"> and two regular members, with their alternates. The </w:t>
      </w:r>
      <w:r w:rsidR="001826E4" w:rsidRPr="00FB4E2D">
        <w:rPr>
          <w:rFonts w:ascii="Times New Roman" w:eastAsia="Yu Mincho" w:hAnsi="Times New Roman" w:cs="Times New Roman"/>
          <w:i/>
          <w:noProof/>
          <w:kern w:val="0"/>
          <w:sz w:val="20"/>
          <w:szCs w:val="20"/>
          <w14:ligatures w14:val="none"/>
        </w:rPr>
        <w:t>president</w:t>
      </w:r>
      <w:r w:rsidRPr="00FB4E2D">
        <w:rPr>
          <w:rFonts w:ascii="Times New Roman" w:eastAsia="Yu Mincho" w:hAnsi="Times New Roman" w:cs="Times New Roman"/>
          <w:i/>
          <w:noProof/>
          <w:kern w:val="0"/>
          <w:sz w:val="20"/>
          <w:szCs w:val="20"/>
          <w14:ligatures w14:val="none"/>
        </w:rPr>
        <w:t xml:space="preserve"> and the </w:t>
      </w:r>
      <w:r w:rsidR="001826E4" w:rsidRPr="00FB4E2D">
        <w:rPr>
          <w:rFonts w:ascii="Times New Roman" w:eastAsia="Yu Mincho" w:hAnsi="Times New Roman" w:cs="Times New Roman"/>
          <w:i/>
          <w:noProof/>
          <w:kern w:val="0"/>
          <w:sz w:val="20"/>
          <w:szCs w:val="20"/>
          <w14:ligatures w14:val="none"/>
        </w:rPr>
        <w:t>vice-president</w:t>
      </w:r>
      <w:r w:rsidRPr="00FB4E2D">
        <w:rPr>
          <w:rFonts w:ascii="Times New Roman" w:eastAsia="Yu Mincho" w:hAnsi="Times New Roman" w:cs="Times New Roman"/>
          <w:i/>
          <w:noProof/>
          <w:kern w:val="0"/>
          <w:sz w:val="20"/>
          <w:szCs w:val="20"/>
          <w14:ligatures w14:val="none"/>
        </w:rPr>
        <w:t xml:space="preserve"> of the Commission are selected, following a proposal of the Minister of Development, by a decision of the Council of Ministers, issued following the consent of the parliamentary </w:t>
      </w:r>
      <w:r w:rsidR="001826E4" w:rsidRPr="00FB4E2D">
        <w:rPr>
          <w:rFonts w:ascii="Times New Roman" w:eastAsia="Yu Mincho" w:hAnsi="Times New Roman" w:cs="Times New Roman"/>
          <w:i/>
          <w:noProof/>
          <w:kern w:val="0"/>
          <w:sz w:val="20"/>
          <w:szCs w:val="20"/>
          <w14:ligatures w14:val="none"/>
        </w:rPr>
        <w:t>committee</w:t>
      </w:r>
      <w:r w:rsidRPr="00FB4E2D">
        <w:rPr>
          <w:rFonts w:ascii="Times New Roman" w:eastAsia="Yu Mincho" w:hAnsi="Times New Roman" w:cs="Times New Roman"/>
          <w:i/>
          <w:noProof/>
          <w:kern w:val="0"/>
          <w:sz w:val="20"/>
          <w:szCs w:val="20"/>
          <w14:ligatures w14:val="none"/>
        </w:rPr>
        <w:t xml:space="preserve"> on </w:t>
      </w:r>
      <w:r w:rsidR="001826E4" w:rsidRPr="00FB4E2D">
        <w:rPr>
          <w:rFonts w:ascii="Times New Roman" w:eastAsia="Yu Mincho" w:hAnsi="Times New Roman" w:cs="Times New Roman"/>
          <w:i/>
          <w:noProof/>
          <w:kern w:val="0"/>
          <w:sz w:val="20"/>
          <w:szCs w:val="20"/>
          <w14:ligatures w14:val="none"/>
        </w:rPr>
        <w:t>institutions</w:t>
      </w:r>
      <w:r w:rsidRPr="00FB4E2D">
        <w:rPr>
          <w:rFonts w:ascii="Times New Roman" w:eastAsia="Yu Mincho" w:hAnsi="Times New Roman" w:cs="Times New Roman"/>
          <w:i/>
          <w:noProof/>
          <w:kern w:val="0"/>
          <w:sz w:val="20"/>
          <w:szCs w:val="20"/>
          <w14:ligatures w14:val="none"/>
        </w:rPr>
        <w:t xml:space="preserve"> and </w:t>
      </w:r>
      <w:r w:rsidR="001826E4" w:rsidRPr="00FB4E2D">
        <w:rPr>
          <w:rFonts w:ascii="Times New Roman" w:eastAsia="Yu Mincho" w:hAnsi="Times New Roman" w:cs="Times New Roman"/>
          <w:i/>
          <w:noProof/>
          <w:kern w:val="0"/>
          <w:sz w:val="20"/>
          <w:szCs w:val="20"/>
          <w14:ligatures w14:val="none"/>
        </w:rPr>
        <w:t>transparency.</w:t>
      </w:r>
      <w:r w:rsidRPr="00FB4E2D">
        <w:rPr>
          <w:rFonts w:ascii="Times New Roman" w:eastAsia="Yu Mincho" w:hAnsi="Times New Roman" w:cs="Times New Roman"/>
          <w:i/>
          <w:noProof/>
          <w:kern w:val="0"/>
          <w:sz w:val="20"/>
          <w:szCs w:val="20"/>
          <w14:ligatures w14:val="none"/>
        </w:rPr>
        <w:t xml:space="preserve"> The selection of the </w:t>
      </w:r>
      <w:r w:rsidR="001826E4" w:rsidRPr="00FB4E2D">
        <w:rPr>
          <w:rFonts w:ascii="Times New Roman" w:eastAsia="Yu Mincho" w:hAnsi="Times New Roman" w:cs="Times New Roman"/>
          <w:i/>
          <w:noProof/>
          <w:kern w:val="0"/>
          <w:sz w:val="20"/>
          <w:szCs w:val="20"/>
          <w14:ligatures w14:val="none"/>
        </w:rPr>
        <w:t>r</w:t>
      </w:r>
      <w:r w:rsidRPr="00FB4E2D">
        <w:rPr>
          <w:rFonts w:ascii="Times New Roman" w:eastAsia="Yu Mincho" w:hAnsi="Times New Roman" w:cs="Times New Roman"/>
          <w:i/>
          <w:noProof/>
          <w:kern w:val="0"/>
          <w:sz w:val="20"/>
          <w:szCs w:val="20"/>
          <w14:ligatures w14:val="none"/>
        </w:rPr>
        <w:t xml:space="preserve">apporteurs and the two regular and alternate members of the Commission is made by the Minister of Development, following the consent of the parliamentary </w:t>
      </w:r>
      <w:r w:rsidR="001826E4" w:rsidRPr="00FB4E2D">
        <w:rPr>
          <w:rFonts w:ascii="Times New Roman" w:eastAsia="Yu Mincho" w:hAnsi="Times New Roman" w:cs="Times New Roman"/>
          <w:i/>
          <w:noProof/>
          <w:kern w:val="0"/>
          <w:sz w:val="20"/>
          <w:szCs w:val="20"/>
          <w14:ligatures w14:val="none"/>
        </w:rPr>
        <w:t>c</w:t>
      </w:r>
      <w:r w:rsidRPr="00FB4E2D">
        <w:rPr>
          <w:rFonts w:ascii="Times New Roman" w:eastAsia="Yu Mincho" w:hAnsi="Times New Roman" w:cs="Times New Roman"/>
          <w:i/>
          <w:noProof/>
          <w:kern w:val="0"/>
          <w:sz w:val="20"/>
          <w:szCs w:val="20"/>
          <w14:ligatures w14:val="none"/>
        </w:rPr>
        <w:t xml:space="preserve">ommittee on </w:t>
      </w:r>
      <w:r w:rsidR="001826E4" w:rsidRPr="00FB4E2D">
        <w:rPr>
          <w:rFonts w:ascii="Times New Roman" w:eastAsia="Yu Mincho" w:hAnsi="Times New Roman" w:cs="Times New Roman"/>
          <w:i/>
          <w:noProof/>
          <w:kern w:val="0"/>
          <w:sz w:val="20"/>
          <w:szCs w:val="20"/>
          <w14:ligatures w14:val="none"/>
        </w:rPr>
        <w:t>i</w:t>
      </w:r>
      <w:r w:rsidRPr="00FB4E2D">
        <w:rPr>
          <w:rFonts w:ascii="Times New Roman" w:eastAsia="Yu Mincho" w:hAnsi="Times New Roman" w:cs="Times New Roman"/>
          <w:i/>
          <w:noProof/>
          <w:kern w:val="0"/>
          <w:sz w:val="20"/>
          <w:szCs w:val="20"/>
          <w14:ligatures w14:val="none"/>
        </w:rPr>
        <w:t xml:space="preserve">nstitutions and </w:t>
      </w:r>
      <w:r w:rsidR="001826E4" w:rsidRPr="00FB4E2D">
        <w:rPr>
          <w:rFonts w:ascii="Times New Roman" w:eastAsia="Yu Mincho" w:hAnsi="Times New Roman" w:cs="Times New Roman"/>
          <w:i/>
          <w:noProof/>
          <w:kern w:val="0"/>
          <w:sz w:val="20"/>
          <w:szCs w:val="20"/>
          <w14:ligatures w14:val="none"/>
        </w:rPr>
        <w:t>t</w:t>
      </w:r>
      <w:r w:rsidRPr="00FB4E2D">
        <w:rPr>
          <w:rFonts w:ascii="Times New Roman" w:eastAsia="Yu Mincho" w:hAnsi="Times New Roman" w:cs="Times New Roman"/>
          <w:i/>
          <w:noProof/>
          <w:kern w:val="0"/>
          <w:sz w:val="20"/>
          <w:szCs w:val="20"/>
          <w14:ligatures w14:val="none"/>
        </w:rPr>
        <w:t xml:space="preserve">ransparency, on the basis of a list of candidates, drawn up by </w:t>
      </w:r>
      <w:r w:rsidR="001826E4" w:rsidRPr="00FB4E2D">
        <w:rPr>
          <w:rFonts w:ascii="Times New Roman" w:eastAsia="Yu Mincho" w:hAnsi="Times New Roman" w:cs="Times New Roman"/>
          <w:i/>
          <w:noProof/>
          <w:kern w:val="0"/>
          <w:sz w:val="20"/>
          <w:szCs w:val="20"/>
          <w14:ligatures w14:val="none"/>
        </w:rPr>
        <w:t>a selection committee</w:t>
      </w:r>
      <w:r w:rsidRPr="00FB4E2D">
        <w:rPr>
          <w:rFonts w:ascii="Times New Roman" w:eastAsia="Yu Mincho" w:hAnsi="Times New Roman" w:cs="Times New Roman"/>
          <w:i/>
          <w:noProof/>
          <w:kern w:val="0"/>
          <w:sz w:val="20"/>
          <w:szCs w:val="20"/>
          <w14:ligatures w14:val="none"/>
        </w:rPr>
        <w:t xml:space="preserve">, following an open competition. The regular and alternate members of the Competition Commission, as well as the </w:t>
      </w:r>
      <w:r w:rsidR="001826E4" w:rsidRPr="00FB4E2D">
        <w:rPr>
          <w:rFonts w:ascii="Times New Roman" w:eastAsia="Yu Mincho" w:hAnsi="Times New Roman" w:cs="Times New Roman"/>
          <w:i/>
          <w:noProof/>
          <w:kern w:val="0"/>
          <w:sz w:val="20"/>
          <w:szCs w:val="20"/>
          <w14:ligatures w14:val="none"/>
        </w:rPr>
        <w:t>r</w:t>
      </w:r>
      <w:r w:rsidRPr="00FB4E2D">
        <w:rPr>
          <w:rFonts w:ascii="Times New Roman" w:eastAsia="Yu Mincho" w:hAnsi="Times New Roman" w:cs="Times New Roman"/>
          <w:i/>
          <w:noProof/>
          <w:kern w:val="0"/>
          <w:sz w:val="20"/>
          <w:szCs w:val="20"/>
          <w14:ligatures w14:val="none"/>
        </w:rPr>
        <w:t xml:space="preserve">apporteurs are appointed by decision of the Minister </w:t>
      </w:r>
      <w:r w:rsidR="001826E4" w:rsidRPr="00FB4E2D">
        <w:rPr>
          <w:rFonts w:ascii="Times New Roman" w:eastAsia="Yu Mincho" w:hAnsi="Times New Roman" w:cs="Times New Roman"/>
          <w:i/>
          <w:noProof/>
          <w:kern w:val="0"/>
          <w:sz w:val="20"/>
          <w:szCs w:val="20"/>
          <w14:ligatures w14:val="none"/>
        </w:rPr>
        <w:t xml:space="preserve">for </w:t>
      </w:r>
      <w:r w:rsidRPr="00FB4E2D">
        <w:rPr>
          <w:rFonts w:ascii="Times New Roman" w:eastAsia="Yu Mincho" w:hAnsi="Times New Roman" w:cs="Times New Roman"/>
          <w:i/>
          <w:noProof/>
          <w:kern w:val="0"/>
          <w:sz w:val="20"/>
          <w:szCs w:val="20"/>
          <w14:ligatures w14:val="none"/>
        </w:rPr>
        <w:t xml:space="preserve">Development and Investments. The five-member </w:t>
      </w:r>
      <w:r w:rsidR="001826E4" w:rsidRPr="00FB4E2D">
        <w:rPr>
          <w:rFonts w:ascii="Times New Roman" w:eastAsia="Yu Mincho" w:hAnsi="Times New Roman" w:cs="Times New Roman"/>
          <w:i/>
          <w:noProof/>
          <w:kern w:val="0"/>
          <w:sz w:val="20"/>
          <w:szCs w:val="20"/>
          <w14:ligatures w14:val="none"/>
        </w:rPr>
        <w:t>selection committee</w:t>
      </w:r>
      <w:r w:rsidRPr="00FB4E2D">
        <w:rPr>
          <w:rFonts w:ascii="Times New Roman" w:eastAsia="Yu Mincho" w:hAnsi="Times New Roman" w:cs="Times New Roman"/>
          <w:i/>
          <w:noProof/>
          <w:kern w:val="0"/>
          <w:sz w:val="20"/>
          <w:szCs w:val="20"/>
          <w14:ligatures w14:val="none"/>
        </w:rPr>
        <w:t xml:space="preserve"> consists of: </w:t>
      </w:r>
      <w:r w:rsidR="001826E4" w:rsidRPr="00FB4E2D">
        <w:rPr>
          <w:rFonts w:ascii="Times New Roman" w:eastAsia="Yu Mincho" w:hAnsi="Times New Roman" w:cs="Times New Roman"/>
          <w:i/>
          <w:noProof/>
          <w:kern w:val="0"/>
          <w:sz w:val="20"/>
          <w:szCs w:val="20"/>
          <w14:ligatures w14:val="none"/>
        </w:rPr>
        <w:t>(i</w:t>
      </w:r>
      <w:r w:rsidRPr="00FB4E2D">
        <w:rPr>
          <w:rFonts w:ascii="Times New Roman" w:eastAsia="Yu Mincho" w:hAnsi="Times New Roman" w:cs="Times New Roman"/>
          <w:i/>
          <w:noProof/>
          <w:kern w:val="0"/>
          <w:sz w:val="20"/>
          <w:szCs w:val="20"/>
          <w14:ligatures w14:val="none"/>
        </w:rPr>
        <w:t xml:space="preserve">) the President or Vice-President of the Council of State or the </w:t>
      </w:r>
      <w:r w:rsidR="001826E4" w:rsidRPr="00FB4E2D">
        <w:rPr>
          <w:rFonts w:ascii="Times New Roman" w:eastAsia="Yu Mincho" w:hAnsi="Times New Roman" w:cs="Times New Roman"/>
          <w:i/>
          <w:noProof/>
          <w:kern w:val="0"/>
          <w:sz w:val="20"/>
          <w:szCs w:val="20"/>
          <w14:ligatures w14:val="none"/>
        </w:rPr>
        <w:t>president</w:t>
      </w:r>
      <w:r w:rsidRPr="00FB4E2D">
        <w:rPr>
          <w:rFonts w:ascii="Times New Roman" w:eastAsia="Yu Mincho" w:hAnsi="Times New Roman" w:cs="Times New Roman"/>
          <w:i/>
          <w:noProof/>
          <w:kern w:val="0"/>
          <w:sz w:val="20"/>
          <w:szCs w:val="20"/>
          <w14:ligatures w14:val="none"/>
        </w:rPr>
        <w:t xml:space="preserve"> or </w:t>
      </w:r>
      <w:r w:rsidR="001826E4" w:rsidRPr="00FB4E2D">
        <w:rPr>
          <w:rFonts w:ascii="Times New Roman" w:eastAsia="Yu Mincho" w:hAnsi="Times New Roman" w:cs="Times New Roman"/>
          <w:i/>
          <w:noProof/>
          <w:kern w:val="0"/>
          <w:sz w:val="20"/>
          <w:szCs w:val="20"/>
          <w14:ligatures w14:val="none"/>
        </w:rPr>
        <w:t>vice-president</w:t>
      </w:r>
      <w:r w:rsidRPr="00FB4E2D">
        <w:rPr>
          <w:rFonts w:ascii="Times New Roman" w:eastAsia="Yu Mincho" w:hAnsi="Times New Roman" w:cs="Times New Roman"/>
          <w:i/>
          <w:noProof/>
          <w:kern w:val="0"/>
          <w:sz w:val="20"/>
          <w:szCs w:val="20"/>
          <w14:ligatures w14:val="none"/>
        </w:rPr>
        <w:t xml:space="preserve"> of the State Legal Counsel, as </w:t>
      </w:r>
      <w:r w:rsidR="001826E4" w:rsidRPr="00FB4E2D">
        <w:rPr>
          <w:rFonts w:ascii="Times New Roman" w:eastAsia="Yu Mincho" w:hAnsi="Times New Roman" w:cs="Times New Roman"/>
          <w:i/>
          <w:noProof/>
          <w:kern w:val="0"/>
          <w:sz w:val="20"/>
          <w:szCs w:val="20"/>
          <w14:ligatures w14:val="none"/>
        </w:rPr>
        <w:t>chair, (ii) the president</w:t>
      </w:r>
      <w:r w:rsidRPr="00FB4E2D">
        <w:rPr>
          <w:rFonts w:ascii="Times New Roman" w:eastAsia="Yu Mincho" w:hAnsi="Times New Roman" w:cs="Times New Roman"/>
          <w:i/>
          <w:noProof/>
          <w:kern w:val="0"/>
          <w:sz w:val="20"/>
          <w:szCs w:val="20"/>
          <w14:ligatures w14:val="none"/>
        </w:rPr>
        <w:t xml:space="preserve"> or </w:t>
      </w:r>
      <w:r w:rsidR="001826E4" w:rsidRPr="00FB4E2D">
        <w:rPr>
          <w:rFonts w:ascii="Times New Roman" w:eastAsia="Yu Mincho" w:hAnsi="Times New Roman" w:cs="Times New Roman"/>
          <w:i/>
          <w:noProof/>
          <w:kern w:val="0"/>
          <w:sz w:val="20"/>
          <w:szCs w:val="20"/>
          <w14:ligatures w14:val="none"/>
        </w:rPr>
        <w:t>vice-president</w:t>
      </w:r>
      <w:r w:rsidRPr="00FB4E2D">
        <w:rPr>
          <w:rFonts w:ascii="Times New Roman" w:eastAsia="Yu Mincho" w:hAnsi="Times New Roman" w:cs="Times New Roman"/>
          <w:i/>
          <w:noProof/>
          <w:kern w:val="0"/>
          <w:sz w:val="20"/>
          <w:szCs w:val="20"/>
          <w14:ligatures w14:val="none"/>
        </w:rPr>
        <w:t xml:space="preserve"> of the Supreme Council for Civil Personnel Selection (ASEP), </w:t>
      </w:r>
      <w:r w:rsidR="001826E4" w:rsidRPr="00FB4E2D">
        <w:rPr>
          <w:rFonts w:ascii="Times New Roman" w:eastAsia="Yu Mincho" w:hAnsi="Times New Roman" w:cs="Times New Roman"/>
          <w:i/>
          <w:noProof/>
          <w:kern w:val="0"/>
          <w:sz w:val="20"/>
          <w:szCs w:val="20"/>
          <w14:ligatures w14:val="none"/>
        </w:rPr>
        <w:t>(iii</w:t>
      </w:r>
      <w:r w:rsidRPr="00FB4E2D">
        <w:rPr>
          <w:rFonts w:ascii="Times New Roman" w:eastAsia="Yu Mincho" w:hAnsi="Times New Roman" w:cs="Times New Roman"/>
          <w:i/>
          <w:noProof/>
          <w:kern w:val="0"/>
          <w:sz w:val="20"/>
          <w:szCs w:val="20"/>
          <w14:ligatures w14:val="none"/>
        </w:rPr>
        <w:t xml:space="preserve">) a former </w:t>
      </w:r>
      <w:r w:rsidR="001826E4" w:rsidRPr="00FB4E2D">
        <w:rPr>
          <w:rFonts w:ascii="Times New Roman" w:eastAsia="Yu Mincho" w:hAnsi="Times New Roman" w:cs="Times New Roman"/>
          <w:i/>
          <w:noProof/>
          <w:kern w:val="0"/>
          <w:sz w:val="20"/>
          <w:szCs w:val="20"/>
          <w14:ligatures w14:val="none"/>
        </w:rPr>
        <w:t>president</w:t>
      </w:r>
      <w:r w:rsidRPr="00FB4E2D">
        <w:rPr>
          <w:rFonts w:ascii="Times New Roman" w:eastAsia="Yu Mincho" w:hAnsi="Times New Roman" w:cs="Times New Roman"/>
          <w:i/>
          <w:noProof/>
          <w:kern w:val="0"/>
          <w:sz w:val="20"/>
          <w:szCs w:val="20"/>
          <w14:ligatures w14:val="none"/>
        </w:rPr>
        <w:t xml:space="preserve"> or </w:t>
      </w:r>
      <w:r w:rsidR="001826E4" w:rsidRPr="00FB4E2D">
        <w:rPr>
          <w:rFonts w:ascii="Times New Roman" w:eastAsia="Yu Mincho" w:hAnsi="Times New Roman" w:cs="Times New Roman"/>
          <w:i/>
          <w:noProof/>
          <w:kern w:val="0"/>
          <w:sz w:val="20"/>
          <w:szCs w:val="20"/>
          <w14:ligatures w14:val="none"/>
        </w:rPr>
        <w:t>vice-president</w:t>
      </w:r>
      <w:r w:rsidRPr="00FB4E2D">
        <w:rPr>
          <w:rFonts w:ascii="Times New Roman" w:eastAsia="Yu Mincho" w:hAnsi="Times New Roman" w:cs="Times New Roman"/>
          <w:i/>
          <w:noProof/>
          <w:kern w:val="0"/>
          <w:sz w:val="20"/>
          <w:szCs w:val="20"/>
          <w14:ligatures w14:val="none"/>
        </w:rPr>
        <w:t xml:space="preserve"> of the Competition Commission, appointed by lot, </w:t>
      </w:r>
      <w:r w:rsidR="001826E4" w:rsidRPr="00FB4E2D">
        <w:rPr>
          <w:rFonts w:ascii="Times New Roman" w:eastAsia="Yu Mincho" w:hAnsi="Times New Roman" w:cs="Times New Roman"/>
          <w:i/>
          <w:noProof/>
          <w:kern w:val="0"/>
          <w:sz w:val="20"/>
          <w:szCs w:val="20"/>
          <w14:ligatures w14:val="none"/>
        </w:rPr>
        <w:t>(iv</w:t>
      </w:r>
      <w:r w:rsidRPr="00FB4E2D">
        <w:rPr>
          <w:rFonts w:ascii="Times New Roman" w:eastAsia="Yu Mincho" w:hAnsi="Times New Roman" w:cs="Times New Roman"/>
          <w:i/>
          <w:noProof/>
          <w:kern w:val="0"/>
          <w:sz w:val="20"/>
          <w:szCs w:val="20"/>
          <w14:ligatures w14:val="none"/>
        </w:rPr>
        <w:t xml:space="preserve">) a TSS HEI member specialised in competition law, nominated by the Minister </w:t>
      </w:r>
      <w:r w:rsidR="001826E4" w:rsidRPr="00FB4E2D">
        <w:rPr>
          <w:rFonts w:ascii="Times New Roman" w:eastAsia="Yu Mincho" w:hAnsi="Times New Roman" w:cs="Times New Roman"/>
          <w:i/>
          <w:noProof/>
          <w:kern w:val="0"/>
          <w:sz w:val="20"/>
          <w:szCs w:val="20"/>
          <w14:ligatures w14:val="none"/>
        </w:rPr>
        <w:t xml:space="preserve">for </w:t>
      </w:r>
      <w:r w:rsidRPr="00FB4E2D">
        <w:rPr>
          <w:rFonts w:ascii="Times New Roman" w:eastAsia="Yu Mincho" w:hAnsi="Times New Roman" w:cs="Times New Roman"/>
          <w:i/>
          <w:noProof/>
          <w:kern w:val="0"/>
          <w:sz w:val="20"/>
          <w:szCs w:val="20"/>
          <w14:ligatures w14:val="none"/>
        </w:rPr>
        <w:t xml:space="preserve">Development, and </w:t>
      </w:r>
      <w:r w:rsidR="001826E4" w:rsidRPr="00FB4E2D">
        <w:rPr>
          <w:rFonts w:ascii="Times New Roman" w:eastAsia="Yu Mincho" w:hAnsi="Times New Roman" w:cs="Times New Roman"/>
          <w:i/>
          <w:noProof/>
          <w:kern w:val="0"/>
          <w:sz w:val="20"/>
          <w:szCs w:val="20"/>
          <w14:ligatures w14:val="none"/>
        </w:rPr>
        <w:t>(v</w:t>
      </w:r>
      <w:r w:rsidRPr="00FB4E2D">
        <w:rPr>
          <w:rFonts w:ascii="Times New Roman" w:eastAsia="Yu Mincho" w:hAnsi="Times New Roman" w:cs="Times New Roman"/>
          <w:i/>
          <w:noProof/>
          <w:kern w:val="0"/>
          <w:sz w:val="20"/>
          <w:szCs w:val="20"/>
          <w14:ligatures w14:val="none"/>
        </w:rPr>
        <w:t xml:space="preserve">) a TSS HEI member specialised in competition economics, nominated by the Minister </w:t>
      </w:r>
      <w:r w:rsidR="001826E4" w:rsidRPr="00FB4E2D">
        <w:rPr>
          <w:rFonts w:ascii="Times New Roman" w:eastAsia="Yu Mincho" w:hAnsi="Times New Roman" w:cs="Times New Roman"/>
          <w:i/>
          <w:noProof/>
          <w:kern w:val="0"/>
          <w:sz w:val="20"/>
          <w:szCs w:val="20"/>
          <w14:ligatures w14:val="none"/>
        </w:rPr>
        <w:t>for</w:t>
      </w:r>
      <w:r w:rsidRPr="00FB4E2D">
        <w:rPr>
          <w:rFonts w:ascii="Times New Roman" w:eastAsia="Yu Mincho" w:hAnsi="Times New Roman" w:cs="Times New Roman"/>
          <w:i/>
          <w:noProof/>
          <w:kern w:val="0"/>
          <w:sz w:val="20"/>
          <w:szCs w:val="20"/>
          <w14:ligatures w14:val="none"/>
        </w:rPr>
        <w:t xml:space="preserve"> Development.</w:t>
      </w:r>
      <w:r w:rsidR="001826E4" w:rsidRPr="00FB4E2D">
        <w:rPr>
          <w:rFonts w:ascii="Times New Roman" w:eastAsia="Yu Mincho" w:hAnsi="Times New Roman" w:cs="Times New Roman"/>
          <w:i/>
          <w:noProof/>
          <w:kern w:val="0"/>
          <w:sz w:val="20"/>
          <w:szCs w:val="20"/>
          <w14:ligatures w14:val="none"/>
        </w:rPr>
        <w:t xml:space="preserve"> </w:t>
      </w:r>
      <w:r w:rsidRPr="00FB4E2D">
        <w:rPr>
          <w:rFonts w:ascii="Times New Roman" w:eastAsia="Yu Mincho" w:hAnsi="Times New Roman" w:cs="Times New Roman"/>
          <w:i/>
          <w:noProof/>
          <w:kern w:val="0"/>
          <w:sz w:val="20"/>
          <w:szCs w:val="20"/>
          <w14:ligatures w14:val="none"/>
        </w:rPr>
        <w:t xml:space="preserve"> </w:t>
      </w:r>
      <w:r w:rsidRPr="00FB4E2D">
        <w:rPr>
          <w:rFonts w:ascii="Times New Roman" w:eastAsia="Yu Mincho" w:hAnsi="Times New Roman" w:cs="Times New Roman"/>
          <w:b/>
          <w:i/>
          <w:noProof/>
          <w:kern w:val="0"/>
          <w:sz w:val="20"/>
          <w:szCs w:val="20"/>
          <w14:ligatures w14:val="none"/>
        </w:rPr>
        <w:t>ES</w:t>
      </w:r>
      <w:r w:rsidRPr="00FB4E2D">
        <w:rPr>
          <w:rFonts w:ascii="Times New Roman" w:eastAsia="Yu Mincho" w:hAnsi="Times New Roman" w:cs="Times New Roman"/>
          <w:i/>
          <w:noProof/>
          <w:kern w:val="0"/>
          <w:sz w:val="20"/>
          <w:szCs w:val="20"/>
          <w14:ligatures w14:val="none"/>
        </w:rPr>
        <w:t xml:space="preserve">: The Ministry of Economy and Competitiveness proposes the 10 </w:t>
      </w:r>
      <w:r w:rsidR="002B7F30" w:rsidRPr="00FB4E2D">
        <w:rPr>
          <w:rFonts w:ascii="Times New Roman" w:eastAsia="Yu Mincho" w:hAnsi="Times New Roman" w:cs="Times New Roman"/>
          <w:i/>
          <w:noProof/>
          <w:kern w:val="0"/>
          <w:sz w:val="20"/>
          <w:szCs w:val="20"/>
          <w14:ligatures w14:val="none"/>
        </w:rPr>
        <w:t>b</w:t>
      </w:r>
      <w:r w:rsidRPr="00FB4E2D">
        <w:rPr>
          <w:rFonts w:ascii="Times New Roman" w:eastAsia="Yu Mincho" w:hAnsi="Times New Roman" w:cs="Times New Roman"/>
          <w:i/>
          <w:noProof/>
          <w:kern w:val="0"/>
          <w:sz w:val="20"/>
          <w:szCs w:val="20"/>
          <w14:ligatures w14:val="none"/>
        </w:rPr>
        <w:t xml:space="preserve">oard members of the CNMC, including its President and Vice-President, the Government appoints them. Parliament may veto the appointment of the proposed candidates by absolute majority (50% +1). The Government proposes the dismissal and dismisses the </w:t>
      </w:r>
      <w:r w:rsidR="002B7F30" w:rsidRPr="00FB4E2D">
        <w:rPr>
          <w:rFonts w:ascii="Times New Roman" w:eastAsia="Yu Mincho" w:hAnsi="Times New Roman" w:cs="Times New Roman"/>
          <w:i/>
          <w:noProof/>
          <w:kern w:val="0"/>
          <w:sz w:val="20"/>
          <w:szCs w:val="20"/>
          <w14:ligatures w14:val="none"/>
        </w:rPr>
        <w:t>b</w:t>
      </w:r>
      <w:r w:rsidRPr="00FB4E2D">
        <w:rPr>
          <w:rFonts w:ascii="Times New Roman" w:eastAsia="Yu Mincho" w:hAnsi="Times New Roman" w:cs="Times New Roman"/>
          <w:i/>
          <w:noProof/>
          <w:kern w:val="0"/>
          <w:sz w:val="20"/>
          <w:szCs w:val="20"/>
          <w14:ligatures w14:val="none"/>
        </w:rPr>
        <w:t xml:space="preserve">oard members. </w:t>
      </w:r>
      <w:r w:rsidRPr="00FB4E2D">
        <w:rPr>
          <w:rFonts w:ascii="Times New Roman" w:eastAsia="Yu Mincho" w:hAnsi="Times New Roman" w:cs="Times New Roman"/>
          <w:b/>
          <w:i/>
          <w:noProof/>
          <w:kern w:val="0"/>
          <w:sz w:val="20"/>
          <w:szCs w:val="20"/>
          <w14:ligatures w14:val="none"/>
        </w:rPr>
        <w:t>FR</w:t>
      </w:r>
      <w:r w:rsidRPr="00FB4E2D">
        <w:rPr>
          <w:rFonts w:ascii="Times New Roman" w:eastAsia="Yu Mincho" w:hAnsi="Times New Roman" w:cs="Times New Roman"/>
          <w:i/>
          <w:noProof/>
          <w:kern w:val="0"/>
          <w:sz w:val="20"/>
          <w:szCs w:val="20"/>
          <w14:ligatures w14:val="none"/>
        </w:rPr>
        <w:t xml:space="preserve">: The President of the Republic appoints all four </w:t>
      </w:r>
      <w:r w:rsidR="002B7F30" w:rsidRPr="00FB4E2D">
        <w:rPr>
          <w:rFonts w:ascii="Times New Roman" w:eastAsia="Yu Mincho" w:hAnsi="Times New Roman" w:cs="Times New Roman"/>
          <w:i/>
          <w:noProof/>
          <w:kern w:val="0"/>
          <w:sz w:val="20"/>
          <w:szCs w:val="20"/>
          <w14:ligatures w14:val="none"/>
        </w:rPr>
        <w:t>vice-p</w:t>
      </w:r>
      <w:r w:rsidRPr="00FB4E2D">
        <w:rPr>
          <w:rFonts w:ascii="Times New Roman" w:eastAsia="Yu Mincho" w:hAnsi="Times New Roman" w:cs="Times New Roman"/>
          <w:i/>
          <w:noProof/>
          <w:kern w:val="0"/>
          <w:sz w:val="20"/>
          <w:szCs w:val="20"/>
          <w14:ligatures w14:val="none"/>
        </w:rPr>
        <w:t xml:space="preserve">residents of the </w:t>
      </w:r>
      <w:r w:rsidR="002B7F30" w:rsidRPr="00FB4E2D">
        <w:rPr>
          <w:rFonts w:ascii="Times New Roman" w:eastAsia="Yu Mincho" w:hAnsi="Times New Roman" w:cs="Times New Roman"/>
          <w:i/>
          <w:noProof/>
          <w:kern w:val="0"/>
          <w:sz w:val="20"/>
          <w:szCs w:val="20"/>
          <w14:ligatures w14:val="none"/>
        </w:rPr>
        <w:t>b</w:t>
      </w:r>
      <w:r w:rsidRPr="00FB4E2D">
        <w:rPr>
          <w:rFonts w:ascii="Times New Roman" w:eastAsia="Yu Mincho" w:hAnsi="Times New Roman" w:cs="Times New Roman"/>
          <w:i/>
          <w:noProof/>
          <w:kern w:val="0"/>
          <w:sz w:val="20"/>
          <w:szCs w:val="20"/>
          <w14:ligatures w14:val="none"/>
        </w:rPr>
        <w:t xml:space="preserve">oard (permanent members) as well as the 12 non-permanent members and the </w:t>
      </w:r>
      <w:r w:rsidR="002B7F30" w:rsidRPr="00FB4E2D">
        <w:rPr>
          <w:rFonts w:ascii="Times New Roman" w:eastAsia="Yu Mincho" w:hAnsi="Times New Roman" w:cs="Times New Roman"/>
          <w:i/>
          <w:noProof/>
          <w:kern w:val="0"/>
          <w:sz w:val="20"/>
          <w:szCs w:val="20"/>
          <w14:ligatures w14:val="none"/>
        </w:rPr>
        <w:t>two</w:t>
      </w:r>
      <w:r w:rsidRPr="00FB4E2D">
        <w:rPr>
          <w:rFonts w:ascii="Times New Roman" w:eastAsia="Yu Mincho" w:hAnsi="Times New Roman" w:cs="Times New Roman"/>
          <w:i/>
          <w:noProof/>
          <w:kern w:val="0"/>
          <w:sz w:val="20"/>
          <w:szCs w:val="20"/>
          <w14:ligatures w14:val="none"/>
        </w:rPr>
        <w:t xml:space="preserve"> specialist members who sit when the NCA rules on matters pertaining to regulated legal professions. The NCA Board proposes the dismissal, the President of the Republic dismisses the member of the </w:t>
      </w:r>
      <w:r w:rsidR="002B7F30" w:rsidRPr="00FB4E2D">
        <w:rPr>
          <w:rFonts w:ascii="Times New Roman" w:eastAsia="Yu Mincho" w:hAnsi="Times New Roman" w:cs="Times New Roman"/>
          <w:i/>
          <w:noProof/>
          <w:kern w:val="0"/>
          <w:sz w:val="20"/>
          <w:szCs w:val="20"/>
          <w14:ligatures w14:val="none"/>
        </w:rPr>
        <w:t>b</w:t>
      </w:r>
      <w:r w:rsidRPr="00FB4E2D">
        <w:rPr>
          <w:rFonts w:ascii="Times New Roman" w:eastAsia="Yu Mincho" w:hAnsi="Times New Roman" w:cs="Times New Roman"/>
          <w:i/>
          <w:noProof/>
          <w:kern w:val="0"/>
          <w:sz w:val="20"/>
          <w:szCs w:val="20"/>
          <w14:ligatures w14:val="none"/>
        </w:rPr>
        <w:t xml:space="preserve">oard. </w:t>
      </w:r>
      <w:r w:rsidRPr="00FB4E2D">
        <w:rPr>
          <w:rFonts w:ascii="Times New Roman" w:eastAsia="Yu Mincho" w:hAnsi="Times New Roman" w:cs="Times New Roman"/>
          <w:b/>
          <w:i/>
          <w:noProof/>
          <w:kern w:val="0"/>
          <w:sz w:val="20"/>
          <w:szCs w:val="20"/>
          <w14:ligatures w14:val="none"/>
        </w:rPr>
        <w:t>HR</w:t>
      </w:r>
      <w:r w:rsidRPr="00FB4E2D">
        <w:rPr>
          <w:rFonts w:ascii="Times New Roman" w:eastAsia="Yu Mincho" w:hAnsi="Times New Roman" w:cs="Times New Roman"/>
          <w:i/>
          <w:noProof/>
          <w:kern w:val="0"/>
          <w:sz w:val="20"/>
          <w:szCs w:val="20"/>
          <w14:ligatures w14:val="none"/>
        </w:rPr>
        <w:t xml:space="preserve">: The Government proposes, </w:t>
      </w:r>
      <w:r w:rsidR="002B7F30" w:rsidRPr="00FB4E2D">
        <w:rPr>
          <w:rFonts w:ascii="Times New Roman" w:eastAsia="Yu Mincho" w:hAnsi="Times New Roman" w:cs="Times New Roman"/>
          <w:i/>
          <w:noProof/>
          <w:kern w:val="0"/>
          <w:sz w:val="20"/>
          <w:szCs w:val="20"/>
          <w14:ligatures w14:val="none"/>
        </w:rPr>
        <w:t>p</w:t>
      </w:r>
      <w:r w:rsidRPr="00FB4E2D">
        <w:rPr>
          <w:rFonts w:ascii="Times New Roman" w:eastAsia="Yu Mincho" w:hAnsi="Times New Roman" w:cs="Times New Roman"/>
          <w:i/>
          <w:noProof/>
          <w:kern w:val="0"/>
          <w:sz w:val="20"/>
          <w:szCs w:val="20"/>
          <w14:ligatures w14:val="none"/>
        </w:rPr>
        <w:t xml:space="preserve">arliament appoints the members of the NCA. The Government proposes the dismissal, </w:t>
      </w:r>
      <w:r w:rsidR="002B7F30" w:rsidRPr="00FB4E2D">
        <w:rPr>
          <w:rFonts w:ascii="Times New Roman" w:eastAsia="Yu Mincho" w:hAnsi="Times New Roman" w:cs="Times New Roman"/>
          <w:i/>
          <w:noProof/>
          <w:kern w:val="0"/>
          <w:sz w:val="20"/>
          <w:szCs w:val="20"/>
          <w14:ligatures w14:val="none"/>
        </w:rPr>
        <w:t>p</w:t>
      </w:r>
      <w:r w:rsidRPr="00FB4E2D">
        <w:rPr>
          <w:rFonts w:ascii="Times New Roman" w:eastAsia="Yu Mincho" w:hAnsi="Times New Roman" w:cs="Times New Roman"/>
          <w:i/>
          <w:noProof/>
          <w:kern w:val="0"/>
          <w:sz w:val="20"/>
          <w:szCs w:val="20"/>
          <w14:ligatures w14:val="none"/>
        </w:rPr>
        <w:t xml:space="preserve">arliament dismisses the members of the NCA. </w:t>
      </w:r>
      <w:r w:rsidRPr="00FB4E2D">
        <w:rPr>
          <w:rFonts w:ascii="Times New Roman" w:eastAsia="Yu Mincho" w:hAnsi="Times New Roman" w:cs="Times New Roman"/>
          <w:b/>
          <w:i/>
          <w:noProof/>
          <w:kern w:val="0"/>
          <w:sz w:val="20"/>
          <w:szCs w:val="20"/>
          <w14:ligatures w14:val="none"/>
        </w:rPr>
        <w:t>IT</w:t>
      </w:r>
      <w:r w:rsidRPr="00FB4E2D">
        <w:rPr>
          <w:rFonts w:ascii="Times New Roman" w:eastAsia="Yu Mincho" w:hAnsi="Times New Roman" w:cs="Times New Roman"/>
          <w:i/>
          <w:noProof/>
          <w:kern w:val="0"/>
          <w:sz w:val="20"/>
          <w:szCs w:val="20"/>
          <w14:ligatures w14:val="none"/>
        </w:rPr>
        <w:t xml:space="preserve">: The </w:t>
      </w:r>
      <w:r w:rsidR="00353551" w:rsidRPr="00FB4E2D">
        <w:rPr>
          <w:rFonts w:ascii="Times New Roman" w:eastAsia="Yu Mincho" w:hAnsi="Times New Roman" w:cs="Times New Roman"/>
          <w:i/>
          <w:noProof/>
          <w:kern w:val="0"/>
          <w:sz w:val="20"/>
          <w:szCs w:val="20"/>
          <w14:ligatures w14:val="none"/>
        </w:rPr>
        <w:t>p</w:t>
      </w:r>
      <w:r w:rsidRPr="00FB4E2D">
        <w:rPr>
          <w:rFonts w:ascii="Times New Roman" w:eastAsia="Yu Mincho" w:hAnsi="Times New Roman" w:cs="Times New Roman"/>
          <w:i/>
          <w:noProof/>
          <w:kern w:val="0"/>
          <w:sz w:val="20"/>
          <w:szCs w:val="20"/>
          <w14:ligatures w14:val="none"/>
        </w:rPr>
        <w:t xml:space="preserve">residents of the House and Senate appoint the chairman and members of the Authority’s Board. The Presidents of Parliament take the final decision on dismissal, once judge’s decision to apply the accessory penalty of disqualification from public office is final. </w:t>
      </w:r>
      <w:r w:rsidRPr="00FB4E2D">
        <w:rPr>
          <w:rFonts w:ascii="Times New Roman" w:eastAsia="Yu Mincho" w:hAnsi="Times New Roman" w:cs="Times New Roman"/>
          <w:b/>
          <w:i/>
          <w:noProof/>
          <w:kern w:val="0"/>
          <w:sz w:val="20"/>
          <w:szCs w:val="20"/>
          <w14:ligatures w14:val="none"/>
        </w:rPr>
        <w:t>CY</w:t>
      </w:r>
      <w:r w:rsidRPr="00FB4E2D">
        <w:rPr>
          <w:rFonts w:ascii="Times New Roman" w:eastAsia="Yu Mincho" w:hAnsi="Times New Roman" w:cs="Times New Roman"/>
          <w:i/>
          <w:noProof/>
          <w:kern w:val="0"/>
          <w:sz w:val="20"/>
          <w:szCs w:val="20"/>
          <w14:ligatures w14:val="none"/>
        </w:rPr>
        <w:t xml:space="preserve">: The Minister </w:t>
      </w:r>
      <w:r w:rsidR="0072526A" w:rsidRPr="00FB4E2D">
        <w:rPr>
          <w:rFonts w:ascii="Times New Roman" w:eastAsia="Yu Mincho" w:hAnsi="Times New Roman" w:cs="Times New Roman"/>
          <w:i/>
          <w:noProof/>
          <w:kern w:val="0"/>
          <w:sz w:val="20"/>
          <w:szCs w:val="20"/>
          <w14:ligatures w14:val="none"/>
        </w:rPr>
        <w:t>for</w:t>
      </w:r>
      <w:r w:rsidRPr="00FB4E2D">
        <w:rPr>
          <w:rFonts w:ascii="Times New Roman" w:eastAsia="Yu Mincho" w:hAnsi="Times New Roman" w:cs="Times New Roman"/>
          <w:i/>
          <w:noProof/>
          <w:kern w:val="0"/>
          <w:sz w:val="20"/>
          <w:szCs w:val="20"/>
          <w14:ligatures w14:val="none"/>
        </w:rPr>
        <w:t xml:space="preserve"> Energy, Commerce and Industry proposes, the Government (Council of Ministers) appoints. The Government (Council of Ministers) proposes a dismissal and dismisses. </w:t>
      </w:r>
      <w:r w:rsidRPr="00FB4E2D">
        <w:rPr>
          <w:rFonts w:ascii="Times New Roman" w:eastAsia="Yu Mincho" w:hAnsi="Times New Roman" w:cs="Times New Roman"/>
          <w:b/>
          <w:i/>
          <w:noProof/>
          <w:kern w:val="0"/>
          <w:sz w:val="20"/>
          <w:szCs w:val="20"/>
          <w14:ligatures w14:val="none"/>
        </w:rPr>
        <w:t>LV</w:t>
      </w:r>
      <w:r w:rsidRPr="00FB4E2D">
        <w:rPr>
          <w:rFonts w:ascii="Times New Roman" w:eastAsia="Yu Mincho" w:hAnsi="Times New Roman" w:cs="Times New Roman"/>
          <w:i/>
          <w:noProof/>
          <w:kern w:val="0"/>
          <w:sz w:val="20"/>
          <w:szCs w:val="20"/>
          <w14:ligatures w14:val="none"/>
        </w:rPr>
        <w:t xml:space="preserve">: The Ministry of Economics proposes the chairperson of the Competition Council and four council members, the Cabinet of Ministers appoints them. The Ministry of </w:t>
      </w:r>
      <w:r w:rsidR="0072526A" w:rsidRPr="00FB4E2D">
        <w:rPr>
          <w:rFonts w:ascii="Times New Roman" w:eastAsia="Yu Mincho" w:hAnsi="Times New Roman" w:cs="Times New Roman"/>
          <w:i/>
          <w:noProof/>
          <w:kern w:val="0"/>
          <w:sz w:val="20"/>
          <w:szCs w:val="20"/>
          <w14:ligatures w14:val="none"/>
        </w:rPr>
        <w:t>Economics</w:t>
      </w:r>
      <w:r w:rsidRPr="00FB4E2D">
        <w:rPr>
          <w:rFonts w:ascii="Times New Roman" w:eastAsia="Yu Mincho" w:hAnsi="Times New Roman" w:cs="Times New Roman"/>
          <w:i/>
          <w:noProof/>
          <w:kern w:val="0"/>
          <w:sz w:val="20"/>
          <w:szCs w:val="20"/>
          <w14:ligatures w14:val="none"/>
        </w:rPr>
        <w:t xml:space="preserve"> proposes their dismissal, a committee established by the Cabinet of Ministers dismisses</w:t>
      </w:r>
      <w:r w:rsidR="0072526A" w:rsidRPr="00FB4E2D">
        <w:rPr>
          <w:rFonts w:ascii="Times New Roman" w:eastAsia="Yu Mincho" w:hAnsi="Times New Roman" w:cs="Times New Roman"/>
          <w:i/>
          <w:noProof/>
          <w:kern w:val="0"/>
          <w:sz w:val="20"/>
          <w:szCs w:val="20"/>
          <w14:ligatures w14:val="none"/>
        </w:rPr>
        <w:t xml:space="preserve"> them.</w:t>
      </w:r>
      <w:r w:rsidRPr="00FB4E2D">
        <w:rPr>
          <w:rFonts w:ascii="Times New Roman" w:eastAsia="Yu Mincho" w:hAnsi="Times New Roman" w:cs="Times New Roman"/>
          <w:i/>
          <w:noProof/>
          <w:kern w:val="0"/>
          <w:sz w:val="20"/>
          <w:szCs w:val="20"/>
          <w14:ligatures w14:val="none"/>
        </w:rPr>
        <w:t xml:space="preserve"> </w:t>
      </w:r>
      <w:r w:rsidRPr="00FB4E2D">
        <w:rPr>
          <w:rFonts w:ascii="Times New Roman" w:eastAsia="Yu Mincho" w:hAnsi="Times New Roman" w:cs="Times New Roman"/>
          <w:b/>
          <w:i/>
          <w:noProof/>
          <w:kern w:val="0"/>
          <w:sz w:val="20"/>
          <w:szCs w:val="20"/>
          <w14:ligatures w14:val="none"/>
        </w:rPr>
        <w:t>LT</w:t>
      </w:r>
      <w:r w:rsidRPr="00FB4E2D">
        <w:rPr>
          <w:rFonts w:ascii="Times New Roman" w:eastAsia="Yu Mincho" w:hAnsi="Times New Roman" w:cs="Times New Roman"/>
          <w:i/>
          <w:noProof/>
          <w:kern w:val="0"/>
          <w:sz w:val="20"/>
          <w:szCs w:val="20"/>
          <w14:ligatures w14:val="none"/>
        </w:rPr>
        <w:t xml:space="preserve">: The Prime Minister proposes the members in the decision-making body of the Lithuanian Competition Council, the President appoints. The Prime Minister proposes the dismissal of the members in the decision-making body of the Lithuanian Competition Council, the President dismisses. </w:t>
      </w:r>
      <w:r w:rsidRPr="00FB4E2D">
        <w:rPr>
          <w:rFonts w:ascii="Times New Roman" w:eastAsia="Yu Mincho" w:hAnsi="Times New Roman" w:cs="Times New Roman"/>
          <w:b/>
          <w:i/>
          <w:noProof/>
          <w:kern w:val="0"/>
          <w:sz w:val="20"/>
          <w:szCs w:val="20"/>
          <w14:ligatures w14:val="none"/>
        </w:rPr>
        <w:t>LU</w:t>
      </w:r>
      <w:r w:rsidRPr="00FB4E2D">
        <w:rPr>
          <w:rFonts w:ascii="Times New Roman" w:eastAsia="Yu Mincho" w:hAnsi="Times New Roman" w:cs="Times New Roman"/>
          <w:i/>
          <w:noProof/>
          <w:kern w:val="0"/>
          <w:sz w:val="20"/>
          <w:szCs w:val="20"/>
          <w14:ligatures w14:val="none"/>
        </w:rPr>
        <w:t xml:space="preserve">: There is a public call for application, the </w:t>
      </w:r>
      <w:r w:rsidR="0072526A" w:rsidRPr="00FB4E2D">
        <w:rPr>
          <w:rFonts w:ascii="Times New Roman" w:eastAsia="Yu Mincho" w:hAnsi="Times New Roman" w:cs="Times New Roman"/>
          <w:i/>
          <w:noProof/>
          <w:kern w:val="0"/>
          <w:sz w:val="20"/>
          <w:szCs w:val="20"/>
          <w14:ligatures w14:val="none"/>
        </w:rPr>
        <w:t>p</w:t>
      </w:r>
      <w:r w:rsidRPr="00FB4E2D">
        <w:rPr>
          <w:rFonts w:ascii="Times New Roman" w:eastAsia="Yu Mincho" w:hAnsi="Times New Roman" w:cs="Times New Roman"/>
          <w:i/>
          <w:noProof/>
          <w:kern w:val="0"/>
          <w:sz w:val="20"/>
          <w:szCs w:val="20"/>
          <w14:ligatures w14:val="none"/>
        </w:rPr>
        <w:t xml:space="preserve">resident of the Competition Authority appoints. The Government proposes the dismissal, the Head of State (Grand-Duke) dismisses. </w:t>
      </w:r>
      <w:r w:rsidRPr="00FB4E2D">
        <w:rPr>
          <w:rFonts w:ascii="Times New Roman" w:eastAsia="Yu Mincho" w:hAnsi="Times New Roman" w:cs="Times New Roman"/>
          <w:b/>
          <w:i/>
          <w:noProof/>
          <w:kern w:val="0"/>
          <w:sz w:val="20"/>
          <w:szCs w:val="20"/>
          <w14:ligatures w14:val="none"/>
        </w:rPr>
        <w:t>HU</w:t>
      </w:r>
      <w:r w:rsidRPr="00FB4E2D">
        <w:rPr>
          <w:rFonts w:ascii="Times New Roman" w:eastAsia="Yu Mincho" w:hAnsi="Times New Roman" w:cs="Times New Roman"/>
          <w:i/>
          <w:noProof/>
          <w:kern w:val="0"/>
          <w:sz w:val="20"/>
          <w:szCs w:val="20"/>
          <w14:ligatures w14:val="none"/>
        </w:rPr>
        <w:t xml:space="preserve">: The President of the Hungarian Competition Authority proposes, the President of Hungary appoints the members of the Competition Council, which acts like a separated decision-making forum within the Hungarian Competition Authority. The </w:t>
      </w:r>
      <w:r w:rsidR="0072526A" w:rsidRPr="00FB4E2D">
        <w:rPr>
          <w:rFonts w:ascii="Times New Roman" w:eastAsia="Yu Mincho" w:hAnsi="Times New Roman" w:cs="Times New Roman"/>
          <w:i/>
          <w:noProof/>
          <w:kern w:val="0"/>
          <w:sz w:val="20"/>
          <w:szCs w:val="20"/>
          <w14:ligatures w14:val="none"/>
        </w:rPr>
        <w:t>p</w:t>
      </w:r>
      <w:r w:rsidRPr="00FB4E2D">
        <w:rPr>
          <w:rFonts w:ascii="Times New Roman" w:eastAsia="Yu Mincho" w:hAnsi="Times New Roman" w:cs="Times New Roman"/>
          <w:i/>
          <w:noProof/>
          <w:kern w:val="0"/>
          <w:sz w:val="20"/>
          <w:szCs w:val="20"/>
          <w14:ligatures w14:val="none"/>
        </w:rPr>
        <w:t xml:space="preserve">resident of the Hungarian Competition Authority proposes a dismissal, the President of Hungary dismisses the members of the Competition Council. </w:t>
      </w:r>
      <w:r w:rsidRPr="00FB4E2D">
        <w:rPr>
          <w:rFonts w:ascii="Times New Roman" w:eastAsia="Yu Mincho" w:hAnsi="Times New Roman" w:cs="Times New Roman"/>
          <w:b/>
          <w:i/>
          <w:noProof/>
          <w:kern w:val="0"/>
          <w:sz w:val="20"/>
          <w:szCs w:val="20"/>
          <w14:ligatures w14:val="none"/>
        </w:rPr>
        <w:t>MT:</w:t>
      </w:r>
      <w:r w:rsidRPr="00FB4E2D">
        <w:rPr>
          <w:rFonts w:ascii="Times New Roman" w:eastAsia="Yu Mincho" w:hAnsi="Times New Roman" w:cs="Times New Roman"/>
          <w:i/>
          <w:noProof/>
          <w:kern w:val="0"/>
          <w:sz w:val="20"/>
          <w:szCs w:val="20"/>
          <w14:ligatures w14:val="none"/>
        </w:rPr>
        <w:t xml:space="preserve"> There is a public call for application. The </w:t>
      </w:r>
      <w:r w:rsidR="0072526A" w:rsidRPr="00FB4E2D">
        <w:rPr>
          <w:rFonts w:ascii="Times New Roman" w:eastAsia="Yu Mincho" w:hAnsi="Times New Roman" w:cs="Times New Roman"/>
          <w:i/>
          <w:noProof/>
          <w:kern w:val="0"/>
          <w:sz w:val="20"/>
          <w:szCs w:val="20"/>
          <w14:ligatures w14:val="none"/>
        </w:rPr>
        <w:t>board</w:t>
      </w:r>
      <w:r w:rsidRPr="00FB4E2D">
        <w:rPr>
          <w:rFonts w:ascii="Times New Roman" w:eastAsia="Yu Mincho" w:hAnsi="Times New Roman" w:cs="Times New Roman"/>
          <w:i/>
          <w:noProof/>
          <w:kern w:val="0"/>
          <w:sz w:val="20"/>
          <w:szCs w:val="20"/>
          <w14:ligatures w14:val="none"/>
        </w:rPr>
        <w:t xml:space="preserve"> of </w:t>
      </w:r>
      <w:r w:rsidR="0072526A" w:rsidRPr="00FB4E2D">
        <w:rPr>
          <w:rFonts w:ascii="Times New Roman" w:eastAsia="Yu Mincho" w:hAnsi="Times New Roman" w:cs="Times New Roman"/>
          <w:i/>
          <w:noProof/>
          <w:kern w:val="0"/>
          <w:sz w:val="20"/>
          <w:szCs w:val="20"/>
          <w14:ligatures w14:val="none"/>
        </w:rPr>
        <w:t>governors</w:t>
      </w:r>
      <w:r w:rsidRPr="00FB4E2D">
        <w:rPr>
          <w:rFonts w:ascii="Times New Roman" w:eastAsia="Yu Mincho" w:hAnsi="Times New Roman" w:cs="Times New Roman"/>
          <w:i/>
          <w:noProof/>
          <w:kern w:val="0"/>
          <w:sz w:val="20"/>
          <w:szCs w:val="20"/>
          <w14:ligatures w14:val="none"/>
        </w:rPr>
        <w:t xml:space="preserve"> of the Malta Competition and Consumer Affairs Authority appoints the </w:t>
      </w:r>
      <w:r w:rsidR="0072526A" w:rsidRPr="00FB4E2D">
        <w:rPr>
          <w:rFonts w:ascii="Times New Roman" w:eastAsia="Yu Mincho" w:hAnsi="Times New Roman" w:cs="Times New Roman"/>
          <w:i/>
          <w:noProof/>
          <w:kern w:val="0"/>
          <w:sz w:val="20"/>
          <w:szCs w:val="20"/>
          <w14:ligatures w14:val="none"/>
        </w:rPr>
        <w:t>director-general</w:t>
      </w:r>
      <w:r w:rsidRPr="00FB4E2D">
        <w:rPr>
          <w:rFonts w:ascii="Times New Roman" w:eastAsia="Yu Mincho" w:hAnsi="Times New Roman" w:cs="Times New Roman"/>
          <w:i/>
          <w:noProof/>
          <w:kern w:val="0"/>
          <w:sz w:val="20"/>
          <w:szCs w:val="20"/>
          <w14:ligatures w14:val="none"/>
        </w:rPr>
        <w:t xml:space="preserve"> of the Office for Competition (the national administrative competition authority) by </w:t>
      </w:r>
      <w:r w:rsidR="0072526A" w:rsidRPr="00FB4E2D">
        <w:rPr>
          <w:rFonts w:ascii="Times New Roman" w:eastAsia="Yu Mincho" w:hAnsi="Times New Roman" w:cs="Times New Roman"/>
          <w:i/>
          <w:noProof/>
          <w:kern w:val="0"/>
          <w:sz w:val="20"/>
          <w:szCs w:val="20"/>
          <w14:ligatures w14:val="none"/>
        </w:rPr>
        <w:t>consulting</w:t>
      </w:r>
      <w:r w:rsidRPr="00FB4E2D">
        <w:rPr>
          <w:rFonts w:ascii="Times New Roman" w:eastAsia="Yu Mincho" w:hAnsi="Times New Roman" w:cs="Times New Roman"/>
          <w:i/>
          <w:noProof/>
          <w:kern w:val="0"/>
          <w:sz w:val="20"/>
          <w:szCs w:val="20"/>
          <w14:ligatures w14:val="none"/>
        </w:rPr>
        <w:t xml:space="preserve"> the </w:t>
      </w:r>
      <w:r w:rsidR="0072526A" w:rsidRPr="00FB4E2D">
        <w:rPr>
          <w:rFonts w:ascii="Times New Roman" w:eastAsia="Yu Mincho" w:hAnsi="Times New Roman" w:cs="Times New Roman"/>
          <w:i/>
          <w:noProof/>
          <w:kern w:val="0"/>
          <w:sz w:val="20"/>
          <w:szCs w:val="20"/>
          <w14:ligatures w14:val="none"/>
        </w:rPr>
        <w:t>m</w:t>
      </w:r>
      <w:r w:rsidRPr="00FB4E2D">
        <w:rPr>
          <w:rFonts w:ascii="Times New Roman" w:eastAsia="Yu Mincho" w:hAnsi="Times New Roman" w:cs="Times New Roman"/>
          <w:i/>
          <w:noProof/>
          <w:kern w:val="0"/>
          <w:sz w:val="20"/>
          <w:szCs w:val="20"/>
          <w14:ligatures w14:val="none"/>
        </w:rPr>
        <w:t xml:space="preserve">inister responsible for competition matters. The </w:t>
      </w:r>
      <w:r w:rsidR="0072526A" w:rsidRPr="00FB4E2D">
        <w:rPr>
          <w:rFonts w:ascii="Times New Roman" w:eastAsia="Yu Mincho" w:hAnsi="Times New Roman" w:cs="Times New Roman"/>
          <w:i/>
          <w:noProof/>
          <w:kern w:val="0"/>
          <w:sz w:val="20"/>
          <w:szCs w:val="20"/>
          <w14:ligatures w14:val="none"/>
        </w:rPr>
        <w:t>board</w:t>
      </w:r>
      <w:r w:rsidRPr="00FB4E2D">
        <w:rPr>
          <w:rFonts w:ascii="Times New Roman" w:eastAsia="Yu Mincho" w:hAnsi="Times New Roman" w:cs="Times New Roman"/>
          <w:i/>
          <w:noProof/>
          <w:kern w:val="0"/>
          <w:sz w:val="20"/>
          <w:szCs w:val="20"/>
          <w14:ligatures w14:val="none"/>
        </w:rPr>
        <w:t xml:space="preserve"> of </w:t>
      </w:r>
      <w:r w:rsidR="0072526A" w:rsidRPr="00FB4E2D">
        <w:rPr>
          <w:rFonts w:ascii="Times New Roman" w:eastAsia="Yu Mincho" w:hAnsi="Times New Roman" w:cs="Times New Roman"/>
          <w:i/>
          <w:noProof/>
          <w:kern w:val="0"/>
          <w:sz w:val="20"/>
          <w:szCs w:val="20"/>
          <w14:ligatures w14:val="none"/>
        </w:rPr>
        <w:t>governors</w:t>
      </w:r>
      <w:r w:rsidRPr="00FB4E2D">
        <w:rPr>
          <w:rFonts w:ascii="Times New Roman" w:eastAsia="Yu Mincho" w:hAnsi="Times New Roman" w:cs="Times New Roman"/>
          <w:i/>
          <w:noProof/>
          <w:kern w:val="0"/>
          <w:sz w:val="20"/>
          <w:szCs w:val="20"/>
          <w14:ligatures w14:val="none"/>
        </w:rPr>
        <w:t xml:space="preserve"> of the Malta Competition and Consumer Affairs Authority dismisses the </w:t>
      </w:r>
      <w:r w:rsidR="0072526A" w:rsidRPr="00FB4E2D">
        <w:rPr>
          <w:rFonts w:ascii="Times New Roman" w:eastAsia="Yu Mincho" w:hAnsi="Times New Roman" w:cs="Times New Roman"/>
          <w:i/>
          <w:noProof/>
          <w:kern w:val="0"/>
          <w:sz w:val="20"/>
          <w:szCs w:val="20"/>
          <w14:ligatures w14:val="none"/>
        </w:rPr>
        <w:t>director-general</w:t>
      </w:r>
      <w:r w:rsidRPr="00FB4E2D">
        <w:rPr>
          <w:rFonts w:ascii="Times New Roman" w:eastAsia="Yu Mincho" w:hAnsi="Times New Roman" w:cs="Times New Roman"/>
          <w:i/>
          <w:noProof/>
          <w:kern w:val="0"/>
          <w:sz w:val="20"/>
          <w:szCs w:val="20"/>
          <w14:ligatures w14:val="none"/>
        </w:rPr>
        <w:t xml:space="preserve">. </w:t>
      </w:r>
      <w:r w:rsidRPr="00FB4E2D">
        <w:rPr>
          <w:rFonts w:ascii="Times New Roman" w:eastAsia="Yu Mincho" w:hAnsi="Times New Roman" w:cs="Times New Roman"/>
          <w:b/>
          <w:i/>
          <w:noProof/>
          <w:kern w:val="0"/>
          <w:sz w:val="20"/>
          <w:szCs w:val="20"/>
          <w14:ligatures w14:val="none"/>
        </w:rPr>
        <w:t>NL</w:t>
      </w:r>
      <w:r w:rsidRPr="00FB4E2D">
        <w:rPr>
          <w:rFonts w:ascii="Times New Roman" w:eastAsia="Yu Mincho" w:hAnsi="Times New Roman" w:cs="Times New Roman"/>
          <w:i/>
          <w:noProof/>
          <w:kern w:val="0"/>
          <w:sz w:val="20"/>
          <w:szCs w:val="20"/>
          <w14:ligatures w14:val="none"/>
        </w:rPr>
        <w:t xml:space="preserve">: A selection </w:t>
      </w:r>
      <w:r w:rsidR="0072526A" w:rsidRPr="00FB4E2D">
        <w:rPr>
          <w:rFonts w:ascii="Times New Roman" w:eastAsia="Yu Mincho" w:hAnsi="Times New Roman" w:cs="Times New Roman"/>
          <w:i/>
          <w:noProof/>
          <w:kern w:val="0"/>
          <w:sz w:val="20"/>
          <w:szCs w:val="20"/>
          <w14:ligatures w14:val="none"/>
        </w:rPr>
        <w:t>c</w:t>
      </w:r>
      <w:r w:rsidRPr="00FB4E2D">
        <w:rPr>
          <w:rFonts w:ascii="Times New Roman" w:eastAsia="Yu Mincho" w:hAnsi="Times New Roman" w:cs="Times New Roman"/>
          <w:i/>
          <w:noProof/>
          <w:kern w:val="0"/>
          <w:sz w:val="20"/>
          <w:szCs w:val="20"/>
          <w14:ligatures w14:val="none"/>
        </w:rPr>
        <w:t xml:space="preserve">ommission, which consists of an NCA (ACM) board member, the director of the policy directorate responsible for NCA at the Ministry, an NCA director, on request an </w:t>
      </w:r>
      <w:r w:rsidR="0072526A" w:rsidRPr="00FB4E2D">
        <w:rPr>
          <w:rFonts w:ascii="Times New Roman" w:eastAsia="Yu Mincho" w:hAnsi="Times New Roman" w:cs="Times New Roman"/>
          <w:i/>
          <w:noProof/>
          <w:kern w:val="0"/>
          <w:sz w:val="20"/>
          <w:szCs w:val="20"/>
          <w14:ligatures w14:val="none"/>
        </w:rPr>
        <w:t>‘outsider’</w:t>
      </w:r>
      <w:r w:rsidRPr="00FB4E2D">
        <w:rPr>
          <w:rFonts w:ascii="Times New Roman" w:eastAsia="Yu Mincho" w:hAnsi="Times New Roman" w:cs="Times New Roman"/>
          <w:i/>
          <w:noProof/>
          <w:kern w:val="0"/>
          <w:sz w:val="20"/>
          <w:szCs w:val="20"/>
          <w14:ligatures w14:val="none"/>
        </w:rPr>
        <w:t xml:space="preserve">, and a consultant </w:t>
      </w:r>
      <w:r w:rsidR="0072526A" w:rsidRPr="00FB4E2D">
        <w:rPr>
          <w:rFonts w:ascii="Times New Roman" w:eastAsia="Yu Mincho" w:hAnsi="Times New Roman" w:cs="Times New Roman"/>
          <w:i/>
          <w:noProof/>
          <w:kern w:val="0"/>
          <w:sz w:val="20"/>
          <w:szCs w:val="20"/>
          <w14:ligatures w14:val="none"/>
        </w:rPr>
        <w:t xml:space="preserve">from </w:t>
      </w:r>
      <w:r w:rsidRPr="00FB4E2D">
        <w:rPr>
          <w:rFonts w:ascii="Times New Roman" w:eastAsia="Yu Mincho" w:hAnsi="Times New Roman" w:cs="Times New Roman"/>
          <w:i/>
          <w:noProof/>
          <w:kern w:val="0"/>
          <w:sz w:val="20"/>
          <w:szCs w:val="20"/>
          <w14:ligatures w14:val="none"/>
        </w:rPr>
        <w:t xml:space="preserve">the Dutch </w:t>
      </w:r>
      <w:r w:rsidR="0072526A" w:rsidRPr="00FB4E2D">
        <w:rPr>
          <w:rFonts w:ascii="Times New Roman" w:eastAsia="Yu Mincho" w:hAnsi="Times New Roman" w:cs="Times New Roman"/>
          <w:i/>
          <w:noProof/>
          <w:kern w:val="0"/>
          <w:sz w:val="20"/>
          <w:szCs w:val="20"/>
          <w14:ligatures w14:val="none"/>
        </w:rPr>
        <w:t>senior civil service</w:t>
      </w:r>
      <w:r w:rsidRPr="00FB4E2D">
        <w:rPr>
          <w:rFonts w:ascii="Times New Roman" w:eastAsia="Yu Mincho" w:hAnsi="Times New Roman" w:cs="Times New Roman"/>
          <w:i/>
          <w:noProof/>
          <w:kern w:val="0"/>
          <w:sz w:val="20"/>
          <w:szCs w:val="20"/>
          <w14:ligatures w14:val="none"/>
        </w:rPr>
        <w:t xml:space="preserve"> (ABD), proposes the chair and the other two board members of the NCA to the Minister </w:t>
      </w:r>
      <w:r w:rsidR="0072526A" w:rsidRPr="00FB4E2D">
        <w:rPr>
          <w:rFonts w:ascii="Times New Roman" w:eastAsia="Yu Mincho" w:hAnsi="Times New Roman" w:cs="Times New Roman"/>
          <w:i/>
          <w:noProof/>
          <w:kern w:val="0"/>
          <w:sz w:val="20"/>
          <w:szCs w:val="20"/>
          <w14:ligatures w14:val="none"/>
        </w:rPr>
        <w:t xml:space="preserve">for </w:t>
      </w:r>
      <w:r w:rsidRPr="00FB4E2D">
        <w:rPr>
          <w:rFonts w:ascii="Times New Roman" w:eastAsia="Yu Mincho" w:hAnsi="Times New Roman" w:cs="Times New Roman"/>
          <w:i/>
          <w:noProof/>
          <w:kern w:val="0"/>
          <w:sz w:val="20"/>
          <w:szCs w:val="20"/>
          <w14:ligatures w14:val="none"/>
        </w:rPr>
        <w:t xml:space="preserve">Economic Affairs, who then proposes them further. The Council of </w:t>
      </w:r>
      <w:r w:rsidR="0072526A" w:rsidRPr="00FB4E2D">
        <w:rPr>
          <w:rFonts w:ascii="Times New Roman" w:eastAsia="Yu Mincho" w:hAnsi="Times New Roman" w:cs="Times New Roman"/>
          <w:i/>
          <w:noProof/>
          <w:kern w:val="0"/>
          <w:sz w:val="20"/>
          <w:szCs w:val="20"/>
          <w14:ligatures w14:val="none"/>
        </w:rPr>
        <w:t xml:space="preserve">Ministers </w:t>
      </w:r>
      <w:r w:rsidRPr="00FB4E2D">
        <w:rPr>
          <w:rFonts w:ascii="Times New Roman" w:eastAsia="Yu Mincho" w:hAnsi="Times New Roman" w:cs="Times New Roman"/>
          <w:i/>
          <w:noProof/>
          <w:kern w:val="0"/>
          <w:sz w:val="20"/>
          <w:szCs w:val="20"/>
          <w14:ligatures w14:val="none"/>
        </w:rPr>
        <w:t xml:space="preserve">appoints them. The Ministry of Economic Affairs proposes the dismissal and dismisses the members. </w:t>
      </w:r>
      <w:r w:rsidRPr="00FB4E2D">
        <w:rPr>
          <w:rFonts w:ascii="Times New Roman" w:eastAsia="Yu Mincho" w:hAnsi="Times New Roman" w:cs="Times New Roman"/>
          <w:b/>
          <w:i/>
          <w:noProof/>
          <w:kern w:val="0"/>
          <w:sz w:val="20"/>
          <w:szCs w:val="20"/>
          <w14:ligatures w14:val="none"/>
        </w:rPr>
        <w:t>AT</w:t>
      </w:r>
      <w:r w:rsidRPr="00FB4E2D">
        <w:rPr>
          <w:rFonts w:ascii="Times New Roman" w:eastAsia="Yu Mincho" w:hAnsi="Times New Roman" w:cs="Times New Roman"/>
          <w:i/>
          <w:noProof/>
          <w:kern w:val="0"/>
          <w:sz w:val="20"/>
          <w:szCs w:val="20"/>
          <w14:ligatures w14:val="none"/>
        </w:rPr>
        <w:t xml:space="preserve">: The Government proposes the </w:t>
      </w:r>
      <w:r w:rsidR="0072526A" w:rsidRPr="00FB4E2D">
        <w:rPr>
          <w:rFonts w:ascii="Times New Roman" w:eastAsia="Yu Mincho" w:hAnsi="Times New Roman" w:cs="Times New Roman"/>
          <w:i/>
          <w:noProof/>
          <w:kern w:val="0"/>
          <w:sz w:val="20"/>
          <w:szCs w:val="20"/>
          <w14:ligatures w14:val="none"/>
        </w:rPr>
        <w:t>director-general</w:t>
      </w:r>
      <w:r w:rsidRPr="00FB4E2D">
        <w:rPr>
          <w:rFonts w:ascii="Times New Roman" w:eastAsia="Yu Mincho" w:hAnsi="Times New Roman" w:cs="Times New Roman"/>
          <w:i/>
          <w:noProof/>
          <w:kern w:val="0"/>
          <w:sz w:val="20"/>
          <w:szCs w:val="20"/>
          <w14:ligatures w14:val="none"/>
        </w:rPr>
        <w:t xml:space="preserve"> of the Federal Competition Authority, the President appoints. The Government proposes the dismissal of the </w:t>
      </w:r>
      <w:r w:rsidR="0072526A" w:rsidRPr="00FB4E2D">
        <w:rPr>
          <w:rFonts w:ascii="Times New Roman" w:eastAsia="Yu Mincho" w:hAnsi="Times New Roman" w:cs="Times New Roman"/>
          <w:i/>
          <w:noProof/>
          <w:kern w:val="0"/>
          <w:sz w:val="20"/>
          <w:szCs w:val="20"/>
          <w14:ligatures w14:val="none"/>
        </w:rPr>
        <w:t>authority’s director-general</w:t>
      </w:r>
      <w:r w:rsidRPr="00FB4E2D">
        <w:rPr>
          <w:rFonts w:ascii="Times New Roman" w:eastAsia="Yu Mincho" w:hAnsi="Times New Roman" w:cs="Times New Roman"/>
          <w:i/>
          <w:noProof/>
          <w:kern w:val="0"/>
          <w:sz w:val="20"/>
          <w:szCs w:val="20"/>
          <w14:ligatures w14:val="none"/>
        </w:rPr>
        <w:t>, the President dismisses</w:t>
      </w:r>
      <w:r w:rsidR="0072526A" w:rsidRPr="00FB4E2D">
        <w:rPr>
          <w:rFonts w:ascii="Times New Roman" w:eastAsia="Yu Mincho" w:hAnsi="Times New Roman" w:cs="Times New Roman"/>
          <w:i/>
          <w:noProof/>
          <w:kern w:val="0"/>
          <w:sz w:val="20"/>
          <w:szCs w:val="20"/>
          <w14:ligatures w14:val="none"/>
        </w:rPr>
        <w:t xml:space="preserve"> them.</w:t>
      </w:r>
      <w:r w:rsidRPr="00FB4E2D">
        <w:rPr>
          <w:rFonts w:ascii="Times New Roman" w:eastAsia="Yu Mincho" w:hAnsi="Times New Roman" w:cs="Times New Roman"/>
          <w:i/>
          <w:noProof/>
          <w:kern w:val="0"/>
          <w:sz w:val="20"/>
          <w:szCs w:val="20"/>
          <w14:ligatures w14:val="none"/>
        </w:rPr>
        <w:t xml:space="preserve"> </w:t>
      </w:r>
      <w:r w:rsidRPr="00FB4E2D">
        <w:rPr>
          <w:rFonts w:ascii="Times New Roman" w:eastAsia="Yu Mincho" w:hAnsi="Times New Roman" w:cs="Times New Roman"/>
          <w:b/>
          <w:i/>
          <w:noProof/>
          <w:kern w:val="0"/>
          <w:sz w:val="20"/>
          <w:szCs w:val="20"/>
          <w14:ligatures w14:val="none"/>
        </w:rPr>
        <w:t>PL</w:t>
      </w:r>
      <w:r w:rsidRPr="00FB4E2D">
        <w:rPr>
          <w:rFonts w:ascii="Times New Roman" w:eastAsia="Yu Mincho" w:hAnsi="Times New Roman" w:cs="Times New Roman"/>
          <w:i/>
          <w:noProof/>
          <w:kern w:val="0"/>
          <w:sz w:val="20"/>
          <w:szCs w:val="20"/>
          <w14:ligatures w14:val="none"/>
        </w:rPr>
        <w:t xml:space="preserve">: The Prime Minister proposes and appoints the members of the NCA. The Prime Minister proposes the dismissal and dismisses the members of the NCA. </w:t>
      </w:r>
      <w:r w:rsidRPr="00FB4E2D">
        <w:rPr>
          <w:rFonts w:ascii="Times New Roman" w:eastAsia="Yu Mincho" w:hAnsi="Times New Roman" w:cs="Times New Roman"/>
          <w:b/>
          <w:i/>
          <w:noProof/>
          <w:kern w:val="0"/>
          <w:sz w:val="20"/>
          <w:szCs w:val="20"/>
          <w14:ligatures w14:val="none"/>
        </w:rPr>
        <w:t>PT</w:t>
      </w:r>
      <w:r w:rsidRPr="00FB4E2D">
        <w:rPr>
          <w:rFonts w:ascii="Times New Roman" w:eastAsia="Yu Mincho" w:hAnsi="Times New Roman" w:cs="Times New Roman"/>
          <w:i/>
          <w:noProof/>
          <w:kern w:val="0"/>
          <w:sz w:val="20"/>
          <w:szCs w:val="20"/>
          <w14:ligatures w14:val="none"/>
        </w:rPr>
        <w:t xml:space="preserve">: The Ministry of Economy proposes the members of the decision-making body of the NCA, </w:t>
      </w:r>
      <w:r w:rsidR="0072526A" w:rsidRPr="00FB4E2D">
        <w:rPr>
          <w:rFonts w:ascii="Times New Roman" w:eastAsia="Yu Mincho" w:hAnsi="Times New Roman" w:cs="Times New Roman"/>
          <w:i/>
          <w:noProof/>
          <w:kern w:val="0"/>
          <w:sz w:val="20"/>
          <w:szCs w:val="20"/>
          <w14:ligatures w14:val="none"/>
        </w:rPr>
        <w:t>p</w:t>
      </w:r>
      <w:r w:rsidRPr="00FB4E2D">
        <w:rPr>
          <w:rFonts w:ascii="Times New Roman" w:eastAsia="Yu Mincho" w:hAnsi="Times New Roman" w:cs="Times New Roman"/>
          <w:i/>
          <w:noProof/>
          <w:kern w:val="0"/>
          <w:sz w:val="20"/>
          <w:szCs w:val="20"/>
          <w14:ligatures w14:val="none"/>
        </w:rPr>
        <w:t xml:space="preserve">arliament gives a reasoned opinion, the Government appoints them. Parliament or the Council of Ministers propose a dismissal, the Council of Ministers dismisses. </w:t>
      </w:r>
      <w:r w:rsidRPr="00FB4E2D">
        <w:rPr>
          <w:rFonts w:ascii="Times New Roman" w:eastAsia="Yu Mincho" w:hAnsi="Times New Roman" w:cs="Times New Roman"/>
          <w:b/>
          <w:i/>
          <w:noProof/>
          <w:kern w:val="0"/>
          <w:sz w:val="20"/>
          <w:szCs w:val="20"/>
          <w14:ligatures w14:val="none"/>
        </w:rPr>
        <w:t>RO</w:t>
      </w:r>
      <w:r w:rsidRPr="00FB4E2D">
        <w:rPr>
          <w:rFonts w:ascii="Times New Roman" w:eastAsia="Yu Mincho" w:hAnsi="Times New Roman" w:cs="Times New Roman"/>
          <w:i/>
          <w:noProof/>
          <w:kern w:val="0"/>
          <w:sz w:val="20"/>
          <w:szCs w:val="20"/>
          <w14:ligatures w14:val="none"/>
        </w:rPr>
        <w:t xml:space="preserve">: There is an open call for application for the </w:t>
      </w:r>
      <w:r w:rsidR="0072526A" w:rsidRPr="00FB4E2D">
        <w:rPr>
          <w:rFonts w:ascii="Times New Roman" w:eastAsia="Yu Mincho" w:hAnsi="Times New Roman" w:cs="Times New Roman"/>
          <w:i/>
          <w:noProof/>
          <w:kern w:val="0"/>
          <w:sz w:val="20"/>
          <w:szCs w:val="20"/>
          <w14:ligatures w14:val="none"/>
        </w:rPr>
        <w:t>nine</w:t>
      </w:r>
      <w:r w:rsidRPr="00FB4E2D">
        <w:rPr>
          <w:rFonts w:ascii="Times New Roman" w:eastAsia="Yu Mincho" w:hAnsi="Times New Roman" w:cs="Times New Roman"/>
          <w:i/>
          <w:noProof/>
          <w:kern w:val="0"/>
          <w:sz w:val="20"/>
          <w:szCs w:val="20"/>
          <w14:ligatures w14:val="none"/>
        </w:rPr>
        <w:t xml:space="preserve"> members of the </w:t>
      </w:r>
      <w:r w:rsidR="0072526A" w:rsidRPr="00FB4E2D">
        <w:rPr>
          <w:rFonts w:ascii="Times New Roman" w:eastAsia="Yu Mincho" w:hAnsi="Times New Roman" w:cs="Times New Roman"/>
          <w:i/>
          <w:noProof/>
          <w:kern w:val="0"/>
          <w:sz w:val="20"/>
          <w:szCs w:val="20"/>
          <w14:ligatures w14:val="none"/>
        </w:rPr>
        <w:t>p</w:t>
      </w:r>
      <w:r w:rsidRPr="00FB4E2D">
        <w:rPr>
          <w:rFonts w:ascii="Times New Roman" w:eastAsia="Yu Mincho" w:hAnsi="Times New Roman" w:cs="Times New Roman"/>
          <w:i/>
          <w:noProof/>
          <w:kern w:val="0"/>
          <w:sz w:val="20"/>
          <w:szCs w:val="20"/>
          <w14:ligatures w14:val="none"/>
        </w:rPr>
        <w:t xml:space="preserve">lenum of the Competition Council. The Standing </w:t>
      </w:r>
      <w:r w:rsidR="0072526A" w:rsidRPr="00FB4E2D">
        <w:rPr>
          <w:rFonts w:ascii="Times New Roman" w:eastAsia="Yu Mincho" w:hAnsi="Times New Roman" w:cs="Times New Roman"/>
          <w:i/>
          <w:noProof/>
          <w:kern w:val="0"/>
          <w:sz w:val="20"/>
          <w:szCs w:val="20"/>
          <w14:ligatures w14:val="none"/>
        </w:rPr>
        <w:t>Bureaux</w:t>
      </w:r>
      <w:r w:rsidRPr="00FB4E2D">
        <w:rPr>
          <w:rFonts w:ascii="Times New Roman" w:eastAsia="Yu Mincho" w:hAnsi="Times New Roman" w:cs="Times New Roman"/>
          <w:i/>
          <w:noProof/>
          <w:kern w:val="0"/>
          <w:sz w:val="20"/>
          <w:szCs w:val="20"/>
          <w14:ligatures w14:val="none"/>
        </w:rPr>
        <w:t xml:space="preserve"> of the Chamber of Deputies and the Senate and the Legal and Economic Committees of the Chambers propose the candidates, the Chamber of Deputies and the Senate elect and appoint the members. The dismissal of the members takes place de iure, when the Supreme Court decides upon an infringement. </w:t>
      </w:r>
      <w:r w:rsidRPr="00FB4E2D">
        <w:rPr>
          <w:rFonts w:ascii="Times New Roman" w:eastAsia="Yu Mincho" w:hAnsi="Times New Roman" w:cs="Times New Roman"/>
          <w:b/>
          <w:i/>
          <w:noProof/>
          <w:kern w:val="0"/>
          <w:sz w:val="20"/>
          <w:szCs w:val="20"/>
          <w14:ligatures w14:val="none"/>
        </w:rPr>
        <w:t>SI</w:t>
      </w:r>
      <w:r w:rsidRPr="00FB4E2D">
        <w:rPr>
          <w:rFonts w:ascii="Times New Roman" w:eastAsia="Yu Mincho" w:hAnsi="Times New Roman" w:cs="Times New Roman"/>
          <w:i/>
          <w:noProof/>
          <w:kern w:val="0"/>
          <w:sz w:val="20"/>
          <w:szCs w:val="20"/>
          <w14:ligatures w14:val="none"/>
        </w:rPr>
        <w:t xml:space="preserve">: The Government and the Ministry of Economy propose the members of the NCA, </w:t>
      </w:r>
      <w:r w:rsidR="0072526A" w:rsidRPr="00FB4E2D">
        <w:rPr>
          <w:rFonts w:ascii="Times New Roman" w:eastAsia="Yu Mincho" w:hAnsi="Times New Roman" w:cs="Times New Roman"/>
          <w:i/>
          <w:noProof/>
          <w:kern w:val="0"/>
          <w:sz w:val="20"/>
          <w:szCs w:val="20"/>
          <w14:ligatures w14:val="none"/>
        </w:rPr>
        <w:t>p</w:t>
      </w:r>
      <w:r w:rsidRPr="00FB4E2D">
        <w:rPr>
          <w:rFonts w:ascii="Times New Roman" w:eastAsia="Yu Mincho" w:hAnsi="Times New Roman" w:cs="Times New Roman"/>
          <w:i/>
          <w:noProof/>
          <w:kern w:val="0"/>
          <w:sz w:val="20"/>
          <w:szCs w:val="20"/>
          <w14:ligatures w14:val="none"/>
        </w:rPr>
        <w:t xml:space="preserve">arliament elects them. The Government proposes the dismissal, </w:t>
      </w:r>
      <w:r w:rsidR="0072526A" w:rsidRPr="00FB4E2D">
        <w:rPr>
          <w:rFonts w:ascii="Times New Roman" w:eastAsia="Yu Mincho" w:hAnsi="Times New Roman" w:cs="Times New Roman"/>
          <w:i/>
          <w:noProof/>
          <w:kern w:val="0"/>
          <w:sz w:val="20"/>
          <w:szCs w:val="20"/>
          <w14:ligatures w14:val="none"/>
        </w:rPr>
        <w:t>p</w:t>
      </w:r>
      <w:r w:rsidRPr="00FB4E2D">
        <w:rPr>
          <w:rFonts w:ascii="Times New Roman" w:eastAsia="Yu Mincho" w:hAnsi="Times New Roman" w:cs="Times New Roman"/>
          <w:i/>
          <w:noProof/>
          <w:kern w:val="0"/>
          <w:sz w:val="20"/>
          <w:szCs w:val="20"/>
          <w14:ligatures w14:val="none"/>
        </w:rPr>
        <w:t xml:space="preserve">arliament dismisses them. </w:t>
      </w:r>
      <w:r w:rsidRPr="00FB4E2D">
        <w:rPr>
          <w:rFonts w:ascii="Times New Roman" w:eastAsia="Yu Mincho" w:hAnsi="Times New Roman" w:cs="Times New Roman"/>
          <w:b/>
          <w:i/>
          <w:noProof/>
          <w:kern w:val="0"/>
          <w:sz w:val="20"/>
          <w:szCs w:val="20"/>
          <w14:ligatures w14:val="none"/>
        </w:rPr>
        <w:t>SK</w:t>
      </w:r>
      <w:r w:rsidRPr="00FB4E2D">
        <w:rPr>
          <w:rFonts w:ascii="Times New Roman" w:eastAsia="Yu Mincho" w:hAnsi="Times New Roman" w:cs="Times New Roman"/>
          <w:i/>
          <w:noProof/>
          <w:kern w:val="0"/>
          <w:sz w:val="20"/>
          <w:szCs w:val="20"/>
          <w14:ligatures w14:val="none"/>
        </w:rPr>
        <w:t xml:space="preserve">: The decision-making of the Antimonopoly Office consists of two instances, the Office and the Council of the Antimonopoly Office. In the first instance, the decision is adopted by respective department of the Office. In the second instance, the Council of the Antimonopoly Office of the SR (the “Council”) decides on appeals and reviews the Office´s decisions. The chart reflects the situation of the Council of the Antimonopoly Board. The Chairperson of the Office proposes the members of the Council of the Antimonopoly Office, which consists of the Chairperson of the Office </w:t>
      </w:r>
      <w:r w:rsidR="00EC3299" w:rsidRPr="00FB4E2D">
        <w:rPr>
          <w:rFonts w:ascii="Times New Roman" w:eastAsia="Yu Mincho" w:hAnsi="Times New Roman" w:cs="Times New Roman"/>
          <w:i/>
          <w:noProof/>
          <w:kern w:val="0"/>
          <w:sz w:val="20"/>
          <w:szCs w:val="20"/>
          <w14:ligatures w14:val="none"/>
        </w:rPr>
        <w:t xml:space="preserve">themselves </w:t>
      </w:r>
      <w:r w:rsidRPr="00FB4E2D">
        <w:rPr>
          <w:rFonts w:ascii="Times New Roman" w:eastAsia="Yu Mincho" w:hAnsi="Times New Roman" w:cs="Times New Roman"/>
          <w:i/>
          <w:noProof/>
          <w:kern w:val="0"/>
          <w:sz w:val="20"/>
          <w:szCs w:val="20"/>
          <w14:ligatures w14:val="none"/>
        </w:rPr>
        <w:t xml:space="preserve">and six members of the Council. The Government appoints them. The Chairperson of the Office proposes the dismissal, the Government dismisses. Chair of the Council is appointed and dismissed by the President of the Republic. </w:t>
      </w:r>
      <w:r w:rsidRPr="00FB4E2D">
        <w:rPr>
          <w:rFonts w:ascii="Times New Roman" w:eastAsia="Yu Mincho" w:hAnsi="Times New Roman" w:cs="Times New Roman"/>
          <w:b/>
          <w:i/>
          <w:noProof/>
          <w:kern w:val="0"/>
          <w:sz w:val="20"/>
          <w:szCs w:val="20"/>
          <w14:ligatures w14:val="none"/>
        </w:rPr>
        <w:t>FI</w:t>
      </w:r>
      <w:r w:rsidRPr="00FB4E2D">
        <w:rPr>
          <w:rFonts w:ascii="Times New Roman" w:eastAsia="Yu Mincho" w:hAnsi="Times New Roman" w:cs="Times New Roman"/>
          <w:i/>
          <w:noProof/>
          <w:kern w:val="0"/>
          <w:sz w:val="20"/>
          <w:szCs w:val="20"/>
          <w14:ligatures w14:val="none"/>
        </w:rPr>
        <w:t xml:space="preserve">: The Ministry of the Economic Affairs and Employment proposes the </w:t>
      </w:r>
      <w:r w:rsidR="00B467ED" w:rsidRPr="00FB4E2D">
        <w:rPr>
          <w:rFonts w:ascii="Times New Roman" w:eastAsia="Yu Mincho" w:hAnsi="Times New Roman" w:cs="Times New Roman"/>
          <w:i/>
          <w:noProof/>
          <w:kern w:val="0"/>
          <w:sz w:val="20"/>
          <w:szCs w:val="20"/>
          <w14:ligatures w14:val="none"/>
        </w:rPr>
        <w:t>director-general</w:t>
      </w:r>
      <w:r w:rsidRPr="00FB4E2D">
        <w:rPr>
          <w:rFonts w:ascii="Times New Roman" w:eastAsia="Yu Mincho" w:hAnsi="Times New Roman" w:cs="Times New Roman"/>
          <w:i/>
          <w:noProof/>
          <w:kern w:val="0"/>
          <w:sz w:val="20"/>
          <w:szCs w:val="20"/>
          <w14:ligatures w14:val="none"/>
        </w:rPr>
        <w:t xml:space="preserve"> as well as the </w:t>
      </w:r>
      <w:r w:rsidR="00B467ED" w:rsidRPr="00FB4E2D">
        <w:rPr>
          <w:rFonts w:ascii="Times New Roman" w:eastAsia="Yu Mincho" w:hAnsi="Times New Roman" w:cs="Times New Roman"/>
          <w:i/>
          <w:noProof/>
          <w:kern w:val="0"/>
          <w:sz w:val="20"/>
          <w:szCs w:val="20"/>
          <w14:ligatures w14:val="none"/>
        </w:rPr>
        <w:t>h</w:t>
      </w:r>
      <w:r w:rsidRPr="00FB4E2D">
        <w:rPr>
          <w:rFonts w:ascii="Times New Roman" w:eastAsia="Yu Mincho" w:hAnsi="Times New Roman" w:cs="Times New Roman"/>
          <w:i/>
          <w:noProof/>
          <w:kern w:val="0"/>
          <w:sz w:val="20"/>
          <w:szCs w:val="20"/>
          <w14:ligatures w14:val="none"/>
        </w:rPr>
        <w:t xml:space="preserve">ead of Competition Division of the Competition and Consumer Authority, the Government appoints them. The Government dismisses the </w:t>
      </w:r>
      <w:r w:rsidR="00B467ED" w:rsidRPr="00FB4E2D">
        <w:rPr>
          <w:rFonts w:ascii="Times New Roman" w:eastAsia="Yu Mincho" w:hAnsi="Times New Roman" w:cs="Times New Roman"/>
          <w:i/>
          <w:noProof/>
          <w:kern w:val="0"/>
          <w:sz w:val="20"/>
          <w:szCs w:val="20"/>
          <w14:ligatures w14:val="none"/>
        </w:rPr>
        <w:t>d</w:t>
      </w:r>
      <w:r w:rsidRPr="00FB4E2D">
        <w:rPr>
          <w:rFonts w:ascii="Times New Roman" w:eastAsia="Yu Mincho" w:hAnsi="Times New Roman" w:cs="Times New Roman"/>
          <w:i/>
          <w:noProof/>
          <w:kern w:val="0"/>
          <w:sz w:val="20"/>
          <w:szCs w:val="20"/>
          <w14:ligatures w14:val="none"/>
        </w:rPr>
        <w:t xml:space="preserve">irectors. </w:t>
      </w:r>
      <w:r w:rsidRPr="00FB4E2D">
        <w:rPr>
          <w:rFonts w:ascii="Times New Roman" w:eastAsia="Yu Mincho" w:hAnsi="Times New Roman" w:cs="Times New Roman"/>
          <w:b/>
          <w:i/>
          <w:noProof/>
          <w:kern w:val="0"/>
          <w:sz w:val="20"/>
          <w:szCs w:val="20"/>
          <w14:ligatures w14:val="none"/>
        </w:rPr>
        <w:t>SE</w:t>
      </w:r>
      <w:r w:rsidRPr="00FB4E2D">
        <w:rPr>
          <w:rFonts w:ascii="Times New Roman" w:eastAsia="Yu Mincho" w:hAnsi="Times New Roman" w:cs="Times New Roman"/>
          <w:i/>
          <w:noProof/>
          <w:kern w:val="0"/>
          <w:sz w:val="20"/>
          <w:szCs w:val="20"/>
          <w14:ligatures w14:val="none"/>
        </w:rPr>
        <w:t xml:space="preserve">: The Government proposes and appoints the </w:t>
      </w:r>
      <w:r w:rsidR="00B467ED" w:rsidRPr="00FB4E2D">
        <w:rPr>
          <w:rFonts w:ascii="Times New Roman" w:eastAsia="Yu Mincho" w:hAnsi="Times New Roman" w:cs="Times New Roman"/>
          <w:i/>
          <w:noProof/>
          <w:kern w:val="0"/>
          <w:sz w:val="20"/>
          <w:szCs w:val="20"/>
          <w14:ligatures w14:val="none"/>
        </w:rPr>
        <w:t>director-general</w:t>
      </w:r>
      <w:r w:rsidRPr="00FB4E2D">
        <w:rPr>
          <w:rFonts w:ascii="Times New Roman" w:eastAsia="Yu Mincho" w:hAnsi="Times New Roman" w:cs="Times New Roman"/>
          <w:i/>
          <w:noProof/>
          <w:kern w:val="0"/>
          <w:sz w:val="20"/>
          <w:szCs w:val="20"/>
          <w14:ligatures w14:val="none"/>
        </w:rPr>
        <w:t xml:space="preserve"> of the NCA. The Government proposes </w:t>
      </w:r>
      <w:r w:rsidR="00B467ED" w:rsidRPr="00FB4E2D">
        <w:rPr>
          <w:rFonts w:ascii="Times New Roman" w:eastAsia="Yu Mincho" w:hAnsi="Times New Roman" w:cs="Times New Roman"/>
          <w:i/>
          <w:noProof/>
          <w:kern w:val="0"/>
          <w:sz w:val="20"/>
          <w:szCs w:val="20"/>
          <w14:ligatures w14:val="none"/>
        </w:rPr>
        <w:t xml:space="preserve">their </w:t>
      </w:r>
      <w:r w:rsidRPr="00FB4E2D">
        <w:rPr>
          <w:rFonts w:ascii="Times New Roman" w:eastAsia="Yu Mincho" w:hAnsi="Times New Roman" w:cs="Times New Roman"/>
          <w:i/>
          <w:noProof/>
          <w:kern w:val="0"/>
          <w:sz w:val="20"/>
          <w:szCs w:val="20"/>
          <w14:ligatures w14:val="none"/>
        </w:rPr>
        <w:t xml:space="preserve">dismissal, the Government </w:t>
      </w:r>
      <w:r w:rsidR="00B467ED" w:rsidRPr="00FB4E2D">
        <w:rPr>
          <w:rFonts w:ascii="Times New Roman" w:eastAsia="Yu Mincho" w:hAnsi="Times New Roman" w:cs="Times New Roman"/>
          <w:i/>
          <w:noProof/>
          <w:kern w:val="0"/>
          <w:sz w:val="20"/>
          <w:szCs w:val="20"/>
          <w14:ligatures w14:val="none"/>
        </w:rPr>
        <w:t>disciplinary board</w:t>
      </w:r>
      <w:r w:rsidRPr="00FB4E2D">
        <w:rPr>
          <w:rFonts w:ascii="Times New Roman" w:eastAsia="Yu Mincho" w:hAnsi="Times New Roman" w:cs="Times New Roman"/>
          <w:i/>
          <w:noProof/>
          <w:kern w:val="0"/>
          <w:sz w:val="20"/>
          <w:szCs w:val="20"/>
          <w14:ligatures w14:val="none"/>
        </w:rPr>
        <w:t xml:space="preserve"> for </w:t>
      </w:r>
      <w:r w:rsidR="00B467ED" w:rsidRPr="00FB4E2D">
        <w:rPr>
          <w:rFonts w:ascii="Times New Roman" w:eastAsia="Yu Mincho" w:hAnsi="Times New Roman" w:cs="Times New Roman"/>
          <w:i/>
          <w:noProof/>
          <w:kern w:val="0"/>
          <w:sz w:val="20"/>
          <w:szCs w:val="20"/>
          <w14:ligatures w14:val="none"/>
        </w:rPr>
        <w:t>higher officials</w:t>
      </w:r>
      <w:r w:rsidRPr="00FB4E2D">
        <w:rPr>
          <w:rFonts w:ascii="Times New Roman" w:eastAsia="Yu Mincho" w:hAnsi="Times New Roman" w:cs="Times New Roman"/>
          <w:i/>
          <w:noProof/>
          <w:kern w:val="0"/>
          <w:sz w:val="20"/>
          <w:szCs w:val="20"/>
          <w14:ligatures w14:val="none"/>
        </w:rPr>
        <w:t xml:space="preserve"> dismisses the </w:t>
      </w:r>
      <w:r w:rsidR="00B467ED" w:rsidRPr="00FB4E2D">
        <w:rPr>
          <w:rFonts w:ascii="Times New Roman" w:eastAsia="Yu Mincho" w:hAnsi="Times New Roman" w:cs="Times New Roman"/>
          <w:i/>
          <w:noProof/>
          <w:kern w:val="0"/>
          <w:sz w:val="20"/>
          <w:szCs w:val="20"/>
          <w14:ligatures w14:val="none"/>
        </w:rPr>
        <w:t>director-general.</w:t>
      </w:r>
    </w:p>
    <w:p w14:paraId="6623B0B2" w14:textId="708BE7A4" w:rsidR="00A02C07" w:rsidRPr="00FB4E2D" w:rsidRDefault="00A02C07" w:rsidP="005222C7">
      <w:pPr>
        <w:spacing w:before="240" w:after="0" w:line="240" w:lineRule="auto"/>
        <w:jc w:val="both"/>
        <w:rPr>
          <w:rFonts w:ascii="Times New Roman" w:eastAsia="Times New Roman" w:hAnsi="Times New Roman" w:cs="Times New Roman"/>
          <w:i/>
          <w:noProof/>
          <w:kern w:val="0"/>
          <w:sz w:val="20"/>
          <w:szCs w:val="20"/>
          <w14:ligatures w14:val="none"/>
        </w:rPr>
      </w:pPr>
      <w:r w:rsidRPr="00FB4E2D">
        <w:rPr>
          <w:rFonts w:ascii="Times New Roman" w:eastAsia="Times New Roman" w:hAnsi="Times New Roman" w:cs="Times New Roman"/>
          <w:noProof/>
          <w:kern w:val="0"/>
          <w14:ligatures w14:val="none"/>
        </w:rPr>
        <w:t>Supreme audit institutions (SAIs) are public oversight institutions which audit the use of public funds. Their principal task is to examine whether public funds are spent economically, efficiently and effectively in compliance with existing rules and regulations. Effective auditing helps build integrity in the public finances and combat corruption. It leads to the detection of illicit use of funds and corruption and helps to bring perpetrators to justice. SAIs are also part of the national systems of checks and balances in safeguarding the rule of law. Cooperation between the SAIs of the EU and the European Court of Auditors (ECA) principally takes place within the framework of the Contact Committee</w:t>
      </w:r>
      <w:r w:rsidR="00B467ED"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vertAlign w:val="superscript"/>
          <w14:ligatures w14:val="none"/>
        </w:rPr>
        <w:footnoteReference w:id="135"/>
      </w:r>
      <w:r w:rsidRPr="00FB4E2D">
        <w:rPr>
          <w:rFonts w:ascii="Times New Roman" w:eastAsia="Times New Roman" w:hAnsi="Times New Roman" w:cs="Times New Roman"/>
          <w:noProof/>
          <w:kern w:val="0"/>
          <w14:ligatures w14:val="none"/>
        </w:rPr>
        <w:t>).</w:t>
      </w:r>
    </w:p>
    <w:p w14:paraId="023E7F80" w14:textId="05B0A637" w:rsidR="00A02C07" w:rsidRPr="00FB4E2D" w:rsidRDefault="00A02C07" w:rsidP="00A02C07">
      <w:pPr>
        <w:spacing w:before="120"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The organisation of SAIs varies across the EU and there is no uniform model for all Member States. SAIs can be divided into two types: bodies with judicial authority (</w:t>
      </w:r>
      <w:r w:rsidRPr="00FB4E2D">
        <w:rPr>
          <w:rFonts w:ascii="Times New Roman" w:eastAsia="Times New Roman" w:hAnsi="Times New Roman" w:cs="Times New Roman"/>
          <w:noProof/>
          <w:kern w:val="0"/>
          <w:vertAlign w:val="superscript"/>
          <w14:ligatures w14:val="none"/>
        </w:rPr>
        <w:footnoteReference w:id="136"/>
      </w:r>
      <w:r w:rsidRPr="00FB4E2D">
        <w:rPr>
          <w:rFonts w:ascii="Times New Roman" w:eastAsia="Times New Roman" w:hAnsi="Times New Roman" w:cs="Times New Roman"/>
          <w:noProof/>
          <w:kern w:val="0"/>
          <w14:ligatures w14:val="none"/>
        </w:rPr>
        <w:t>) and those without. SAIs are either headed by a single person (</w:t>
      </w:r>
      <w:r w:rsidRPr="00FB4E2D">
        <w:rPr>
          <w:rFonts w:ascii="Times New Roman" w:eastAsia="Times New Roman" w:hAnsi="Times New Roman" w:cs="Times New Roman"/>
          <w:noProof/>
          <w:kern w:val="0"/>
          <w:vertAlign w:val="superscript"/>
          <w14:ligatures w14:val="none"/>
        </w:rPr>
        <w:footnoteReference w:id="137"/>
      </w:r>
      <w:r w:rsidRPr="00FB4E2D">
        <w:rPr>
          <w:rFonts w:ascii="Times New Roman" w:eastAsia="Times New Roman" w:hAnsi="Times New Roman" w:cs="Times New Roman"/>
          <w:noProof/>
          <w:kern w:val="0"/>
          <w14:ligatures w14:val="none"/>
        </w:rPr>
        <w:t>) or governed by a collegiate body (</w:t>
      </w:r>
      <w:r w:rsidRPr="00FB4E2D">
        <w:rPr>
          <w:rFonts w:ascii="Times New Roman" w:eastAsia="Times New Roman" w:hAnsi="Times New Roman" w:cs="Times New Roman"/>
          <w:noProof/>
          <w:kern w:val="0"/>
          <w:vertAlign w:val="superscript"/>
          <w14:ligatures w14:val="none"/>
        </w:rPr>
        <w:footnoteReference w:id="138"/>
      </w:r>
      <w:r w:rsidRPr="00FB4E2D">
        <w:rPr>
          <w:rFonts w:ascii="Times New Roman" w:eastAsia="Times New Roman" w:hAnsi="Times New Roman" w:cs="Times New Roman"/>
          <w:noProof/>
          <w:kern w:val="0"/>
          <w14:ligatures w14:val="none"/>
        </w:rPr>
        <w:t xml:space="preserve">). SAIs need to be independent operationally and financially autonomous. Unrestricted access to information is a core pillar </w:t>
      </w:r>
      <w:r w:rsidR="00067E4B" w:rsidRPr="00FB4E2D">
        <w:rPr>
          <w:rFonts w:ascii="Times New Roman" w:eastAsia="Times New Roman" w:hAnsi="Times New Roman" w:cs="Times New Roman"/>
          <w:noProof/>
          <w:kern w:val="0"/>
          <w14:ligatures w14:val="none"/>
        </w:rPr>
        <w:t>of effective</w:t>
      </w:r>
      <w:r w:rsidR="00B16A55" w:rsidRPr="00FB4E2D">
        <w:rPr>
          <w:rFonts w:ascii="Times New Roman" w:eastAsia="Times New Roman" w:hAnsi="Times New Roman" w:cs="Times New Roman"/>
          <w:noProof/>
          <w:kern w:val="0"/>
          <w14:ligatures w14:val="none"/>
        </w:rPr>
        <w:t xml:space="preserve"> SAI</w:t>
      </w:r>
      <w:r w:rsidRPr="00FB4E2D">
        <w:rPr>
          <w:rFonts w:ascii="Times New Roman" w:eastAsia="Times New Roman" w:hAnsi="Times New Roman" w:cs="Times New Roman"/>
          <w:noProof/>
          <w:kern w:val="0"/>
          <w14:ligatures w14:val="none"/>
        </w:rPr>
        <w:t xml:space="preserve"> functioning. International standards indicate that SAIs should have adequate powers to obtain timely, unfettered, direct, and free access to all the necessary documents and information, for the proper discharge of their statutory responsibilities (</w:t>
      </w:r>
      <w:r w:rsidRPr="00FB4E2D">
        <w:rPr>
          <w:rFonts w:ascii="Times New Roman" w:eastAsia="Times New Roman" w:hAnsi="Times New Roman" w:cs="Times New Roman"/>
          <w:noProof/>
          <w:kern w:val="0"/>
          <w:vertAlign w:val="superscript"/>
          <w14:ligatures w14:val="none"/>
        </w:rPr>
        <w:footnoteReference w:id="139"/>
      </w:r>
      <w:r w:rsidRPr="00FB4E2D">
        <w:rPr>
          <w:rFonts w:ascii="Times New Roman" w:eastAsia="Times New Roman" w:hAnsi="Times New Roman" w:cs="Times New Roman"/>
          <w:noProof/>
          <w:kern w:val="0"/>
          <w14:ligatures w14:val="none"/>
        </w:rPr>
        <w:t>).</w:t>
      </w:r>
    </w:p>
    <w:p w14:paraId="32ADF504" w14:textId="7F948CE8" w:rsidR="00A02C07" w:rsidRPr="00FB4E2D" w:rsidRDefault="00A02C07" w:rsidP="00A02C07">
      <w:pPr>
        <w:spacing w:before="120"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Figures 63 and 64 explore different aspects of the SAIs’ powers to obtain the necessary information for the efficient performance of their mandate. Figure 63 includes information on SAIs access in law and in practice, while Figure 64 indicates the measures available when the SAI is faced with obstacles in accessing information. </w:t>
      </w:r>
    </w:p>
    <w:p w14:paraId="569D780A"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u w:val="single"/>
          <w14:ligatures w14:val="none"/>
        </w:rPr>
        <w:t>Supreme audit institutions</w:t>
      </w:r>
      <w:r w:rsidRPr="00FB4E2D">
        <w:rPr>
          <w:rFonts w:ascii="Times New Roman" w:eastAsia="Times New Roman" w:hAnsi="Times New Roman" w:cs="Times New Roman"/>
          <w:b/>
          <w:noProof/>
          <w:kern w:val="0"/>
          <w14:ligatures w14:val="none"/>
        </w:rPr>
        <w:t xml:space="preserve">: access to information in law and practice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(source: European Commission with the Contact Committee on Supreme Audit Institutions)</w:t>
      </w:r>
    </w:p>
    <w:p w14:paraId="72130374" w14:textId="2D2A33D5" w:rsidR="00A02C07" w:rsidRPr="00FB4E2D" w:rsidRDefault="00F12F09" w:rsidP="00A02C07">
      <w:pPr>
        <w:spacing w:after="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4D1B7161" wp14:editId="39B607DF">
            <wp:extent cx="5976000" cy="3247757"/>
            <wp:effectExtent l="0" t="0" r="5715" b="0"/>
            <wp:docPr id="675473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76000" cy="3247757"/>
                    </a:xfrm>
                    <a:prstGeom prst="rect">
                      <a:avLst/>
                    </a:prstGeom>
                    <a:noFill/>
                  </pic:spPr>
                </pic:pic>
              </a:graphicData>
            </a:graphic>
          </wp:inline>
        </w:drawing>
      </w:r>
    </w:p>
    <w:p w14:paraId="5E786197" w14:textId="01695E03" w:rsidR="00A02C07" w:rsidRPr="00FB4E2D" w:rsidRDefault="00A02C07" w:rsidP="00A02C07">
      <w:pPr>
        <w:spacing w:after="0" w:line="240" w:lineRule="auto"/>
        <w:jc w:val="both"/>
        <w:rPr>
          <w:rFonts w:ascii="Times New Roman" w:eastAsia="Times New Roman" w:hAnsi="Times New Roman" w:cs="Times New Roman"/>
          <w:i/>
          <w:noProof/>
          <w:kern w:val="0"/>
          <w:sz w:val="20"/>
          <w:szCs w:val="20"/>
          <w14:ligatures w14:val="none"/>
        </w:rPr>
      </w:pP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Yu Mincho" w:hAnsi="Times New Roman" w:cs="Times New Roman"/>
          <w:i/>
          <w:noProof/>
          <w:kern w:val="0"/>
          <w:sz w:val="20"/>
          <w:szCs w:val="20"/>
          <w14:ligatures w14:val="none"/>
        </w:rPr>
        <w:t xml:space="preserve">On Restrictions: </w:t>
      </w:r>
      <w:r w:rsidRPr="00FB4E2D">
        <w:rPr>
          <w:rFonts w:ascii="Times New Roman" w:eastAsia="Yu Mincho" w:hAnsi="Times New Roman" w:cs="Times New Roman"/>
          <w:b/>
          <w:i/>
          <w:noProof/>
          <w:kern w:val="0"/>
          <w:sz w:val="20"/>
          <w:szCs w:val="20"/>
          <w14:ligatures w14:val="none"/>
        </w:rPr>
        <w:t>PL</w:t>
      </w:r>
      <w:r w:rsidRPr="00FB4E2D">
        <w:rPr>
          <w:rFonts w:ascii="Times New Roman" w:eastAsia="Yu Mincho" w:hAnsi="Times New Roman" w:cs="Times New Roman"/>
          <w:i/>
          <w:noProof/>
          <w:kern w:val="0"/>
          <w:sz w:val="20"/>
          <w:szCs w:val="20"/>
          <w14:ligatures w14:val="none"/>
        </w:rPr>
        <w:t xml:space="preserve">: </w:t>
      </w:r>
      <w:r w:rsidR="00035C7E" w:rsidRPr="00FB4E2D">
        <w:rPr>
          <w:rFonts w:ascii="Times New Roman" w:eastAsia="Yu Mincho" w:hAnsi="Times New Roman" w:cs="Times New Roman"/>
          <w:i/>
          <w:noProof/>
          <w:kern w:val="0"/>
          <w:sz w:val="20"/>
          <w:szCs w:val="20"/>
          <w14:ligatures w14:val="none"/>
        </w:rPr>
        <w:t>a</w:t>
      </w:r>
      <w:r w:rsidRPr="00FB4E2D">
        <w:rPr>
          <w:rFonts w:ascii="Times New Roman" w:eastAsia="Yu Mincho" w:hAnsi="Times New Roman" w:cs="Times New Roman"/>
          <w:i/>
          <w:noProof/>
          <w:kern w:val="0"/>
          <w:sz w:val="20"/>
          <w:szCs w:val="20"/>
          <w14:ligatures w14:val="none"/>
        </w:rPr>
        <w:t>ccess to information prescribed as privil</w:t>
      </w:r>
      <w:r w:rsidR="00160D1E" w:rsidRPr="00FB4E2D">
        <w:rPr>
          <w:rFonts w:ascii="Times New Roman" w:eastAsia="Yu Mincho" w:hAnsi="Times New Roman" w:cs="Times New Roman"/>
          <w:i/>
          <w:noProof/>
          <w:kern w:val="0"/>
          <w:sz w:val="20"/>
          <w:szCs w:val="20"/>
          <w14:ligatures w14:val="none"/>
        </w:rPr>
        <w:t>eg</w:t>
      </w:r>
      <w:r w:rsidRPr="00FB4E2D">
        <w:rPr>
          <w:rFonts w:ascii="Times New Roman" w:eastAsia="Yu Mincho" w:hAnsi="Times New Roman" w:cs="Times New Roman"/>
          <w:i/>
          <w:noProof/>
          <w:kern w:val="0"/>
          <w:sz w:val="20"/>
          <w:szCs w:val="20"/>
          <w14:ligatures w14:val="none"/>
        </w:rPr>
        <w:t xml:space="preserve">ed by law is excluded or limited; </w:t>
      </w:r>
      <w:r w:rsidRPr="00FB4E2D">
        <w:rPr>
          <w:rFonts w:ascii="Times New Roman" w:eastAsia="Yu Mincho" w:hAnsi="Times New Roman" w:cs="Times New Roman"/>
          <w:b/>
          <w:i/>
          <w:noProof/>
          <w:kern w:val="0"/>
          <w:sz w:val="20"/>
          <w:szCs w:val="20"/>
          <w14:ligatures w14:val="none"/>
        </w:rPr>
        <w:t>CY, CZ, NL</w:t>
      </w:r>
      <w:r w:rsidRPr="00FB4E2D">
        <w:rPr>
          <w:rFonts w:ascii="Times New Roman" w:eastAsia="Yu Mincho" w:hAnsi="Times New Roman" w:cs="Times New Roman"/>
          <w:i/>
          <w:noProof/>
          <w:kern w:val="0"/>
          <w:sz w:val="20"/>
          <w:szCs w:val="20"/>
          <w14:ligatures w14:val="none"/>
        </w:rPr>
        <w:t xml:space="preserve">: </w:t>
      </w:r>
      <w:r w:rsidR="00035C7E" w:rsidRPr="00FB4E2D">
        <w:rPr>
          <w:rFonts w:ascii="Times New Roman" w:eastAsia="Yu Mincho" w:hAnsi="Times New Roman" w:cs="Times New Roman"/>
          <w:i/>
          <w:noProof/>
          <w:kern w:val="0"/>
          <w:sz w:val="20"/>
          <w:szCs w:val="20"/>
          <w14:ligatures w14:val="none"/>
        </w:rPr>
        <w:t>r</w:t>
      </w:r>
      <w:r w:rsidRPr="00FB4E2D">
        <w:rPr>
          <w:rFonts w:ascii="Times New Roman" w:eastAsia="Yu Mincho" w:hAnsi="Times New Roman" w:cs="Times New Roman"/>
          <w:i/>
          <w:noProof/>
          <w:kern w:val="0"/>
          <w:sz w:val="20"/>
          <w:szCs w:val="20"/>
          <w14:ligatures w14:val="none"/>
        </w:rPr>
        <w:t xml:space="preserve">estrictions resulting from limitations/lack of clarity as to the SAI mandate; </w:t>
      </w:r>
      <w:r w:rsidRPr="00FB4E2D">
        <w:rPr>
          <w:rFonts w:ascii="Times New Roman" w:eastAsia="Yu Mincho" w:hAnsi="Times New Roman" w:cs="Times New Roman"/>
          <w:b/>
          <w:i/>
          <w:noProof/>
          <w:kern w:val="0"/>
          <w:sz w:val="20"/>
          <w:szCs w:val="20"/>
          <w14:ligatures w14:val="none"/>
        </w:rPr>
        <w:t>EL, FI</w:t>
      </w:r>
      <w:r w:rsidRPr="00FB4E2D">
        <w:rPr>
          <w:rFonts w:ascii="Times New Roman" w:eastAsia="Yu Mincho" w:hAnsi="Times New Roman" w:cs="Times New Roman"/>
          <w:i/>
          <w:noProof/>
          <w:kern w:val="0"/>
          <w:sz w:val="20"/>
          <w:szCs w:val="20"/>
          <w14:ligatures w14:val="none"/>
        </w:rPr>
        <w:t xml:space="preserve">: </w:t>
      </w:r>
      <w:r w:rsidR="00035C7E" w:rsidRPr="00FB4E2D">
        <w:rPr>
          <w:rFonts w:ascii="Times New Roman" w:eastAsia="Yu Mincho" w:hAnsi="Times New Roman" w:cs="Times New Roman"/>
          <w:i/>
          <w:noProof/>
          <w:kern w:val="0"/>
          <w:sz w:val="20"/>
          <w:szCs w:val="20"/>
          <w14:ligatures w14:val="none"/>
        </w:rPr>
        <w:t>r</w:t>
      </w:r>
      <w:r w:rsidRPr="00FB4E2D">
        <w:rPr>
          <w:rFonts w:ascii="Times New Roman" w:eastAsia="Yu Mincho" w:hAnsi="Times New Roman" w:cs="Times New Roman"/>
          <w:i/>
          <w:noProof/>
          <w:kern w:val="0"/>
          <w:sz w:val="20"/>
          <w:szCs w:val="20"/>
          <w14:ligatures w14:val="none"/>
        </w:rPr>
        <w:t xml:space="preserve">estrictions due to technical difficulties; </w:t>
      </w:r>
      <w:r w:rsidRPr="00FB4E2D">
        <w:rPr>
          <w:rFonts w:ascii="Times New Roman" w:eastAsia="Yu Mincho" w:hAnsi="Times New Roman" w:cs="Times New Roman"/>
          <w:b/>
          <w:i/>
          <w:noProof/>
          <w:kern w:val="0"/>
          <w:sz w:val="20"/>
          <w:szCs w:val="20"/>
          <w14:ligatures w14:val="none"/>
        </w:rPr>
        <w:t>BG, CZ, EL</w:t>
      </w:r>
      <w:r w:rsidRPr="00FB4E2D">
        <w:rPr>
          <w:rFonts w:ascii="Times New Roman" w:eastAsia="Yu Mincho" w:hAnsi="Times New Roman" w:cs="Times New Roman"/>
          <w:i/>
          <w:noProof/>
          <w:kern w:val="0"/>
          <w:sz w:val="20"/>
          <w:szCs w:val="20"/>
          <w14:ligatures w14:val="none"/>
        </w:rPr>
        <w:t xml:space="preserve">: </w:t>
      </w:r>
      <w:r w:rsidR="00035C7E" w:rsidRPr="00FB4E2D">
        <w:rPr>
          <w:rFonts w:ascii="Times New Roman" w:eastAsia="Yu Mincho" w:hAnsi="Times New Roman" w:cs="Times New Roman"/>
          <w:i/>
          <w:noProof/>
          <w:kern w:val="0"/>
          <w:sz w:val="20"/>
          <w:szCs w:val="20"/>
          <w14:ligatures w14:val="none"/>
        </w:rPr>
        <w:t>o</w:t>
      </w:r>
      <w:r w:rsidRPr="00FB4E2D">
        <w:rPr>
          <w:rFonts w:ascii="Times New Roman" w:eastAsia="Yu Mincho" w:hAnsi="Times New Roman" w:cs="Times New Roman"/>
          <w:i/>
          <w:noProof/>
          <w:kern w:val="0"/>
          <w:sz w:val="20"/>
          <w:szCs w:val="20"/>
          <w14:ligatures w14:val="none"/>
        </w:rPr>
        <w:t xml:space="preserve">bstacles/delays due to administrative practices; </w:t>
      </w:r>
      <w:r w:rsidRPr="00FB4E2D">
        <w:rPr>
          <w:rFonts w:ascii="Times New Roman" w:eastAsia="Yu Mincho" w:hAnsi="Times New Roman" w:cs="Times New Roman"/>
          <w:b/>
          <w:i/>
          <w:noProof/>
          <w:kern w:val="0"/>
          <w:sz w:val="20"/>
          <w:szCs w:val="20"/>
          <w14:ligatures w14:val="none"/>
        </w:rPr>
        <w:t>CY, NL, PL</w:t>
      </w:r>
      <w:r w:rsidRPr="00FB4E2D">
        <w:rPr>
          <w:rFonts w:ascii="Times New Roman" w:eastAsia="Yu Mincho" w:hAnsi="Times New Roman" w:cs="Times New Roman"/>
          <w:i/>
          <w:noProof/>
          <w:kern w:val="0"/>
          <w:sz w:val="20"/>
          <w:szCs w:val="20"/>
          <w14:ligatures w14:val="none"/>
        </w:rPr>
        <w:t xml:space="preserve">: SAIs report obstacles due to administrative practice; </w:t>
      </w:r>
      <w:r w:rsidRPr="00FB4E2D">
        <w:rPr>
          <w:rFonts w:ascii="Times New Roman" w:eastAsia="Yu Mincho" w:hAnsi="Times New Roman" w:cs="Times New Roman"/>
          <w:b/>
          <w:i/>
          <w:noProof/>
          <w:kern w:val="0"/>
          <w:sz w:val="20"/>
          <w:szCs w:val="20"/>
          <w14:ligatures w14:val="none"/>
        </w:rPr>
        <w:t>CY, EL, ES, NL, FI</w:t>
      </w:r>
      <w:r w:rsidRPr="00FB4E2D">
        <w:rPr>
          <w:rFonts w:ascii="Times New Roman" w:eastAsia="Yu Mincho" w:hAnsi="Times New Roman" w:cs="Times New Roman"/>
          <w:i/>
          <w:noProof/>
          <w:kern w:val="0"/>
          <w:sz w:val="20"/>
          <w:szCs w:val="20"/>
          <w14:ligatures w14:val="none"/>
        </w:rPr>
        <w:t xml:space="preserve">: </w:t>
      </w:r>
      <w:r w:rsidR="00035C7E" w:rsidRPr="00FB4E2D">
        <w:rPr>
          <w:rFonts w:ascii="Times New Roman" w:eastAsia="Yu Mincho" w:hAnsi="Times New Roman" w:cs="Times New Roman"/>
          <w:i/>
          <w:noProof/>
          <w:kern w:val="0"/>
          <w:sz w:val="20"/>
          <w:szCs w:val="20"/>
          <w14:ligatures w14:val="none"/>
        </w:rPr>
        <w:t>o</w:t>
      </w:r>
      <w:r w:rsidRPr="00FB4E2D">
        <w:rPr>
          <w:rFonts w:ascii="Times New Roman" w:eastAsia="Yu Mincho" w:hAnsi="Times New Roman" w:cs="Times New Roman"/>
          <w:i/>
          <w:noProof/>
          <w:kern w:val="0"/>
          <w:sz w:val="20"/>
          <w:szCs w:val="20"/>
          <w14:ligatures w14:val="none"/>
        </w:rPr>
        <w:t xml:space="preserve">bstacles when auditing </w:t>
      </w:r>
      <w:r w:rsidR="00035C7E" w:rsidRPr="00FB4E2D">
        <w:rPr>
          <w:rFonts w:ascii="Times New Roman" w:eastAsia="Yu Mincho" w:hAnsi="Times New Roman" w:cs="Times New Roman"/>
          <w:i/>
          <w:noProof/>
          <w:kern w:val="0"/>
          <w:sz w:val="20"/>
          <w:szCs w:val="20"/>
          <w14:ligatures w14:val="none"/>
        </w:rPr>
        <w:t>central banks</w:t>
      </w:r>
      <w:r w:rsidRPr="00FB4E2D">
        <w:rPr>
          <w:rFonts w:ascii="Times New Roman" w:eastAsia="Yu Mincho" w:hAnsi="Times New Roman" w:cs="Times New Roman"/>
          <w:i/>
          <w:noProof/>
          <w:kern w:val="0"/>
          <w:sz w:val="20"/>
          <w:szCs w:val="20"/>
          <w14:ligatures w14:val="none"/>
        </w:rPr>
        <w:t xml:space="preserve"> and </w:t>
      </w:r>
      <w:r w:rsidR="00035C7E" w:rsidRPr="00FB4E2D">
        <w:rPr>
          <w:rFonts w:ascii="Times New Roman" w:eastAsia="Yu Mincho" w:hAnsi="Times New Roman" w:cs="Times New Roman"/>
          <w:i/>
          <w:noProof/>
          <w:kern w:val="0"/>
          <w:sz w:val="20"/>
          <w:szCs w:val="20"/>
          <w14:ligatures w14:val="none"/>
        </w:rPr>
        <w:t>financial institutions</w:t>
      </w:r>
      <w:r w:rsidRPr="00FB4E2D">
        <w:rPr>
          <w:rFonts w:ascii="Times New Roman" w:eastAsia="Yu Mincho" w:hAnsi="Times New Roman" w:cs="Times New Roman"/>
          <w:i/>
          <w:noProof/>
          <w:kern w:val="0"/>
          <w:sz w:val="20"/>
          <w:szCs w:val="20"/>
          <w14:ligatures w14:val="none"/>
        </w:rPr>
        <w:t xml:space="preserve">; </w:t>
      </w:r>
      <w:r w:rsidRPr="00FB4E2D">
        <w:rPr>
          <w:rFonts w:ascii="Times New Roman" w:eastAsia="Yu Mincho" w:hAnsi="Times New Roman" w:cs="Times New Roman"/>
          <w:b/>
          <w:i/>
          <w:noProof/>
          <w:kern w:val="0"/>
          <w:sz w:val="20"/>
          <w:szCs w:val="20"/>
          <w14:ligatures w14:val="none"/>
        </w:rPr>
        <w:t>BE, IT, LT, NL, EL, AT, CY, DE, EE, ES, FI, FR, HU, MT, PL, PT, SK</w:t>
      </w:r>
      <w:r w:rsidRPr="00FB4E2D">
        <w:rPr>
          <w:rFonts w:ascii="Times New Roman" w:eastAsia="Yu Mincho" w:hAnsi="Times New Roman" w:cs="Times New Roman"/>
          <w:i/>
          <w:noProof/>
          <w:kern w:val="0"/>
          <w:sz w:val="20"/>
          <w:szCs w:val="20"/>
          <w14:ligatures w14:val="none"/>
        </w:rPr>
        <w:t xml:space="preserve">: </w:t>
      </w:r>
      <w:r w:rsidR="00035C7E" w:rsidRPr="00FB4E2D">
        <w:rPr>
          <w:rFonts w:ascii="Times New Roman" w:eastAsia="Yu Mincho" w:hAnsi="Times New Roman" w:cs="Times New Roman"/>
          <w:i/>
          <w:noProof/>
          <w:kern w:val="0"/>
          <w:sz w:val="20"/>
          <w:szCs w:val="20"/>
          <w14:ligatures w14:val="none"/>
        </w:rPr>
        <w:t>a</w:t>
      </w:r>
      <w:r w:rsidRPr="00FB4E2D">
        <w:rPr>
          <w:rFonts w:ascii="Times New Roman" w:eastAsia="Yu Mincho" w:hAnsi="Times New Roman" w:cs="Times New Roman"/>
          <w:i/>
          <w:noProof/>
          <w:kern w:val="0"/>
          <w:sz w:val="20"/>
          <w:szCs w:val="20"/>
          <w14:ligatures w14:val="none"/>
        </w:rPr>
        <w:t xml:space="preserve">uditees invoke rules on </w:t>
      </w:r>
      <w:r w:rsidR="00035C7E" w:rsidRPr="00FB4E2D">
        <w:rPr>
          <w:rFonts w:ascii="Times New Roman" w:eastAsia="Yu Mincho" w:hAnsi="Times New Roman" w:cs="Times New Roman"/>
          <w:i/>
          <w:noProof/>
          <w:kern w:val="0"/>
          <w:sz w:val="20"/>
          <w:szCs w:val="20"/>
          <w14:ligatures w14:val="none"/>
        </w:rPr>
        <w:t>personal data protection</w:t>
      </w:r>
      <w:r w:rsidRPr="00FB4E2D">
        <w:rPr>
          <w:rFonts w:ascii="Times New Roman" w:eastAsia="Yu Mincho" w:hAnsi="Times New Roman" w:cs="Times New Roman"/>
          <w:i/>
          <w:noProof/>
          <w:kern w:val="0"/>
          <w:sz w:val="20"/>
          <w:szCs w:val="20"/>
          <w14:ligatures w14:val="none"/>
        </w:rPr>
        <w:t xml:space="preserve"> and/or </w:t>
      </w:r>
      <w:r w:rsidR="00035C7E" w:rsidRPr="00FB4E2D">
        <w:rPr>
          <w:rFonts w:ascii="Times New Roman" w:eastAsia="Yu Mincho" w:hAnsi="Times New Roman" w:cs="Times New Roman"/>
          <w:i/>
          <w:noProof/>
          <w:kern w:val="0"/>
          <w:sz w:val="20"/>
          <w:szCs w:val="20"/>
          <w14:ligatures w14:val="none"/>
        </w:rPr>
        <w:t>confidentiality</w:t>
      </w:r>
      <w:r w:rsidRPr="00FB4E2D">
        <w:rPr>
          <w:rFonts w:ascii="Times New Roman" w:eastAsia="Yu Mincho" w:hAnsi="Times New Roman" w:cs="Times New Roman"/>
          <w:i/>
          <w:noProof/>
          <w:kern w:val="0"/>
          <w:sz w:val="20"/>
          <w:szCs w:val="20"/>
          <w14:ligatures w14:val="none"/>
        </w:rPr>
        <w:t xml:space="preserve"> to contest access. </w:t>
      </w:r>
      <w:r w:rsidRPr="00FB4E2D">
        <w:rPr>
          <w:rFonts w:ascii="Times New Roman" w:eastAsia="Yu Mincho" w:hAnsi="Times New Roman" w:cs="Times New Roman"/>
          <w:b/>
          <w:i/>
          <w:noProof/>
          <w:kern w:val="0"/>
          <w:sz w:val="20"/>
          <w:szCs w:val="20"/>
          <w14:ligatures w14:val="none"/>
        </w:rPr>
        <w:t>MT:</w:t>
      </w:r>
      <w:r w:rsidRPr="00FB4E2D">
        <w:rPr>
          <w:rFonts w:ascii="Times New Roman" w:eastAsia="Yu Mincho" w:hAnsi="Times New Roman" w:cs="Times New Roman"/>
          <w:i/>
          <w:noProof/>
          <w:kern w:val="0"/>
          <w:sz w:val="20"/>
          <w:szCs w:val="20"/>
          <w14:ligatures w14:val="none"/>
        </w:rPr>
        <w:t xml:space="preserve"> no right to access information from private companies</w:t>
      </w:r>
      <w:r w:rsidRPr="00FB4E2D">
        <w:rPr>
          <w:rFonts w:ascii="Times New Roman" w:eastAsia="Times New Roman" w:hAnsi="Times New Roman" w:cs="Times New Roman"/>
          <w:i/>
          <w:noProof/>
          <w:kern w:val="0"/>
          <w:sz w:val="20"/>
          <w:szCs w:val="20"/>
          <w14:ligatures w14:val="none"/>
        </w:rPr>
        <w:t xml:space="preserve">. </w:t>
      </w:r>
    </w:p>
    <w:p w14:paraId="4B44BFC9" w14:textId="77777777" w:rsidR="00A02C07" w:rsidRPr="00FB4E2D" w:rsidRDefault="00A02C07" w:rsidP="00B259E3">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u w:val="single"/>
          <w14:ligatures w14:val="none"/>
        </w:rPr>
        <w:t>Supreme audit institutions</w:t>
      </w:r>
      <w:r w:rsidRPr="00FB4E2D">
        <w:rPr>
          <w:rFonts w:ascii="Times New Roman" w:eastAsia="Times New Roman" w:hAnsi="Times New Roman" w:cs="Times New Roman"/>
          <w:b/>
          <w:noProof/>
          <w:kern w:val="0"/>
          <w14:ligatures w14:val="none"/>
        </w:rPr>
        <w:t xml:space="preserve">: measures in case access to information is not granted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(source: European Commission with the Contact Committee on Supreme Audit Institutions)</w:t>
      </w:r>
    </w:p>
    <w:p w14:paraId="277E6B5F" w14:textId="347BF94E" w:rsidR="00A02C07" w:rsidRPr="00FB4E2D" w:rsidRDefault="00DD5128" w:rsidP="00A02C07">
      <w:pPr>
        <w:spacing w:after="0" w:line="240" w:lineRule="auto"/>
        <w:jc w:val="both"/>
        <w:rPr>
          <w:rFonts w:ascii="Times New Roman" w:eastAsia="Yu Mincho" w:hAnsi="Times New Roman" w:cs="Times New Roman"/>
          <w:i/>
          <w:noProof/>
          <w:kern w:val="0"/>
          <w:sz w:val="20"/>
          <w:szCs w:val="20"/>
          <w14:ligatures w14:val="none"/>
        </w:rPr>
      </w:pPr>
      <w:r>
        <w:rPr>
          <w:rFonts w:ascii="Times New Roman" w:eastAsia="Yu Mincho" w:hAnsi="Times New Roman" w:cs="Times New Roman"/>
          <w:i/>
          <w:noProof/>
          <w:kern w:val="0"/>
          <w:sz w:val="20"/>
          <w:szCs w:val="20"/>
          <w:lang w:val="en-GB" w:eastAsia="en-GB"/>
          <w14:ligatures w14:val="none"/>
        </w:rPr>
        <w:drawing>
          <wp:inline distT="0" distB="0" distL="0" distR="0" wp14:anchorId="6909C6BF" wp14:editId="32B576B6">
            <wp:extent cx="5760000" cy="3105988"/>
            <wp:effectExtent l="0" t="0" r="0" b="0"/>
            <wp:docPr id="3714560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60000" cy="3105988"/>
                    </a:xfrm>
                    <a:prstGeom prst="rect">
                      <a:avLst/>
                    </a:prstGeom>
                    <a:noFill/>
                  </pic:spPr>
                </pic:pic>
              </a:graphicData>
            </a:graphic>
          </wp:inline>
        </w:drawing>
      </w:r>
      <w:r w:rsidR="00A02C07" w:rsidRPr="00FB4E2D">
        <w:rPr>
          <w:rFonts w:ascii="Times New Roman" w:eastAsia="Yu Mincho" w:hAnsi="Times New Roman" w:cs="Times New Roman"/>
          <w:i/>
          <w:noProof/>
          <w:kern w:val="0"/>
          <w:sz w:val="20"/>
          <w:szCs w:val="20"/>
          <w14:ligatures w14:val="none"/>
        </w:rPr>
        <w:t xml:space="preserve">(*) Recourse to judicial authorities: </w:t>
      </w:r>
      <w:r w:rsidR="00A02C07" w:rsidRPr="00FB4E2D">
        <w:rPr>
          <w:rFonts w:ascii="Times New Roman" w:eastAsia="Yu Mincho" w:hAnsi="Times New Roman" w:cs="Times New Roman"/>
          <w:b/>
          <w:i/>
          <w:noProof/>
          <w:kern w:val="0"/>
          <w:sz w:val="20"/>
          <w:szCs w:val="20"/>
          <w14:ligatures w14:val="none"/>
        </w:rPr>
        <w:t>AT, CY</w:t>
      </w:r>
      <w:r w:rsidR="00A02C07" w:rsidRPr="00FB4E2D">
        <w:rPr>
          <w:rFonts w:ascii="Times New Roman" w:eastAsia="Yu Mincho" w:hAnsi="Times New Roman" w:cs="Times New Roman"/>
          <w:i/>
          <w:noProof/>
          <w:kern w:val="0"/>
          <w:sz w:val="20"/>
          <w:szCs w:val="20"/>
          <w14:ligatures w14:val="none"/>
        </w:rPr>
        <w:t xml:space="preserve">: recourse to Constitutional Court; proposal/request for the initiation of judicial proceedings (criminal): Other measures: </w:t>
      </w:r>
      <w:r w:rsidR="00A02C07" w:rsidRPr="00FB4E2D">
        <w:rPr>
          <w:rFonts w:ascii="Times New Roman" w:eastAsia="Yu Mincho" w:hAnsi="Times New Roman" w:cs="Times New Roman"/>
          <w:b/>
          <w:i/>
          <w:noProof/>
          <w:kern w:val="0"/>
          <w:sz w:val="20"/>
          <w:szCs w:val="20"/>
          <w14:ligatures w14:val="none"/>
        </w:rPr>
        <w:t>BG, FI, FR, SI, SK</w:t>
      </w:r>
      <w:r w:rsidR="00A02C07" w:rsidRPr="00FB4E2D">
        <w:rPr>
          <w:rFonts w:ascii="Times New Roman" w:eastAsia="Yu Mincho" w:hAnsi="Times New Roman" w:cs="Times New Roman"/>
          <w:i/>
          <w:noProof/>
          <w:kern w:val="0"/>
          <w:sz w:val="20"/>
          <w:szCs w:val="20"/>
          <w14:ligatures w14:val="none"/>
        </w:rPr>
        <w:t xml:space="preserve">: </w:t>
      </w:r>
      <w:r w:rsidR="00035C7E" w:rsidRPr="00FB4E2D">
        <w:rPr>
          <w:rFonts w:ascii="Times New Roman" w:eastAsia="Yu Mincho" w:hAnsi="Times New Roman" w:cs="Times New Roman"/>
          <w:i/>
          <w:noProof/>
          <w:kern w:val="0"/>
          <w:sz w:val="20"/>
          <w:szCs w:val="20"/>
          <w14:ligatures w14:val="none"/>
        </w:rPr>
        <w:t>p</w:t>
      </w:r>
      <w:r w:rsidR="00A02C07" w:rsidRPr="00FB4E2D">
        <w:rPr>
          <w:rFonts w:ascii="Times New Roman" w:eastAsia="Yu Mincho" w:hAnsi="Times New Roman" w:cs="Times New Roman"/>
          <w:i/>
          <w:noProof/>
          <w:kern w:val="0"/>
          <w:sz w:val="20"/>
          <w:szCs w:val="20"/>
          <w14:ligatures w14:val="none"/>
        </w:rPr>
        <w:t>ublic disclosure of unlawful non</w:t>
      </w:r>
      <w:r w:rsidR="000645B0">
        <w:rPr>
          <w:rFonts w:ascii="Times New Roman" w:eastAsia="Yu Mincho" w:hAnsi="Times New Roman" w:cs="Times New Roman"/>
          <w:i/>
          <w:noProof/>
          <w:kern w:val="0"/>
          <w:sz w:val="20"/>
          <w:szCs w:val="20"/>
          <w14:ligatures w14:val="none"/>
        </w:rPr>
        <w:t>-</w:t>
      </w:r>
      <w:r w:rsidR="00A02C07" w:rsidRPr="00FB4E2D">
        <w:rPr>
          <w:rFonts w:ascii="Times New Roman" w:eastAsia="Yu Mincho" w:hAnsi="Times New Roman" w:cs="Times New Roman"/>
          <w:i/>
          <w:noProof/>
          <w:kern w:val="0"/>
          <w:sz w:val="20"/>
          <w:szCs w:val="20"/>
          <w14:ligatures w14:val="none"/>
        </w:rPr>
        <w:t xml:space="preserve">cooperation; HU: other measures include seeking the suspension of public funding, grants, or eligibility to receive donations from 1% of personal income tax; </w:t>
      </w:r>
      <w:r w:rsidR="00A02C07" w:rsidRPr="00FB4E2D">
        <w:rPr>
          <w:rFonts w:ascii="Times New Roman" w:eastAsia="Yu Mincho" w:hAnsi="Times New Roman" w:cs="Times New Roman"/>
          <w:b/>
          <w:bCs/>
          <w:i/>
          <w:noProof/>
          <w:kern w:val="0"/>
          <w:sz w:val="20"/>
          <w:szCs w:val="20"/>
          <w14:ligatures w14:val="none"/>
        </w:rPr>
        <w:t>DE</w:t>
      </w:r>
      <w:r w:rsidR="00A02C07" w:rsidRPr="00FB4E2D">
        <w:rPr>
          <w:rFonts w:ascii="Times New Roman" w:eastAsia="Yu Mincho" w:hAnsi="Times New Roman" w:cs="Times New Roman"/>
          <w:i/>
          <w:noProof/>
          <w:kern w:val="0"/>
          <w:sz w:val="20"/>
          <w:szCs w:val="20"/>
          <w14:ligatures w14:val="none"/>
        </w:rPr>
        <w:t>: issuance of formal audit order.</w:t>
      </w:r>
      <w:r w:rsidR="00DB34BD" w:rsidRPr="00FB4E2D">
        <w:rPr>
          <w:rFonts w:ascii="Times New Roman" w:eastAsia="Yu Mincho" w:hAnsi="Times New Roman" w:cs="Times New Roman"/>
          <w:i/>
          <w:noProof/>
          <w:kern w:val="0"/>
          <w:sz w:val="20"/>
          <w:szCs w:val="20"/>
          <w14:ligatures w14:val="none"/>
        </w:rPr>
        <w:t xml:space="preserve"> </w:t>
      </w:r>
      <w:r w:rsidR="00DB34BD" w:rsidRPr="00FB4E2D">
        <w:rPr>
          <w:rFonts w:ascii="Times New Roman" w:eastAsia="Yu Mincho" w:hAnsi="Times New Roman" w:cs="Times New Roman"/>
          <w:b/>
          <w:bCs/>
          <w:i/>
          <w:noProof/>
          <w:kern w:val="0"/>
          <w:sz w:val="20"/>
          <w:szCs w:val="20"/>
          <w14:ligatures w14:val="none"/>
        </w:rPr>
        <w:t>SI</w:t>
      </w:r>
      <w:r w:rsidR="00DB34BD" w:rsidRPr="00FB4E2D">
        <w:rPr>
          <w:rFonts w:ascii="Times New Roman" w:eastAsia="Yu Mincho" w:hAnsi="Times New Roman" w:cs="Times New Roman"/>
          <w:i/>
          <w:noProof/>
          <w:kern w:val="0"/>
          <w:sz w:val="20"/>
          <w:szCs w:val="20"/>
          <w14:ligatures w14:val="none"/>
        </w:rPr>
        <w:t xml:space="preserve">: </w:t>
      </w:r>
      <w:r w:rsidR="00C63782" w:rsidRPr="00FB4E2D">
        <w:rPr>
          <w:rFonts w:ascii="Times New Roman" w:eastAsia="Yu Mincho" w:hAnsi="Times New Roman" w:cs="Times New Roman"/>
          <w:i/>
          <w:noProof/>
          <w:kern w:val="0"/>
          <w:sz w:val="20"/>
          <w:szCs w:val="20"/>
          <w14:ligatures w14:val="none"/>
        </w:rPr>
        <w:t xml:space="preserve">as other measures the SAI can </w:t>
      </w:r>
      <w:r w:rsidR="001A69F1" w:rsidRPr="00FB4E2D">
        <w:rPr>
          <w:rFonts w:ascii="Times New Roman" w:eastAsia="Yu Mincho" w:hAnsi="Times New Roman" w:cs="Times New Roman"/>
          <w:i/>
          <w:noProof/>
          <w:kern w:val="0"/>
          <w:sz w:val="20"/>
          <w:szCs w:val="20"/>
          <w14:ligatures w14:val="none"/>
        </w:rPr>
        <w:t>call on the competent authority</w:t>
      </w:r>
      <w:r w:rsidR="00967F1E" w:rsidRPr="00FB4E2D">
        <w:rPr>
          <w:rFonts w:ascii="Times New Roman" w:eastAsia="Yu Mincho" w:hAnsi="Times New Roman" w:cs="Times New Roman"/>
          <w:i/>
          <w:noProof/>
          <w:kern w:val="0"/>
          <w:sz w:val="20"/>
          <w:szCs w:val="20"/>
          <w14:ligatures w14:val="none"/>
        </w:rPr>
        <w:t xml:space="preserve"> for action</w:t>
      </w:r>
      <w:r w:rsidR="001A69F1" w:rsidRPr="00FB4E2D">
        <w:rPr>
          <w:rFonts w:ascii="Times New Roman" w:eastAsia="Yu Mincho" w:hAnsi="Times New Roman" w:cs="Times New Roman"/>
          <w:i/>
          <w:noProof/>
          <w:kern w:val="0"/>
          <w:sz w:val="20"/>
          <w:szCs w:val="20"/>
          <w14:ligatures w14:val="none"/>
        </w:rPr>
        <w:t xml:space="preserve">; call for dismissal of the </w:t>
      </w:r>
      <w:r w:rsidR="004E3DFE" w:rsidRPr="00FB4E2D">
        <w:rPr>
          <w:rFonts w:ascii="Times New Roman" w:eastAsia="Yu Mincho" w:hAnsi="Times New Roman" w:cs="Times New Roman"/>
          <w:i/>
          <w:noProof/>
          <w:kern w:val="0"/>
          <w:sz w:val="20"/>
          <w:szCs w:val="20"/>
          <w14:ligatures w14:val="none"/>
        </w:rPr>
        <w:t xml:space="preserve">person in the responsible body, in cases of serious breach; </w:t>
      </w:r>
      <w:r w:rsidR="00897F66" w:rsidRPr="00FB4E2D">
        <w:rPr>
          <w:rFonts w:ascii="Times New Roman" w:eastAsia="Yu Mincho" w:hAnsi="Times New Roman" w:cs="Times New Roman"/>
          <w:i/>
          <w:noProof/>
          <w:kern w:val="0"/>
          <w:sz w:val="20"/>
          <w:szCs w:val="20"/>
          <w14:ligatures w14:val="none"/>
        </w:rPr>
        <w:t xml:space="preserve">criminal charges and misdemeanour </w:t>
      </w:r>
      <w:r w:rsidR="00C11884" w:rsidRPr="00FB4E2D">
        <w:rPr>
          <w:rFonts w:ascii="Times New Roman" w:eastAsia="Yu Mincho" w:hAnsi="Times New Roman" w:cs="Times New Roman"/>
          <w:i/>
          <w:noProof/>
          <w:kern w:val="0"/>
          <w:sz w:val="20"/>
          <w:szCs w:val="20"/>
          <w14:ligatures w14:val="none"/>
        </w:rPr>
        <w:t xml:space="preserve">proposals; </w:t>
      </w:r>
      <w:r w:rsidR="005513F1" w:rsidRPr="00FB4E2D">
        <w:rPr>
          <w:rFonts w:ascii="Times New Roman" w:eastAsia="Yu Mincho" w:hAnsi="Times New Roman" w:cs="Times New Roman"/>
          <w:i/>
          <w:noProof/>
          <w:kern w:val="0"/>
          <w:sz w:val="20"/>
          <w:szCs w:val="20"/>
          <w14:ligatures w14:val="none"/>
        </w:rPr>
        <w:t>post-audit procedure.</w:t>
      </w:r>
    </w:p>
    <w:p w14:paraId="37E9DDD3" w14:textId="77777777" w:rsidR="00A02C07" w:rsidRPr="00FB4E2D" w:rsidRDefault="00A02C07" w:rsidP="001F4C99">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 xml:space="preserve">2.4.3.  </w:t>
      </w:r>
      <w:r w:rsidRPr="00FB4E2D">
        <w:rPr>
          <w:rFonts w:ascii="Times New Roman" w:eastAsia="Symbol" w:hAnsi="Times New Roman" w:cs="Symbol"/>
          <w:b/>
          <w:noProof/>
          <w:kern w:val="0"/>
          <w14:ligatures w14:val="none"/>
        </w:rPr>
        <w:t>Specialised jurisdictions relevant for the functioning of the single market</w:t>
      </w:r>
    </w:p>
    <w:p w14:paraId="21EFB7FA" w14:textId="4BF7332D" w:rsidR="00A02C07" w:rsidRPr="00FB4E2D" w:rsidRDefault="00A02C07" w:rsidP="00A02C07">
      <w:pPr>
        <w:spacing w:before="120" w:after="0" w:line="240" w:lineRule="auto"/>
        <w:jc w:val="both"/>
        <w:rPr>
          <w:rFonts w:ascii="Times New Roman" w:eastAsia="Calibri" w:hAnsi="Times New Roman" w:cs="Times New Roman"/>
          <w:noProof/>
          <w:kern w:val="0"/>
          <w14:ligatures w14:val="none"/>
        </w:rPr>
      </w:pPr>
      <w:r w:rsidRPr="00FB4E2D">
        <w:rPr>
          <w:rFonts w:ascii="Times New Roman" w:eastAsia="Calibri" w:hAnsi="Times New Roman" w:cs="Times New Roman"/>
          <w:noProof/>
          <w:kern w:val="0"/>
          <w14:ligatures w14:val="none"/>
        </w:rPr>
        <w:t xml:space="preserve">Figure 65 presents the jurisdictions responsible for commercial cases. Specialisation of courts in commercial matters strengthens the efficiency, quality, and predictability of justice systems across the European Union. By equipping judges with expertise in complex business-related proceedings and cross-border disputes, specialised commercial courts help deliver faster, more consistent, and more reliable decisions. This reduces uncertainty for companies operating within the </w:t>
      </w:r>
      <w:r w:rsidR="00B16A55" w:rsidRPr="00FB4E2D">
        <w:rPr>
          <w:rFonts w:ascii="Times New Roman" w:eastAsia="Calibri" w:hAnsi="Times New Roman" w:cs="Times New Roman"/>
          <w:noProof/>
          <w:kern w:val="0"/>
          <w14:ligatures w14:val="none"/>
        </w:rPr>
        <w:t>single market</w:t>
      </w:r>
      <w:r w:rsidRPr="00FB4E2D">
        <w:rPr>
          <w:rFonts w:ascii="Times New Roman" w:eastAsia="Calibri" w:hAnsi="Times New Roman" w:cs="Times New Roman"/>
          <w:noProof/>
          <w:kern w:val="0"/>
          <w14:ligatures w14:val="none"/>
        </w:rPr>
        <w:t>, improves contract enforcement, and fosters investor confidence. In doing so, specialisation not only enhances judicial efficiency and fairness at national level but also contributes to a more integrated and competitive European economy.</w:t>
      </w:r>
    </w:p>
    <w:p w14:paraId="0471C0E0" w14:textId="77777777" w:rsidR="00A02C07" w:rsidRPr="00FB4E2D" w:rsidRDefault="00A02C07" w:rsidP="00A02C07">
      <w:pPr>
        <w:spacing w:line="259" w:lineRule="auto"/>
        <w:rPr>
          <w:rFonts w:ascii="Times New Roman" w:eastAsia="Calibri" w:hAnsi="Times New Roman" w:cs="Times New Roman"/>
          <w:b/>
          <w:noProof/>
          <w:spacing w:val="-6"/>
          <w:kern w:val="0"/>
          <w14:ligatures w14:val="none"/>
        </w:rPr>
      </w:pPr>
      <w:r w:rsidRPr="00FB4E2D">
        <w:rPr>
          <w:rFonts w:ascii="Times New Roman" w:eastAsia="Calibri" w:hAnsi="Times New Roman" w:cs="Times New Roman"/>
          <w:b/>
          <w:noProof/>
          <w:spacing w:val="-6"/>
          <w:kern w:val="0"/>
          <w14:ligatures w14:val="none"/>
        </w:rPr>
        <w:br w:type="page"/>
      </w:r>
    </w:p>
    <w:p w14:paraId="1B00F6B1" w14:textId="77777777" w:rsidR="00A02C07" w:rsidRPr="00FB4E2D" w:rsidRDefault="00A02C07" w:rsidP="00A02C07">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14:ligatures w14:val="none"/>
        </w:rPr>
        <w:t xml:space="preserve">Jurisdictions responsible for </w:t>
      </w:r>
      <w:r w:rsidRPr="00FB4E2D">
        <w:rPr>
          <w:rFonts w:ascii="Times New Roman" w:eastAsia="Times New Roman" w:hAnsi="Times New Roman" w:cs="Times New Roman"/>
          <w:b/>
          <w:noProof/>
          <w:kern w:val="0"/>
          <w:u w:val="single"/>
          <w14:ligatures w14:val="none"/>
        </w:rPr>
        <w:t>commercial cases</w:t>
      </w:r>
      <w:r w:rsidRPr="00FB4E2D">
        <w:rPr>
          <w:rFonts w:ascii="Times New Roman" w:eastAsia="Times New Roman" w:hAnsi="Times New Roman" w:cs="Times New Roman"/>
          <w:b/>
          <w:noProof/>
          <w:kern w:val="0"/>
          <w14:ligatures w14:val="none"/>
        </w:rPr>
        <w:t xml:space="preserve">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(source: European Commission)</w:t>
      </w:r>
    </w:p>
    <w:p w14:paraId="0F04A950" w14:textId="5089B5D0" w:rsidR="00A02C07" w:rsidRPr="00FB4E2D" w:rsidRDefault="00110CDB" w:rsidP="00526CE7">
      <w:pPr>
        <w:keepNext/>
        <w:spacing w:before="120" w:after="120" w:line="240" w:lineRule="auto"/>
        <w:jc w:val="both"/>
        <w:rPr>
          <w:rFonts w:ascii="Times New Roman" w:eastAsia="Yu Mincho" w:hAnsi="Times New Roman" w:cs="Times New Roman"/>
          <w:i/>
          <w:noProof/>
          <w:kern w:val="0"/>
          <w:sz w:val="20"/>
          <w:szCs w:val="20"/>
          <w14:ligatures w14:val="none"/>
        </w:rPr>
      </w:pPr>
      <w:r w:rsidRPr="00FB4E2D">
        <w:rPr>
          <w:rFonts w:ascii="Times New Roman" w:eastAsia="Yu Mincho" w:hAnsi="Times New Roman" w:cs="Times New Roman"/>
          <w:i/>
          <w:noProof/>
          <w:kern w:val="0"/>
          <w:sz w:val="20"/>
          <w:szCs w:val="20"/>
          <w:lang w:val="en-GB" w:eastAsia="en-GB"/>
          <w14:ligatures w14:val="none"/>
        </w:rPr>
        <w:drawing>
          <wp:inline distT="0" distB="0" distL="0" distR="0" wp14:anchorId="4AC0E597" wp14:editId="38C3B84F">
            <wp:extent cx="5976000" cy="3482906"/>
            <wp:effectExtent l="0" t="0" r="5715" b="3810"/>
            <wp:docPr id="2019134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76000" cy="3482906"/>
                    </a:xfrm>
                    <a:prstGeom prst="rect">
                      <a:avLst/>
                    </a:prstGeom>
                    <a:noFill/>
                  </pic:spPr>
                </pic:pic>
              </a:graphicData>
            </a:graphic>
          </wp:inline>
        </w:drawing>
      </w:r>
      <w:r w:rsidR="00F920E6" w:rsidRPr="00FB4E2D">
        <w:rPr>
          <w:rFonts w:ascii="Times New Roman" w:eastAsia="Yu Mincho" w:hAnsi="Times New Roman" w:cs="Times New Roman"/>
          <w:i/>
          <w:noProof/>
          <w:kern w:val="0"/>
          <w:sz w:val="20"/>
          <w:szCs w:val="20"/>
          <w14:ligatures w14:val="none"/>
        </w:rPr>
        <w:t xml:space="preserve"> </w:t>
      </w:r>
      <w:r w:rsidR="00A02C07" w:rsidRPr="00FB4E2D">
        <w:rPr>
          <w:rFonts w:ascii="Times New Roman" w:eastAsia="Yu Mincho" w:hAnsi="Times New Roman" w:cs="Times New Roman"/>
          <w:i/>
          <w:noProof/>
          <w:kern w:val="0"/>
          <w:sz w:val="20"/>
          <w:szCs w:val="20"/>
          <w14:ligatures w14:val="none"/>
        </w:rPr>
        <w:t xml:space="preserve">(*) </w:t>
      </w:r>
      <w:r w:rsidR="008F28F9" w:rsidRPr="00FB4E2D">
        <w:rPr>
          <w:rFonts w:ascii="Times New Roman" w:eastAsia="Yu Mincho" w:hAnsi="Times New Roman" w:cs="Times New Roman"/>
          <w:b/>
          <w:bCs/>
          <w:i/>
          <w:iCs/>
          <w:noProof/>
          <w:kern w:val="0"/>
          <w:sz w:val="20"/>
          <w:szCs w:val="20"/>
          <w14:ligatures w14:val="none"/>
        </w:rPr>
        <w:t xml:space="preserve">BE: </w:t>
      </w:r>
      <w:r w:rsidR="008F28F9" w:rsidRPr="00FB4E2D">
        <w:rPr>
          <w:rFonts w:ascii="Times New Roman" w:eastAsia="Yu Mincho" w:hAnsi="Times New Roman" w:cs="Times New Roman"/>
          <w:i/>
          <w:iCs/>
          <w:noProof/>
          <w:kern w:val="0"/>
          <w:sz w:val="20"/>
          <w:szCs w:val="20"/>
          <w14:ligatures w14:val="none"/>
        </w:rPr>
        <w:t xml:space="preserve">Commercial cases are dealt with by a Specialised Commercial Court, as well as by specialised commercial judges and chambers within ordinary courts. The Specialised Commercial Court deals with disputes between companies, regardless of </w:t>
      </w:r>
      <w:r w:rsidR="00060831" w:rsidRPr="00FB4E2D">
        <w:rPr>
          <w:rFonts w:ascii="Times New Roman" w:eastAsia="Yu Mincho" w:hAnsi="Times New Roman" w:cs="Times New Roman"/>
          <w:i/>
          <w:iCs/>
          <w:noProof/>
          <w:kern w:val="0"/>
          <w:sz w:val="20"/>
          <w:szCs w:val="20"/>
          <w14:ligatures w14:val="none"/>
        </w:rPr>
        <w:t xml:space="preserve">the </w:t>
      </w:r>
      <w:r w:rsidR="008F28F9" w:rsidRPr="00FB4E2D">
        <w:rPr>
          <w:rFonts w:ascii="Times New Roman" w:eastAsia="Yu Mincho" w:hAnsi="Times New Roman" w:cs="Times New Roman"/>
          <w:i/>
          <w:iCs/>
          <w:noProof/>
          <w:kern w:val="0"/>
          <w:sz w:val="20"/>
          <w:szCs w:val="20"/>
          <w14:ligatures w14:val="none"/>
        </w:rPr>
        <w:t xml:space="preserve">claim value. Commercial cases involving citizens are dealt with by a Justice of the Peace, a court of first instance, or a civil court if </w:t>
      </w:r>
      <w:r w:rsidR="00C53519" w:rsidRPr="00FB4E2D">
        <w:rPr>
          <w:rFonts w:ascii="Times New Roman" w:eastAsia="Yu Mincho" w:hAnsi="Times New Roman" w:cs="Times New Roman"/>
          <w:i/>
          <w:iCs/>
          <w:noProof/>
          <w:kern w:val="0"/>
          <w:sz w:val="20"/>
          <w:szCs w:val="20"/>
          <w14:ligatures w14:val="none"/>
        </w:rPr>
        <w:t xml:space="preserve">the </w:t>
      </w:r>
      <w:r w:rsidR="008F28F9" w:rsidRPr="00FB4E2D">
        <w:rPr>
          <w:rFonts w:ascii="Times New Roman" w:eastAsia="Yu Mincho" w:hAnsi="Times New Roman" w:cs="Times New Roman"/>
          <w:i/>
          <w:iCs/>
          <w:noProof/>
          <w:kern w:val="0"/>
          <w:sz w:val="20"/>
          <w:szCs w:val="20"/>
          <w14:ligatures w14:val="none"/>
        </w:rPr>
        <w:t xml:space="preserve">value claim exceeds </w:t>
      </w:r>
      <w:r w:rsidR="00FB4597" w:rsidRPr="00FB4E2D">
        <w:rPr>
          <w:rFonts w:ascii="Times New Roman" w:eastAsia="Yu Mincho" w:hAnsi="Times New Roman" w:cs="Times New Roman"/>
          <w:i/>
          <w:iCs/>
          <w:noProof/>
          <w:kern w:val="0"/>
          <w:sz w:val="20"/>
          <w:szCs w:val="20"/>
          <w14:ligatures w14:val="none"/>
        </w:rPr>
        <w:t xml:space="preserve">EUR </w:t>
      </w:r>
      <w:r w:rsidR="008F28F9" w:rsidRPr="00FB4E2D">
        <w:rPr>
          <w:rFonts w:ascii="Times New Roman" w:eastAsia="Yu Mincho" w:hAnsi="Times New Roman" w:cs="Times New Roman"/>
          <w:i/>
          <w:iCs/>
          <w:noProof/>
          <w:kern w:val="0"/>
          <w:sz w:val="20"/>
          <w:szCs w:val="20"/>
          <w14:ligatures w14:val="none"/>
        </w:rPr>
        <w:t>5</w:t>
      </w:r>
      <w:r w:rsidR="00FB4597" w:rsidRPr="00FB4E2D">
        <w:rPr>
          <w:rFonts w:ascii="Times New Roman" w:eastAsia="Yu Mincho" w:hAnsi="Times New Roman" w:cs="Times New Roman"/>
          <w:i/>
          <w:iCs/>
          <w:noProof/>
          <w:kern w:val="0"/>
          <w:sz w:val="20"/>
          <w:szCs w:val="20"/>
          <w14:ligatures w14:val="none"/>
        </w:rPr>
        <w:t> </w:t>
      </w:r>
      <w:r w:rsidR="008F28F9" w:rsidRPr="00FB4E2D">
        <w:rPr>
          <w:rFonts w:ascii="Times New Roman" w:eastAsia="Yu Mincho" w:hAnsi="Times New Roman" w:cs="Times New Roman"/>
          <w:i/>
          <w:iCs/>
          <w:noProof/>
          <w:kern w:val="0"/>
          <w:sz w:val="20"/>
          <w:szCs w:val="20"/>
          <w14:ligatures w14:val="none"/>
        </w:rPr>
        <w:t>000.</w:t>
      </w:r>
      <w:r w:rsidR="00FB4597" w:rsidRPr="00FB4E2D">
        <w:rPr>
          <w:rFonts w:ascii="Times New Roman" w:eastAsia="Yu Mincho" w:hAnsi="Times New Roman" w:cs="Times New Roman"/>
          <w:i/>
          <w:iCs/>
          <w:noProof/>
          <w:kern w:val="0"/>
          <w:sz w:val="20"/>
          <w:szCs w:val="20"/>
          <w14:ligatures w14:val="none"/>
        </w:rPr>
        <w:t xml:space="preserve"> </w:t>
      </w:r>
      <w:r w:rsidR="008F28F9" w:rsidRPr="00FB4E2D">
        <w:rPr>
          <w:rFonts w:ascii="Times New Roman" w:eastAsia="Yu Mincho" w:hAnsi="Times New Roman" w:cs="Times New Roman"/>
          <w:b/>
          <w:bCs/>
          <w:i/>
          <w:iCs/>
          <w:noProof/>
          <w:kern w:val="0"/>
          <w:sz w:val="20"/>
          <w:szCs w:val="20"/>
          <w14:ligatures w14:val="none"/>
        </w:rPr>
        <w:t xml:space="preserve">RO: </w:t>
      </w:r>
      <w:r w:rsidR="008F28F9" w:rsidRPr="00FB4E2D">
        <w:rPr>
          <w:rFonts w:ascii="Times New Roman" w:eastAsia="Yu Mincho" w:hAnsi="Times New Roman" w:cs="Times New Roman"/>
          <w:i/>
          <w:iCs/>
          <w:noProof/>
          <w:kern w:val="0"/>
          <w:sz w:val="20"/>
          <w:szCs w:val="20"/>
          <w14:ligatures w14:val="none"/>
        </w:rPr>
        <w:t xml:space="preserve">Commercial cases are dealt with by a Specialised Commercial Court, as well as by specialised commercial judges and chambers within ordinary courts. At the level of tribunals there are specialised sections that deal with commercial cases. Where there are no specialised sections, there are specialised panels. There are also three specialised tribunals, namely the Specialised Tribunals of Argeș, Cluj and Mureș. </w:t>
      </w:r>
      <w:r w:rsidR="008F28F9" w:rsidRPr="00FB4E2D">
        <w:rPr>
          <w:rFonts w:ascii="Times New Roman" w:eastAsia="Yu Mincho" w:hAnsi="Times New Roman" w:cs="Times New Roman"/>
          <w:b/>
          <w:bCs/>
          <w:i/>
          <w:iCs/>
          <w:noProof/>
          <w:kern w:val="0"/>
          <w:sz w:val="20"/>
          <w:szCs w:val="20"/>
          <w14:ligatures w14:val="none"/>
        </w:rPr>
        <w:t xml:space="preserve">SK: </w:t>
      </w:r>
      <w:r w:rsidR="008F28F9" w:rsidRPr="00FB4E2D">
        <w:rPr>
          <w:rFonts w:ascii="Times New Roman" w:eastAsia="Yu Mincho" w:hAnsi="Times New Roman" w:cs="Times New Roman"/>
          <w:i/>
          <w:iCs/>
          <w:noProof/>
          <w:kern w:val="0"/>
          <w:sz w:val="20"/>
          <w:szCs w:val="20"/>
          <w14:ligatures w14:val="none"/>
        </w:rPr>
        <w:t xml:space="preserve">Commercial cases are dealt with by a Specialised Commercial Court, as well as by specialised commercial judges and chambers within ordinary courts. Commercial cases for the Bratislava Region are only dealt with by the Municipal Court Bratislava III, at first instance. In other regions there are ordinary first instance courts within which commercial judges deal with commercial cases. Upon request, a commercial law panel within a district court can be established. The only exception is Municipal Court Košice, where a commercial law panel is established by default. At the Supreme Court, there are four divisions, among them a commercial division. </w:t>
      </w:r>
      <w:r w:rsidR="008F28F9" w:rsidRPr="00FB4E2D">
        <w:rPr>
          <w:rFonts w:ascii="Times New Roman" w:eastAsia="Yu Mincho" w:hAnsi="Times New Roman" w:cs="Times New Roman"/>
          <w:b/>
          <w:bCs/>
          <w:i/>
          <w:iCs/>
          <w:noProof/>
          <w:kern w:val="0"/>
          <w:sz w:val="20"/>
          <w:szCs w:val="20"/>
          <w14:ligatures w14:val="none"/>
        </w:rPr>
        <w:t>MT:</w:t>
      </w:r>
      <w:r w:rsidR="008F28F9" w:rsidRPr="00FB4E2D">
        <w:rPr>
          <w:rFonts w:ascii="Times New Roman" w:eastAsia="Yu Mincho" w:hAnsi="Times New Roman" w:cs="Times New Roman"/>
          <w:i/>
          <w:iCs/>
          <w:noProof/>
          <w:kern w:val="0"/>
          <w:sz w:val="20"/>
          <w:szCs w:val="20"/>
          <w14:ligatures w14:val="none"/>
        </w:rPr>
        <w:t xml:space="preserve"> Commercial cases are dealt with by specialised commercial judges and chambers with the ordinary courts. Appeals form the Commercial Court are heard by the Court of Appeal (Superior Jurisdiction). Currently the Commercial Court is a division of the First Hall, Civil Court. There is an ongoing legislative process that will establish the Commercial Court as an independent court. </w:t>
      </w:r>
      <w:r w:rsidR="008F28F9" w:rsidRPr="00FB4E2D">
        <w:rPr>
          <w:rFonts w:ascii="Times New Roman" w:eastAsia="Yu Mincho" w:hAnsi="Times New Roman" w:cs="Times New Roman"/>
          <w:b/>
          <w:bCs/>
          <w:i/>
          <w:iCs/>
          <w:noProof/>
          <w:kern w:val="0"/>
          <w:sz w:val="20"/>
          <w:szCs w:val="20"/>
          <w14:ligatures w14:val="none"/>
        </w:rPr>
        <w:t>DK:</w:t>
      </w:r>
      <w:r w:rsidR="008F28F9" w:rsidRPr="00FB4E2D">
        <w:rPr>
          <w:rFonts w:ascii="Times New Roman" w:eastAsia="Yu Mincho" w:hAnsi="Times New Roman" w:cs="Times New Roman"/>
          <w:i/>
          <w:iCs/>
          <w:noProof/>
          <w:kern w:val="0"/>
          <w:sz w:val="20"/>
          <w:szCs w:val="20"/>
          <w14:ligatures w14:val="none"/>
        </w:rPr>
        <w:t xml:space="preserve"> Commercial cases are dealt with by the ordinary courts. Upon request, international commercial cases are dealt with by the Danish Maritime and Commercial Court. Parties may also choose the ordinary courts for these kinds of cases. </w:t>
      </w:r>
      <w:r w:rsidR="008F28F9" w:rsidRPr="00FB4E2D">
        <w:rPr>
          <w:rFonts w:ascii="Times New Roman" w:eastAsia="Yu Mincho" w:hAnsi="Times New Roman" w:cs="Times New Roman"/>
          <w:b/>
          <w:bCs/>
          <w:i/>
          <w:iCs/>
          <w:noProof/>
          <w:kern w:val="0"/>
          <w:sz w:val="20"/>
          <w:szCs w:val="20"/>
          <w14:ligatures w14:val="none"/>
        </w:rPr>
        <w:t xml:space="preserve">NL: </w:t>
      </w:r>
      <w:r w:rsidR="008F28F9" w:rsidRPr="00FB4E2D">
        <w:rPr>
          <w:rFonts w:ascii="Times New Roman" w:eastAsia="Yu Mincho" w:hAnsi="Times New Roman" w:cs="Times New Roman"/>
          <w:i/>
          <w:iCs/>
          <w:noProof/>
          <w:kern w:val="0"/>
          <w:sz w:val="20"/>
          <w:szCs w:val="20"/>
          <w14:ligatures w14:val="none"/>
        </w:rPr>
        <w:t>Commercial cases</w:t>
      </w:r>
      <w:r w:rsidR="008F28F9" w:rsidRPr="00FB4E2D">
        <w:rPr>
          <w:rFonts w:ascii="Times New Roman" w:eastAsia="Yu Mincho" w:hAnsi="Times New Roman" w:cs="Times New Roman"/>
          <w:b/>
          <w:bCs/>
          <w:i/>
          <w:iCs/>
          <w:noProof/>
          <w:kern w:val="0"/>
          <w:sz w:val="20"/>
          <w:szCs w:val="20"/>
          <w14:ligatures w14:val="none"/>
        </w:rPr>
        <w:t xml:space="preserve"> </w:t>
      </w:r>
      <w:r w:rsidR="008F28F9" w:rsidRPr="00FB4E2D">
        <w:rPr>
          <w:rFonts w:ascii="Times New Roman" w:eastAsia="Yu Mincho" w:hAnsi="Times New Roman" w:cs="Times New Roman"/>
          <w:i/>
          <w:iCs/>
          <w:noProof/>
          <w:kern w:val="0"/>
          <w:sz w:val="20"/>
          <w:szCs w:val="20"/>
          <w14:ligatures w14:val="none"/>
        </w:rPr>
        <w:t xml:space="preserve">are dealt with by specialised commercial judges and chambers within the ordinary courts. Commercial cases are handled by civil judges, specialised commercial judges and the subdistrict judges. The specialised commercial chamber in the Amsterdam District Court deals with cases with value claims above </w:t>
      </w:r>
      <w:r w:rsidR="00D51450" w:rsidRPr="00FB4E2D">
        <w:rPr>
          <w:rFonts w:ascii="Times New Roman" w:eastAsia="Yu Mincho" w:hAnsi="Times New Roman" w:cs="Times New Roman"/>
          <w:i/>
          <w:iCs/>
          <w:noProof/>
          <w:kern w:val="0"/>
          <w:sz w:val="20"/>
          <w:szCs w:val="20"/>
          <w14:ligatures w14:val="none"/>
        </w:rPr>
        <w:t xml:space="preserve">EUR </w:t>
      </w:r>
      <w:r w:rsidR="008F28F9" w:rsidRPr="00FB4E2D">
        <w:rPr>
          <w:rFonts w:ascii="Times New Roman" w:eastAsia="Yu Mincho" w:hAnsi="Times New Roman" w:cs="Times New Roman"/>
          <w:i/>
          <w:iCs/>
          <w:noProof/>
          <w:kern w:val="0"/>
          <w:sz w:val="20"/>
          <w:szCs w:val="20"/>
          <w14:ligatures w14:val="none"/>
        </w:rPr>
        <w:t>25</w:t>
      </w:r>
      <w:r w:rsidR="00D51450" w:rsidRPr="00FB4E2D">
        <w:rPr>
          <w:rFonts w:ascii="Times New Roman" w:eastAsia="Yu Mincho" w:hAnsi="Times New Roman" w:cs="Times New Roman"/>
          <w:i/>
          <w:iCs/>
          <w:noProof/>
          <w:kern w:val="0"/>
          <w:sz w:val="20"/>
          <w:szCs w:val="20"/>
          <w14:ligatures w14:val="none"/>
        </w:rPr>
        <w:t> </w:t>
      </w:r>
      <w:r w:rsidR="008F28F9" w:rsidRPr="00FB4E2D">
        <w:rPr>
          <w:rFonts w:ascii="Times New Roman" w:eastAsia="Yu Mincho" w:hAnsi="Times New Roman" w:cs="Times New Roman"/>
          <w:i/>
          <w:iCs/>
          <w:noProof/>
          <w:kern w:val="0"/>
          <w:sz w:val="20"/>
          <w:szCs w:val="20"/>
          <w14:ligatures w14:val="none"/>
        </w:rPr>
        <w:t xml:space="preserve">000. </w:t>
      </w:r>
      <w:r w:rsidR="008F28F9" w:rsidRPr="00FB4E2D">
        <w:rPr>
          <w:rFonts w:ascii="Times New Roman" w:eastAsia="Yu Mincho" w:hAnsi="Times New Roman" w:cs="Times New Roman"/>
          <w:b/>
          <w:bCs/>
          <w:i/>
          <w:iCs/>
          <w:noProof/>
          <w:kern w:val="0"/>
          <w:sz w:val="20"/>
          <w:szCs w:val="20"/>
          <w14:ligatures w14:val="none"/>
        </w:rPr>
        <w:t xml:space="preserve">AT: </w:t>
      </w:r>
      <w:r w:rsidR="008F28F9" w:rsidRPr="00FB4E2D">
        <w:rPr>
          <w:rFonts w:ascii="Times New Roman" w:eastAsia="Yu Mincho" w:hAnsi="Times New Roman" w:cs="Times New Roman"/>
          <w:i/>
          <w:iCs/>
          <w:noProof/>
          <w:kern w:val="0"/>
          <w:sz w:val="20"/>
          <w:szCs w:val="20"/>
          <w14:ligatures w14:val="none"/>
        </w:rPr>
        <w:t xml:space="preserve">Commercial cases are dealt with by a Specialised Commercial Court, as well as by specialised commercial chambers within the ordinary courts. Under Austrian law commercial cases are civil law cases. They are subject to the ordinary civil procedure, with few special rules. When a commercial case is heard by a division in a court of first or second instance, a lay assessor representing companies joins the division. This is not the case in the Supreme Court. Vienna has a separate District Court for Commercial Matters and a separate Commercial Court. Outside Vienna, Commercial Chambers within District Courts and Regional Courts also hear commercial cases. Decisions of the District Court for Commercial Matters may be appealed with the Commercial Court. Outside Vienna, there are no regulations deviating from the general regulations for appeals. </w:t>
      </w:r>
      <w:r w:rsidR="005B489D" w:rsidRPr="00FB4E2D">
        <w:rPr>
          <w:rFonts w:ascii="Times New Roman" w:eastAsia="Yu Mincho" w:hAnsi="Times New Roman" w:cs="Times New Roman"/>
          <w:b/>
          <w:bCs/>
          <w:i/>
          <w:iCs/>
          <w:noProof/>
          <w:kern w:val="0"/>
          <w:sz w:val="20"/>
          <w:szCs w:val="20"/>
          <w14:ligatures w14:val="none"/>
        </w:rPr>
        <w:t xml:space="preserve">CY: </w:t>
      </w:r>
      <w:r w:rsidR="005B489D" w:rsidRPr="00FB4E2D">
        <w:rPr>
          <w:rFonts w:ascii="Times New Roman" w:eastAsia="Yu Mincho" w:hAnsi="Times New Roman" w:cs="Times New Roman"/>
          <w:i/>
          <w:iCs/>
          <w:noProof/>
          <w:kern w:val="0"/>
          <w:sz w:val="20"/>
          <w:szCs w:val="20"/>
          <w14:ligatures w14:val="none"/>
        </w:rPr>
        <w:t>A reform of the judicial system in 2023 provided for the establishment of the Commercial Court, with special jurisdiction over high value commercial disputes by specialised judges. However, this Court is not operational yet</w:t>
      </w:r>
      <w:r w:rsidR="00A02C07" w:rsidRPr="00FB4E2D">
        <w:rPr>
          <w:rFonts w:ascii="Times New Roman" w:eastAsia="Yu Mincho" w:hAnsi="Times New Roman" w:cs="Times New Roman"/>
          <w:i/>
          <w:noProof/>
          <w:kern w:val="0"/>
          <w:sz w:val="20"/>
          <w:szCs w:val="20"/>
          <w14:ligatures w14:val="none"/>
        </w:rPr>
        <w:t>.</w:t>
      </w:r>
    </w:p>
    <w:p w14:paraId="3603912B" w14:textId="747E26AA" w:rsidR="00A76E33" w:rsidRPr="00FB4E2D" w:rsidRDefault="00A02C07" w:rsidP="00A76E33">
      <w:pPr>
        <w:spacing w:after="120" w:line="259" w:lineRule="auto"/>
        <w:jc w:val="both"/>
        <w:rPr>
          <w:rFonts w:ascii="Times New Roman" w:eastAsia="Calibri" w:hAnsi="Times New Roman" w:cs="Times New Roman"/>
          <w:noProof/>
          <w:spacing w:val="-6"/>
          <w:kern w:val="0"/>
          <w14:ligatures w14:val="none"/>
        </w:rPr>
      </w:pPr>
      <w:r w:rsidRPr="00FB4E2D">
        <w:rPr>
          <w:rFonts w:ascii="Times New Roman" w:eastAsia="Calibri" w:hAnsi="Times New Roman" w:cs="Times New Roman"/>
          <w:noProof/>
          <w:spacing w:val="-6"/>
          <w:kern w:val="0"/>
          <w14:ligatures w14:val="none"/>
        </w:rPr>
        <w:t>Figure 66 present</w:t>
      </w:r>
      <w:r w:rsidR="00B16A55" w:rsidRPr="00FB4E2D">
        <w:rPr>
          <w:rFonts w:ascii="Times New Roman" w:eastAsia="Calibri" w:hAnsi="Times New Roman" w:cs="Times New Roman"/>
          <w:noProof/>
          <w:spacing w:val="-6"/>
          <w:kern w:val="0"/>
          <w14:ligatures w14:val="none"/>
        </w:rPr>
        <w:t xml:space="preserve">s </w:t>
      </w:r>
      <w:r w:rsidRPr="00FB4E2D">
        <w:rPr>
          <w:rFonts w:ascii="Times New Roman" w:eastAsia="Calibri" w:hAnsi="Times New Roman" w:cs="Times New Roman"/>
          <w:noProof/>
          <w:spacing w:val="-6"/>
          <w:kern w:val="0"/>
          <w14:ligatures w14:val="none"/>
        </w:rPr>
        <w:t xml:space="preserve">the jurisdiction of </w:t>
      </w:r>
      <w:r w:rsidR="00B16A55" w:rsidRPr="00FB4E2D">
        <w:rPr>
          <w:rFonts w:ascii="Times New Roman" w:eastAsia="Calibri" w:hAnsi="Times New Roman" w:cs="Times New Roman"/>
          <w:noProof/>
          <w:spacing w:val="-6"/>
          <w:kern w:val="0"/>
          <w14:ligatures w14:val="none"/>
        </w:rPr>
        <w:t>s</w:t>
      </w:r>
      <w:r w:rsidRPr="00FB4E2D">
        <w:rPr>
          <w:rFonts w:ascii="Times New Roman" w:eastAsia="Calibri" w:hAnsi="Times New Roman" w:cs="Times New Roman"/>
          <w:noProof/>
          <w:spacing w:val="-6"/>
          <w:kern w:val="0"/>
          <w14:ligatures w14:val="none"/>
        </w:rPr>
        <w:t xml:space="preserve">upreme </w:t>
      </w:r>
      <w:r w:rsidR="00B16A55" w:rsidRPr="00FB4E2D">
        <w:rPr>
          <w:rFonts w:ascii="Times New Roman" w:eastAsia="Calibri" w:hAnsi="Times New Roman" w:cs="Times New Roman"/>
          <w:noProof/>
          <w:spacing w:val="-6"/>
          <w:kern w:val="0"/>
          <w14:ligatures w14:val="none"/>
        </w:rPr>
        <w:t>a</w:t>
      </w:r>
      <w:r w:rsidRPr="00FB4E2D">
        <w:rPr>
          <w:rFonts w:ascii="Times New Roman" w:eastAsia="Calibri" w:hAnsi="Times New Roman" w:cs="Times New Roman"/>
          <w:noProof/>
          <w:spacing w:val="-6"/>
          <w:kern w:val="0"/>
          <w14:ligatures w14:val="none"/>
        </w:rPr>
        <w:t xml:space="preserve">dministrative </w:t>
      </w:r>
      <w:r w:rsidR="00B16A55" w:rsidRPr="00FB4E2D">
        <w:rPr>
          <w:rFonts w:ascii="Times New Roman" w:eastAsia="Calibri" w:hAnsi="Times New Roman" w:cs="Times New Roman"/>
          <w:noProof/>
          <w:spacing w:val="-6"/>
          <w:kern w:val="0"/>
          <w14:ligatures w14:val="none"/>
        </w:rPr>
        <w:t>c</w:t>
      </w:r>
      <w:r w:rsidRPr="00FB4E2D">
        <w:rPr>
          <w:rFonts w:ascii="Times New Roman" w:eastAsia="Calibri" w:hAnsi="Times New Roman" w:cs="Times New Roman"/>
          <w:noProof/>
          <w:spacing w:val="-6"/>
          <w:kern w:val="0"/>
          <w14:ligatures w14:val="none"/>
        </w:rPr>
        <w:t>ourts in business-related proceedings, and</w:t>
      </w:r>
      <w:r w:rsidR="00B16A55" w:rsidRPr="00FB4E2D">
        <w:rPr>
          <w:rFonts w:ascii="Times New Roman" w:eastAsia="Calibri" w:hAnsi="Times New Roman" w:cs="Times New Roman"/>
          <w:noProof/>
          <w:spacing w:val="-6"/>
          <w:kern w:val="0"/>
          <w14:ligatures w14:val="none"/>
        </w:rPr>
        <w:t xml:space="preserve"> Figure 67</w:t>
      </w:r>
      <w:r w:rsidRPr="00FB4E2D">
        <w:rPr>
          <w:rFonts w:ascii="Times New Roman" w:eastAsia="Calibri" w:hAnsi="Times New Roman" w:cs="Times New Roman"/>
          <w:noProof/>
          <w:spacing w:val="-6"/>
          <w:kern w:val="0"/>
          <w14:ligatures w14:val="none"/>
        </w:rPr>
        <w:t xml:space="preserve"> the mechanisms at their disposal for efficient</w:t>
      </w:r>
      <w:r w:rsidR="00B16A55" w:rsidRPr="00FB4E2D">
        <w:rPr>
          <w:rFonts w:ascii="Times New Roman" w:eastAsia="Calibri" w:hAnsi="Times New Roman" w:cs="Times New Roman"/>
          <w:noProof/>
          <w:spacing w:val="-6"/>
          <w:kern w:val="0"/>
          <w14:ligatures w14:val="none"/>
        </w:rPr>
        <w:t xml:space="preserve">ly </w:t>
      </w:r>
      <w:r w:rsidRPr="00FB4E2D">
        <w:rPr>
          <w:rFonts w:ascii="Times New Roman" w:eastAsia="Calibri" w:hAnsi="Times New Roman" w:cs="Times New Roman"/>
          <w:noProof/>
          <w:spacing w:val="-6"/>
          <w:kern w:val="0"/>
          <w14:ligatures w14:val="none"/>
        </w:rPr>
        <w:t xml:space="preserve">dealing with business-related cases. Supreme </w:t>
      </w:r>
      <w:r w:rsidR="00B16A55" w:rsidRPr="00FB4E2D">
        <w:rPr>
          <w:rFonts w:ascii="Times New Roman" w:eastAsia="Calibri" w:hAnsi="Times New Roman" w:cs="Times New Roman"/>
          <w:noProof/>
          <w:spacing w:val="-6"/>
          <w:kern w:val="0"/>
          <w14:ligatures w14:val="none"/>
        </w:rPr>
        <w:t>a</w:t>
      </w:r>
      <w:r w:rsidRPr="00FB4E2D">
        <w:rPr>
          <w:rFonts w:ascii="Times New Roman" w:eastAsia="Calibri" w:hAnsi="Times New Roman" w:cs="Times New Roman"/>
          <w:noProof/>
          <w:spacing w:val="-6"/>
          <w:kern w:val="0"/>
          <w14:ligatures w14:val="none"/>
        </w:rPr>
        <w:t xml:space="preserve">dministrative </w:t>
      </w:r>
      <w:r w:rsidR="00B16A55" w:rsidRPr="00FB4E2D">
        <w:rPr>
          <w:rFonts w:ascii="Times New Roman" w:eastAsia="Calibri" w:hAnsi="Times New Roman" w:cs="Times New Roman"/>
          <w:noProof/>
          <w:spacing w:val="-6"/>
          <w:kern w:val="0"/>
          <w14:ligatures w14:val="none"/>
        </w:rPr>
        <w:t>c</w:t>
      </w:r>
      <w:r w:rsidRPr="00FB4E2D">
        <w:rPr>
          <w:rFonts w:ascii="Times New Roman" w:eastAsia="Calibri" w:hAnsi="Times New Roman" w:cs="Times New Roman"/>
          <w:noProof/>
          <w:spacing w:val="-6"/>
          <w:kern w:val="0"/>
          <w14:ligatures w14:val="none"/>
        </w:rPr>
        <w:t xml:space="preserve">ourts play a pivotal role in the single market by ensuring uniform interpretation and application of EU law in administrative matters, such as public procurement, </w:t>
      </w:r>
      <w:r w:rsidR="00B16A55" w:rsidRPr="00FB4E2D">
        <w:rPr>
          <w:rFonts w:ascii="Times New Roman" w:eastAsia="Calibri" w:hAnsi="Times New Roman" w:cs="Times New Roman"/>
          <w:noProof/>
          <w:spacing w:val="-6"/>
          <w:kern w:val="0"/>
          <w14:ligatures w14:val="none"/>
        </w:rPr>
        <w:t>S</w:t>
      </w:r>
      <w:r w:rsidRPr="00FB4E2D">
        <w:rPr>
          <w:rFonts w:ascii="Times New Roman" w:eastAsia="Calibri" w:hAnsi="Times New Roman" w:cs="Times New Roman"/>
          <w:noProof/>
          <w:spacing w:val="-6"/>
          <w:kern w:val="0"/>
          <w14:ligatures w14:val="none"/>
        </w:rPr>
        <w:t>tate aid, competition rules, and regulatory compliance, which directly impact businesses operating cross-border. Their expertise guarantees legal certainty and predictability, reducing disparities between Member States and fostering mutual trust essential for seamless economic integration.</w:t>
      </w:r>
      <w:r w:rsidR="00A76E33" w:rsidRPr="00FB4E2D">
        <w:rPr>
          <w:rFonts w:ascii="Times New Roman" w:eastAsia="Calibri" w:hAnsi="Times New Roman" w:cs="Times New Roman"/>
          <w:noProof/>
          <w:spacing w:val="-6"/>
          <w:kern w:val="0"/>
          <w14:ligatures w14:val="none"/>
        </w:rPr>
        <w:t xml:space="preserve"> Presenting their competence</w:t>
      </w:r>
      <w:r w:rsidR="00B16A55" w:rsidRPr="00FB4E2D">
        <w:rPr>
          <w:rFonts w:ascii="Times New Roman" w:eastAsia="Calibri" w:hAnsi="Times New Roman" w:cs="Times New Roman"/>
          <w:noProof/>
          <w:spacing w:val="-6"/>
          <w:kern w:val="0"/>
          <w14:ligatures w14:val="none"/>
        </w:rPr>
        <w:t xml:space="preserve"> over</w:t>
      </w:r>
      <w:r w:rsidR="00D51450" w:rsidRPr="00FB4E2D">
        <w:rPr>
          <w:rFonts w:ascii="Times New Roman" w:eastAsia="Calibri" w:hAnsi="Times New Roman" w:cs="Times New Roman"/>
          <w:noProof/>
          <w:spacing w:val="-6"/>
          <w:kern w:val="0"/>
          <w14:ligatures w14:val="none"/>
        </w:rPr>
        <w:t xml:space="preserve"> </w:t>
      </w:r>
      <w:r w:rsidR="00A76E33" w:rsidRPr="00FB4E2D">
        <w:rPr>
          <w:rFonts w:ascii="Times New Roman" w:eastAsia="Calibri" w:hAnsi="Times New Roman" w:cs="Times New Roman"/>
          <w:noProof/>
          <w:spacing w:val="-6"/>
          <w:kern w:val="0"/>
          <w14:ligatures w14:val="none"/>
        </w:rPr>
        <w:t>business-related cases is crucial to highlight</w:t>
      </w:r>
      <w:r w:rsidR="00B16A55" w:rsidRPr="00FB4E2D">
        <w:rPr>
          <w:rFonts w:ascii="Times New Roman" w:eastAsia="Calibri" w:hAnsi="Times New Roman" w:cs="Times New Roman"/>
          <w:noProof/>
          <w:spacing w:val="-6"/>
          <w:kern w:val="0"/>
          <w14:ligatures w14:val="none"/>
        </w:rPr>
        <w:t>ing</w:t>
      </w:r>
      <w:r w:rsidR="00A76E33" w:rsidRPr="00FB4E2D">
        <w:rPr>
          <w:rFonts w:ascii="Times New Roman" w:eastAsia="Calibri" w:hAnsi="Times New Roman" w:cs="Times New Roman"/>
          <w:noProof/>
          <w:spacing w:val="-6"/>
          <w:kern w:val="0"/>
          <w14:ligatures w14:val="none"/>
        </w:rPr>
        <w:t xml:space="preserve"> </w:t>
      </w:r>
      <w:r w:rsidR="002D055A" w:rsidRPr="00FB4E2D">
        <w:rPr>
          <w:rFonts w:ascii="Times New Roman" w:eastAsia="Calibri" w:hAnsi="Times New Roman" w:cs="Times New Roman"/>
          <w:noProof/>
          <w:spacing w:val="-6"/>
          <w:kern w:val="0"/>
          <w14:ligatures w14:val="none"/>
        </w:rPr>
        <w:t xml:space="preserve">the role </w:t>
      </w:r>
      <w:r w:rsidR="00A76E33" w:rsidRPr="00FB4E2D">
        <w:rPr>
          <w:rFonts w:ascii="Times New Roman" w:eastAsia="Calibri" w:hAnsi="Times New Roman" w:cs="Times New Roman"/>
          <w:noProof/>
          <w:spacing w:val="-6"/>
          <w:kern w:val="0"/>
          <w14:ligatures w14:val="none"/>
        </w:rPr>
        <w:t>these courts</w:t>
      </w:r>
      <w:r w:rsidR="002D055A" w:rsidRPr="00FB4E2D">
        <w:rPr>
          <w:rFonts w:ascii="Times New Roman" w:eastAsia="Calibri" w:hAnsi="Times New Roman" w:cs="Times New Roman"/>
          <w:noProof/>
          <w:spacing w:val="-6"/>
          <w:kern w:val="0"/>
          <w14:ligatures w14:val="none"/>
        </w:rPr>
        <w:t xml:space="preserve"> have in</w:t>
      </w:r>
      <w:r w:rsidR="00A76E33" w:rsidRPr="00FB4E2D">
        <w:rPr>
          <w:rFonts w:ascii="Times New Roman" w:eastAsia="Calibri" w:hAnsi="Times New Roman" w:cs="Times New Roman"/>
          <w:noProof/>
          <w:spacing w:val="-6"/>
          <w:kern w:val="0"/>
          <w14:ligatures w14:val="none"/>
        </w:rPr>
        <w:t xml:space="preserve"> safeguard</w:t>
      </w:r>
      <w:r w:rsidR="002D055A" w:rsidRPr="00FB4E2D">
        <w:rPr>
          <w:rFonts w:ascii="Times New Roman" w:eastAsia="Calibri" w:hAnsi="Times New Roman" w:cs="Times New Roman"/>
          <w:noProof/>
          <w:spacing w:val="-6"/>
          <w:kern w:val="0"/>
          <w14:ligatures w14:val="none"/>
        </w:rPr>
        <w:t>ing</w:t>
      </w:r>
      <w:r w:rsidR="00A76E33" w:rsidRPr="00FB4E2D">
        <w:rPr>
          <w:rFonts w:ascii="Times New Roman" w:eastAsia="Calibri" w:hAnsi="Times New Roman" w:cs="Times New Roman"/>
          <w:noProof/>
          <w:spacing w:val="-6"/>
          <w:kern w:val="0"/>
          <w14:ligatures w14:val="none"/>
        </w:rPr>
        <w:t xml:space="preserve"> a level playing field, </w:t>
      </w:r>
      <w:r w:rsidR="00B16A55" w:rsidRPr="00FB4E2D">
        <w:rPr>
          <w:rFonts w:ascii="Times New Roman" w:eastAsia="Calibri" w:hAnsi="Times New Roman" w:cs="Times New Roman"/>
          <w:noProof/>
          <w:spacing w:val="-6"/>
          <w:kern w:val="0"/>
          <w14:ligatures w14:val="none"/>
        </w:rPr>
        <w:t xml:space="preserve">improve </w:t>
      </w:r>
      <w:r w:rsidR="00A76E33" w:rsidRPr="00FB4E2D">
        <w:rPr>
          <w:rFonts w:ascii="Times New Roman" w:eastAsia="Calibri" w:hAnsi="Times New Roman" w:cs="Times New Roman"/>
          <w:noProof/>
          <w:spacing w:val="-6"/>
          <w:kern w:val="0"/>
          <w14:ligatures w14:val="none"/>
        </w:rPr>
        <w:t>contract enforcement, and support investor confidence, thereby strengthening the overall business environment and the resilience of the single market.</w:t>
      </w:r>
    </w:p>
    <w:p w14:paraId="71536D88" w14:textId="1EE59504" w:rsidR="00A02C07" w:rsidRPr="00FB4E2D" w:rsidRDefault="00A02C07" w:rsidP="007456E8">
      <w:pPr>
        <w:spacing w:before="240" w:after="120" w:line="259"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u w:val="single"/>
          <w14:ligatures w14:val="none"/>
        </w:rPr>
        <w:t xml:space="preserve">Supreme </w:t>
      </w:r>
      <w:r w:rsidR="00B16A55" w:rsidRPr="00FB4E2D">
        <w:rPr>
          <w:rFonts w:ascii="Times New Roman" w:eastAsia="Times New Roman" w:hAnsi="Times New Roman" w:cs="Times New Roman"/>
          <w:b/>
          <w:noProof/>
          <w:kern w:val="0"/>
          <w:u w:val="single"/>
          <w14:ligatures w14:val="none"/>
        </w:rPr>
        <w:t>a</w:t>
      </w:r>
      <w:r w:rsidRPr="00FB4E2D">
        <w:rPr>
          <w:rFonts w:ascii="Times New Roman" w:eastAsia="Times New Roman" w:hAnsi="Times New Roman" w:cs="Times New Roman"/>
          <w:b/>
          <w:noProof/>
          <w:kern w:val="0"/>
          <w:u w:val="single"/>
          <w14:ligatures w14:val="none"/>
        </w:rPr>
        <w:t xml:space="preserve">dministrative </w:t>
      </w:r>
      <w:r w:rsidR="00B16A55" w:rsidRPr="00FB4E2D">
        <w:rPr>
          <w:rFonts w:ascii="Times New Roman" w:eastAsia="Times New Roman" w:hAnsi="Times New Roman" w:cs="Times New Roman"/>
          <w:b/>
          <w:noProof/>
          <w:kern w:val="0"/>
          <w:u w:val="single"/>
          <w14:ligatures w14:val="none"/>
        </w:rPr>
        <w:t>c</w:t>
      </w:r>
      <w:r w:rsidRPr="00FB4E2D">
        <w:rPr>
          <w:rFonts w:ascii="Times New Roman" w:eastAsia="Times New Roman" w:hAnsi="Times New Roman" w:cs="Times New Roman"/>
          <w:b/>
          <w:noProof/>
          <w:kern w:val="0"/>
          <w:u w:val="single"/>
          <w14:ligatures w14:val="none"/>
        </w:rPr>
        <w:t>ourts</w:t>
      </w:r>
      <w:r w:rsidRPr="00FB4E2D">
        <w:rPr>
          <w:rFonts w:ascii="Times New Roman" w:eastAsia="Times New Roman" w:hAnsi="Times New Roman" w:cs="Times New Roman"/>
          <w:b/>
          <w:noProof/>
          <w:kern w:val="0"/>
          <w14:ligatures w14:val="none"/>
        </w:rPr>
        <w:t xml:space="preserve">: jurisdiction in business-related cases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(source: European Commission with ACA-Europe)</w:t>
      </w:r>
    </w:p>
    <w:p w14:paraId="111AE3CA" w14:textId="5DA9046F" w:rsidR="009365A8" w:rsidRPr="00FB4E2D" w:rsidRDefault="00391001" w:rsidP="00A02C07">
      <w:pPr>
        <w:spacing w:after="0" w:line="240" w:lineRule="auto"/>
        <w:jc w:val="both"/>
        <w:rPr>
          <w:rFonts w:ascii="Times New Roman" w:eastAsia="Times New Roman" w:hAnsi="Times New Roman" w:cs="Times New Roman"/>
          <w:i/>
          <w:noProof/>
          <w:kern w:val="0"/>
          <w:sz w:val="20"/>
          <w:szCs w:val="20"/>
          <w14:ligatures w14:val="none"/>
        </w:rPr>
      </w:pPr>
      <w:r w:rsidRPr="00FB4E2D">
        <w:rPr>
          <w:rFonts w:ascii="Times New Roman" w:eastAsia="Times New Roman" w:hAnsi="Times New Roman" w:cs="Times New Roman"/>
          <w:i/>
          <w:noProof/>
          <w:kern w:val="0"/>
          <w:sz w:val="20"/>
          <w:szCs w:val="20"/>
          <w:lang w:val="en-GB" w:eastAsia="en-GB"/>
          <w14:ligatures w14:val="none"/>
        </w:rPr>
        <w:drawing>
          <wp:inline distT="0" distB="0" distL="0" distR="0" wp14:anchorId="58E76D06" wp14:editId="4D52CF39">
            <wp:extent cx="5976000" cy="3053104"/>
            <wp:effectExtent l="0" t="0" r="5715" b="0"/>
            <wp:docPr id="12899655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76000" cy="3053104"/>
                    </a:xfrm>
                    <a:prstGeom prst="rect">
                      <a:avLst/>
                    </a:prstGeom>
                    <a:noFill/>
                  </pic:spPr>
                </pic:pic>
              </a:graphicData>
            </a:graphic>
          </wp:inline>
        </w:drawing>
      </w:r>
    </w:p>
    <w:p w14:paraId="171E91A2" w14:textId="1EE6E112" w:rsidR="009365A8" w:rsidRPr="00FB4E2D" w:rsidRDefault="009365A8" w:rsidP="00A02C07">
      <w:pPr>
        <w:spacing w:after="0" w:line="240" w:lineRule="auto"/>
        <w:jc w:val="both"/>
        <w:rPr>
          <w:rFonts w:ascii="Times New Roman" w:eastAsia="Times New Roman" w:hAnsi="Times New Roman" w:cs="Times New Roman"/>
          <w:noProof/>
          <w:kern w:val="0"/>
          <w:sz w:val="20"/>
          <w:szCs w:val="20"/>
          <w14:ligatures w14:val="none"/>
        </w:rPr>
      </w:pPr>
    </w:p>
    <w:p w14:paraId="289DF9F0" w14:textId="253A0356" w:rsidR="00A02C07" w:rsidRPr="00FB4E2D" w:rsidRDefault="00A02C07" w:rsidP="00A02C07">
      <w:pPr>
        <w:spacing w:after="0" w:line="240" w:lineRule="auto"/>
        <w:jc w:val="both"/>
        <w:rPr>
          <w:rFonts w:ascii="Times New Roman" w:eastAsia="Times New Roman" w:hAnsi="Times New Roman" w:cs="Times New Roman"/>
          <w:i/>
          <w:noProof/>
          <w:kern w:val="0"/>
          <w:sz w:val="20"/>
          <w:szCs w:val="20"/>
          <w14:ligatures w14:val="none"/>
        </w:rPr>
      </w:pP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BE, EE, BG, LU, PL</w:t>
      </w:r>
      <w:r w:rsidRPr="00FB4E2D">
        <w:rPr>
          <w:rFonts w:ascii="Times New Roman" w:eastAsia="Times New Roman" w:hAnsi="Times New Roman" w:cs="Times New Roman"/>
          <w:i/>
          <w:noProof/>
          <w:kern w:val="0"/>
          <w:sz w:val="20"/>
          <w:szCs w:val="20"/>
          <w14:ligatures w14:val="none"/>
        </w:rPr>
        <w:t xml:space="preserve">: Administrative courts are competent to rule on disputes concerning the legality of concession </w:t>
      </w:r>
      <w:r w:rsidR="005F4328" w:rsidRPr="00FB4E2D">
        <w:rPr>
          <w:rFonts w:ascii="Times New Roman" w:eastAsia="Times New Roman" w:hAnsi="Times New Roman" w:cs="Times New Roman"/>
          <w:i/>
          <w:noProof/>
          <w:kern w:val="0"/>
          <w:sz w:val="20"/>
          <w:szCs w:val="20"/>
          <w14:ligatures w14:val="none"/>
        </w:rPr>
        <w:t>awards</w:t>
      </w:r>
      <w:r w:rsidR="00067E4B"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i/>
          <w:noProof/>
          <w:kern w:val="0"/>
          <w:sz w:val="20"/>
          <w:szCs w:val="20"/>
          <w14:ligatures w14:val="none"/>
        </w:rPr>
        <w:t xml:space="preserve">but not disputes concerning </w:t>
      </w:r>
      <w:r w:rsidR="005F4328" w:rsidRPr="00FB4E2D">
        <w:rPr>
          <w:rFonts w:ascii="Times New Roman" w:eastAsia="Times New Roman" w:hAnsi="Times New Roman" w:cs="Times New Roman"/>
          <w:i/>
          <w:noProof/>
          <w:kern w:val="0"/>
          <w:sz w:val="20"/>
          <w:szCs w:val="20"/>
          <w14:ligatures w14:val="none"/>
        </w:rPr>
        <w:t xml:space="preserve">their </w:t>
      </w:r>
      <w:r w:rsidRPr="00FB4E2D">
        <w:rPr>
          <w:rFonts w:ascii="Times New Roman" w:eastAsia="Times New Roman" w:hAnsi="Times New Roman" w:cs="Times New Roman"/>
          <w:i/>
          <w:noProof/>
          <w:kern w:val="0"/>
          <w:sz w:val="20"/>
          <w:szCs w:val="20"/>
          <w14:ligatures w14:val="none"/>
        </w:rPr>
        <w:t xml:space="preserve">performance. </w:t>
      </w:r>
      <w:r w:rsidRPr="00FB4E2D">
        <w:rPr>
          <w:rFonts w:ascii="Times New Roman" w:eastAsia="Times New Roman" w:hAnsi="Times New Roman" w:cs="Times New Roman"/>
          <w:b/>
          <w:i/>
          <w:noProof/>
          <w:kern w:val="0"/>
          <w:sz w:val="20"/>
          <w:szCs w:val="20"/>
          <w14:ligatures w14:val="none"/>
        </w:rPr>
        <w:t>IT</w:t>
      </w:r>
      <w:r w:rsidRPr="00FB4E2D">
        <w:rPr>
          <w:rFonts w:ascii="Times New Roman" w:eastAsia="Times New Roman" w:hAnsi="Times New Roman" w:cs="Times New Roman"/>
          <w:i/>
          <w:noProof/>
          <w:kern w:val="0"/>
          <w:sz w:val="20"/>
          <w:szCs w:val="20"/>
          <w14:ligatures w14:val="none"/>
        </w:rPr>
        <w:t xml:space="preserve">: The </w:t>
      </w:r>
      <w:r w:rsidR="005F4328" w:rsidRPr="00FB4E2D">
        <w:rPr>
          <w:rFonts w:ascii="Times New Roman" w:eastAsia="Times New Roman" w:hAnsi="Times New Roman" w:cs="Times New Roman"/>
          <w:i/>
          <w:noProof/>
          <w:kern w:val="0"/>
          <w:sz w:val="20"/>
          <w:szCs w:val="20"/>
          <w14:ligatures w14:val="none"/>
        </w:rPr>
        <w:t>administrative c</w:t>
      </w:r>
      <w:r w:rsidRPr="00FB4E2D">
        <w:rPr>
          <w:rFonts w:ascii="Times New Roman" w:eastAsia="Times New Roman" w:hAnsi="Times New Roman" w:cs="Times New Roman"/>
          <w:i/>
          <w:noProof/>
          <w:kern w:val="0"/>
          <w:sz w:val="20"/>
          <w:szCs w:val="20"/>
          <w14:ligatures w14:val="none"/>
        </w:rPr>
        <w:t xml:space="preserve">ourts do not have jurisdiction over disputes relating to acts and measures on compensation, royalties, or other financial payments or charges, </w:t>
      </w:r>
      <w:r w:rsidR="005F4328" w:rsidRPr="00FB4E2D">
        <w:rPr>
          <w:rFonts w:ascii="Times New Roman" w:eastAsia="Times New Roman" w:hAnsi="Times New Roman" w:cs="Times New Roman"/>
          <w:i/>
          <w:noProof/>
          <w:kern w:val="0"/>
          <w:sz w:val="20"/>
          <w:szCs w:val="20"/>
          <w14:ligatures w14:val="none"/>
        </w:rPr>
        <w:t xml:space="preserve">nor </w:t>
      </w:r>
      <w:r w:rsidRPr="00FB4E2D">
        <w:rPr>
          <w:rFonts w:ascii="Times New Roman" w:eastAsia="Times New Roman" w:hAnsi="Times New Roman" w:cs="Times New Roman"/>
          <w:i/>
          <w:noProof/>
          <w:kern w:val="0"/>
          <w:sz w:val="20"/>
          <w:szCs w:val="20"/>
          <w14:ligatures w14:val="none"/>
        </w:rPr>
        <w:t xml:space="preserve">over matters falling within the jurisdiction of the Public Water Courts or the Superior Court of Public Waters, nor disputes in the field of public services </w:t>
      </w:r>
      <w:r w:rsidR="005F4328" w:rsidRPr="00FB4E2D">
        <w:rPr>
          <w:rFonts w:ascii="Times New Roman" w:eastAsia="Times New Roman" w:hAnsi="Times New Roman" w:cs="Times New Roman"/>
          <w:i/>
          <w:noProof/>
          <w:kern w:val="0"/>
          <w:sz w:val="20"/>
          <w:szCs w:val="20"/>
          <w14:ligatures w14:val="none"/>
        </w:rPr>
        <w:t>relating</w:t>
      </w:r>
      <w:r w:rsidRPr="00FB4E2D">
        <w:rPr>
          <w:rFonts w:ascii="Times New Roman" w:eastAsia="Times New Roman" w:hAnsi="Times New Roman" w:cs="Times New Roman"/>
          <w:i/>
          <w:noProof/>
          <w:kern w:val="0"/>
          <w:sz w:val="20"/>
          <w:szCs w:val="20"/>
          <w14:ligatures w14:val="none"/>
        </w:rPr>
        <w:t xml:space="preserve"> to public service concessions </w:t>
      </w:r>
      <w:r w:rsidR="005F4328" w:rsidRPr="00FB4E2D">
        <w:rPr>
          <w:rFonts w:ascii="Times New Roman" w:eastAsia="Times New Roman" w:hAnsi="Times New Roman" w:cs="Times New Roman"/>
          <w:i/>
          <w:noProof/>
          <w:kern w:val="0"/>
          <w:sz w:val="20"/>
          <w:szCs w:val="20"/>
          <w14:ligatures w14:val="none"/>
        </w:rPr>
        <w:t xml:space="preserve">that involve </w:t>
      </w:r>
      <w:r w:rsidRPr="00FB4E2D">
        <w:rPr>
          <w:rFonts w:ascii="Times New Roman" w:eastAsia="Times New Roman" w:hAnsi="Times New Roman" w:cs="Times New Roman"/>
          <w:i/>
          <w:noProof/>
          <w:kern w:val="0"/>
          <w:sz w:val="20"/>
          <w:szCs w:val="20"/>
          <w14:ligatures w14:val="none"/>
        </w:rPr>
        <w:t xml:space="preserve">compensation, royalties and other charges, </w:t>
      </w:r>
      <w:r w:rsidR="005F4328" w:rsidRPr="00FB4E2D">
        <w:rPr>
          <w:rFonts w:ascii="Times New Roman" w:eastAsia="Times New Roman" w:hAnsi="Times New Roman" w:cs="Times New Roman"/>
          <w:i/>
          <w:noProof/>
          <w:kern w:val="0"/>
          <w:sz w:val="20"/>
          <w:szCs w:val="20"/>
          <w14:ligatures w14:val="none"/>
        </w:rPr>
        <w:t>nor</w:t>
      </w:r>
      <w:r w:rsidRPr="00FB4E2D">
        <w:rPr>
          <w:rFonts w:ascii="Times New Roman" w:eastAsia="Times New Roman" w:hAnsi="Times New Roman" w:cs="Times New Roman"/>
          <w:i/>
          <w:noProof/>
          <w:kern w:val="0"/>
          <w:sz w:val="20"/>
          <w:szCs w:val="20"/>
          <w14:ligatures w14:val="none"/>
        </w:rPr>
        <w:t xml:space="preserve"> relating to measures adopted by the public administration or the operator of a public service in an administrative procedure, </w:t>
      </w:r>
      <w:r w:rsidR="005F4328" w:rsidRPr="00FB4E2D">
        <w:rPr>
          <w:rFonts w:ascii="Times New Roman" w:eastAsia="Times New Roman" w:hAnsi="Times New Roman" w:cs="Times New Roman"/>
          <w:i/>
          <w:noProof/>
          <w:kern w:val="0"/>
          <w:sz w:val="20"/>
          <w:szCs w:val="20"/>
          <w14:ligatures w14:val="none"/>
        </w:rPr>
        <w:t>nor</w:t>
      </w:r>
      <w:r w:rsidRPr="00FB4E2D">
        <w:rPr>
          <w:rFonts w:ascii="Times New Roman" w:eastAsia="Times New Roman" w:hAnsi="Times New Roman" w:cs="Times New Roman"/>
          <w:i/>
          <w:noProof/>
          <w:kern w:val="0"/>
          <w:sz w:val="20"/>
          <w:szCs w:val="20"/>
          <w14:ligatures w14:val="none"/>
        </w:rPr>
        <w:t xml:space="preserve"> again relating to the award of a public service, and the supervision and control of the operator, </w:t>
      </w:r>
      <w:r w:rsidR="005F4328" w:rsidRPr="00FB4E2D">
        <w:rPr>
          <w:rFonts w:ascii="Times New Roman" w:eastAsia="Times New Roman" w:hAnsi="Times New Roman" w:cs="Times New Roman"/>
          <w:i/>
          <w:noProof/>
          <w:kern w:val="0"/>
          <w:sz w:val="20"/>
          <w:szCs w:val="20"/>
          <w14:ligatures w14:val="none"/>
        </w:rPr>
        <w:t>or relating</w:t>
      </w:r>
      <w:r w:rsidRPr="00FB4E2D">
        <w:rPr>
          <w:rFonts w:ascii="Times New Roman" w:eastAsia="Times New Roman" w:hAnsi="Times New Roman" w:cs="Times New Roman"/>
          <w:i/>
          <w:noProof/>
          <w:kern w:val="0"/>
          <w:sz w:val="20"/>
          <w:szCs w:val="20"/>
          <w14:ligatures w14:val="none"/>
        </w:rPr>
        <w:t xml:space="preserve"> to supervision of the credit, insurance and securities market, pharmaceutical services, transport, telecommunications and public utilities. </w:t>
      </w:r>
      <w:r w:rsidRPr="00FB4E2D">
        <w:rPr>
          <w:rFonts w:ascii="Times New Roman" w:eastAsia="Times New Roman" w:hAnsi="Times New Roman" w:cs="Times New Roman"/>
          <w:b/>
          <w:i/>
          <w:noProof/>
          <w:kern w:val="0"/>
          <w:sz w:val="20"/>
          <w:szCs w:val="20"/>
          <w14:ligatures w14:val="none"/>
        </w:rPr>
        <w:t>NL</w:t>
      </w:r>
      <w:r w:rsidRPr="00FB4E2D">
        <w:rPr>
          <w:rFonts w:ascii="Times New Roman" w:eastAsia="Times New Roman" w:hAnsi="Times New Roman" w:cs="Times New Roman"/>
          <w:i/>
          <w:noProof/>
          <w:kern w:val="0"/>
          <w:sz w:val="20"/>
          <w:szCs w:val="20"/>
          <w14:ligatures w14:val="none"/>
        </w:rPr>
        <w:t xml:space="preserve">: The Administrative Jurisdiction Division of the Council of State is competent to rule on disputes </w:t>
      </w:r>
      <w:r w:rsidR="005F4328" w:rsidRPr="00FB4E2D">
        <w:rPr>
          <w:rFonts w:ascii="Times New Roman" w:eastAsia="Times New Roman" w:hAnsi="Times New Roman" w:cs="Times New Roman"/>
          <w:i/>
          <w:noProof/>
          <w:kern w:val="0"/>
          <w:sz w:val="20"/>
          <w:szCs w:val="20"/>
          <w14:ligatures w14:val="none"/>
        </w:rPr>
        <w:t>concerning</w:t>
      </w:r>
      <w:r w:rsidRPr="00FB4E2D">
        <w:rPr>
          <w:rFonts w:ascii="Times New Roman" w:eastAsia="Times New Roman" w:hAnsi="Times New Roman" w:cs="Times New Roman"/>
          <w:i/>
          <w:noProof/>
          <w:kern w:val="0"/>
          <w:sz w:val="20"/>
          <w:szCs w:val="20"/>
          <w14:ligatures w14:val="none"/>
        </w:rPr>
        <w:t xml:space="preserve"> production licences (formerly concessions) under the Mining Act. </w:t>
      </w:r>
      <w:r w:rsidRPr="00FB4E2D">
        <w:rPr>
          <w:rFonts w:ascii="Times New Roman" w:eastAsia="Times New Roman" w:hAnsi="Times New Roman" w:cs="Times New Roman"/>
          <w:b/>
          <w:i/>
          <w:noProof/>
          <w:kern w:val="0"/>
          <w:sz w:val="20"/>
          <w:szCs w:val="20"/>
          <w14:ligatures w14:val="none"/>
        </w:rPr>
        <w:t>CZ</w:t>
      </w:r>
      <w:r w:rsidRPr="00FB4E2D">
        <w:rPr>
          <w:rFonts w:ascii="Times New Roman" w:eastAsia="Times New Roman" w:hAnsi="Times New Roman" w:cs="Times New Roman"/>
          <w:i/>
          <w:noProof/>
          <w:kern w:val="0"/>
          <w:sz w:val="20"/>
          <w:szCs w:val="20"/>
          <w14:ligatures w14:val="none"/>
        </w:rPr>
        <w:t xml:space="preserve">: The work of the administrative court does not include reviewing the granting of concessions or deciding on sanctions for poor performance, but rather whether the activity of an administrative authority could have infringed public subjective rights. </w:t>
      </w:r>
      <w:r w:rsidRPr="00FB4E2D">
        <w:rPr>
          <w:rFonts w:ascii="Times New Roman" w:eastAsia="Times New Roman" w:hAnsi="Times New Roman" w:cs="Times New Roman"/>
          <w:b/>
          <w:i/>
          <w:noProof/>
          <w:kern w:val="0"/>
          <w:sz w:val="20"/>
          <w:szCs w:val="20"/>
          <w14:ligatures w14:val="none"/>
        </w:rPr>
        <w:t>HU</w:t>
      </w:r>
      <w:r w:rsidRPr="00FB4E2D">
        <w:rPr>
          <w:rFonts w:ascii="Times New Roman" w:eastAsia="Times New Roman" w:hAnsi="Times New Roman" w:cs="Times New Roman"/>
          <w:i/>
          <w:noProof/>
          <w:kern w:val="0"/>
          <w:sz w:val="20"/>
          <w:szCs w:val="20"/>
          <w14:ligatures w14:val="none"/>
        </w:rPr>
        <w:t>: For it to fall under the jurisdiction of the administrative courts, concession contract must be classified as an administrative contract.</w:t>
      </w:r>
    </w:p>
    <w:p w14:paraId="39364213" w14:textId="77777777" w:rsidR="000645B0" w:rsidRDefault="000645B0">
      <w:pPr>
        <w:rPr>
          <w:rFonts w:ascii="Times New Roman" w:eastAsia="Calibri" w:hAnsi="Times New Roman" w:cs="Times New Roman"/>
          <w:b/>
          <w:noProof/>
          <w:spacing w:val="-6"/>
          <w:kern w:val="0"/>
          <w14:ligatures w14:val="none"/>
        </w:rPr>
      </w:pPr>
      <w:r>
        <w:rPr>
          <w:rFonts w:ascii="Times New Roman" w:eastAsia="Calibri" w:hAnsi="Times New Roman" w:cs="Times New Roman"/>
          <w:b/>
          <w:noProof/>
          <w:spacing w:val="-6"/>
          <w:kern w:val="0"/>
          <w14:ligatures w14:val="none"/>
        </w:rPr>
        <w:br w:type="page"/>
      </w:r>
    </w:p>
    <w:p w14:paraId="4F8A25A8" w14:textId="5A5CE7D2" w:rsidR="00A02C07" w:rsidRPr="00FB4E2D" w:rsidRDefault="00A02C07" w:rsidP="007456E8">
      <w:pPr>
        <w:spacing w:before="240" w:after="12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b/>
          <w:noProof/>
          <w:spacing w:val="-6"/>
          <w:kern w:val="0"/>
          <w14:ligatures w14:val="none"/>
        </w:rPr>
        <w:t xml:space="preserve">Figure </w:t>
      </w:r>
      <w:r w:rsidRPr="00FB4E2D">
        <w:rPr>
          <w:rFonts w:ascii="Times New Roman" w:eastAsia="Calibri" w:hAnsi="Times New Roman" w:cs="Times New Roman"/>
          <w:b/>
          <w:noProof/>
          <w:spacing w:val="-6"/>
          <w:kern w:val="0"/>
          <w14:ligatures w14:val="none"/>
        </w:rPr>
        <w:fldChar w:fldCharType="begin"/>
      </w:r>
      <w:r w:rsidRPr="00FB4E2D">
        <w:rPr>
          <w:rFonts w:ascii="Times New Roman" w:eastAsia="Calibri" w:hAnsi="Times New Roman" w:cs="Times New Roman"/>
          <w:b/>
          <w:noProof/>
          <w:spacing w:val="-6"/>
          <w:kern w:val="0"/>
          <w14:ligatures w14:val="none"/>
        </w:rPr>
        <w:instrText xml:space="preserve"> AUTONUMLGL  \e </w:instrText>
      </w:r>
      <w:r w:rsidRPr="00FB4E2D">
        <w:rPr>
          <w:rFonts w:ascii="Times New Roman" w:eastAsia="Calibri" w:hAnsi="Times New Roman" w:cs="Times New Roman"/>
          <w:b/>
          <w:noProof/>
          <w:spacing w:val="-6"/>
          <w:kern w:val="0"/>
          <w14:ligatures w14:val="none"/>
        </w:rPr>
        <w:fldChar w:fldCharType="end"/>
      </w:r>
      <w:r w:rsidRPr="00FB4E2D">
        <w:rPr>
          <w:rFonts w:ascii="Times New Roman" w:eastAsia="Calibri" w:hAnsi="Times New Roman" w:cs="Times New Roman"/>
          <w:b/>
          <w:noProof/>
          <w:spacing w:val="-6"/>
          <w:kern w:val="0"/>
          <w14:ligatures w14:val="none"/>
        </w:rPr>
        <w:t xml:space="preserve">: </w:t>
      </w:r>
      <w:r w:rsidRPr="00FB4E2D">
        <w:rPr>
          <w:rFonts w:ascii="Times New Roman" w:eastAsia="Times New Roman" w:hAnsi="Times New Roman" w:cs="Times New Roman"/>
          <w:b/>
          <w:noProof/>
          <w:kern w:val="0"/>
          <w:u w:val="single"/>
          <w14:ligatures w14:val="none"/>
        </w:rPr>
        <w:t xml:space="preserve">Supreme </w:t>
      </w:r>
      <w:r w:rsidR="00B16A55" w:rsidRPr="00FB4E2D">
        <w:rPr>
          <w:rFonts w:ascii="Times New Roman" w:eastAsia="Times New Roman" w:hAnsi="Times New Roman" w:cs="Times New Roman"/>
          <w:b/>
          <w:noProof/>
          <w:kern w:val="0"/>
          <w:u w:val="single"/>
          <w14:ligatures w14:val="none"/>
        </w:rPr>
        <w:t>a</w:t>
      </w:r>
      <w:r w:rsidRPr="00FB4E2D">
        <w:rPr>
          <w:rFonts w:ascii="Times New Roman" w:eastAsia="Times New Roman" w:hAnsi="Times New Roman" w:cs="Times New Roman"/>
          <w:b/>
          <w:noProof/>
          <w:kern w:val="0"/>
          <w:u w:val="single"/>
          <w14:ligatures w14:val="none"/>
        </w:rPr>
        <w:t xml:space="preserve">dministrative </w:t>
      </w:r>
      <w:r w:rsidR="00B16A55" w:rsidRPr="00FB4E2D">
        <w:rPr>
          <w:rFonts w:ascii="Times New Roman" w:eastAsia="Times New Roman" w:hAnsi="Times New Roman" w:cs="Times New Roman"/>
          <w:b/>
          <w:noProof/>
          <w:kern w:val="0"/>
          <w:u w:val="single"/>
          <w14:ligatures w14:val="none"/>
        </w:rPr>
        <w:t>c</w:t>
      </w:r>
      <w:r w:rsidRPr="00FB4E2D">
        <w:rPr>
          <w:rFonts w:ascii="Times New Roman" w:eastAsia="Times New Roman" w:hAnsi="Times New Roman" w:cs="Times New Roman"/>
          <w:b/>
          <w:noProof/>
          <w:kern w:val="0"/>
          <w:u w:val="single"/>
          <w14:ligatures w14:val="none"/>
        </w:rPr>
        <w:t>ourts</w:t>
      </w:r>
      <w:r w:rsidRPr="00FB4E2D">
        <w:rPr>
          <w:rFonts w:ascii="Times New Roman" w:eastAsia="Times New Roman" w:hAnsi="Times New Roman" w:cs="Times New Roman"/>
          <w:b/>
          <w:noProof/>
          <w:kern w:val="0"/>
          <w14:ligatures w14:val="none"/>
        </w:rPr>
        <w:t xml:space="preserve">: mechanisms for improving efficiency in business-related cases </w:t>
      </w:r>
      <w:r w:rsidRPr="00FB4E2D">
        <w:rPr>
          <w:rFonts w:ascii="Times New Roman" w:eastAsia="Calibri" w:hAnsi="Times New Roman" w:cs="Times New Roman"/>
          <w:noProof/>
          <w:kern w:val="0"/>
          <w14:ligatures w14:val="none"/>
        </w:rPr>
        <w:t>(</w:t>
      </w:r>
      <w:r w:rsidRPr="00FB4E2D">
        <w:rPr>
          <w:rFonts w:ascii="Calibri" w:eastAsia="Calibri" w:hAnsi="Calibri" w:cs="Times New Roman"/>
          <w:noProof/>
          <w:kern w:val="0"/>
          <w14:ligatures w14:val="none"/>
        </w:rPr>
        <w:t>*</w:t>
      </w:r>
      <w:r w:rsidRPr="00FB4E2D">
        <w:rPr>
          <w:rFonts w:ascii="Times New Roman" w:eastAsia="Calibri" w:hAnsi="Times New Roman" w:cs="Times New Roman"/>
          <w:noProof/>
          <w:kern w:val="0"/>
          <w14:ligatures w14:val="none"/>
        </w:rPr>
        <w:t>)</w:t>
      </w:r>
      <w:r w:rsidRPr="00FB4E2D">
        <w:rPr>
          <w:rFonts w:ascii="Times New Roman" w:eastAsia="Calibri" w:hAnsi="Times New Roman" w:cs="Times New Roman"/>
          <w:b/>
          <w:noProof/>
          <w:kern w:val="0"/>
          <w14:ligatures w14:val="none"/>
        </w:rPr>
        <w:t xml:space="preserve"> </w:t>
      </w:r>
      <w:r w:rsidRPr="00FB4E2D">
        <w:rPr>
          <w:rFonts w:ascii="Times New Roman" w:eastAsia="Calibri" w:hAnsi="Times New Roman" w:cs="Times New Roman"/>
          <w:i/>
          <w:noProof/>
          <w:kern w:val="0"/>
          <w14:ligatures w14:val="none"/>
        </w:rPr>
        <w:t>(source: European Commission with ACA-Europe)</w:t>
      </w:r>
    </w:p>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14:paraId="1CA0F4C4" w14:textId="3D16163B" w:rsidR="00DD052B" w:rsidRPr="00FB4E2D" w:rsidRDefault="00961E7C" w:rsidP="005F4328">
      <w:pPr>
        <w:spacing w:after="0" w:line="240" w:lineRule="auto"/>
        <w:jc w:val="both"/>
        <w:rPr>
          <w:rFonts w:ascii="Times New Roman" w:eastAsia="Calibri" w:hAnsi="Times New Roman" w:cs="Times New Roman"/>
          <w:i/>
          <w:noProof/>
          <w:kern w:val="0"/>
          <w14:ligatures w14:val="none"/>
        </w:rPr>
      </w:pPr>
      <w:r w:rsidRPr="00FB4E2D">
        <w:rPr>
          <w:rFonts w:ascii="Times New Roman" w:eastAsia="Calibri" w:hAnsi="Times New Roman" w:cs="Times New Roman"/>
          <w:i/>
          <w:noProof/>
          <w:kern w:val="0"/>
          <w:lang w:val="en-GB" w:eastAsia="en-GB"/>
          <w14:ligatures w14:val="none"/>
        </w:rPr>
        <w:drawing>
          <wp:inline distT="0" distB="0" distL="0" distR="0" wp14:anchorId="14D74123" wp14:editId="50107C92">
            <wp:extent cx="5976000" cy="3046077"/>
            <wp:effectExtent l="0" t="0" r="5715" b="2540"/>
            <wp:docPr id="305043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76000" cy="3046077"/>
                    </a:xfrm>
                    <a:prstGeom prst="rect">
                      <a:avLst/>
                    </a:prstGeom>
                    <a:noFill/>
                  </pic:spPr>
                </pic:pic>
              </a:graphicData>
            </a:graphic>
          </wp:inline>
        </w:drawing>
      </w:r>
    </w:p>
    <w:p w14:paraId="01D38416" w14:textId="7702E804" w:rsidR="00A02C07" w:rsidRPr="00FB4E2D" w:rsidRDefault="00A02C07" w:rsidP="00190182">
      <w:pPr>
        <w:keepNext/>
        <w:spacing w:after="0" w:line="240" w:lineRule="auto"/>
        <w:jc w:val="both"/>
        <w:rPr>
          <w:rFonts w:ascii="Times New Roman" w:eastAsia="Times New Roman" w:hAnsi="Times New Roman" w:cs="Times New Roman"/>
          <w:bCs/>
          <w:i/>
          <w:noProof/>
          <w:kern w:val="0"/>
          <w:sz w:val="20"/>
          <w:szCs w:val="20"/>
          <w14:ligatures w14:val="none"/>
        </w:rPr>
      </w:pP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 xml:space="preserve">PT, NL, LV, SI, HU, IE, SE, FI </w:t>
      </w:r>
      <w:r w:rsidRPr="00FB4E2D">
        <w:rPr>
          <w:rFonts w:ascii="Times New Roman" w:eastAsia="Times New Roman" w:hAnsi="Times New Roman" w:cs="Times New Roman"/>
          <w:bCs/>
          <w:i/>
          <w:noProof/>
          <w:kern w:val="0"/>
          <w:sz w:val="20"/>
          <w:szCs w:val="20"/>
          <w14:ligatures w14:val="none"/>
        </w:rPr>
        <w:t>have the following interim measures available: suspension of the application of regulations or the law, suspension of the application of the administrative act, imposing obligations, and granting rights.</w:t>
      </w:r>
    </w:p>
    <w:p w14:paraId="729CFF86" w14:textId="77777777" w:rsidR="00E5374A" w:rsidRPr="00FB4E2D" w:rsidRDefault="00E5374A" w:rsidP="001F4C99">
      <w:pPr>
        <w:keepNext/>
        <w:tabs>
          <w:tab w:val="left" w:pos="850"/>
        </w:tabs>
        <w:spacing w:before="240" w:after="120" w:line="240" w:lineRule="auto"/>
        <w:ind w:left="850" w:hanging="850"/>
        <w:jc w:val="both"/>
        <w:outlineLvl w:val="2"/>
        <w:rPr>
          <w:rFonts w:ascii="Times New Roman" w:eastAsia="Times New Roman" w:hAnsi="Times New Roman" w:cs="Times New Roman"/>
          <w:b/>
          <w:noProof/>
          <w:kern w:val="0"/>
          <w14:ligatures w14:val="none"/>
        </w:rPr>
      </w:pPr>
      <w:r w:rsidRPr="00FB4E2D">
        <w:rPr>
          <w:rFonts w:ascii="Times New Roman" w:eastAsia="Times New Roman" w:hAnsi="Times New Roman" w:cs="Times New Roman"/>
          <w:b/>
          <w:noProof/>
          <w:kern w:val="0"/>
          <w14:ligatures w14:val="none"/>
        </w:rPr>
        <w:t xml:space="preserve">2.4.4. Prevention of corruption: transparency of lobbying </w:t>
      </w:r>
    </w:p>
    <w:p w14:paraId="67A90275" w14:textId="3103CD90" w:rsidR="00CF275C" w:rsidRPr="00FB4E2D" w:rsidRDefault="00CF275C" w:rsidP="00CF275C">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National anti-corruption frameworks are monitored by the Commission through the annual Rule of Law Report and, if relevant, also under the European Semester, the RRPs and as part of assessment</w:t>
      </w:r>
      <w:r w:rsidR="00B16A55" w:rsidRPr="00FB4E2D">
        <w:rPr>
          <w:rFonts w:ascii="Times New Roman" w:eastAsia="Times New Roman" w:hAnsi="Times New Roman" w:cs="Times New Roman"/>
          <w:noProof/>
          <w:kern w:val="0"/>
          <w14:ligatures w14:val="none"/>
        </w:rPr>
        <w:t>s</w:t>
      </w:r>
      <w:r w:rsidRPr="00FB4E2D">
        <w:rPr>
          <w:rFonts w:ascii="Times New Roman" w:eastAsia="Times New Roman" w:hAnsi="Times New Roman" w:cs="Times New Roman"/>
          <w:noProof/>
          <w:kern w:val="0"/>
          <w14:ligatures w14:val="none"/>
        </w:rPr>
        <w:t xml:space="preserve"> under the Conditionality Regulation</w:t>
      </w:r>
      <w:r w:rsidR="00BC7023" w:rsidRPr="00FB4E2D">
        <w:rPr>
          <w:rFonts w:ascii="Times New Roman" w:eastAsia="Times New Roman" w:hAnsi="Times New Roman" w:cs="Times New Roman"/>
          <w:noProof/>
          <w:kern w:val="0"/>
          <w14:ligatures w14:val="none"/>
        </w:rPr>
        <w:t xml:space="preserve"> (</w:t>
      </w:r>
      <w:r w:rsidRPr="00FB4E2D">
        <w:rPr>
          <w:rFonts w:ascii="Times New Roman" w:eastAsia="Times New Roman" w:hAnsi="Times New Roman" w:cs="Times New Roman"/>
          <w:noProof/>
          <w:kern w:val="0"/>
          <w:vertAlign w:val="superscript"/>
          <w14:ligatures w14:val="none"/>
        </w:rPr>
        <w:footnoteReference w:id="140"/>
      </w:r>
      <w:r w:rsidR="00BC7023" w:rsidRPr="00FB4E2D">
        <w:rPr>
          <w:rFonts w:ascii="Times New Roman" w:eastAsia="Times New Roman" w:hAnsi="Times New Roman" w:cs="Times New Roman"/>
          <w:noProof/>
          <w:kern w:val="0"/>
          <w14:ligatures w14:val="none"/>
        </w:rPr>
        <w:t>)</w:t>
      </w:r>
      <w:r w:rsidRPr="00FB4E2D">
        <w:rPr>
          <w:rFonts w:ascii="Times New Roman" w:eastAsia="Times New Roman" w:hAnsi="Times New Roman" w:cs="Times New Roman"/>
          <w:noProof/>
          <w:kern w:val="0"/>
          <w14:ligatures w14:val="none"/>
        </w:rPr>
        <w:t xml:space="preserve">. </w:t>
      </w:r>
    </w:p>
    <w:p w14:paraId="078DFA56" w14:textId="6965566E" w:rsidR="00C61935" w:rsidRPr="00FB4E2D" w:rsidRDefault="00B60FDF" w:rsidP="00C61935">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rPr>
        <w:t xml:space="preserve">The new Directive on combating corruption, as </w:t>
      </w:r>
      <w:r w:rsidR="1CBDDBBC" w:rsidRPr="00FB4E2D">
        <w:rPr>
          <w:rFonts w:ascii="Times New Roman" w:eastAsia="Times New Roman" w:hAnsi="Times New Roman" w:cs="Times New Roman"/>
          <w:noProof/>
        </w:rPr>
        <w:t>adopted</w:t>
      </w:r>
      <w:r w:rsidRPr="00FB4E2D">
        <w:rPr>
          <w:rFonts w:ascii="Times New Roman" w:eastAsia="Times New Roman" w:hAnsi="Times New Roman" w:cs="Times New Roman"/>
          <w:noProof/>
        </w:rPr>
        <w:t xml:space="preserve"> in April 2026 by </w:t>
      </w:r>
      <w:r w:rsidR="00C84DB7" w:rsidRPr="00FB4E2D">
        <w:rPr>
          <w:rFonts w:ascii="Times New Roman" w:eastAsia="Times New Roman" w:hAnsi="Times New Roman" w:cs="Times New Roman"/>
          <w:noProof/>
        </w:rPr>
        <w:t xml:space="preserve">the </w:t>
      </w:r>
      <w:r w:rsidRPr="00FB4E2D">
        <w:rPr>
          <w:rFonts w:ascii="Times New Roman" w:eastAsia="Times New Roman" w:hAnsi="Times New Roman" w:cs="Times New Roman"/>
          <w:noProof/>
        </w:rPr>
        <w:t xml:space="preserve">European Parliament and Council (see </w:t>
      </w:r>
      <w:r w:rsidR="00EF369B" w:rsidRPr="00FB4E2D">
        <w:rPr>
          <w:rFonts w:ascii="Times New Roman" w:eastAsia="Times New Roman" w:hAnsi="Times New Roman" w:cs="Times New Roman"/>
          <w:noProof/>
        </w:rPr>
        <w:t xml:space="preserve">Section 2.1.4. </w:t>
      </w:r>
      <w:r w:rsidRPr="00FB4E2D">
        <w:rPr>
          <w:rFonts w:ascii="Times New Roman" w:eastAsia="Times New Roman" w:hAnsi="Times New Roman" w:cs="Times New Roman"/>
          <w:noProof/>
        </w:rPr>
        <w:t xml:space="preserve">above), indicates the importance of the prevention of corruption, in order to foster a culture of integrity </w:t>
      </w:r>
      <w:r w:rsidR="00E455C4" w:rsidRPr="00FB4E2D">
        <w:rPr>
          <w:rFonts w:ascii="Times New Roman" w:eastAsia="Times New Roman" w:hAnsi="Times New Roman" w:cs="Times New Roman"/>
          <w:noProof/>
        </w:rPr>
        <w:t>and includes some provisions aimed at strengthening integrity measures.</w:t>
      </w:r>
    </w:p>
    <w:p w14:paraId="426F7E33" w14:textId="17D4230A"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Justice Scoreboard has in the past covered various </w:t>
      </w:r>
      <w:r w:rsidR="00940017" w:rsidRPr="00FB4E2D">
        <w:rPr>
          <w:rFonts w:ascii="Times New Roman" w:eastAsia="Times New Roman" w:hAnsi="Times New Roman" w:cs="Times New Roman"/>
          <w:noProof/>
          <w:kern w:val="0"/>
          <w14:ligatures w14:val="none"/>
        </w:rPr>
        <w:t xml:space="preserve">corruption prevention </w:t>
      </w:r>
      <w:r w:rsidRPr="00FB4E2D">
        <w:rPr>
          <w:rFonts w:ascii="Times New Roman" w:eastAsia="Times New Roman" w:hAnsi="Times New Roman" w:cs="Times New Roman"/>
          <w:noProof/>
          <w:kern w:val="0"/>
          <w14:ligatures w14:val="none"/>
        </w:rPr>
        <w:t xml:space="preserve">topics. In 2024, the obligation for certain public officials to disclose assets was the focus of the data collection exercise, as asset declaration is recognised as an important tool in ensuring transparency and preventing corruption. </w:t>
      </w:r>
    </w:p>
    <w:p w14:paraId="39E3220C" w14:textId="79BB546A" w:rsidR="00865265" w:rsidRPr="00FB4E2D" w:rsidRDefault="000E107B" w:rsidP="00865265">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2026 EU Justice Scoreboard builds on the 2024 Scoreboard’s figures </w:t>
      </w:r>
      <w:r w:rsidR="00A02C07" w:rsidRPr="00FB4E2D">
        <w:rPr>
          <w:rFonts w:ascii="Times New Roman" w:eastAsia="Times New Roman" w:hAnsi="Times New Roman" w:cs="Times New Roman"/>
          <w:noProof/>
          <w:kern w:val="0"/>
          <w14:ligatures w14:val="none"/>
        </w:rPr>
        <w:t xml:space="preserve">and maps the transparency of lobbying in Member States </w:t>
      </w:r>
      <w:r w:rsidR="009C0F3E" w:rsidRPr="00FB4E2D">
        <w:rPr>
          <w:rFonts w:ascii="Times New Roman" w:eastAsia="Times New Roman" w:hAnsi="Times New Roman" w:cs="Times New Roman"/>
          <w:noProof/>
          <w:kern w:val="0"/>
          <w14:ligatures w14:val="none"/>
        </w:rPr>
        <w:t>–</w:t>
      </w:r>
      <w:r w:rsidR="00A02C07" w:rsidRPr="00FB4E2D">
        <w:rPr>
          <w:rFonts w:ascii="Times New Roman" w:eastAsia="Times New Roman" w:hAnsi="Times New Roman" w:cs="Times New Roman"/>
          <w:noProof/>
          <w:kern w:val="0"/>
          <w14:ligatures w14:val="none"/>
        </w:rPr>
        <w:t xml:space="preserve"> particularly the functions of their transparency registers. Interest representation that seeks to legitimately influence public decision-making but does not entail an undue exchange of advantages is an entirely legitimate political activity. However, such forms of interest representation should be carried out in a regulated environment precisely to avoid situations where a lack of transparency may allow such contacts to become gateways to corruption. This topic is also addressed in the anti-corruption pillar of the European Commission’s annual Rule of Law Report. In December 2023, the Commission adopted a proposal for a Directive on interest representation carried out on behalf of third countries (</w:t>
      </w:r>
      <w:r w:rsidR="00A02C07" w:rsidRPr="00FB4E2D">
        <w:rPr>
          <w:rFonts w:ascii="Times New Roman" w:eastAsia="Times New Roman" w:hAnsi="Times New Roman" w:cs="Times New Roman"/>
          <w:noProof/>
          <w:kern w:val="0"/>
          <w:vertAlign w:val="superscript"/>
          <w14:ligatures w14:val="none"/>
        </w:rPr>
        <w:footnoteReference w:id="141"/>
      </w:r>
      <w:r w:rsidR="00A02C07" w:rsidRPr="00FB4E2D">
        <w:rPr>
          <w:rFonts w:ascii="Times New Roman" w:eastAsia="Times New Roman" w:hAnsi="Times New Roman" w:cs="Times New Roman"/>
          <w:noProof/>
          <w:kern w:val="0"/>
          <w14:ligatures w14:val="none"/>
        </w:rPr>
        <w:t xml:space="preserve">). </w:t>
      </w:r>
      <w:r w:rsidR="00865265" w:rsidRPr="00FB4E2D">
        <w:rPr>
          <w:rFonts w:ascii="Times New Roman" w:eastAsia="Times New Roman" w:hAnsi="Times New Roman" w:cs="Times New Roman"/>
          <w:noProof/>
          <w:kern w:val="0"/>
          <w14:ligatures w14:val="none"/>
        </w:rPr>
        <w:t>Moreover, the RRPs of several Member States include measures relating to the national frameworks on lobbying</w:t>
      </w:r>
      <w:r w:rsidR="00212278" w:rsidRPr="00FB4E2D">
        <w:rPr>
          <w:rFonts w:ascii="Times New Roman" w:eastAsia="Times New Roman" w:hAnsi="Times New Roman" w:cs="Times New Roman"/>
          <w:noProof/>
          <w:kern w:val="0"/>
          <w14:ligatures w14:val="none"/>
        </w:rPr>
        <w:t xml:space="preserve"> (</w:t>
      </w:r>
      <w:r w:rsidR="00865265" w:rsidRPr="00FB4E2D">
        <w:rPr>
          <w:rStyle w:val="FootnoteReference"/>
          <w:rFonts w:ascii="Times New Roman" w:eastAsia="Times New Roman" w:hAnsi="Times New Roman" w:cs="Times New Roman"/>
          <w:noProof/>
          <w:kern w:val="0"/>
          <w14:ligatures w14:val="none"/>
        </w:rPr>
        <w:footnoteReference w:id="142"/>
      </w:r>
      <w:r w:rsidR="00212278" w:rsidRPr="00FB4E2D">
        <w:rPr>
          <w:rFonts w:ascii="Times New Roman" w:eastAsia="Times New Roman" w:hAnsi="Times New Roman" w:cs="Times New Roman"/>
          <w:noProof/>
          <w:kern w:val="0"/>
          <w14:ligatures w14:val="none"/>
        </w:rPr>
        <w:t>).</w:t>
      </w:r>
    </w:p>
    <w:p w14:paraId="78775451" w14:textId="4B6173C7" w:rsidR="00A02C07" w:rsidRPr="00FB4E2D" w:rsidRDefault="00A02C07" w:rsidP="00A02C07">
      <w:pPr>
        <w:spacing w:after="120" w:line="240" w:lineRule="auto"/>
        <w:jc w:val="both"/>
        <w:rPr>
          <w:rFonts w:ascii="Times New Roman" w:eastAsia="Times New Roman" w:hAnsi="Times New Roman" w:cs="Times New Roman"/>
          <w:noProof/>
          <w:kern w:val="0"/>
          <w14:ligatures w14:val="none"/>
        </w:rPr>
      </w:pPr>
      <w:r w:rsidRPr="00FB4E2D">
        <w:rPr>
          <w:rFonts w:ascii="Times New Roman" w:eastAsia="Times New Roman" w:hAnsi="Times New Roman" w:cs="Times New Roman"/>
          <w:noProof/>
          <w:kern w:val="0"/>
          <w14:ligatures w14:val="none"/>
        </w:rPr>
        <w:t xml:space="preserve">The figures show whether a transparency register on lobbying exists, including who is obliged to register (Figure 68), </w:t>
      </w:r>
      <w:r w:rsidR="00743C40" w:rsidRPr="00FB4E2D">
        <w:rPr>
          <w:rFonts w:ascii="Times New Roman" w:eastAsia="Times New Roman" w:hAnsi="Times New Roman" w:cs="Times New Roman"/>
          <w:noProof/>
        </w:rPr>
        <w:t xml:space="preserve">and </w:t>
      </w:r>
      <w:r w:rsidRPr="00FB4E2D">
        <w:rPr>
          <w:rFonts w:ascii="Times New Roman" w:eastAsia="Times New Roman" w:hAnsi="Times New Roman" w:cs="Times New Roman"/>
          <w:noProof/>
          <w:kern w:val="0"/>
          <w14:ligatures w14:val="none"/>
        </w:rPr>
        <w:t xml:space="preserve">the personal scope (Figure </w:t>
      </w:r>
      <w:r w:rsidR="1CC82D7F" w:rsidRPr="00FB4E2D">
        <w:rPr>
          <w:rFonts w:ascii="Times New Roman" w:eastAsia="Times New Roman" w:hAnsi="Times New Roman" w:cs="Times New Roman"/>
          <w:noProof/>
        </w:rPr>
        <w:t>69</w:t>
      </w:r>
      <w:r w:rsidRPr="00FB4E2D">
        <w:rPr>
          <w:rFonts w:ascii="Times New Roman" w:eastAsia="Times New Roman" w:hAnsi="Times New Roman" w:cs="Times New Roman"/>
          <w:noProof/>
          <w:kern w:val="0"/>
          <w14:ligatures w14:val="none"/>
        </w:rPr>
        <w:t>) of the transparency registers.</w:t>
      </w:r>
    </w:p>
    <w:p w14:paraId="14EA9E57" w14:textId="4729D3D3" w:rsidR="00A02C07" w:rsidRPr="00FB4E2D" w:rsidRDefault="003B4BEC" w:rsidP="00A02C07">
      <w:pPr>
        <w:spacing w:before="240" w:after="120" w:line="240" w:lineRule="auto"/>
        <w:jc w:val="both"/>
        <w:rPr>
          <w:rFonts w:ascii="Times New Roman" w:eastAsia="Times New Roman" w:hAnsi="Times New Roman" w:cs="Times New Roman"/>
          <w:bCs/>
          <w:i/>
          <w:noProof/>
          <w:kern w:val="0"/>
          <w14:ligatures w14:val="none"/>
        </w:rPr>
      </w:pPr>
      <w:r w:rsidRPr="00FB4E2D">
        <w:rPr>
          <w:rFonts w:ascii="Times New Roman" w:eastAsia="Calibri" w:hAnsi="Times New Roman" w:cs="Times New Roman"/>
          <w:b/>
          <w:bCs/>
          <w:noProof/>
          <w:spacing w:val="-6"/>
          <w:kern w:val="0"/>
          <w14:ligatures w14:val="none"/>
        </w:rPr>
        <w:t xml:space="preserve">Figure </w:t>
      </w:r>
      <w:r w:rsidRPr="00FB4E2D">
        <w:rPr>
          <w:rFonts w:ascii="Times New Roman" w:eastAsia="Calibri" w:hAnsi="Times New Roman" w:cs="Times New Roman"/>
          <w:b/>
          <w:bCs/>
          <w:noProof/>
          <w:spacing w:val="-6"/>
          <w:kern w:val="0"/>
          <w14:ligatures w14:val="none"/>
        </w:rPr>
        <w:fldChar w:fldCharType="begin"/>
      </w:r>
      <w:r w:rsidRPr="00FB4E2D">
        <w:rPr>
          <w:rFonts w:ascii="Times New Roman" w:eastAsia="Calibri" w:hAnsi="Times New Roman" w:cs="Times New Roman"/>
          <w:b/>
          <w:bCs/>
          <w:noProof/>
          <w:spacing w:val="-6"/>
          <w:kern w:val="0"/>
          <w14:ligatures w14:val="none"/>
        </w:rPr>
        <w:instrText xml:space="preserve"> AUTONUMLGL  \e </w:instrText>
      </w:r>
      <w:r w:rsidRPr="00FB4E2D">
        <w:rPr>
          <w:rFonts w:ascii="Times New Roman" w:eastAsia="Calibri" w:hAnsi="Times New Roman" w:cs="Times New Roman"/>
          <w:b/>
          <w:bCs/>
          <w:noProof/>
          <w:spacing w:val="-6"/>
          <w:kern w:val="0"/>
          <w14:ligatures w14:val="none"/>
        </w:rPr>
        <w:fldChar w:fldCharType="end"/>
      </w:r>
      <w:r w:rsidRPr="00FB4E2D">
        <w:rPr>
          <w:rFonts w:ascii="Times New Roman" w:eastAsia="Calibri" w:hAnsi="Times New Roman" w:cs="Times New Roman"/>
          <w:b/>
          <w:bCs/>
          <w:noProof/>
          <w:spacing w:val="-6"/>
          <w:kern w:val="0"/>
          <w14:ligatures w14:val="none"/>
        </w:rPr>
        <w:t>: Transparency registers on lobbying</w:t>
      </w:r>
      <w:r w:rsidRPr="00FB4E2D">
        <w:rPr>
          <w:rFonts w:ascii="Times New Roman" w:eastAsia="Times New Roman" w:hAnsi="Times New Roman" w:cs="Times New Roman"/>
          <w:noProof/>
          <w:kern w:val="0"/>
          <w14:ligatures w14:val="none"/>
        </w:rPr>
        <w:t xml:space="preserve"> (*) </w:t>
      </w:r>
      <w:r w:rsidR="00A02C07" w:rsidRPr="00FB4E2D">
        <w:rPr>
          <w:rFonts w:ascii="Times New Roman" w:eastAsia="Times New Roman" w:hAnsi="Times New Roman" w:cs="Times New Roman"/>
          <w:i/>
          <w:noProof/>
          <w:kern w:val="0"/>
          <w14:ligatures w14:val="none"/>
        </w:rPr>
        <w:t xml:space="preserve">(Source: </w:t>
      </w:r>
      <w:r w:rsidR="00A02C07" w:rsidRPr="00FB4E2D">
        <w:rPr>
          <w:rFonts w:ascii="Times New Roman" w:eastAsia="Calibri" w:hAnsi="Times New Roman" w:cs="Times New Roman"/>
          <w:i/>
          <w:noProof/>
          <w:kern w:val="0"/>
          <w14:ligatures w14:val="none"/>
        </w:rPr>
        <w:t xml:space="preserve">European Commission with the </w:t>
      </w:r>
      <w:r w:rsidR="00A02C07" w:rsidRPr="00FB4E2D">
        <w:rPr>
          <w:rFonts w:ascii="Times New Roman" w:eastAsia="Calibri" w:hAnsi="Times New Roman" w:cs="Times New Roman"/>
          <w:i/>
          <w:iCs/>
          <w:noProof/>
          <w:kern w:val="0"/>
          <w14:ligatures w14:val="none"/>
        </w:rPr>
        <w:t>national contact points</w:t>
      </w:r>
      <w:r w:rsidR="00A02C07" w:rsidRPr="00FB4E2D">
        <w:rPr>
          <w:rFonts w:ascii="Times New Roman" w:eastAsia="Calibri" w:hAnsi="Times New Roman" w:cs="Times New Roman"/>
          <w:i/>
          <w:noProof/>
          <w:kern w:val="0"/>
          <w14:ligatures w14:val="none"/>
        </w:rPr>
        <w:t xml:space="preserve"> for </w:t>
      </w:r>
      <w:r w:rsidR="00A02C07" w:rsidRPr="00FB4E2D">
        <w:rPr>
          <w:rFonts w:ascii="Times New Roman" w:eastAsia="Calibri" w:hAnsi="Times New Roman" w:cs="Times New Roman"/>
          <w:i/>
          <w:iCs/>
          <w:noProof/>
          <w:kern w:val="0"/>
          <w14:ligatures w14:val="none"/>
        </w:rPr>
        <w:t>anti</w:t>
      </w:r>
      <w:r w:rsidR="00A02C07" w:rsidRPr="00FB4E2D">
        <w:rPr>
          <w:rFonts w:ascii="Times New Roman" w:eastAsia="Calibri" w:hAnsi="Times New Roman" w:cs="Times New Roman"/>
          <w:i/>
          <w:noProof/>
          <w:kern w:val="0"/>
          <w14:ligatures w14:val="none"/>
        </w:rPr>
        <w:t>-corruption (</w:t>
      </w:r>
      <w:r w:rsidR="00A02C07" w:rsidRPr="00FB4E2D">
        <w:rPr>
          <w:rFonts w:ascii="Times New Roman" w:eastAsia="Calibri" w:hAnsi="Times New Roman" w:cs="Times New Roman"/>
          <w:i/>
          <w:noProof/>
          <w:kern w:val="0"/>
          <w:vertAlign w:val="superscript"/>
          <w14:ligatures w14:val="none"/>
        </w:rPr>
        <w:footnoteReference w:id="143"/>
      </w:r>
      <w:r w:rsidR="00BD27F1" w:rsidRPr="00FB4E2D">
        <w:rPr>
          <w:rFonts w:ascii="Times New Roman" w:eastAsia="Calibri" w:hAnsi="Times New Roman" w:cs="Times New Roman"/>
          <w:i/>
          <w:noProof/>
          <w:kern w:val="0"/>
          <w14:ligatures w14:val="none"/>
        </w:rPr>
        <w:t>)</w:t>
      </w:r>
      <w:r w:rsidR="00BD27F1" w:rsidRPr="00FB4E2D">
        <w:rPr>
          <w:rFonts w:ascii="Times New Roman" w:eastAsia="Times New Roman" w:hAnsi="Times New Roman" w:cs="Times New Roman"/>
          <w:i/>
          <w:noProof/>
          <w:kern w:val="0"/>
          <w14:ligatures w14:val="none"/>
        </w:rPr>
        <w:t xml:space="preserve">) </w:t>
      </w:r>
      <w:r w:rsidR="00A02C07" w:rsidRPr="00FB4E2D">
        <w:rPr>
          <w:rFonts w:ascii="Times New Roman" w:eastAsia="Times New Roman" w:hAnsi="Times New Roman" w:cs="Times New Roman"/>
          <w:i/>
          <w:noProof/>
          <w:kern w:val="0"/>
          <w14:ligatures w14:val="none"/>
        </w:rPr>
        <w:t xml:space="preserve"> </w:t>
      </w:r>
    </w:p>
    <w:p w14:paraId="07C92D46" w14:textId="6D464460" w:rsidR="00A02C07" w:rsidRPr="00FB4E2D" w:rsidDel="003832D8" w:rsidRDefault="00AE242C" w:rsidP="004029D9">
      <w:pPr>
        <w:spacing w:after="0" w:line="240" w:lineRule="auto"/>
        <w:jc w:val="both"/>
        <w:rPr>
          <w:rFonts w:ascii="Times New Roman" w:eastAsia="Times New Roman" w:hAnsi="Times New Roman" w:cs="Times New Roman"/>
          <w:i/>
          <w:noProof/>
          <w:kern w:val="0"/>
          <w:sz w:val="20"/>
          <w:szCs w:val="20"/>
          <w14:ligatures w14:val="none"/>
        </w:rPr>
      </w:pPr>
      <w:r w:rsidRPr="00FB4E2D">
        <w:rPr>
          <w:rFonts w:ascii="Times New Roman" w:eastAsia="Times New Roman" w:hAnsi="Times New Roman" w:cs="Times New Roman"/>
          <w:i/>
          <w:noProof/>
          <w:kern w:val="0"/>
          <w:sz w:val="20"/>
          <w:szCs w:val="20"/>
          <w:lang w:val="en-GB" w:eastAsia="en-GB"/>
          <w14:ligatures w14:val="none"/>
        </w:rPr>
        <w:drawing>
          <wp:inline distT="0" distB="0" distL="0" distR="0" wp14:anchorId="2200441A" wp14:editId="6752C35D">
            <wp:extent cx="5976000" cy="2145835"/>
            <wp:effectExtent l="0" t="0" r="5715" b="6985"/>
            <wp:docPr id="13191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76000" cy="2145835"/>
                    </a:xfrm>
                    <a:prstGeom prst="rect">
                      <a:avLst/>
                    </a:prstGeom>
                    <a:noFill/>
                  </pic:spPr>
                </pic:pic>
              </a:graphicData>
            </a:graphic>
          </wp:inline>
        </w:drawing>
      </w:r>
      <w:r w:rsidR="00A02C07" w:rsidRPr="00FB4E2D">
        <w:rPr>
          <w:rFonts w:ascii="Times New Roman" w:eastAsia="Times New Roman" w:hAnsi="Times New Roman" w:cs="Times New Roman"/>
          <w:i/>
          <w:noProof/>
          <w:kern w:val="0"/>
          <w:sz w:val="20"/>
          <w:szCs w:val="20"/>
          <w14:ligatures w14:val="none"/>
        </w:rPr>
        <w:t xml:space="preserve">(*) </w:t>
      </w:r>
      <w:r w:rsidR="00A02C07" w:rsidRPr="00FB4E2D">
        <w:rPr>
          <w:rFonts w:ascii="Times New Roman" w:eastAsia="Times New Roman" w:hAnsi="Times New Roman" w:cs="Times New Roman"/>
          <w:b/>
          <w:i/>
          <w:noProof/>
          <w:kern w:val="0"/>
          <w:sz w:val="20"/>
          <w:szCs w:val="20"/>
          <w14:ligatures w14:val="none"/>
        </w:rPr>
        <w:t>BE</w:t>
      </w:r>
      <w:r w:rsidR="00A02C07" w:rsidRPr="00FB4E2D">
        <w:rPr>
          <w:rFonts w:ascii="Times New Roman" w:eastAsia="Times New Roman" w:hAnsi="Times New Roman" w:cs="Times New Roman"/>
          <w:i/>
          <w:noProof/>
          <w:kern w:val="0"/>
          <w:sz w:val="20"/>
          <w:szCs w:val="20"/>
          <w14:ligatures w14:val="none"/>
        </w:rPr>
        <w:t xml:space="preserve">: Different rules may apply </w:t>
      </w:r>
      <w:r w:rsidR="009C0F3E" w:rsidRPr="00FB4E2D">
        <w:rPr>
          <w:rFonts w:ascii="Times New Roman" w:eastAsia="Times New Roman" w:hAnsi="Times New Roman" w:cs="Times New Roman"/>
          <w:i/>
          <w:noProof/>
          <w:kern w:val="0"/>
          <w:sz w:val="20"/>
          <w:szCs w:val="20"/>
          <w14:ligatures w14:val="none"/>
        </w:rPr>
        <w:t>at</w:t>
      </w:r>
      <w:r w:rsidR="00A02C07" w:rsidRPr="00FB4E2D">
        <w:rPr>
          <w:rFonts w:ascii="Times New Roman" w:eastAsia="Times New Roman" w:hAnsi="Times New Roman" w:cs="Times New Roman"/>
          <w:i/>
          <w:noProof/>
          <w:kern w:val="0"/>
          <w:sz w:val="20"/>
          <w:szCs w:val="20"/>
          <w14:ligatures w14:val="none"/>
        </w:rPr>
        <w:t xml:space="preserve"> the regional level. </w:t>
      </w:r>
      <w:r w:rsidR="00A02C07" w:rsidRPr="00FB4E2D">
        <w:rPr>
          <w:rFonts w:ascii="Times New Roman" w:eastAsia="Times New Roman" w:hAnsi="Times New Roman" w:cs="Times New Roman"/>
          <w:b/>
          <w:i/>
          <w:noProof/>
          <w:kern w:val="0"/>
          <w:sz w:val="20"/>
          <w:szCs w:val="20"/>
          <w14:ligatures w14:val="none"/>
        </w:rPr>
        <w:t>ES</w:t>
      </w:r>
      <w:r w:rsidR="00A02C07" w:rsidRPr="00FB4E2D">
        <w:rPr>
          <w:rFonts w:ascii="Times New Roman" w:eastAsia="Times New Roman" w:hAnsi="Times New Roman" w:cs="Times New Roman"/>
          <w:i/>
          <w:noProof/>
          <w:kern w:val="0"/>
          <w:sz w:val="20"/>
          <w:szCs w:val="20"/>
          <w14:ligatures w14:val="none"/>
        </w:rPr>
        <w:t>: For regional and local level, regional regulations apply</w:t>
      </w:r>
      <w:r w:rsidR="00876991" w:rsidRPr="00FB4E2D">
        <w:rPr>
          <w:rFonts w:ascii="Times New Roman" w:eastAsia="Times New Roman" w:hAnsi="Times New Roman" w:cs="Times New Roman"/>
          <w:i/>
          <w:noProof/>
          <w:kern w:val="0"/>
          <w:sz w:val="20"/>
          <w:szCs w:val="20"/>
          <w14:ligatures w14:val="none"/>
        </w:rPr>
        <w:t>, with s</w:t>
      </w:r>
      <w:r w:rsidR="00A02C07" w:rsidRPr="00FB4E2D">
        <w:rPr>
          <w:rFonts w:ascii="Times New Roman" w:eastAsia="Times New Roman" w:hAnsi="Times New Roman" w:cs="Times New Roman"/>
          <w:i/>
          <w:noProof/>
          <w:kern w:val="0"/>
          <w:sz w:val="20"/>
          <w:szCs w:val="20"/>
          <w14:ligatures w14:val="none"/>
        </w:rPr>
        <w:t>ome Autonomous Communities establish</w:t>
      </w:r>
      <w:r w:rsidR="00876991" w:rsidRPr="00FB4E2D">
        <w:rPr>
          <w:rFonts w:ascii="Times New Roman" w:eastAsia="Times New Roman" w:hAnsi="Times New Roman" w:cs="Times New Roman"/>
          <w:i/>
          <w:noProof/>
          <w:kern w:val="0"/>
          <w:sz w:val="20"/>
          <w:szCs w:val="20"/>
          <w14:ligatures w14:val="none"/>
        </w:rPr>
        <w:t xml:space="preserve">ing transparency registers and obligations on </w:t>
      </w:r>
      <w:r w:rsidR="00A02C07" w:rsidRPr="00FB4E2D">
        <w:rPr>
          <w:rFonts w:ascii="Times New Roman" w:eastAsia="Times New Roman" w:hAnsi="Times New Roman" w:cs="Times New Roman"/>
          <w:i/>
          <w:noProof/>
          <w:kern w:val="0"/>
          <w:sz w:val="20"/>
          <w:szCs w:val="20"/>
          <w14:ligatures w14:val="none"/>
        </w:rPr>
        <w:t xml:space="preserve">contacts with lobbyists. </w:t>
      </w:r>
      <w:r w:rsidR="00A02C07" w:rsidRPr="00FB4E2D">
        <w:rPr>
          <w:rFonts w:ascii="Times New Roman" w:eastAsia="Times New Roman" w:hAnsi="Times New Roman" w:cs="Times New Roman"/>
          <w:b/>
          <w:i/>
          <w:noProof/>
          <w:kern w:val="0"/>
          <w:sz w:val="20"/>
          <w:szCs w:val="20"/>
          <w14:ligatures w14:val="none"/>
        </w:rPr>
        <w:t>IT</w:t>
      </w:r>
      <w:r w:rsidR="00A02C07" w:rsidRPr="00FB4E2D">
        <w:rPr>
          <w:rFonts w:ascii="Times New Roman" w:eastAsia="Times New Roman" w:hAnsi="Times New Roman" w:cs="Times New Roman"/>
          <w:i/>
          <w:noProof/>
          <w:kern w:val="0"/>
          <w:sz w:val="20"/>
          <w:szCs w:val="20"/>
          <w14:ligatures w14:val="none"/>
        </w:rPr>
        <w:t>: Some ministries and government departments maintain meeting registers</w:t>
      </w:r>
      <w:r w:rsidR="00546493" w:rsidRPr="00FB4E2D">
        <w:rPr>
          <w:rFonts w:ascii="Times New Roman" w:eastAsia="Times New Roman" w:hAnsi="Times New Roman" w:cs="Times New Roman"/>
          <w:i/>
          <w:noProof/>
          <w:kern w:val="0"/>
          <w:sz w:val="20"/>
          <w:szCs w:val="20"/>
          <w14:ligatures w14:val="none"/>
        </w:rPr>
        <w:t xml:space="preserve"> (e.g.</w:t>
      </w:r>
      <w:r w:rsidR="00A02C07" w:rsidRPr="00FB4E2D">
        <w:rPr>
          <w:rFonts w:ascii="Times New Roman" w:eastAsia="Times New Roman" w:hAnsi="Times New Roman" w:cs="Times New Roman"/>
          <w:i/>
          <w:noProof/>
          <w:kern w:val="0"/>
          <w:sz w:val="20"/>
          <w:szCs w:val="20"/>
          <w14:ligatures w14:val="none"/>
        </w:rPr>
        <w:t xml:space="preserve"> </w:t>
      </w:r>
      <w:hyperlink r:id="rId91" w:history="1">
        <w:r w:rsidR="00B43914" w:rsidRPr="00FB4E2D">
          <w:rPr>
            <w:rFonts w:ascii="Times New Roman" w:eastAsia="Times New Roman" w:hAnsi="Times New Roman" w:cs="Times New Roman"/>
            <w:i/>
            <w:noProof/>
            <w:kern w:val="0"/>
            <w:sz w:val="20"/>
            <w:szCs w:val="20"/>
            <w14:ligatures w14:val="none"/>
          </w:rPr>
          <w:t xml:space="preserve">the </w:t>
        </w:r>
        <w:r w:rsidR="00A02C07" w:rsidRPr="00FB4E2D">
          <w:rPr>
            <w:rFonts w:ascii="Times New Roman" w:eastAsia="Times New Roman" w:hAnsi="Times New Roman" w:cs="Times New Roman"/>
            <w:i/>
            <w:noProof/>
            <w:kern w:val="0"/>
            <w:sz w:val="20"/>
            <w:szCs w:val="20"/>
            <w14:ligatures w14:val="none"/>
          </w:rPr>
          <w:t>stakeholder</w:t>
        </w:r>
        <w:r w:rsidR="00B43914" w:rsidRPr="00FB4E2D">
          <w:rPr>
            <w:rFonts w:ascii="Times New Roman" w:eastAsia="Times New Roman" w:hAnsi="Times New Roman" w:cs="Times New Roman"/>
            <w:i/>
            <w:noProof/>
            <w:kern w:val="0"/>
            <w:sz w:val="20"/>
            <w:szCs w:val="20"/>
            <w14:ligatures w14:val="none"/>
          </w:rPr>
          <w:t xml:space="preserve"> register</w:t>
        </w:r>
        <w:r w:rsidR="00A02C07" w:rsidRPr="00FB4E2D">
          <w:rPr>
            <w:rFonts w:ascii="Times New Roman" w:eastAsia="Times New Roman" w:hAnsi="Times New Roman" w:cs="Times New Roman"/>
            <w:i/>
            <w:noProof/>
            <w:kern w:val="0"/>
            <w:sz w:val="20"/>
            <w:szCs w:val="20"/>
            <w14:ligatures w14:val="none"/>
          </w:rPr>
          <w:t xml:space="preserve"> (Transparency Register) of the Ministry of Enterprise and of ‘Made in Italy’ Product</w:t>
        </w:r>
        <w:r w:rsidR="00546493" w:rsidRPr="00FB4E2D">
          <w:rPr>
            <w:rFonts w:ascii="Times New Roman" w:eastAsia="Times New Roman" w:hAnsi="Times New Roman" w:cs="Times New Roman"/>
            <w:i/>
            <w:noProof/>
            <w:kern w:val="0"/>
            <w:sz w:val="20"/>
            <w:szCs w:val="20"/>
            <w14:ligatures w14:val="none"/>
          </w:rPr>
          <w:t>)</w:t>
        </w:r>
      </w:hyperlink>
      <w:r w:rsidR="00546493" w:rsidRPr="00FB4E2D">
        <w:rPr>
          <w:rFonts w:ascii="Times New Roman" w:eastAsia="Times New Roman" w:hAnsi="Times New Roman" w:cs="Times New Roman"/>
          <w:i/>
          <w:noProof/>
          <w:kern w:val="0"/>
          <w:sz w:val="20"/>
          <w:szCs w:val="20"/>
          <w14:ligatures w14:val="none"/>
        </w:rPr>
        <w:t>.</w:t>
      </w:r>
      <w:r w:rsidR="00A02C07" w:rsidRPr="00FB4E2D">
        <w:rPr>
          <w:rFonts w:ascii="Times New Roman" w:eastAsia="Times New Roman" w:hAnsi="Times New Roman" w:cs="Times New Roman"/>
          <w:i/>
          <w:noProof/>
          <w:kern w:val="0"/>
          <w:sz w:val="20"/>
          <w:szCs w:val="20"/>
          <w14:ligatures w14:val="none"/>
        </w:rPr>
        <w:t xml:space="preserve"> At the subnational level, several regions have adopted legislation on lobbying. The Chamber of Deputies has adopted its own Transparency Registe</w:t>
      </w:r>
      <w:r w:rsidR="00546493" w:rsidRPr="00FB4E2D">
        <w:rPr>
          <w:rFonts w:ascii="Times New Roman" w:eastAsia="Times New Roman" w:hAnsi="Times New Roman" w:cs="Times New Roman"/>
          <w:i/>
          <w:noProof/>
          <w:kern w:val="0"/>
          <w:sz w:val="20"/>
          <w:szCs w:val="20"/>
          <w14:ligatures w14:val="none"/>
        </w:rPr>
        <w:t>, and its</w:t>
      </w:r>
      <w:r w:rsidR="00A02C07" w:rsidRPr="00FB4E2D">
        <w:rPr>
          <w:rFonts w:ascii="Times New Roman" w:eastAsia="Times New Roman" w:hAnsi="Times New Roman" w:cs="Times New Roman"/>
          <w:i/>
          <w:noProof/>
          <w:kern w:val="0"/>
          <w:sz w:val="20"/>
          <w:szCs w:val="20"/>
          <w14:ligatures w14:val="none"/>
        </w:rPr>
        <w:t xml:space="preserve"> </w:t>
      </w:r>
      <w:hyperlink r:id="rId92" w:history="1">
        <w:r w:rsidR="007428C2" w:rsidRPr="00FB4E2D">
          <w:rPr>
            <w:rStyle w:val="Hyperlink"/>
            <w:rFonts w:ascii="Times New Roman" w:eastAsia="Times New Roman" w:hAnsi="Times New Roman" w:cs="Times New Roman"/>
            <w:i/>
            <w:noProof/>
            <w:kern w:val="0"/>
            <w:sz w:val="20"/>
            <w:szCs w:val="20"/>
            <w14:ligatures w14:val="none"/>
          </w:rPr>
          <w:t>list of registered entities</w:t>
        </w:r>
      </w:hyperlink>
      <w:r w:rsidR="00A02C07" w:rsidRPr="00FB4E2D">
        <w:rPr>
          <w:rFonts w:ascii="Times New Roman" w:eastAsia="Times New Roman" w:hAnsi="Times New Roman" w:cs="Times New Roman"/>
          <w:i/>
          <w:noProof/>
          <w:kern w:val="0"/>
          <w:sz w:val="20"/>
          <w:szCs w:val="20"/>
          <w14:ligatures w14:val="none"/>
        </w:rPr>
        <w:t xml:space="preserve"> is freely available on the institution’s website and is maintained by the office of the Presidency.</w:t>
      </w:r>
      <w:r w:rsidR="00F143C1" w:rsidRPr="00FB4E2D">
        <w:rPr>
          <w:rFonts w:ascii="Times New Roman" w:eastAsia="Times New Roman" w:hAnsi="Times New Roman" w:cs="Times New Roman"/>
          <w:i/>
          <w:noProof/>
          <w:kern w:val="0"/>
          <w:sz w:val="20"/>
          <w:szCs w:val="20"/>
          <w14:ligatures w14:val="none"/>
        </w:rPr>
        <w:t xml:space="preserve"> </w:t>
      </w:r>
      <w:r w:rsidR="00A02C07" w:rsidRPr="00FB4E2D">
        <w:rPr>
          <w:rFonts w:ascii="Times New Roman" w:eastAsia="Times New Roman" w:hAnsi="Times New Roman" w:cs="Times New Roman"/>
          <w:b/>
          <w:i/>
          <w:noProof/>
          <w:kern w:val="0"/>
          <w:sz w:val="20"/>
          <w:szCs w:val="20"/>
          <w14:ligatures w14:val="none"/>
        </w:rPr>
        <w:t>LV</w:t>
      </w:r>
      <w:r w:rsidR="00A02C07" w:rsidRPr="00FB4E2D">
        <w:rPr>
          <w:rFonts w:ascii="Times New Roman" w:eastAsia="Times New Roman" w:hAnsi="Times New Roman" w:cs="Times New Roman"/>
          <w:i/>
          <w:noProof/>
          <w:kern w:val="0"/>
          <w:sz w:val="20"/>
          <w:szCs w:val="20"/>
          <w14:ligatures w14:val="none"/>
        </w:rPr>
        <w:t>:</w:t>
      </w:r>
      <w:r w:rsidR="001A39E4" w:rsidRPr="00FB4E2D">
        <w:rPr>
          <w:rFonts w:ascii="Times New Roman" w:eastAsia="Times New Roman" w:hAnsi="Times New Roman" w:cs="Times New Roman"/>
          <w:i/>
          <w:noProof/>
          <w:kern w:val="0"/>
          <w:sz w:val="20"/>
          <w:szCs w:val="20"/>
          <w14:ligatures w14:val="none"/>
        </w:rPr>
        <w:t xml:space="preserve"> Amendments to </w:t>
      </w:r>
      <w:r w:rsidR="00DC12E0" w:rsidRPr="00FB4E2D">
        <w:rPr>
          <w:rFonts w:ascii="Times New Roman" w:eastAsia="Times New Roman" w:hAnsi="Times New Roman" w:cs="Times New Roman"/>
          <w:i/>
          <w:noProof/>
          <w:kern w:val="0"/>
          <w:sz w:val="20"/>
          <w:szCs w:val="20"/>
          <w14:ligatures w14:val="none"/>
        </w:rPr>
        <w:t>lobbying transparency laws introduce</w:t>
      </w:r>
      <w:r w:rsidR="001A39E4" w:rsidRPr="00FB4E2D">
        <w:rPr>
          <w:rFonts w:ascii="Times New Roman" w:eastAsia="Times New Roman" w:hAnsi="Times New Roman" w:cs="Times New Roman"/>
          <w:i/>
          <w:noProof/>
          <w:kern w:val="0"/>
          <w:sz w:val="20"/>
          <w:szCs w:val="20"/>
          <w14:ligatures w14:val="none"/>
        </w:rPr>
        <w:t xml:space="preserve"> a transitional period </w:t>
      </w:r>
      <w:r w:rsidR="00DC12E0" w:rsidRPr="00FB4E2D">
        <w:rPr>
          <w:rFonts w:ascii="Times New Roman" w:eastAsia="Times New Roman" w:hAnsi="Times New Roman" w:cs="Times New Roman"/>
          <w:i/>
          <w:noProof/>
          <w:kern w:val="0"/>
          <w:sz w:val="20"/>
          <w:szCs w:val="20"/>
          <w14:ligatures w14:val="none"/>
        </w:rPr>
        <w:t>(</w:t>
      </w:r>
      <w:r w:rsidR="001A39E4" w:rsidRPr="00FB4E2D">
        <w:rPr>
          <w:rFonts w:ascii="Times New Roman" w:eastAsia="Times New Roman" w:hAnsi="Times New Roman" w:cs="Times New Roman"/>
          <w:i/>
          <w:noProof/>
          <w:kern w:val="0"/>
          <w:sz w:val="20"/>
          <w:szCs w:val="20"/>
          <w14:ligatures w14:val="none"/>
        </w:rPr>
        <w:t>2025</w:t>
      </w:r>
      <w:r w:rsidR="00DC12E0" w:rsidRPr="00FB4E2D">
        <w:rPr>
          <w:rFonts w:ascii="Times New Roman" w:eastAsia="Times New Roman" w:hAnsi="Times New Roman" w:cs="Times New Roman"/>
          <w:i/>
          <w:noProof/>
          <w:kern w:val="0"/>
          <w:sz w:val="20"/>
          <w:szCs w:val="20"/>
          <w14:ligatures w14:val="none"/>
        </w:rPr>
        <w:t xml:space="preserve">–2028). From September 1, 2028, a mandatory </w:t>
      </w:r>
      <w:r w:rsidR="00DC12E0" w:rsidRPr="00FB4E2D">
        <w:rPr>
          <w:rFonts w:ascii="Times New Roman" w:eastAsia="Times New Roman" w:hAnsi="Times New Roman" w:cs="Times New Roman"/>
          <w:i/>
          <w:iCs/>
          <w:noProof/>
          <w:kern w:val="0"/>
          <w:sz w:val="20"/>
          <w:szCs w:val="20"/>
          <w14:ligatures w14:val="none"/>
        </w:rPr>
        <w:t>Register of Interest Representation</w:t>
      </w:r>
      <w:r w:rsidR="00DC12E0" w:rsidRPr="00FB4E2D">
        <w:rPr>
          <w:rFonts w:ascii="Times New Roman" w:eastAsia="Times New Roman" w:hAnsi="Times New Roman" w:cs="Times New Roman"/>
          <w:i/>
          <w:noProof/>
          <w:kern w:val="0"/>
          <w:sz w:val="20"/>
          <w:szCs w:val="20"/>
          <w14:ligatures w14:val="none"/>
        </w:rPr>
        <w:t xml:space="preserve"> and </w:t>
      </w:r>
      <w:r w:rsidR="00DC12E0" w:rsidRPr="00FB4E2D">
        <w:rPr>
          <w:rFonts w:ascii="Times New Roman" w:eastAsia="Times New Roman" w:hAnsi="Times New Roman" w:cs="Times New Roman"/>
          <w:i/>
          <w:iCs/>
          <w:noProof/>
          <w:kern w:val="0"/>
          <w:sz w:val="20"/>
          <w:szCs w:val="20"/>
          <w14:ligatures w14:val="none"/>
        </w:rPr>
        <w:t>Declaration System</w:t>
      </w:r>
      <w:r w:rsidR="00DC12E0" w:rsidRPr="00FB4E2D">
        <w:rPr>
          <w:rFonts w:ascii="Times New Roman" w:eastAsia="Times New Roman" w:hAnsi="Times New Roman" w:cs="Times New Roman"/>
          <w:i/>
          <w:noProof/>
          <w:kern w:val="0"/>
          <w:sz w:val="20"/>
          <w:szCs w:val="20"/>
          <w14:ligatures w14:val="none"/>
        </w:rPr>
        <w:t xml:space="preserve"> will launch, with data publicly available. Voluntary registration is possible via the </w:t>
      </w:r>
      <w:r w:rsidR="00DC12E0" w:rsidRPr="00FB4E2D">
        <w:rPr>
          <w:rFonts w:ascii="Times New Roman" w:eastAsia="Times New Roman" w:hAnsi="Times New Roman" w:cs="Times New Roman"/>
          <w:i/>
          <w:iCs/>
          <w:noProof/>
          <w:kern w:val="0"/>
          <w:sz w:val="20"/>
          <w:szCs w:val="20"/>
          <w14:ligatures w14:val="none"/>
        </w:rPr>
        <w:t>Enterprise Register (</w:t>
      </w:r>
      <w:hyperlink r:id="rId93" w:history="1">
        <w:r w:rsidR="001A39E4" w:rsidRPr="00FB4E2D">
          <w:rPr>
            <w:rStyle w:val="Hyperlink"/>
            <w:rFonts w:ascii="Times New Roman" w:eastAsia="Times New Roman" w:hAnsi="Times New Roman" w:cs="Times New Roman"/>
            <w:i/>
            <w:noProof/>
            <w:kern w:val="0"/>
            <w:sz w:val="20"/>
            <w:szCs w:val="20"/>
            <w14:ligatures w14:val="none"/>
          </w:rPr>
          <w:t>Latvian Open Data Portal</w:t>
        </w:r>
      </w:hyperlink>
      <w:r w:rsidR="00DC12E0" w:rsidRPr="00FB4E2D">
        <w:rPr>
          <w:rFonts w:ascii="Times New Roman" w:eastAsia="Times New Roman" w:hAnsi="Times New Roman" w:cs="Times New Roman"/>
          <w:i/>
          <w:noProof/>
          <w:kern w:val="0"/>
          <w:sz w:val="20"/>
          <w:szCs w:val="20"/>
          <w14:ligatures w14:val="none"/>
        </w:rPr>
        <w:t>)</w:t>
      </w:r>
      <w:r w:rsidR="001A39E4" w:rsidRPr="00FB4E2D">
        <w:rPr>
          <w:rFonts w:ascii="Times New Roman" w:eastAsia="Times New Roman" w:hAnsi="Times New Roman" w:cs="Times New Roman"/>
          <w:i/>
          <w:noProof/>
          <w:kern w:val="0"/>
          <w:sz w:val="20"/>
          <w:szCs w:val="20"/>
          <w14:ligatures w14:val="none"/>
        </w:rPr>
        <w:t xml:space="preserve">. </w:t>
      </w:r>
      <w:r w:rsidR="00A02C07" w:rsidRPr="00FB4E2D">
        <w:rPr>
          <w:rFonts w:ascii="Times New Roman" w:eastAsia="Times New Roman" w:hAnsi="Times New Roman" w:cs="Times New Roman"/>
          <w:b/>
          <w:i/>
          <w:noProof/>
          <w:kern w:val="0"/>
          <w:sz w:val="20"/>
          <w:szCs w:val="20"/>
          <w14:ligatures w14:val="none"/>
        </w:rPr>
        <w:t>HU</w:t>
      </w:r>
      <w:r w:rsidR="00A02C07" w:rsidRPr="00FB4E2D">
        <w:rPr>
          <w:rFonts w:ascii="Times New Roman" w:eastAsia="Times New Roman" w:hAnsi="Times New Roman" w:cs="Times New Roman"/>
          <w:i/>
          <w:noProof/>
          <w:kern w:val="0"/>
          <w:sz w:val="20"/>
          <w:szCs w:val="20"/>
          <w14:ligatures w14:val="none"/>
        </w:rPr>
        <w:t xml:space="preserve">: Government Decree No. 50/2013 (II. 25.) on the integrity management system of public administration bodies and the reception of stakeholders regulates the management of integrity and corruption risks for public administration bodies and their employees under the direction or supervision of the Government and members of the Government. The Government Decision 1025/2024 (II. 14.) on the adoption of the medium-term National Anti-Corruption Strategy 2024-2025 and the </w:t>
      </w:r>
      <w:r w:rsidR="00423B36" w:rsidRPr="00FB4E2D">
        <w:rPr>
          <w:rFonts w:ascii="Times New Roman" w:eastAsia="Times New Roman" w:hAnsi="Times New Roman" w:cs="Times New Roman"/>
          <w:i/>
          <w:noProof/>
          <w:kern w:val="0"/>
          <w:sz w:val="20"/>
          <w:szCs w:val="20"/>
          <w14:ligatures w14:val="none"/>
        </w:rPr>
        <w:t>related</w:t>
      </w:r>
      <w:r w:rsidR="00A02C07" w:rsidRPr="00FB4E2D">
        <w:rPr>
          <w:rFonts w:ascii="Times New Roman" w:eastAsia="Times New Roman" w:hAnsi="Times New Roman" w:cs="Times New Roman"/>
          <w:i/>
          <w:noProof/>
          <w:kern w:val="0"/>
          <w:sz w:val="20"/>
          <w:szCs w:val="20"/>
          <w14:ligatures w14:val="none"/>
        </w:rPr>
        <w:t xml:space="preserve"> </w:t>
      </w:r>
      <w:r w:rsidR="00FE1B22" w:rsidRPr="00FB4E2D">
        <w:rPr>
          <w:rFonts w:ascii="Times New Roman" w:eastAsia="Times New Roman" w:hAnsi="Times New Roman" w:cs="Times New Roman"/>
          <w:i/>
          <w:noProof/>
          <w:kern w:val="0"/>
          <w:sz w:val="20"/>
          <w:szCs w:val="20"/>
          <w14:ligatures w14:val="none"/>
        </w:rPr>
        <w:t>a</w:t>
      </w:r>
      <w:r w:rsidR="00A02C07" w:rsidRPr="00FB4E2D">
        <w:rPr>
          <w:rFonts w:ascii="Times New Roman" w:eastAsia="Times New Roman" w:hAnsi="Times New Roman" w:cs="Times New Roman"/>
          <w:i/>
          <w:noProof/>
          <w:kern w:val="0"/>
          <w:sz w:val="20"/>
          <w:szCs w:val="20"/>
          <w14:ligatures w14:val="none"/>
        </w:rPr>
        <w:t xml:space="preserve">ction </w:t>
      </w:r>
      <w:r w:rsidR="00FE1B22" w:rsidRPr="00FB4E2D">
        <w:rPr>
          <w:rFonts w:ascii="Times New Roman" w:eastAsia="Times New Roman" w:hAnsi="Times New Roman" w:cs="Times New Roman"/>
          <w:i/>
          <w:noProof/>
          <w:kern w:val="0"/>
          <w:sz w:val="20"/>
          <w:szCs w:val="20"/>
          <w14:ligatures w14:val="none"/>
        </w:rPr>
        <w:t>p</w:t>
      </w:r>
      <w:r w:rsidR="00A02C07" w:rsidRPr="00FB4E2D">
        <w:rPr>
          <w:rFonts w:ascii="Times New Roman" w:eastAsia="Times New Roman" w:hAnsi="Times New Roman" w:cs="Times New Roman"/>
          <w:i/>
          <w:noProof/>
          <w:kern w:val="0"/>
          <w:sz w:val="20"/>
          <w:szCs w:val="20"/>
          <w14:ligatures w14:val="none"/>
        </w:rPr>
        <w:t>lan set several tasks in relation to the regulation of lobbying activities. The Government invite</w:t>
      </w:r>
      <w:r w:rsidR="00AF5520" w:rsidRPr="00FB4E2D">
        <w:rPr>
          <w:rFonts w:ascii="Times New Roman" w:eastAsia="Times New Roman" w:hAnsi="Times New Roman" w:cs="Times New Roman"/>
          <w:i/>
          <w:noProof/>
          <w:kern w:val="0"/>
          <w:sz w:val="20"/>
          <w:szCs w:val="20"/>
          <w14:ligatures w14:val="none"/>
        </w:rPr>
        <w:t>d</w:t>
      </w:r>
      <w:r w:rsidR="00A02C07" w:rsidRPr="00FB4E2D">
        <w:rPr>
          <w:rFonts w:ascii="Times New Roman" w:eastAsia="Times New Roman" w:hAnsi="Times New Roman" w:cs="Times New Roman"/>
          <w:i/>
          <w:noProof/>
          <w:kern w:val="0"/>
          <w:sz w:val="20"/>
          <w:szCs w:val="20"/>
          <w14:ligatures w14:val="none"/>
        </w:rPr>
        <w:t xml:space="preserve"> the </w:t>
      </w:r>
      <w:r w:rsidR="00B84167" w:rsidRPr="00FB4E2D">
        <w:rPr>
          <w:rFonts w:ascii="Times New Roman" w:eastAsia="Times New Roman" w:hAnsi="Times New Roman" w:cs="Times New Roman"/>
          <w:i/>
          <w:noProof/>
          <w:kern w:val="0"/>
          <w:sz w:val="20"/>
          <w:szCs w:val="20"/>
          <w14:ligatures w14:val="none"/>
        </w:rPr>
        <w:t xml:space="preserve">bodies </w:t>
      </w:r>
      <w:r w:rsidR="00A02C07" w:rsidRPr="00FB4E2D">
        <w:rPr>
          <w:rFonts w:ascii="Times New Roman" w:eastAsia="Times New Roman" w:hAnsi="Times New Roman" w:cs="Times New Roman"/>
          <w:i/>
          <w:noProof/>
          <w:kern w:val="0"/>
          <w:sz w:val="20"/>
          <w:szCs w:val="20"/>
          <w14:ligatures w14:val="none"/>
        </w:rPr>
        <w:t xml:space="preserve">concerned a) </w:t>
      </w:r>
      <w:r w:rsidR="00B84167" w:rsidRPr="00FB4E2D">
        <w:rPr>
          <w:rFonts w:ascii="Times New Roman" w:eastAsia="Times New Roman" w:hAnsi="Times New Roman" w:cs="Times New Roman"/>
          <w:i/>
          <w:noProof/>
          <w:kern w:val="0"/>
          <w:sz w:val="20"/>
          <w:szCs w:val="20"/>
          <w14:ligatures w14:val="none"/>
        </w:rPr>
        <w:t>t</w:t>
      </w:r>
      <w:r w:rsidR="00A02C07" w:rsidRPr="00FB4E2D">
        <w:rPr>
          <w:rFonts w:ascii="Times New Roman" w:eastAsia="Times New Roman" w:hAnsi="Times New Roman" w:cs="Times New Roman"/>
          <w:i/>
          <w:noProof/>
          <w:kern w:val="0"/>
          <w:sz w:val="20"/>
          <w:szCs w:val="20"/>
          <w14:ligatures w14:val="none"/>
        </w:rPr>
        <w:t xml:space="preserve">o prepare codes of ethics; and b) provide training on integrity awareness, taking into account the content of the code of ethics established under point a). The Government invites the Minister of Justice to ensure that the new lobbying law is drafted taking into account international recommendations. The Government instructs the Minister </w:t>
      </w:r>
      <w:r w:rsidR="0043372C" w:rsidRPr="00FB4E2D">
        <w:rPr>
          <w:rFonts w:ascii="Times New Roman" w:eastAsia="Times New Roman" w:hAnsi="Times New Roman" w:cs="Times New Roman"/>
          <w:i/>
          <w:noProof/>
          <w:kern w:val="0"/>
          <w:sz w:val="20"/>
          <w:szCs w:val="20"/>
          <w14:ligatures w14:val="none"/>
        </w:rPr>
        <w:t xml:space="preserve">for </w:t>
      </w:r>
      <w:r w:rsidR="00A02C07" w:rsidRPr="00FB4E2D">
        <w:rPr>
          <w:rFonts w:ascii="Times New Roman" w:eastAsia="Times New Roman" w:hAnsi="Times New Roman" w:cs="Times New Roman"/>
          <w:i/>
          <w:noProof/>
          <w:kern w:val="0"/>
          <w:sz w:val="20"/>
          <w:szCs w:val="20"/>
          <w14:ligatures w14:val="none"/>
        </w:rPr>
        <w:t xml:space="preserve">Public Administration and Regional Development to prepare, with the involvement of the ministers concerned, a methodology guide on the interaction of local governments with lobbyists with a view to identifying and promoting best practices. </w:t>
      </w:r>
      <w:r w:rsidR="00A02C07" w:rsidRPr="00FB4E2D">
        <w:rPr>
          <w:rFonts w:ascii="Times New Roman" w:eastAsia="Times New Roman" w:hAnsi="Times New Roman" w:cs="Times New Roman"/>
          <w:b/>
          <w:i/>
          <w:noProof/>
          <w:kern w:val="0"/>
          <w:sz w:val="20"/>
          <w:szCs w:val="20"/>
          <w14:ligatures w14:val="none"/>
        </w:rPr>
        <w:t>NL</w:t>
      </w:r>
      <w:r w:rsidR="00A02C07" w:rsidRPr="00FB4E2D">
        <w:rPr>
          <w:rFonts w:ascii="Times New Roman" w:eastAsia="Times New Roman" w:hAnsi="Times New Roman" w:cs="Times New Roman"/>
          <w:i/>
          <w:noProof/>
          <w:kern w:val="0"/>
          <w:sz w:val="20"/>
          <w:szCs w:val="20"/>
          <w14:ligatures w14:val="none"/>
        </w:rPr>
        <w:t xml:space="preserve">: </w:t>
      </w:r>
      <w:r w:rsidR="007B254A" w:rsidRPr="00FB4E2D">
        <w:rPr>
          <w:rFonts w:ascii="Times New Roman" w:eastAsia="Times New Roman" w:hAnsi="Times New Roman" w:cs="Times New Roman"/>
          <w:i/>
          <w:noProof/>
          <w:kern w:val="0"/>
          <w:sz w:val="20"/>
          <w:szCs w:val="20"/>
          <w14:ligatures w14:val="none"/>
        </w:rPr>
        <w:t>There is no</w:t>
      </w:r>
      <w:r w:rsidR="00605CAD" w:rsidRPr="00FB4E2D">
        <w:rPr>
          <w:rFonts w:ascii="Times New Roman" w:eastAsia="Times New Roman" w:hAnsi="Times New Roman" w:cs="Times New Roman"/>
          <w:i/>
          <w:noProof/>
          <w:kern w:val="0"/>
          <w:sz w:val="20"/>
          <w:szCs w:val="20"/>
          <w14:ligatures w14:val="none"/>
        </w:rPr>
        <w:t xml:space="preserve"> such register</w:t>
      </w:r>
      <w:r w:rsidR="00067E4B" w:rsidRPr="00FB4E2D">
        <w:rPr>
          <w:rFonts w:ascii="Times New Roman" w:eastAsia="Times New Roman" w:hAnsi="Times New Roman" w:cs="Times New Roman"/>
          <w:i/>
          <w:noProof/>
          <w:kern w:val="0"/>
          <w:sz w:val="20"/>
          <w:szCs w:val="20"/>
          <w14:ligatures w14:val="none"/>
        </w:rPr>
        <w:t xml:space="preserve"> </w:t>
      </w:r>
      <w:r w:rsidR="00605CAD" w:rsidRPr="00FB4E2D">
        <w:rPr>
          <w:rFonts w:ascii="Times New Roman" w:eastAsia="Times New Roman" w:hAnsi="Times New Roman" w:cs="Times New Roman"/>
          <w:i/>
          <w:noProof/>
          <w:kern w:val="0"/>
          <w:sz w:val="20"/>
          <w:szCs w:val="20"/>
          <w14:ligatures w14:val="none"/>
        </w:rPr>
        <w:t>but other instruments</w:t>
      </w:r>
      <w:r w:rsidR="007B254A" w:rsidRPr="00FB4E2D">
        <w:rPr>
          <w:rFonts w:ascii="Times New Roman" w:eastAsia="Times New Roman" w:hAnsi="Times New Roman" w:cs="Times New Roman"/>
          <w:i/>
          <w:noProof/>
          <w:kern w:val="0"/>
          <w:sz w:val="20"/>
          <w:szCs w:val="20"/>
          <w14:ligatures w14:val="none"/>
        </w:rPr>
        <w:t xml:space="preserve"> are</w:t>
      </w:r>
      <w:r w:rsidR="00605CAD" w:rsidRPr="00FB4E2D">
        <w:rPr>
          <w:rFonts w:ascii="Times New Roman" w:eastAsia="Times New Roman" w:hAnsi="Times New Roman" w:cs="Times New Roman"/>
          <w:i/>
          <w:noProof/>
          <w:kern w:val="0"/>
          <w:sz w:val="20"/>
          <w:szCs w:val="20"/>
          <w14:ligatures w14:val="none"/>
        </w:rPr>
        <w:t xml:space="preserve"> in place to promote integrity and transparency</w:t>
      </w:r>
      <w:r w:rsidR="00F75027" w:rsidRPr="00FB4E2D">
        <w:rPr>
          <w:rFonts w:ascii="Times New Roman" w:eastAsia="Times New Roman" w:hAnsi="Times New Roman" w:cs="Times New Roman"/>
          <w:i/>
          <w:noProof/>
          <w:kern w:val="0"/>
          <w:sz w:val="20"/>
          <w:szCs w:val="20"/>
          <w14:ligatures w14:val="none"/>
        </w:rPr>
        <w:t xml:space="preserve">, including </w:t>
      </w:r>
      <w:r w:rsidR="00067E4B" w:rsidRPr="00FB4E2D">
        <w:rPr>
          <w:rFonts w:ascii="Times New Roman" w:eastAsia="Times New Roman" w:hAnsi="Times New Roman" w:cs="Times New Roman"/>
          <w:i/>
          <w:noProof/>
          <w:kern w:val="0"/>
          <w:sz w:val="20"/>
          <w:szCs w:val="20"/>
          <w14:ligatures w14:val="none"/>
        </w:rPr>
        <w:t>publicising</w:t>
      </w:r>
      <w:r w:rsidR="00605CAD" w:rsidRPr="00FB4E2D">
        <w:rPr>
          <w:rFonts w:ascii="Times New Roman" w:eastAsia="Times New Roman" w:hAnsi="Times New Roman" w:cs="Times New Roman"/>
          <w:i/>
          <w:noProof/>
          <w:kern w:val="0"/>
          <w:sz w:val="20"/>
          <w:szCs w:val="20"/>
          <w14:ligatures w14:val="none"/>
        </w:rPr>
        <w:t xml:space="preserve"> the agendas of ministers and lobby paragraphs in legislative processes. An evaluation of these instruments has taken place. The </w:t>
      </w:r>
      <w:r w:rsidR="007B254A" w:rsidRPr="00FB4E2D">
        <w:rPr>
          <w:rFonts w:ascii="Times New Roman" w:eastAsia="Times New Roman" w:hAnsi="Times New Roman" w:cs="Times New Roman"/>
          <w:i/>
          <w:noProof/>
          <w:kern w:val="0"/>
          <w:sz w:val="20"/>
          <w:szCs w:val="20"/>
          <w14:ligatures w14:val="none"/>
        </w:rPr>
        <w:t>G</w:t>
      </w:r>
      <w:r w:rsidR="00E81DEC" w:rsidRPr="00FB4E2D">
        <w:rPr>
          <w:rFonts w:ascii="Times New Roman" w:eastAsia="Times New Roman" w:hAnsi="Times New Roman" w:cs="Times New Roman"/>
          <w:i/>
          <w:noProof/>
          <w:kern w:val="0"/>
          <w:sz w:val="20"/>
          <w:szCs w:val="20"/>
          <w14:ligatures w14:val="none"/>
        </w:rPr>
        <w:t>overnment</w:t>
      </w:r>
      <w:r w:rsidR="00605CAD" w:rsidRPr="00FB4E2D">
        <w:rPr>
          <w:rFonts w:ascii="Times New Roman" w:eastAsia="Times New Roman" w:hAnsi="Times New Roman" w:cs="Times New Roman"/>
          <w:i/>
          <w:noProof/>
          <w:kern w:val="0"/>
          <w:sz w:val="20"/>
          <w:szCs w:val="20"/>
          <w14:ligatures w14:val="none"/>
        </w:rPr>
        <w:t xml:space="preserve"> has indicated in their coalition agreement that it intends to implement a lobbying register that is workable and practical for both </w:t>
      </w:r>
      <w:r w:rsidR="007B254A" w:rsidRPr="00FB4E2D">
        <w:rPr>
          <w:rFonts w:ascii="Times New Roman" w:eastAsia="Times New Roman" w:hAnsi="Times New Roman" w:cs="Times New Roman"/>
          <w:i/>
          <w:noProof/>
          <w:kern w:val="0"/>
          <w:sz w:val="20"/>
          <w:szCs w:val="20"/>
          <w14:ligatures w14:val="none"/>
        </w:rPr>
        <w:t>G</w:t>
      </w:r>
      <w:r w:rsidR="00605CAD" w:rsidRPr="00FB4E2D">
        <w:rPr>
          <w:rFonts w:ascii="Times New Roman" w:eastAsia="Times New Roman" w:hAnsi="Times New Roman" w:cs="Times New Roman"/>
          <w:i/>
          <w:noProof/>
          <w:kern w:val="0"/>
          <w:sz w:val="20"/>
          <w:szCs w:val="20"/>
          <w14:ligatures w14:val="none"/>
        </w:rPr>
        <w:t>overnment officials and lobbyists. The government is currently working on a proposal for the implementation.</w:t>
      </w:r>
      <w:r w:rsidR="00A02C07" w:rsidRPr="00FB4E2D">
        <w:rPr>
          <w:rFonts w:ascii="Times New Roman" w:eastAsia="Times New Roman" w:hAnsi="Times New Roman" w:cs="Times New Roman"/>
          <w:i/>
          <w:noProof/>
          <w:kern w:val="0"/>
          <w:sz w:val="20"/>
          <w:szCs w:val="20"/>
          <w14:ligatures w14:val="none"/>
        </w:rPr>
        <w:t xml:space="preserve"> </w:t>
      </w:r>
      <w:r w:rsidR="00A02C07" w:rsidRPr="00FB4E2D">
        <w:rPr>
          <w:rFonts w:ascii="Times New Roman" w:eastAsia="Times New Roman" w:hAnsi="Times New Roman" w:cs="Times New Roman"/>
          <w:b/>
          <w:i/>
          <w:noProof/>
          <w:kern w:val="0"/>
          <w:sz w:val="20"/>
          <w:szCs w:val="20"/>
          <w14:ligatures w14:val="none"/>
        </w:rPr>
        <w:t>PL</w:t>
      </w:r>
      <w:r w:rsidR="00A02C07" w:rsidRPr="00FB4E2D">
        <w:rPr>
          <w:rFonts w:ascii="Times New Roman" w:eastAsia="Times New Roman" w:hAnsi="Times New Roman" w:cs="Times New Roman"/>
          <w:i/>
          <w:noProof/>
          <w:kern w:val="0"/>
          <w:sz w:val="20"/>
          <w:szCs w:val="20"/>
          <w14:ligatures w14:val="none"/>
        </w:rPr>
        <w:t>: For the purposes of this chart, a transparency register</w:t>
      </w:r>
      <w:r w:rsidR="008476C5" w:rsidRPr="00FB4E2D">
        <w:rPr>
          <w:rFonts w:ascii="Times New Roman" w:eastAsia="Times New Roman" w:hAnsi="Times New Roman" w:cs="Times New Roman"/>
          <w:i/>
          <w:noProof/>
          <w:kern w:val="0"/>
          <w:sz w:val="20"/>
          <w:szCs w:val="20"/>
          <w14:ligatures w14:val="none"/>
        </w:rPr>
        <w:t xml:space="preserve"> </w:t>
      </w:r>
      <w:r w:rsidR="000D21BD" w:rsidRPr="00FB4E2D">
        <w:rPr>
          <w:rFonts w:ascii="Times New Roman" w:eastAsia="Times New Roman" w:hAnsi="Times New Roman" w:cs="Times New Roman"/>
          <w:i/>
          <w:noProof/>
          <w:kern w:val="0"/>
          <w:sz w:val="20"/>
          <w:szCs w:val="20"/>
          <w14:ligatures w14:val="none"/>
        </w:rPr>
        <w:t xml:space="preserve">is </w:t>
      </w:r>
      <w:r w:rsidR="008476C5" w:rsidRPr="00FB4E2D">
        <w:rPr>
          <w:rFonts w:ascii="Times New Roman" w:eastAsia="Times New Roman" w:hAnsi="Times New Roman" w:cs="Times New Roman"/>
          <w:i/>
          <w:noProof/>
          <w:kern w:val="0"/>
          <w:sz w:val="20"/>
          <w:szCs w:val="20"/>
          <w14:ligatures w14:val="none"/>
        </w:rPr>
        <w:t>in place</w:t>
      </w:r>
      <w:r w:rsidR="00A02C07" w:rsidRPr="00FB4E2D">
        <w:rPr>
          <w:rFonts w:ascii="Times New Roman" w:eastAsia="Times New Roman" w:hAnsi="Times New Roman" w:cs="Times New Roman"/>
          <w:i/>
          <w:noProof/>
          <w:kern w:val="0"/>
          <w:sz w:val="20"/>
          <w:szCs w:val="20"/>
          <w14:ligatures w14:val="none"/>
        </w:rPr>
        <w:t xml:space="preserve"> despite national rules being more limited in practice. According </w:t>
      </w:r>
      <w:r w:rsidR="00067E4B" w:rsidRPr="00FB4E2D">
        <w:rPr>
          <w:rFonts w:ascii="Times New Roman" w:eastAsia="Times New Roman" w:hAnsi="Times New Roman" w:cs="Times New Roman"/>
          <w:i/>
          <w:noProof/>
          <w:kern w:val="0"/>
          <w:sz w:val="20"/>
          <w:szCs w:val="20"/>
          <w14:ligatures w14:val="none"/>
        </w:rPr>
        <w:t xml:space="preserve">to </w:t>
      </w:r>
      <w:r w:rsidR="00A02C07" w:rsidRPr="00FB4E2D">
        <w:rPr>
          <w:rFonts w:ascii="Times New Roman" w:eastAsia="Times New Roman" w:hAnsi="Times New Roman" w:cs="Times New Roman"/>
          <w:i/>
          <w:noProof/>
          <w:kern w:val="0"/>
          <w:sz w:val="20"/>
          <w:szCs w:val="20"/>
          <w14:ligatures w14:val="none"/>
        </w:rPr>
        <w:t xml:space="preserve">the </w:t>
      </w:r>
      <w:r w:rsidR="004C73D2" w:rsidRPr="00FB4E2D">
        <w:rPr>
          <w:rFonts w:ascii="Times New Roman" w:eastAsia="Times New Roman" w:hAnsi="Times New Roman" w:cs="Times New Roman"/>
          <w:i/>
          <w:noProof/>
          <w:kern w:val="0"/>
          <w:sz w:val="20"/>
          <w:szCs w:val="20"/>
          <w14:ligatures w14:val="none"/>
        </w:rPr>
        <w:t xml:space="preserve">Law </w:t>
      </w:r>
      <w:r w:rsidR="00A02C07" w:rsidRPr="00FB4E2D">
        <w:rPr>
          <w:rFonts w:ascii="Times New Roman" w:eastAsia="Times New Roman" w:hAnsi="Times New Roman" w:cs="Times New Roman"/>
          <w:i/>
          <w:noProof/>
          <w:kern w:val="0"/>
          <w:sz w:val="20"/>
          <w:szCs w:val="20"/>
          <w14:ligatures w14:val="none"/>
        </w:rPr>
        <w:t xml:space="preserve">on lobbying activities in the process of lawmaking a register of entities performing professional lobbying activities is maintained by </w:t>
      </w:r>
      <w:r w:rsidR="007E5758" w:rsidRPr="00FB4E2D">
        <w:rPr>
          <w:rFonts w:ascii="Times New Roman" w:eastAsia="Times New Roman" w:hAnsi="Times New Roman" w:cs="Times New Roman"/>
          <w:i/>
          <w:noProof/>
          <w:kern w:val="0"/>
          <w:sz w:val="20"/>
          <w:szCs w:val="20"/>
          <w14:ligatures w14:val="none"/>
        </w:rPr>
        <w:t>the Ministry</w:t>
      </w:r>
      <w:r w:rsidR="00A02C07" w:rsidRPr="00FB4E2D">
        <w:rPr>
          <w:rFonts w:ascii="Times New Roman" w:eastAsia="Times New Roman" w:hAnsi="Times New Roman" w:cs="Times New Roman"/>
          <w:i/>
          <w:noProof/>
          <w:kern w:val="0"/>
          <w:sz w:val="20"/>
          <w:szCs w:val="20"/>
          <w14:ligatures w14:val="none"/>
        </w:rPr>
        <w:t xml:space="preserve"> of </w:t>
      </w:r>
      <w:r w:rsidR="007E5758" w:rsidRPr="00FB4E2D">
        <w:rPr>
          <w:rFonts w:ascii="Times New Roman" w:eastAsia="Times New Roman" w:hAnsi="Times New Roman" w:cs="Times New Roman"/>
          <w:i/>
          <w:noProof/>
          <w:kern w:val="0"/>
          <w:sz w:val="20"/>
          <w:szCs w:val="20"/>
          <w14:ligatures w14:val="none"/>
        </w:rPr>
        <w:t xml:space="preserve">the </w:t>
      </w:r>
      <w:r w:rsidR="00A02C07" w:rsidRPr="00FB4E2D">
        <w:rPr>
          <w:rFonts w:ascii="Times New Roman" w:eastAsia="Times New Roman" w:hAnsi="Times New Roman" w:cs="Times New Roman"/>
          <w:i/>
          <w:noProof/>
          <w:kern w:val="0"/>
          <w:sz w:val="20"/>
          <w:szCs w:val="20"/>
          <w14:ligatures w14:val="none"/>
        </w:rPr>
        <w:t>Interior and Administration</w:t>
      </w:r>
      <w:r w:rsidR="000D21BD" w:rsidRPr="00FB4E2D">
        <w:rPr>
          <w:rFonts w:ascii="Times New Roman" w:eastAsia="Times New Roman" w:hAnsi="Times New Roman" w:cs="Times New Roman"/>
          <w:i/>
          <w:noProof/>
          <w:kern w:val="0"/>
          <w:sz w:val="20"/>
          <w:szCs w:val="20"/>
          <w14:ligatures w14:val="none"/>
        </w:rPr>
        <w:t>, which</w:t>
      </w:r>
      <w:r w:rsidR="00A02C07" w:rsidRPr="00FB4E2D">
        <w:rPr>
          <w:rFonts w:ascii="Times New Roman" w:eastAsia="Times New Roman" w:hAnsi="Times New Roman" w:cs="Times New Roman"/>
          <w:i/>
          <w:noProof/>
          <w:kern w:val="0"/>
          <w:sz w:val="20"/>
          <w:szCs w:val="20"/>
          <w14:ligatures w14:val="none"/>
        </w:rPr>
        <w:t xml:space="preserve"> is public. Every public institution specifies the detailed manner of conduct of employees when handling matters with entities performing professional lobbying activities or carrying out activities falling within the scope of such activities without registration in the register of entities performing professional lobbying activities, consisting of representing the interests of persons or entities for which they act, including the manner of documenting the contacts undertaken. Every public institution is obliged to prepare annually public information on activities </w:t>
      </w:r>
      <w:r w:rsidR="007E5758" w:rsidRPr="00FB4E2D">
        <w:rPr>
          <w:rFonts w:ascii="Times New Roman" w:eastAsia="Times New Roman" w:hAnsi="Times New Roman" w:cs="Times New Roman"/>
          <w:i/>
          <w:noProof/>
          <w:kern w:val="0"/>
          <w:sz w:val="20"/>
          <w:szCs w:val="20"/>
          <w14:ligatures w14:val="none"/>
        </w:rPr>
        <w:t xml:space="preserve">involving </w:t>
      </w:r>
      <w:r w:rsidR="00A02C07" w:rsidRPr="00FB4E2D">
        <w:rPr>
          <w:rFonts w:ascii="Times New Roman" w:eastAsia="Times New Roman" w:hAnsi="Times New Roman" w:cs="Times New Roman"/>
          <w:i/>
          <w:noProof/>
          <w:kern w:val="0"/>
          <w:sz w:val="20"/>
          <w:szCs w:val="20"/>
          <w14:ligatures w14:val="none"/>
        </w:rPr>
        <w:t xml:space="preserve">these authorities in the previous year </w:t>
      </w:r>
      <w:r w:rsidR="007E5758" w:rsidRPr="00FB4E2D">
        <w:rPr>
          <w:rFonts w:ascii="Times New Roman" w:eastAsia="Times New Roman" w:hAnsi="Times New Roman" w:cs="Times New Roman"/>
          <w:i/>
          <w:noProof/>
          <w:kern w:val="0"/>
          <w:sz w:val="20"/>
          <w:szCs w:val="20"/>
          <w14:ligatures w14:val="none"/>
        </w:rPr>
        <w:t xml:space="preserve">and </w:t>
      </w:r>
      <w:r w:rsidR="00A02C07" w:rsidRPr="00FB4E2D">
        <w:rPr>
          <w:rFonts w:ascii="Times New Roman" w:eastAsia="Times New Roman" w:hAnsi="Times New Roman" w:cs="Times New Roman"/>
          <w:i/>
          <w:noProof/>
          <w:kern w:val="0"/>
          <w:sz w:val="20"/>
          <w:szCs w:val="20"/>
          <w14:ligatures w14:val="none"/>
        </w:rPr>
        <w:t>entities engaged in professional lobbying. The information</w:t>
      </w:r>
      <w:r w:rsidR="007E5758" w:rsidRPr="00FB4E2D">
        <w:rPr>
          <w:rFonts w:ascii="Times New Roman" w:eastAsia="Times New Roman" w:hAnsi="Times New Roman" w:cs="Times New Roman"/>
          <w:i/>
          <w:noProof/>
          <w:kern w:val="0"/>
          <w:sz w:val="20"/>
          <w:szCs w:val="20"/>
          <w14:ligatures w14:val="none"/>
        </w:rPr>
        <w:t xml:space="preserve"> must be </w:t>
      </w:r>
      <w:r w:rsidR="00A02C07" w:rsidRPr="00FB4E2D">
        <w:rPr>
          <w:rFonts w:ascii="Times New Roman" w:eastAsia="Times New Roman" w:hAnsi="Times New Roman" w:cs="Times New Roman"/>
          <w:i/>
          <w:noProof/>
          <w:kern w:val="0"/>
          <w:sz w:val="20"/>
          <w:szCs w:val="20"/>
          <w14:ligatures w14:val="none"/>
        </w:rPr>
        <w:t xml:space="preserve">made </w:t>
      </w:r>
      <w:r w:rsidR="007E5758" w:rsidRPr="00FB4E2D">
        <w:rPr>
          <w:rFonts w:ascii="Times New Roman" w:eastAsia="Times New Roman" w:hAnsi="Times New Roman" w:cs="Times New Roman"/>
          <w:i/>
          <w:noProof/>
          <w:kern w:val="0"/>
          <w:sz w:val="20"/>
          <w:szCs w:val="20"/>
          <w14:ligatures w14:val="none"/>
        </w:rPr>
        <w:t xml:space="preserve">immediately </w:t>
      </w:r>
      <w:r w:rsidR="00A02C07" w:rsidRPr="00FB4E2D">
        <w:rPr>
          <w:rFonts w:ascii="Times New Roman" w:eastAsia="Times New Roman" w:hAnsi="Times New Roman" w:cs="Times New Roman"/>
          <w:i/>
          <w:noProof/>
          <w:kern w:val="0"/>
          <w:sz w:val="20"/>
          <w:szCs w:val="20"/>
          <w14:ligatures w14:val="none"/>
        </w:rPr>
        <w:t xml:space="preserve">available in the Public Information Bulletin </w:t>
      </w:r>
      <w:r w:rsidR="00A02C07" w:rsidRPr="00FB4E2D">
        <w:rPr>
          <w:rFonts w:ascii="Times New Roman" w:eastAsia="Times New Roman" w:hAnsi="Times New Roman" w:cs="Times New Roman"/>
          <w:b/>
          <w:i/>
          <w:noProof/>
          <w:kern w:val="0"/>
          <w:sz w:val="20"/>
          <w:szCs w:val="20"/>
          <w14:ligatures w14:val="none"/>
        </w:rPr>
        <w:t>RO</w:t>
      </w:r>
      <w:r w:rsidR="00A02C07" w:rsidRPr="00FB4E2D">
        <w:rPr>
          <w:rFonts w:ascii="Times New Roman" w:eastAsia="Times New Roman" w:hAnsi="Times New Roman" w:cs="Times New Roman"/>
          <w:i/>
          <w:noProof/>
          <w:kern w:val="0"/>
          <w:sz w:val="20"/>
          <w:szCs w:val="20"/>
          <w14:ligatures w14:val="none"/>
        </w:rPr>
        <w:t xml:space="preserve">: </w:t>
      </w:r>
      <w:r w:rsidR="0051089A" w:rsidRPr="00FB4E2D">
        <w:rPr>
          <w:rFonts w:ascii="Times New Roman" w:eastAsia="Times New Roman" w:hAnsi="Times New Roman" w:cs="Times New Roman"/>
          <w:i/>
          <w:noProof/>
          <w:kern w:val="0"/>
          <w:sz w:val="20"/>
          <w:szCs w:val="20"/>
          <w14:ligatures w14:val="none"/>
        </w:rPr>
        <w:t>Voluntary</w:t>
      </w:r>
      <w:r w:rsidR="00291264" w:rsidRPr="00FB4E2D">
        <w:rPr>
          <w:rFonts w:ascii="Times New Roman" w:eastAsia="Times New Roman" w:hAnsi="Times New Roman" w:cs="Times New Roman"/>
          <w:i/>
          <w:noProof/>
          <w:kern w:val="0"/>
          <w:sz w:val="20"/>
          <w:szCs w:val="20"/>
          <w14:ligatures w14:val="none"/>
        </w:rPr>
        <w:t xml:space="preserve"> registration </w:t>
      </w:r>
      <w:r w:rsidR="0051089A" w:rsidRPr="00FB4E2D">
        <w:rPr>
          <w:rFonts w:ascii="Times New Roman" w:eastAsia="Times New Roman" w:hAnsi="Times New Roman" w:cs="Times New Roman"/>
          <w:i/>
          <w:noProof/>
          <w:kern w:val="0"/>
          <w:sz w:val="20"/>
          <w:szCs w:val="20"/>
          <w14:ligatures w14:val="none"/>
        </w:rPr>
        <w:t xml:space="preserve">in RUTI </w:t>
      </w:r>
      <w:r w:rsidR="00291264" w:rsidRPr="00FB4E2D">
        <w:rPr>
          <w:rFonts w:ascii="Times New Roman" w:eastAsia="Times New Roman" w:hAnsi="Times New Roman" w:cs="Times New Roman"/>
          <w:i/>
          <w:noProof/>
          <w:kern w:val="0"/>
          <w:sz w:val="20"/>
          <w:szCs w:val="20"/>
          <w14:ligatures w14:val="none"/>
        </w:rPr>
        <w:t xml:space="preserve">for decision-makers and </w:t>
      </w:r>
      <w:r w:rsidR="0051089A" w:rsidRPr="00FB4E2D">
        <w:rPr>
          <w:rFonts w:ascii="Times New Roman" w:eastAsia="Times New Roman" w:hAnsi="Times New Roman" w:cs="Times New Roman"/>
          <w:i/>
          <w:noProof/>
          <w:kern w:val="0"/>
          <w:sz w:val="20"/>
          <w:szCs w:val="20"/>
          <w14:ligatures w14:val="none"/>
        </w:rPr>
        <w:t xml:space="preserve">lobbyists. Mandatory </w:t>
      </w:r>
      <w:r w:rsidR="00291264" w:rsidRPr="00FB4E2D">
        <w:rPr>
          <w:rFonts w:ascii="Times New Roman" w:eastAsia="Times New Roman" w:hAnsi="Times New Roman" w:cs="Times New Roman"/>
          <w:i/>
          <w:noProof/>
          <w:kern w:val="0"/>
          <w:sz w:val="20"/>
          <w:szCs w:val="20"/>
          <w14:ligatures w14:val="none"/>
        </w:rPr>
        <w:t xml:space="preserve">for some </w:t>
      </w:r>
      <w:r w:rsidR="0051089A" w:rsidRPr="00FB4E2D">
        <w:rPr>
          <w:rFonts w:ascii="Times New Roman" w:eastAsia="Times New Roman" w:hAnsi="Times New Roman" w:cs="Times New Roman"/>
          <w:i/>
          <w:noProof/>
          <w:kern w:val="0"/>
          <w:sz w:val="20"/>
          <w:szCs w:val="20"/>
          <w14:ligatures w14:val="none"/>
        </w:rPr>
        <w:t>officials</w:t>
      </w:r>
      <w:r w:rsidR="00291264" w:rsidRPr="00FB4E2D">
        <w:rPr>
          <w:rFonts w:ascii="Times New Roman" w:eastAsia="Times New Roman" w:hAnsi="Times New Roman" w:cs="Times New Roman"/>
          <w:i/>
          <w:noProof/>
          <w:kern w:val="0"/>
          <w:sz w:val="20"/>
          <w:szCs w:val="20"/>
          <w14:ligatures w14:val="none"/>
        </w:rPr>
        <w:t xml:space="preserve"> to register in RUTI and disclose meetings </w:t>
      </w:r>
      <w:r w:rsidR="0051089A" w:rsidRPr="00FB4E2D">
        <w:rPr>
          <w:rFonts w:ascii="Times New Roman" w:eastAsia="Times New Roman" w:hAnsi="Times New Roman" w:cs="Times New Roman"/>
          <w:i/>
          <w:noProof/>
          <w:kern w:val="0"/>
          <w:sz w:val="20"/>
          <w:szCs w:val="20"/>
          <w14:ligatures w14:val="none"/>
        </w:rPr>
        <w:t>(</w:t>
      </w:r>
      <w:r w:rsidR="00291264" w:rsidRPr="00FB4E2D">
        <w:rPr>
          <w:rFonts w:ascii="Times New Roman" w:eastAsia="Times New Roman" w:hAnsi="Times New Roman" w:cs="Times New Roman"/>
          <w:i/>
          <w:noProof/>
          <w:kern w:val="0"/>
          <w:sz w:val="20"/>
          <w:szCs w:val="20"/>
          <w14:ligatures w14:val="none"/>
        </w:rPr>
        <w:t>names</w:t>
      </w:r>
      <w:r w:rsidR="0051089A" w:rsidRPr="00FB4E2D">
        <w:rPr>
          <w:rFonts w:ascii="Times New Roman" w:eastAsia="Times New Roman" w:hAnsi="Times New Roman" w:cs="Times New Roman"/>
          <w:i/>
          <w:noProof/>
          <w:kern w:val="0"/>
          <w:sz w:val="20"/>
          <w:szCs w:val="20"/>
          <w14:ligatures w14:val="none"/>
        </w:rPr>
        <w:t>,</w:t>
      </w:r>
      <w:r w:rsidR="00291264" w:rsidRPr="00FB4E2D">
        <w:rPr>
          <w:rFonts w:ascii="Times New Roman" w:eastAsia="Times New Roman" w:hAnsi="Times New Roman" w:cs="Times New Roman"/>
          <w:i/>
          <w:noProof/>
          <w:kern w:val="0"/>
          <w:sz w:val="20"/>
          <w:szCs w:val="20"/>
          <w14:ligatures w14:val="none"/>
        </w:rPr>
        <w:t xml:space="preserve"> date</w:t>
      </w:r>
      <w:r w:rsidR="0051089A" w:rsidRPr="00FB4E2D">
        <w:rPr>
          <w:rFonts w:ascii="Times New Roman" w:eastAsia="Times New Roman" w:hAnsi="Times New Roman" w:cs="Times New Roman"/>
          <w:i/>
          <w:noProof/>
          <w:kern w:val="0"/>
          <w:sz w:val="20"/>
          <w:szCs w:val="20"/>
          <w14:ligatures w14:val="none"/>
        </w:rPr>
        <w:t>/</w:t>
      </w:r>
      <w:r w:rsidR="00291264" w:rsidRPr="00FB4E2D">
        <w:rPr>
          <w:rFonts w:ascii="Times New Roman" w:eastAsia="Times New Roman" w:hAnsi="Times New Roman" w:cs="Times New Roman"/>
          <w:i/>
          <w:noProof/>
          <w:kern w:val="0"/>
          <w:sz w:val="20"/>
          <w:szCs w:val="20"/>
          <w14:ligatures w14:val="none"/>
        </w:rPr>
        <w:t>location</w:t>
      </w:r>
      <w:r w:rsidR="0051089A" w:rsidRPr="00FB4E2D">
        <w:rPr>
          <w:rFonts w:ascii="Times New Roman" w:eastAsia="Times New Roman" w:hAnsi="Times New Roman" w:cs="Times New Roman"/>
          <w:i/>
          <w:noProof/>
          <w:kern w:val="0"/>
          <w:sz w:val="20"/>
          <w:szCs w:val="20"/>
          <w14:ligatures w14:val="none"/>
        </w:rPr>
        <w:t>,</w:t>
      </w:r>
      <w:r w:rsidR="00291264" w:rsidRPr="00FB4E2D">
        <w:rPr>
          <w:rFonts w:ascii="Times New Roman" w:eastAsia="Times New Roman" w:hAnsi="Times New Roman" w:cs="Times New Roman"/>
          <w:i/>
          <w:noProof/>
          <w:kern w:val="0"/>
          <w:sz w:val="20"/>
          <w:szCs w:val="20"/>
          <w14:ligatures w14:val="none"/>
        </w:rPr>
        <w:t xml:space="preserve"> purpose</w:t>
      </w:r>
      <w:r w:rsidR="0051089A" w:rsidRPr="00FB4E2D">
        <w:rPr>
          <w:rFonts w:ascii="Times New Roman" w:eastAsia="Times New Roman" w:hAnsi="Times New Roman" w:cs="Times New Roman"/>
          <w:i/>
          <w:noProof/>
          <w:kern w:val="0"/>
          <w:sz w:val="20"/>
          <w:szCs w:val="20"/>
          <w14:ligatures w14:val="none"/>
        </w:rPr>
        <w:t>, and</w:t>
      </w:r>
      <w:r w:rsidR="00291264" w:rsidRPr="00FB4E2D">
        <w:rPr>
          <w:rFonts w:ascii="Times New Roman" w:eastAsia="Times New Roman" w:hAnsi="Times New Roman" w:cs="Times New Roman"/>
          <w:i/>
          <w:noProof/>
          <w:kern w:val="0"/>
          <w:sz w:val="20"/>
          <w:szCs w:val="20"/>
          <w14:ligatures w14:val="none"/>
        </w:rPr>
        <w:t xml:space="preserve"> topics discussed</w:t>
      </w:r>
      <w:r w:rsidR="0051089A" w:rsidRPr="00FB4E2D">
        <w:rPr>
          <w:rFonts w:ascii="Times New Roman" w:eastAsia="Times New Roman" w:hAnsi="Times New Roman" w:cs="Times New Roman"/>
          <w:i/>
          <w:noProof/>
          <w:kern w:val="0"/>
          <w:sz w:val="20"/>
          <w:szCs w:val="20"/>
          <w14:ligatures w14:val="none"/>
        </w:rPr>
        <w:t xml:space="preserve">). </w:t>
      </w:r>
      <w:r w:rsidR="000D21BD" w:rsidRPr="00FB4E2D">
        <w:rPr>
          <w:rFonts w:ascii="Times New Roman" w:eastAsia="Times New Roman" w:hAnsi="Times New Roman" w:cs="Times New Roman"/>
          <w:i/>
          <w:noProof/>
          <w:kern w:val="0"/>
          <w:sz w:val="20"/>
          <w:szCs w:val="20"/>
          <w14:ligatures w14:val="none"/>
        </w:rPr>
        <w:t>Members of Parliament</w:t>
      </w:r>
      <w:r w:rsidR="0051089A" w:rsidRPr="00FB4E2D">
        <w:rPr>
          <w:rFonts w:ascii="Times New Roman" w:eastAsia="Times New Roman" w:hAnsi="Times New Roman" w:cs="Times New Roman"/>
          <w:i/>
          <w:noProof/>
          <w:kern w:val="0"/>
          <w:sz w:val="20"/>
          <w:szCs w:val="20"/>
          <w14:ligatures w14:val="none"/>
        </w:rPr>
        <w:t xml:space="preserve"> (deputies/senators) must register and only meet registered third parties for legislative lobbying</w:t>
      </w:r>
      <w:r w:rsidR="00CE79FE" w:rsidRPr="00FB4E2D">
        <w:rPr>
          <w:rFonts w:ascii="Times New Roman" w:eastAsia="Times New Roman" w:hAnsi="Times New Roman" w:cs="Times New Roman"/>
          <w:i/>
          <w:noProof/>
          <w:kern w:val="0"/>
          <w:sz w:val="20"/>
          <w:szCs w:val="20"/>
          <w14:ligatures w14:val="none"/>
        </w:rPr>
        <w:t xml:space="preserve"> according to Law 197/2025</w:t>
      </w:r>
      <w:r w:rsidR="0051089A" w:rsidRPr="00FB4E2D">
        <w:rPr>
          <w:rFonts w:ascii="Times New Roman" w:eastAsia="Times New Roman" w:hAnsi="Times New Roman" w:cs="Times New Roman"/>
          <w:i/>
          <w:noProof/>
          <w:kern w:val="0"/>
          <w:sz w:val="20"/>
          <w:szCs w:val="20"/>
          <w14:ligatures w14:val="none"/>
        </w:rPr>
        <w:t>.</w:t>
      </w:r>
      <w:r w:rsidR="00CE79FE" w:rsidRPr="00FB4E2D">
        <w:rPr>
          <w:rFonts w:ascii="Times New Roman" w:eastAsia="Times New Roman" w:hAnsi="Times New Roman" w:cs="Times New Roman"/>
          <w:i/>
          <w:noProof/>
          <w:kern w:val="0"/>
          <w:sz w:val="20"/>
          <w:szCs w:val="20"/>
          <w14:ligatures w14:val="none"/>
        </w:rPr>
        <w:t xml:space="preserve"> </w:t>
      </w:r>
      <w:r w:rsidR="0051089A" w:rsidRPr="00FB4E2D">
        <w:rPr>
          <w:rFonts w:ascii="Times New Roman" w:eastAsia="Times New Roman" w:hAnsi="Times New Roman" w:cs="Times New Roman"/>
          <w:i/>
          <w:noProof/>
          <w:kern w:val="0"/>
          <w:sz w:val="20"/>
          <w:szCs w:val="20"/>
          <w14:ligatures w14:val="none"/>
        </w:rPr>
        <w:t>Third parties</w:t>
      </w:r>
      <w:r w:rsidR="00CE79FE" w:rsidRPr="00FB4E2D">
        <w:rPr>
          <w:rFonts w:ascii="Times New Roman" w:eastAsia="Times New Roman" w:hAnsi="Times New Roman" w:cs="Times New Roman"/>
          <w:i/>
          <w:noProof/>
          <w:kern w:val="0"/>
          <w:sz w:val="20"/>
          <w:szCs w:val="20"/>
          <w14:ligatures w14:val="none"/>
        </w:rPr>
        <w:t xml:space="preserve"> engaging with </w:t>
      </w:r>
      <w:r w:rsidR="000D21BD" w:rsidRPr="00FB4E2D">
        <w:rPr>
          <w:rFonts w:ascii="Times New Roman" w:eastAsia="Times New Roman" w:hAnsi="Times New Roman" w:cs="Times New Roman"/>
          <w:i/>
          <w:noProof/>
          <w:kern w:val="0"/>
          <w:sz w:val="20"/>
          <w:szCs w:val="20"/>
          <w14:ligatures w14:val="none"/>
        </w:rPr>
        <w:t>members of Parliament</w:t>
      </w:r>
      <w:r w:rsidR="0051089A" w:rsidRPr="00FB4E2D">
        <w:rPr>
          <w:rFonts w:ascii="Times New Roman" w:eastAsia="Times New Roman" w:hAnsi="Times New Roman" w:cs="Times New Roman"/>
          <w:i/>
          <w:noProof/>
          <w:kern w:val="0"/>
          <w:sz w:val="20"/>
          <w:szCs w:val="20"/>
          <w14:ligatures w14:val="none"/>
        </w:rPr>
        <w:t xml:space="preserve"> must register in RUTI (annual updates).</w:t>
      </w:r>
      <w:r w:rsidR="00A02C07" w:rsidRPr="00FB4E2D">
        <w:rPr>
          <w:rFonts w:ascii="Times New Roman" w:eastAsia="Times New Roman" w:hAnsi="Times New Roman" w:cs="Times New Roman"/>
          <w:i/>
          <w:noProof/>
          <w:kern w:val="0"/>
          <w:sz w:val="20"/>
          <w:szCs w:val="20"/>
          <w14:ligatures w14:val="none"/>
        </w:rPr>
        <w:t xml:space="preserve"> </w:t>
      </w:r>
      <w:r w:rsidR="00A02C07" w:rsidRPr="00FB4E2D">
        <w:rPr>
          <w:rFonts w:ascii="Times New Roman" w:eastAsia="Times New Roman" w:hAnsi="Times New Roman" w:cs="Times New Roman"/>
          <w:b/>
          <w:i/>
          <w:noProof/>
          <w:kern w:val="0"/>
          <w:sz w:val="20"/>
          <w:szCs w:val="20"/>
          <w14:ligatures w14:val="none"/>
        </w:rPr>
        <w:t>SE</w:t>
      </w:r>
      <w:r w:rsidR="00A02C07" w:rsidRPr="00FB4E2D">
        <w:rPr>
          <w:rFonts w:ascii="Times New Roman" w:eastAsia="Times New Roman" w:hAnsi="Times New Roman" w:cs="Times New Roman"/>
          <w:i/>
          <w:noProof/>
          <w:kern w:val="0"/>
          <w:sz w:val="20"/>
          <w:szCs w:val="20"/>
          <w14:ligatures w14:val="none"/>
        </w:rPr>
        <w:t xml:space="preserve">: </w:t>
      </w:r>
      <w:r w:rsidR="00A02C07" w:rsidRPr="00FB4E2D">
        <w:rPr>
          <w:rFonts w:ascii="Times New Roman" w:eastAsia="Times New Roman" w:hAnsi="Times New Roman" w:cs="Times New Roman"/>
          <w:i/>
          <w:iCs/>
          <w:noProof/>
          <w:kern w:val="0"/>
          <w:sz w:val="20"/>
          <w:szCs w:val="20"/>
          <w14:ligatures w14:val="none"/>
        </w:rPr>
        <w:t xml:space="preserve">There </w:t>
      </w:r>
      <w:r w:rsidR="001C0238" w:rsidRPr="00FB4E2D">
        <w:rPr>
          <w:rFonts w:ascii="Times New Roman" w:eastAsia="Times New Roman" w:hAnsi="Times New Roman" w:cs="Times New Roman"/>
          <w:i/>
          <w:iCs/>
          <w:noProof/>
          <w:kern w:val="0"/>
          <w:sz w:val="20"/>
          <w:szCs w:val="20"/>
          <w14:ligatures w14:val="none"/>
        </w:rPr>
        <w:t>are</w:t>
      </w:r>
      <w:r w:rsidR="00A53D41" w:rsidRPr="00FB4E2D">
        <w:rPr>
          <w:rFonts w:ascii="Times New Roman" w:eastAsia="Times New Roman" w:hAnsi="Times New Roman" w:cs="Times New Roman"/>
          <w:i/>
          <w:iCs/>
          <w:noProof/>
          <w:kern w:val="0"/>
          <w:sz w:val="20"/>
          <w:szCs w:val="20"/>
          <w14:ligatures w14:val="none"/>
        </w:rPr>
        <w:t xml:space="preserve"> </w:t>
      </w:r>
      <w:r w:rsidR="00A02C07" w:rsidRPr="00FB4E2D">
        <w:rPr>
          <w:rFonts w:ascii="Times New Roman" w:eastAsia="Times New Roman" w:hAnsi="Times New Roman" w:cs="Times New Roman"/>
          <w:i/>
          <w:iCs/>
          <w:noProof/>
          <w:kern w:val="0"/>
          <w:sz w:val="20"/>
          <w:szCs w:val="20"/>
          <w14:ligatures w14:val="none"/>
        </w:rPr>
        <w:t xml:space="preserve">no lobbying registers but the principle of public access to official documents is applicable to all </w:t>
      </w:r>
      <w:r w:rsidR="000D21BD" w:rsidRPr="00FB4E2D">
        <w:rPr>
          <w:rFonts w:ascii="Times New Roman" w:eastAsia="Times New Roman" w:hAnsi="Times New Roman" w:cs="Times New Roman"/>
          <w:i/>
          <w:iCs/>
          <w:noProof/>
          <w:kern w:val="0"/>
          <w:sz w:val="20"/>
          <w:szCs w:val="20"/>
          <w14:ligatures w14:val="none"/>
        </w:rPr>
        <w:t>G</w:t>
      </w:r>
      <w:r w:rsidR="00A02C07" w:rsidRPr="00FB4E2D">
        <w:rPr>
          <w:rFonts w:ascii="Times New Roman" w:eastAsia="Times New Roman" w:hAnsi="Times New Roman" w:cs="Times New Roman"/>
          <w:i/>
          <w:iCs/>
          <w:noProof/>
          <w:kern w:val="0"/>
          <w:sz w:val="20"/>
          <w:szCs w:val="20"/>
          <w14:ligatures w14:val="none"/>
        </w:rPr>
        <w:t>overnment activity. Any document related to lobbying activities (such as invitations and other correspondence, visitor logs etc) are as a general rule public and can be disclosed</w:t>
      </w:r>
      <w:r w:rsidR="0058232C" w:rsidRPr="00FB4E2D">
        <w:rPr>
          <w:rFonts w:ascii="Times New Roman" w:eastAsia="Times New Roman" w:hAnsi="Times New Roman" w:cs="Times New Roman"/>
          <w:i/>
          <w:iCs/>
          <w:noProof/>
          <w:kern w:val="0"/>
          <w:sz w:val="20"/>
          <w:szCs w:val="20"/>
          <w14:ligatures w14:val="none"/>
        </w:rPr>
        <w:t xml:space="preserve"> to the public on request</w:t>
      </w:r>
      <w:r w:rsidR="00A02C07" w:rsidRPr="00FB4E2D">
        <w:rPr>
          <w:rFonts w:ascii="Times New Roman" w:eastAsia="Times New Roman" w:hAnsi="Times New Roman" w:cs="Times New Roman"/>
          <w:i/>
          <w:iCs/>
          <w:noProof/>
          <w:kern w:val="0"/>
          <w:sz w:val="20"/>
          <w:szCs w:val="20"/>
          <w14:ligatures w14:val="none"/>
        </w:rPr>
        <w:t>, unless a specific provision on secrecy that entails confidentiality on information in the document applies. The grounds for secrecy are strictly regulated.</w:t>
      </w:r>
    </w:p>
    <w:p w14:paraId="5339D006" w14:textId="279402C1" w:rsidR="00A02C07" w:rsidRPr="00FB4E2D" w:rsidRDefault="007807B9" w:rsidP="00A02C07">
      <w:pPr>
        <w:spacing w:before="240" w:after="120" w:line="240" w:lineRule="auto"/>
        <w:jc w:val="both"/>
        <w:rPr>
          <w:rFonts w:ascii="Times New Roman" w:eastAsia="Times New Roman" w:hAnsi="Times New Roman" w:cs="Times New Roman"/>
          <w:i/>
          <w:noProof/>
          <w:kern w:val="0"/>
          <w14:ligatures w14:val="none"/>
        </w:rPr>
      </w:pPr>
      <w:r w:rsidRPr="00FB4E2D">
        <w:rPr>
          <w:rFonts w:ascii="Times New Roman" w:eastAsia="Calibri" w:hAnsi="Times New Roman" w:cs="Times New Roman"/>
          <w:b/>
          <w:bCs/>
          <w:noProof/>
          <w:spacing w:val="-6"/>
          <w:kern w:val="0"/>
          <w14:ligatures w14:val="none"/>
        </w:rPr>
        <w:t xml:space="preserve">Figure </w:t>
      </w:r>
      <w:r w:rsidRPr="00FB4E2D">
        <w:rPr>
          <w:rFonts w:ascii="Times New Roman" w:eastAsia="Calibri" w:hAnsi="Times New Roman" w:cs="Times New Roman"/>
          <w:b/>
          <w:bCs/>
          <w:noProof/>
          <w:spacing w:val="-6"/>
          <w:kern w:val="0"/>
          <w14:ligatures w14:val="none"/>
        </w:rPr>
        <w:fldChar w:fldCharType="begin"/>
      </w:r>
      <w:r w:rsidRPr="00FB4E2D">
        <w:rPr>
          <w:rFonts w:ascii="Times New Roman" w:eastAsia="Calibri" w:hAnsi="Times New Roman" w:cs="Times New Roman"/>
          <w:b/>
          <w:bCs/>
          <w:noProof/>
          <w:spacing w:val="-6"/>
          <w:kern w:val="0"/>
          <w14:ligatures w14:val="none"/>
        </w:rPr>
        <w:instrText xml:space="preserve"> AUTONUMLGL  \e </w:instrText>
      </w:r>
      <w:r w:rsidRPr="00FB4E2D">
        <w:rPr>
          <w:rFonts w:ascii="Times New Roman" w:eastAsia="Calibri" w:hAnsi="Times New Roman" w:cs="Times New Roman"/>
          <w:b/>
          <w:bCs/>
          <w:noProof/>
          <w:spacing w:val="-6"/>
          <w:kern w:val="0"/>
          <w14:ligatures w14:val="none"/>
        </w:rPr>
        <w:fldChar w:fldCharType="end"/>
      </w:r>
      <w:r w:rsidR="00A02C07" w:rsidRPr="00FB4E2D">
        <w:rPr>
          <w:rFonts w:ascii="Times New Roman" w:eastAsia="Calibri" w:hAnsi="Times New Roman" w:cs="Times New Roman"/>
          <w:b/>
          <w:bCs/>
          <w:noProof/>
          <w:spacing w:val="-6"/>
          <w:kern w:val="0"/>
          <w14:ligatures w14:val="none"/>
        </w:rPr>
        <w:t xml:space="preserve">: </w:t>
      </w:r>
      <w:r w:rsidR="00A02C07" w:rsidRPr="00FB4E2D">
        <w:rPr>
          <w:rFonts w:ascii="Times New Roman" w:eastAsia="Calibri" w:hAnsi="Times New Roman" w:cs="Times New Roman"/>
          <w:b/>
          <w:noProof/>
          <w:spacing w:val="-6"/>
          <w:kern w:val="0"/>
          <w14:ligatures w14:val="none"/>
        </w:rPr>
        <w:t xml:space="preserve">Transparency registers on lobbying: </w:t>
      </w:r>
      <w:r w:rsidR="00A02C07" w:rsidRPr="00FB4E2D">
        <w:rPr>
          <w:rFonts w:ascii="Times New Roman" w:eastAsia="Times New Roman" w:hAnsi="Times New Roman" w:cs="Times New Roman"/>
          <w:b/>
          <w:noProof/>
          <w:kern w:val="0"/>
          <w:u w:val="single"/>
          <w14:ligatures w14:val="none"/>
        </w:rPr>
        <w:t>personal scope</w:t>
      </w:r>
      <w:r w:rsidR="00A02C07" w:rsidRPr="00FB4E2D">
        <w:rPr>
          <w:rFonts w:ascii="Times New Roman" w:eastAsia="Times New Roman" w:hAnsi="Times New Roman" w:cs="Times New Roman"/>
          <w:b/>
          <w:noProof/>
          <w:kern w:val="0"/>
          <w14:ligatures w14:val="none"/>
        </w:rPr>
        <w:t xml:space="preserve"> </w:t>
      </w:r>
      <w:r w:rsidR="00A02C07" w:rsidRPr="00FB4E2D">
        <w:rPr>
          <w:rFonts w:ascii="Times New Roman" w:eastAsia="Times New Roman" w:hAnsi="Times New Roman" w:cs="Times New Roman"/>
          <w:noProof/>
          <w:kern w:val="0"/>
          <w14:ligatures w14:val="none"/>
        </w:rPr>
        <w:t xml:space="preserve">(*) </w:t>
      </w:r>
      <w:r w:rsidR="00A02C07" w:rsidRPr="00FB4E2D">
        <w:rPr>
          <w:rFonts w:ascii="Times New Roman" w:eastAsia="Times New Roman" w:hAnsi="Times New Roman" w:cs="Times New Roman"/>
          <w:i/>
          <w:noProof/>
          <w:kern w:val="0"/>
          <w14:ligatures w14:val="none"/>
        </w:rPr>
        <w:t xml:space="preserve">(Source: </w:t>
      </w:r>
      <w:r w:rsidR="00A02C07" w:rsidRPr="00FB4E2D">
        <w:rPr>
          <w:rFonts w:ascii="Times New Roman" w:eastAsia="Calibri" w:hAnsi="Times New Roman" w:cs="Times New Roman"/>
          <w:i/>
          <w:noProof/>
          <w:kern w:val="0"/>
          <w14:ligatures w14:val="none"/>
        </w:rPr>
        <w:t xml:space="preserve">European Commission with the </w:t>
      </w:r>
      <w:r w:rsidR="00A02C07" w:rsidRPr="00FB4E2D">
        <w:rPr>
          <w:rFonts w:ascii="Times New Roman" w:eastAsia="Calibri" w:hAnsi="Times New Roman" w:cs="Times New Roman"/>
          <w:i/>
          <w:iCs/>
          <w:noProof/>
          <w:kern w:val="0"/>
          <w14:ligatures w14:val="none"/>
        </w:rPr>
        <w:t>national contact points</w:t>
      </w:r>
      <w:r w:rsidR="00A02C07" w:rsidRPr="00FB4E2D">
        <w:rPr>
          <w:rFonts w:ascii="Times New Roman" w:eastAsia="Calibri" w:hAnsi="Times New Roman" w:cs="Times New Roman"/>
          <w:i/>
          <w:noProof/>
          <w:kern w:val="0"/>
          <w14:ligatures w14:val="none"/>
        </w:rPr>
        <w:t xml:space="preserve"> for </w:t>
      </w:r>
      <w:r w:rsidR="00A02C07" w:rsidRPr="00FB4E2D">
        <w:rPr>
          <w:rFonts w:ascii="Times New Roman" w:eastAsia="Calibri" w:hAnsi="Times New Roman" w:cs="Times New Roman"/>
          <w:i/>
          <w:iCs/>
          <w:noProof/>
          <w:kern w:val="0"/>
          <w14:ligatures w14:val="none"/>
        </w:rPr>
        <w:t>anti</w:t>
      </w:r>
      <w:r w:rsidR="00A02C07" w:rsidRPr="00FB4E2D">
        <w:rPr>
          <w:rFonts w:ascii="Times New Roman" w:eastAsia="Calibri" w:hAnsi="Times New Roman" w:cs="Times New Roman"/>
          <w:i/>
          <w:noProof/>
          <w:kern w:val="0"/>
          <w14:ligatures w14:val="none"/>
        </w:rPr>
        <w:t>-corruption (</w:t>
      </w:r>
      <w:r w:rsidR="00A02C07" w:rsidRPr="00FB4E2D">
        <w:rPr>
          <w:rFonts w:ascii="Times New Roman" w:eastAsia="Calibri" w:hAnsi="Times New Roman" w:cs="Times New Roman"/>
          <w:i/>
          <w:noProof/>
          <w:kern w:val="0"/>
          <w:vertAlign w:val="superscript"/>
          <w14:ligatures w14:val="none"/>
        </w:rPr>
        <w:footnoteReference w:id="144"/>
      </w:r>
      <w:r w:rsidR="00A02C07" w:rsidRPr="00FB4E2D">
        <w:rPr>
          <w:rFonts w:ascii="Times New Roman" w:eastAsia="Calibri" w:hAnsi="Times New Roman" w:cs="Times New Roman"/>
          <w:i/>
          <w:noProof/>
          <w:kern w:val="0"/>
          <w14:ligatures w14:val="none"/>
        </w:rPr>
        <w:t>)</w:t>
      </w:r>
      <w:r w:rsidR="00A02C07" w:rsidRPr="00FB4E2D">
        <w:rPr>
          <w:rFonts w:ascii="Times New Roman" w:eastAsia="Times New Roman" w:hAnsi="Times New Roman" w:cs="Times New Roman"/>
          <w:i/>
          <w:noProof/>
          <w:kern w:val="0"/>
          <w14:ligatures w14:val="none"/>
        </w:rPr>
        <w:t>)</w:t>
      </w:r>
    </w:p>
    <w:p w14:paraId="1501D797" w14:textId="2729E440" w:rsidR="00414413" w:rsidRPr="00FB4E2D" w:rsidRDefault="00D9227D" w:rsidP="00492B11">
      <w:pPr>
        <w:spacing w:after="0" w:line="240" w:lineRule="auto"/>
        <w:jc w:val="both"/>
        <w:rPr>
          <w:noProof/>
        </w:rPr>
      </w:pPr>
      <w:r w:rsidRPr="00FB4E2D">
        <w:rPr>
          <w:noProof/>
          <w:lang w:val="en-GB" w:eastAsia="en-GB"/>
        </w:rPr>
        <w:drawing>
          <wp:inline distT="0" distB="0" distL="0" distR="0" wp14:anchorId="22F0365E" wp14:editId="2EDDE1C2">
            <wp:extent cx="5976000" cy="3940532"/>
            <wp:effectExtent l="0" t="0" r="5715" b="3175"/>
            <wp:docPr id="15700881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76000" cy="3940532"/>
                    </a:xfrm>
                    <a:prstGeom prst="rect">
                      <a:avLst/>
                    </a:prstGeom>
                    <a:noFill/>
                  </pic:spPr>
                </pic:pic>
              </a:graphicData>
            </a:graphic>
          </wp:inline>
        </w:drawing>
      </w:r>
    </w:p>
    <w:p w14:paraId="287B367D" w14:textId="2009AC04" w:rsidR="00A02C07" w:rsidRPr="00FB4E2D" w:rsidRDefault="00A02C07" w:rsidP="00A02C07">
      <w:pPr>
        <w:spacing w:after="0" w:line="240" w:lineRule="auto"/>
        <w:jc w:val="both"/>
        <w:rPr>
          <w:rFonts w:ascii="Times New Roman" w:eastAsia="Times New Roman" w:hAnsi="Times New Roman" w:cs="Times New Roman"/>
          <w:i/>
          <w:noProof/>
          <w:kern w:val="0"/>
          <w:sz w:val="20"/>
          <w:szCs w:val="20"/>
          <w14:ligatures w14:val="none"/>
        </w:rPr>
      </w:pPr>
      <w:r w:rsidRPr="00FB4E2D">
        <w:rPr>
          <w:rFonts w:ascii="Times New Roman" w:eastAsia="Times New Roman" w:hAnsi="Times New Roman" w:cs="Times New Roman"/>
          <w:i/>
          <w:noProof/>
          <w:kern w:val="0"/>
          <w:sz w:val="20"/>
          <w:szCs w:val="20"/>
          <w14:ligatures w14:val="none"/>
        </w:rPr>
        <w:t xml:space="preserve">(*) </w:t>
      </w:r>
      <w:r w:rsidR="0029000D" w:rsidRPr="00FB4E2D">
        <w:rPr>
          <w:rFonts w:ascii="Times New Roman" w:eastAsia="Times New Roman" w:hAnsi="Times New Roman" w:cs="Times New Roman"/>
          <w:b/>
          <w:i/>
          <w:noProof/>
          <w:sz w:val="20"/>
          <w:szCs w:val="20"/>
        </w:rPr>
        <w:t>BE:</w:t>
      </w:r>
      <w:r w:rsidRPr="00FB4E2D">
        <w:rPr>
          <w:rFonts w:ascii="Times New Roman" w:eastAsia="Times New Roman" w:hAnsi="Times New Roman" w:cs="Times New Roman"/>
          <w:b/>
          <w:i/>
          <w:noProof/>
          <w:sz w:val="20"/>
          <w:szCs w:val="20"/>
        </w:rPr>
        <w:t xml:space="preserve"> </w:t>
      </w:r>
      <w:r w:rsidRPr="00FB4E2D">
        <w:rPr>
          <w:rFonts w:ascii="Times New Roman" w:eastAsia="Times New Roman" w:hAnsi="Times New Roman" w:cs="Times New Roman"/>
          <w:i/>
          <w:noProof/>
          <w:kern w:val="0"/>
          <w:sz w:val="20"/>
          <w:szCs w:val="20"/>
          <w14:ligatures w14:val="none"/>
        </w:rPr>
        <w:t xml:space="preserve">Different rules may </w:t>
      </w:r>
      <w:r w:rsidR="0051351F" w:rsidRPr="00FB4E2D">
        <w:rPr>
          <w:rFonts w:ascii="Times New Roman" w:eastAsia="Times New Roman" w:hAnsi="Times New Roman" w:cs="Times New Roman"/>
          <w:i/>
          <w:noProof/>
          <w:sz w:val="20"/>
          <w:szCs w:val="20"/>
        </w:rPr>
        <w:t>apply at the regional level</w:t>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DE</w:t>
      </w:r>
      <w:r w:rsidRPr="00FB4E2D">
        <w:rPr>
          <w:rFonts w:ascii="Times New Roman" w:eastAsia="Times New Roman" w:hAnsi="Times New Roman" w:cs="Times New Roman"/>
          <w:i/>
          <w:noProof/>
          <w:kern w:val="0"/>
          <w:sz w:val="20"/>
          <w:szCs w:val="20"/>
          <w14:ligatures w14:val="none"/>
        </w:rPr>
        <w:t>: There is a lobby register, where (only) lobbyists are obliged to register</w:t>
      </w:r>
      <w:r w:rsidR="0051351F" w:rsidRPr="00FB4E2D">
        <w:rPr>
          <w:rFonts w:ascii="Times New Roman" w:eastAsia="Times New Roman" w:hAnsi="Times New Roman" w:cs="Times New Roman"/>
          <w:i/>
          <w:noProof/>
          <w:kern w:val="0"/>
          <w:sz w:val="20"/>
          <w:szCs w:val="20"/>
          <w14:ligatures w14:val="none"/>
        </w:rPr>
        <w:t>.</w:t>
      </w:r>
      <w:r w:rsidRPr="00FB4E2D">
        <w:rPr>
          <w:rFonts w:ascii="Times New Roman" w:eastAsia="Times New Roman" w:hAnsi="Times New Roman" w:cs="Times New Roman"/>
          <w:i/>
          <w:noProof/>
          <w:kern w:val="0"/>
          <w:sz w:val="20"/>
          <w:szCs w:val="20"/>
          <w14:ligatures w14:val="none"/>
        </w:rPr>
        <w:t xml:space="preserve"> Lobbyist</w:t>
      </w:r>
      <w:r w:rsidR="003367AA" w:rsidRPr="00FB4E2D">
        <w:rPr>
          <w:rFonts w:ascii="Times New Roman" w:eastAsia="Times New Roman" w:hAnsi="Times New Roman" w:cs="Times New Roman"/>
          <w:i/>
          <w:noProof/>
          <w:sz w:val="20"/>
          <w:szCs w:val="20"/>
        </w:rPr>
        <w:t>s</w:t>
      </w:r>
      <w:r w:rsidRPr="00FB4E2D">
        <w:rPr>
          <w:rFonts w:ascii="Times New Roman" w:eastAsia="Times New Roman" w:hAnsi="Times New Roman" w:cs="Times New Roman"/>
          <w:i/>
          <w:noProof/>
          <w:kern w:val="0"/>
          <w:sz w:val="20"/>
          <w:szCs w:val="20"/>
          <w14:ligatures w14:val="none"/>
        </w:rPr>
        <w:t xml:space="preserve"> </w:t>
      </w:r>
      <w:r w:rsidR="0051351F" w:rsidRPr="00FB4E2D">
        <w:rPr>
          <w:rFonts w:ascii="Times New Roman" w:eastAsia="Times New Roman" w:hAnsi="Times New Roman" w:cs="Times New Roman"/>
          <w:i/>
          <w:noProof/>
          <w:kern w:val="0"/>
          <w:sz w:val="20"/>
          <w:szCs w:val="20"/>
          <w14:ligatures w14:val="none"/>
        </w:rPr>
        <w:t>include</w:t>
      </w:r>
      <w:r w:rsidRPr="00FB4E2D">
        <w:rPr>
          <w:rFonts w:ascii="Times New Roman" w:eastAsia="Times New Roman" w:hAnsi="Times New Roman" w:cs="Times New Roman"/>
          <w:i/>
          <w:noProof/>
          <w:kern w:val="0"/>
          <w:sz w:val="20"/>
          <w:szCs w:val="20"/>
          <w14:ligatures w14:val="none"/>
        </w:rPr>
        <w:t xml:space="preserve">, in principle, all natural and legal persons who represent interests regularly, permanently, as a business or against renumeration. They have to register when they regularly contact members of </w:t>
      </w:r>
      <w:r w:rsidR="004D4E4D" w:rsidRPr="00FB4E2D">
        <w:rPr>
          <w:rFonts w:ascii="Times New Roman" w:eastAsia="Times New Roman" w:hAnsi="Times New Roman" w:cs="Times New Roman"/>
          <w:i/>
          <w:noProof/>
          <w:sz w:val="20"/>
          <w:szCs w:val="20"/>
        </w:rPr>
        <w:t>P</w:t>
      </w:r>
      <w:r w:rsidRPr="00FB4E2D">
        <w:rPr>
          <w:rFonts w:ascii="Times New Roman" w:eastAsia="Times New Roman" w:hAnsi="Times New Roman" w:cs="Times New Roman"/>
          <w:i/>
          <w:noProof/>
          <w:kern w:val="0"/>
          <w:sz w:val="20"/>
          <w:szCs w:val="20"/>
          <w14:ligatures w14:val="none"/>
        </w:rPr>
        <w:t xml:space="preserve">arliament and the central (federal) </w:t>
      </w:r>
      <w:r w:rsidR="004D4E4D" w:rsidRPr="00FB4E2D">
        <w:rPr>
          <w:rFonts w:ascii="Times New Roman" w:eastAsia="Times New Roman" w:hAnsi="Times New Roman" w:cs="Times New Roman"/>
          <w:i/>
          <w:noProof/>
          <w:sz w:val="20"/>
          <w:szCs w:val="20"/>
        </w:rPr>
        <w:t>G</w:t>
      </w:r>
      <w:r w:rsidRPr="00FB4E2D">
        <w:rPr>
          <w:rFonts w:ascii="Times New Roman" w:eastAsia="Times New Roman" w:hAnsi="Times New Roman" w:cs="Times New Roman"/>
          <w:i/>
          <w:noProof/>
          <w:kern w:val="0"/>
          <w:sz w:val="20"/>
          <w:szCs w:val="20"/>
          <w14:ligatures w14:val="none"/>
        </w:rPr>
        <w:t>overnment (</w:t>
      </w:r>
      <w:r w:rsidR="0051351F" w:rsidRPr="00FB4E2D">
        <w:rPr>
          <w:rFonts w:ascii="Times New Roman" w:eastAsia="Times New Roman" w:hAnsi="Times New Roman" w:cs="Times New Roman"/>
          <w:i/>
          <w:noProof/>
          <w:sz w:val="20"/>
          <w:szCs w:val="20"/>
        </w:rPr>
        <w:t>h</w:t>
      </w:r>
      <w:r w:rsidRPr="00FB4E2D">
        <w:rPr>
          <w:rFonts w:ascii="Times New Roman" w:eastAsia="Times New Roman" w:hAnsi="Times New Roman" w:cs="Times New Roman"/>
          <w:i/>
          <w:noProof/>
          <w:kern w:val="0"/>
          <w:sz w:val="20"/>
          <w:szCs w:val="20"/>
          <w14:ligatures w14:val="none"/>
        </w:rPr>
        <w:t xml:space="preserve">ead of </w:t>
      </w:r>
      <w:r w:rsidR="004D4E4D" w:rsidRPr="00FB4E2D">
        <w:rPr>
          <w:rFonts w:ascii="Times New Roman" w:eastAsia="Times New Roman" w:hAnsi="Times New Roman" w:cs="Times New Roman"/>
          <w:i/>
          <w:noProof/>
          <w:sz w:val="20"/>
          <w:szCs w:val="20"/>
        </w:rPr>
        <w:t>G</w:t>
      </w:r>
      <w:r w:rsidRPr="00FB4E2D">
        <w:rPr>
          <w:rFonts w:ascii="Times New Roman" w:eastAsia="Times New Roman" w:hAnsi="Times New Roman" w:cs="Times New Roman"/>
          <w:i/>
          <w:noProof/>
          <w:kern w:val="0"/>
          <w:sz w:val="20"/>
          <w:szCs w:val="20"/>
          <w14:ligatures w14:val="none"/>
        </w:rPr>
        <w:t xml:space="preserve">overnment, ministers, senior public officials at central level). </w:t>
      </w:r>
      <w:r w:rsidR="0051351F" w:rsidRPr="00FB4E2D">
        <w:rPr>
          <w:rFonts w:ascii="Times New Roman" w:eastAsia="Times New Roman" w:hAnsi="Times New Roman" w:cs="Times New Roman"/>
          <w:i/>
          <w:noProof/>
          <w:sz w:val="20"/>
          <w:szCs w:val="20"/>
        </w:rPr>
        <w:t xml:space="preserve">Registered parties </w:t>
      </w:r>
      <w:r w:rsidRPr="00FB4E2D">
        <w:rPr>
          <w:rFonts w:ascii="Times New Roman" w:eastAsia="Times New Roman" w:hAnsi="Times New Roman" w:cs="Times New Roman"/>
          <w:i/>
          <w:noProof/>
          <w:kern w:val="0"/>
          <w:sz w:val="20"/>
          <w:szCs w:val="20"/>
          <w14:ligatures w14:val="none"/>
        </w:rPr>
        <w:t xml:space="preserve">have to provide general information on the subjects and targets of their lobbying, but not on specific meetings. </w:t>
      </w:r>
      <w:r w:rsidRPr="00FB4E2D">
        <w:rPr>
          <w:rFonts w:ascii="Times New Roman" w:eastAsia="Times New Roman" w:hAnsi="Times New Roman" w:cs="Times New Roman"/>
          <w:b/>
          <w:i/>
          <w:noProof/>
          <w:kern w:val="0"/>
          <w:sz w:val="20"/>
          <w:szCs w:val="20"/>
          <w14:ligatures w14:val="none"/>
        </w:rPr>
        <w:t>EL</w:t>
      </w:r>
      <w:r w:rsidRPr="00FB4E2D">
        <w:rPr>
          <w:rFonts w:ascii="Times New Roman" w:eastAsia="Times New Roman" w:hAnsi="Times New Roman" w:cs="Times New Roman"/>
          <w:i/>
          <w:noProof/>
          <w:kern w:val="0"/>
          <w:sz w:val="20"/>
          <w:szCs w:val="20"/>
          <w14:ligatures w14:val="none"/>
        </w:rPr>
        <w:t xml:space="preserve">: Senior public at regional and local level: (a) The Regional Governors and the Deputy Governors and (b) </w:t>
      </w:r>
      <w:r w:rsidR="006A74F9" w:rsidRPr="00FB4E2D">
        <w:rPr>
          <w:rFonts w:ascii="Times New Roman" w:eastAsia="Times New Roman" w:hAnsi="Times New Roman" w:cs="Times New Roman"/>
          <w:i/>
          <w:noProof/>
          <w:kern w:val="0"/>
          <w:sz w:val="20"/>
          <w:szCs w:val="20"/>
          <w14:ligatures w14:val="none"/>
        </w:rPr>
        <w:t>mayors</w:t>
      </w:r>
      <w:r w:rsidRPr="00FB4E2D">
        <w:rPr>
          <w:rFonts w:ascii="Times New Roman" w:eastAsia="Times New Roman" w:hAnsi="Times New Roman" w:cs="Times New Roman"/>
          <w:i/>
          <w:noProof/>
          <w:kern w:val="0"/>
          <w:sz w:val="20"/>
          <w:szCs w:val="20"/>
          <w14:ligatures w14:val="none"/>
        </w:rPr>
        <w:t xml:space="preserve"> and </w:t>
      </w:r>
      <w:r w:rsidR="006A74F9" w:rsidRPr="00FB4E2D">
        <w:rPr>
          <w:rFonts w:ascii="Times New Roman" w:eastAsia="Times New Roman" w:hAnsi="Times New Roman" w:cs="Times New Roman"/>
          <w:i/>
          <w:noProof/>
          <w:kern w:val="0"/>
          <w:sz w:val="20"/>
          <w:szCs w:val="20"/>
          <w14:ligatures w14:val="none"/>
        </w:rPr>
        <w:t>deputy mayors.</w:t>
      </w:r>
      <w:r w:rsidRPr="00FB4E2D">
        <w:rPr>
          <w:rFonts w:ascii="Times New Roman" w:eastAsia="Times New Roman" w:hAnsi="Times New Roman" w:cs="Times New Roman"/>
          <w:i/>
          <w:noProof/>
          <w:kern w:val="0"/>
          <w:sz w:val="20"/>
          <w:szCs w:val="20"/>
          <w14:ligatures w14:val="none"/>
        </w:rPr>
        <w:t xml:space="preserve"> </w:t>
      </w:r>
      <w:r w:rsidRPr="00FB4E2D">
        <w:rPr>
          <w:rFonts w:ascii="Times New Roman" w:eastAsia="Times New Roman" w:hAnsi="Times New Roman" w:cs="Times New Roman"/>
          <w:b/>
          <w:i/>
          <w:noProof/>
          <w:kern w:val="0"/>
          <w:sz w:val="20"/>
          <w:szCs w:val="20"/>
          <w14:ligatures w14:val="none"/>
        </w:rPr>
        <w:t>ES</w:t>
      </w:r>
      <w:r w:rsidRPr="00FB4E2D">
        <w:rPr>
          <w:rFonts w:ascii="Times New Roman" w:eastAsia="Times New Roman" w:hAnsi="Times New Roman" w:cs="Times New Roman"/>
          <w:i/>
          <w:noProof/>
          <w:kern w:val="0"/>
          <w:sz w:val="20"/>
          <w:szCs w:val="20"/>
          <w14:ligatures w14:val="none"/>
        </w:rPr>
        <w:t xml:space="preserve">: For regional and local level, regional regulations apply. Some Autonomous Communities establish transparency obligations in relation to contacts with lobbyists for their senior public officials. </w:t>
      </w:r>
      <w:r w:rsidR="00D83E25" w:rsidRPr="00FB4E2D">
        <w:rPr>
          <w:rFonts w:ascii="Times New Roman" w:eastAsia="Times New Roman" w:hAnsi="Times New Roman" w:cs="Times New Roman"/>
          <w:b/>
          <w:i/>
          <w:noProof/>
          <w:sz w:val="20"/>
          <w:szCs w:val="20"/>
        </w:rPr>
        <w:t>FR</w:t>
      </w:r>
      <w:r w:rsidR="00D83E25" w:rsidRPr="00FB4E2D">
        <w:rPr>
          <w:rFonts w:ascii="Times New Roman" w:eastAsia="Times New Roman" w:hAnsi="Times New Roman" w:cs="Times New Roman"/>
          <w:i/>
          <w:noProof/>
          <w:sz w:val="20"/>
          <w:szCs w:val="20"/>
        </w:rPr>
        <w:t xml:space="preserve">: The section "other" includes public officials from the Hospital public sector, namely directors of hospital centres with a budget exceeding </w:t>
      </w:r>
      <w:r w:rsidR="004D4E4D" w:rsidRPr="00FB4E2D">
        <w:rPr>
          <w:rFonts w:ascii="Times New Roman" w:eastAsia="Times New Roman" w:hAnsi="Times New Roman" w:cs="Times New Roman"/>
          <w:i/>
          <w:noProof/>
          <w:sz w:val="20"/>
          <w:szCs w:val="20"/>
        </w:rPr>
        <w:t xml:space="preserve">EUR </w:t>
      </w:r>
      <w:r w:rsidR="00D83E25" w:rsidRPr="00FB4E2D">
        <w:rPr>
          <w:rFonts w:ascii="Times New Roman" w:eastAsia="Times New Roman" w:hAnsi="Times New Roman" w:cs="Times New Roman"/>
          <w:i/>
          <w:noProof/>
          <w:sz w:val="20"/>
          <w:szCs w:val="20"/>
        </w:rPr>
        <w:t>200 million</w:t>
      </w:r>
      <w:r w:rsidR="00552662" w:rsidRPr="00FB4E2D">
        <w:rPr>
          <w:rFonts w:ascii="Times New Roman" w:eastAsia="Times New Roman" w:hAnsi="Times New Roman" w:cs="Times New Roman"/>
          <w:i/>
          <w:noProof/>
          <w:sz w:val="20"/>
          <w:szCs w:val="20"/>
        </w:rPr>
        <w:t xml:space="preserve">; </w:t>
      </w:r>
      <w:r w:rsidR="00D83E25" w:rsidRPr="00FB4E2D">
        <w:rPr>
          <w:rFonts w:ascii="Times New Roman" w:eastAsia="Times New Roman" w:hAnsi="Times New Roman" w:cs="Times New Roman"/>
          <w:i/>
          <w:noProof/>
          <w:sz w:val="20"/>
          <w:szCs w:val="20"/>
        </w:rPr>
        <w:t xml:space="preserve">as well as certain positions subject to the Government’s decision (e.g. ambassadors). </w:t>
      </w:r>
      <w:r w:rsidRPr="00FB4E2D">
        <w:rPr>
          <w:rFonts w:ascii="Times New Roman" w:eastAsia="Times New Roman" w:hAnsi="Times New Roman" w:cs="Times New Roman"/>
          <w:b/>
          <w:i/>
          <w:noProof/>
          <w:kern w:val="0"/>
          <w:sz w:val="20"/>
          <w:szCs w:val="20"/>
          <w14:ligatures w14:val="none"/>
        </w:rPr>
        <w:t>HR</w:t>
      </w:r>
      <w:r w:rsidRPr="00FB4E2D">
        <w:rPr>
          <w:rFonts w:ascii="Times New Roman" w:eastAsia="Times New Roman" w:hAnsi="Times New Roman" w:cs="Times New Roman"/>
          <w:i/>
          <w:noProof/>
          <w:kern w:val="0"/>
          <w:sz w:val="20"/>
          <w:szCs w:val="20"/>
          <w14:ligatures w14:val="none"/>
        </w:rPr>
        <w:t xml:space="preserve">: </w:t>
      </w:r>
      <w:r w:rsidR="0039305C" w:rsidRPr="00FB4E2D">
        <w:rPr>
          <w:rFonts w:ascii="Times New Roman" w:eastAsia="Times New Roman" w:hAnsi="Times New Roman" w:cs="Times New Roman"/>
          <w:i/>
          <w:noProof/>
          <w:sz w:val="20"/>
          <w:szCs w:val="20"/>
        </w:rPr>
        <w:t>A l</w:t>
      </w:r>
      <w:r w:rsidRPr="00FB4E2D">
        <w:rPr>
          <w:rFonts w:ascii="Times New Roman" w:eastAsia="Times New Roman" w:hAnsi="Times New Roman" w:cs="Times New Roman"/>
          <w:i/>
          <w:noProof/>
          <w:kern w:val="0"/>
          <w:sz w:val="20"/>
          <w:szCs w:val="20"/>
          <w14:ligatures w14:val="none"/>
        </w:rPr>
        <w:t xml:space="preserve">obbied person is any person elected, appointed or employed as a public official, a special adviser or a managerial civil servant, or otherwise engaged in legislative or executive authorities, state administration bodies, other state bodies, bodies of local or regional self-government units, including their administrative bodies, or in other legal persons and bodies vested with public powers, who participates or is responsible for public decision-making and has agreed to communicate with a lobbyist. </w:t>
      </w:r>
      <w:r w:rsidRPr="00FB4E2D">
        <w:rPr>
          <w:rFonts w:ascii="Times New Roman" w:eastAsia="Times New Roman" w:hAnsi="Times New Roman" w:cs="Times New Roman"/>
          <w:b/>
          <w:i/>
          <w:noProof/>
          <w:kern w:val="0"/>
          <w:sz w:val="20"/>
          <w:szCs w:val="20"/>
          <w14:ligatures w14:val="none"/>
        </w:rPr>
        <w:t>LT</w:t>
      </w:r>
      <w:r w:rsidRPr="00FB4E2D">
        <w:rPr>
          <w:rFonts w:ascii="Times New Roman" w:eastAsia="Times New Roman" w:hAnsi="Times New Roman" w:cs="Times New Roman"/>
          <w:i/>
          <w:noProof/>
          <w:kern w:val="0"/>
          <w:sz w:val="20"/>
          <w:szCs w:val="20"/>
          <w14:ligatures w14:val="none"/>
        </w:rPr>
        <w:t xml:space="preserve">: </w:t>
      </w:r>
      <w:r w:rsidR="00D73A8E" w:rsidRPr="00FB4E2D">
        <w:rPr>
          <w:rFonts w:ascii="Times New Roman" w:eastAsia="Times New Roman" w:hAnsi="Times New Roman" w:cs="Times New Roman"/>
          <w:i/>
          <w:noProof/>
          <w:sz w:val="20"/>
          <w:szCs w:val="20"/>
        </w:rPr>
        <w:t>Lobbied persons</w:t>
      </w:r>
      <w:r w:rsidRPr="00FB4E2D">
        <w:rPr>
          <w:rFonts w:ascii="Times New Roman" w:eastAsia="Times New Roman" w:hAnsi="Times New Roman" w:cs="Times New Roman"/>
          <w:i/>
          <w:noProof/>
          <w:kern w:val="0"/>
          <w:sz w:val="20"/>
          <w:szCs w:val="20"/>
          <w14:ligatures w14:val="none"/>
        </w:rPr>
        <w:t xml:space="preserve"> are the President of the Republic, members of </w:t>
      </w:r>
      <w:r w:rsidR="00C42F0A" w:rsidRPr="00FB4E2D">
        <w:rPr>
          <w:rFonts w:ascii="Times New Roman" w:eastAsia="Times New Roman" w:hAnsi="Times New Roman" w:cs="Times New Roman"/>
          <w:i/>
          <w:noProof/>
          <w:sz w:val="20"/>
          <w:szCs w:val="20"/>
        </w:rPr>
        <w:t>P</w:t>
      </w:r>
      <w:r w:rsidRPr="00FB4E2D">
        <w:rPr>
          <w:rFonts w:ascii="Times New Roman" w:eastAsia="Times New Roman" w:hAnsi="Times New Roman" w:cs="Times New Roman"/>
          <w:i/>
          <w:noProof/>
          <w:kern w:val="0"/>
          <w:sz w:val="20"/>
          <w:szCs w:val="20"/>
          <w14:ligatures w14:val="none"/>
        </w:rPr>
        <w:t xml:space="preserve">arliament, the Government, vice-ministers, chancellors of the Government, ministries, heads of parliamentary political parties, mayors, members of municipal councils, directors of municipal administrations and their deputies, other civil servants, state officials and other persons who, in accordance with the procedure established by legal acts, take part in the preparation, consideration and adoption of draft legal acts. </w:t>
      </w:r>
      <w:r w:rsidR="00631593" w:rsidRPr="00FB4E2D">
        <w:rPr>
          <w:rFonts w:ascii="Times New Roman" w:eastAsia="Times New Roman" w:hAnsi="Times New Roman" w:cs="Times New Roman"/>
          <w:b/>
          <w:i/>
          <w:noProof/>
          <w:sz w:val="20"/>
          <w:szCs w:val="20"/>
        </w:rPr>
        <w:t>LV</w:t>
      </w:r>
      <w:r w:rsidR="00631593" w:rsidRPr="00FB4E2D">
        <w:rPr>
          <w:rFonts w:ascii="Times New Roman" w:eastAsia="Times New Roman" w:hAnsi="Times New Roman" w:cs="Times New Roman"/>
          <w:i/>
          <w:noProof/>
          <w:sz w:val="20"/>
          <w:szCs w:val="20"/>
        </w:rPr>
        <w:t xml:space="preserve">: Unable to provide comprehensive information because the currently maintained list of interest representatives is voluntary and temporary in nature. Consequently, complete data regarding interest representatives and their representation activities is not included in the list, and no sanctions are prescribed for non-inclusion. </w:t>
      </w:r>
      <w:r w:rsidRPr="00FB4E2D">
        <w:rPr>
          <w:rFonts w:ascii="Times New Roman" w:eastAsia="Times New Roman" w:hAnsi="Times New Roman" w:cs="Times New Roman"/>
          <w:b/>
          <w:i/>
          <w:noProof/>
          <w:kern w:val="0"/>
          <w:sz w:val="20"/>
          <w:szCs w:val="20"/>
          <w14:ligatures w14:val="none"/>
        </w:rPr>
        <w:t>AT</w:t>
      </w:r>
      <w:r w:rsidRPr="00FB4E2D">
        <w:rPr>
          <w:rFonts w:ascii="Times New Roman" w:eastAsia="Times New Roman" w:hAnsi="Times New Roman" w:cs="Times New Roman"/>
          <w:i/>
          <w:noProof/>
          <w:kern w:val="0"/>
          <w:sz w:val="20"/>
          <w:szCs w:val="20"/>
          <w14:ligatures w14:val="none"/>
        </w:rPr>
        <w:t>: Any public officials and employee can be the subject of lobbying if they work in legislation, the executive branch or are engaged in business deals of state actors on a federal, state or municipal level.</w:t>
      </w:r>
      <w:r w:rsidRPr="00FB4E2D">
        <w:rPr>
          <w:rFonts w:ascii="Times New Roman" w:eastAsia="Times New Roman" w:hAnsi="Times New Roman" w:cs="Times New Roman"/>
          <w:b/>
          <w:i/>
          <w:noProof/>
          <w:kern w:val="0"/>
          <w:sz w:val="20"/>
          <w:szCs w:val="20"/>
          <w14:ligatures w14:val="none"/>
        </w:rPr>
        <w:t xml:space="preserve"> </w:t>
      </w:r>
      <w:r w:rsidR="00E3006F" w:rsidRPr="00FB4E2D">
        <w:rPr>
          <w:rFonts w:ascii="Times New Roman" w:eastAsia="Times New Roman" w:hAnsi="Times New Roman" w:cs="Times New Roman"/>
          <w:b/>
          <w:i/>
          <w:noProof/>
          <w:kern w:val="0"/>
          <w:sz w:val="20"/>
          <w:szCs w:val="20"/>
          <w14:ligatures w14:val="none"/>
        </w:rPr>
        <w:t>PT</w:t>
      </w:r>
      <w:r w:rsidR="00E3006F" w:rsidRPr="00FB4E2D">
        <w:rPr>
          <w:rFonts w:ascii="Times New Roman" w:eastAsia="Times New Roman" w:hAnsi="Times New Roman" w:cs="Times New Roman"/>
          <w:i/>
          <w:noProof/>
          <w:sz w:val="20"/>
          <w:szCs w:val="20"/>
        </w:rPr>
        <w:t>: The legal framework also includes the Bank of Portugal, independent administrative bodies and regulatory bodies (see column Other).</w:t>
      </w:r>
      <w:r w:rsidR="00E3006F" w:rsidRPr="00FB4E2D">
        <w:rPr>
          <w:rFonts w:ascii="Times New Roman" w:eastAsia="Times New Roman" w:hAnsi="Times New Roman" w:cs="Times New Roman"/>
          <w:b/>
          <w:i/>
          <w:noProof/>
          <w:sz w:val="20"/>
          <w:szCs w:val="20"/>
        </w:rPr>
        <w:t xml:space="preserve"> </w:t>
      </w:r>
      <w:r w:rsidRPr="00FB4E2D">
        <w:rPr>
          <w:rFonts w:ascii="Times New Roman" w:eastAsia="Times New Roman" w:hAnsi="Times New Roman" w:cs="Times New Roman"/>
          <w:b/>
          <w:i/>
          <w:noProof/>
          <w:kern w:val="0"/>
          <w:sz w:val="20"/>
          <w:szCs w:val="20"/>
          <w14:ligatures w14:val="none"/>
        </w:rPr>
        <w:t>RO</w:t>
      </w:r>
      <w:r w:rsidRPr="00FB4E2D">
        <w:rPr>
          <w:rFonts w:ascii="Times New Roman" w:eastAsia="Times New Roman" w:hAnsi="Times New Roman" w:cs="Times New Roman"/>
          <w:i/>
          <w:noProof/>
          <w:kern w:val="0"/>
          <w:sz w:val="20"/>
          <w:szCs w:val="20"/>
          <w14:ligatures w14:val="none"/>
        </w:rPr>
        <w:t>:</w:t>
      </w:r>
      <w:r w:rsidR="005D7CF0" w:rsidRPr="00FB4E2D">
        <w:rPr>
          <w:rFonts w:ascii="Times New Roman" w:eastAsia="Times New Roman" w:hAnsi="Times New Roman" w:cs="Times New Roman"/>
          <w:i/>
          <w:noProof/>
          <w:sz w:val="20"/>
          <w:szCs w:val="20"/>
        </w:rPr>
        <w:t xml:space="preserve"> </w:t>
      </w:r>
      <w:r w:rsidR="00492B11" w:rsidRPr="00FB4E2D">
        <w:rPr>
          <w:rFonts w:ascii="Times New Roman" w:eastAsia="Times New Roman" w:hAnsi="Times New Roman" w:cs="Times New Roman"/>
          <w:i/>
          <w:noProof/>
          <w:sz w:val="20"/>
          <w:szCs w:val="20"/>
        </w:rPr>
        <w:t xml:space="preserve">The registration is voluntary for specialised groups. </w:t>
      </w:r>
      <w:r w:rsidR="00A875A4" w:rsidRPr="00FB4E2D">
        <w:rPr>
          <w:rFonts w:ascii="Times New Roman" w:eastAsia="Times New Roman" w:hAnsi="Times New Roman" w:cs="Times New Roman"/>
          <w:i/>
          <w:noProof/>
          <w:sz w:val="20"/>
          <w:szCs w:val="20"/>
        </w:rPr>
        <w:t>Following</w:t>
      </w:r>
      <w:r w:rsidR="00492B11" w:rsidRPr="00FB4E2D">
        <w:rPr>
          <w:rFonts w:ascii="Times New Roman" w:eastAsia="Times New Roman" w:hAnsi="Times New Roman" w:cs="Times New Roman"/>
          <w:i/>
          <w:noProof/>
          <w:sz w:val="20"/>
          <w:szCs w:val="20"/>
        </w:rPr>
        <w:t xml:space="preserve"> Law no. 49 of 14 April 2025,  the following decision makers are  required to register in RUTI and disclose meetings: Members of </w:t>
      </w:r>
      <w:r w:rsidR="00A875A4" w:rsidRPr="00FB4E2D">
        <w:rPr>
          <w:rFonts w:ascii="Times New Roman" w:eastAsia="Times New Roman" w:hAnsi="Times New Roman" w:cs="Times New Roman"/>
          <w:i/>
          <w:noProof/>
          <w:sz w:val="20"/>
          <w:szCs w:val="20"/>
        </w:rPr>
        <w:t>Government</w:t>
      </w:r>
      <w:r w:rsidR="00492B11" w:rsidRPr="00FB4E2D">
        <w:rPr>
          <w:rFonts w:ascii="Times New Roman" w:eastAsia="Times New Roman" w:hAnsi="Times New Roman" w:cs="Times New Roman"/>
          <w:i/>
          <w:noProof/>
          <w:sz w:val="20"/>
          <w:szCs w:val="20"/>
        </w:rPr>
        <w:t xml:space="preserve">; The Head of the Prime Minister’s Chancellery; The Secretary-General and Deputy Secretaries-General of the Government; Secretaries and Undersecretaries of State, and their equivalents within ministries and other central government bodies; State counsellors within the Prime Minister’s Chancellery. </w:t>
      </w:r>
      <w:r w:rsidR="007B4246" w:rsidRPr="00FB4E2D">
        <w:rPr>
          <w:rFonts w:ascii="Times New Roman" w:eastAsia="Times New Roman" w:hAnsi="Times New Roman" w:cs="Times New Roman"/>
          <w:i/>
          <w:noProof/>
          <w:sz w:val="20"/>
          <w:szCs w:val="20"/>
        </w:rPr>
        <w:t>D</w:t>
      </w:r>
      <w:r w:rsidR="00492B11" w:rsidRPr="00FB4E2D">
        <w:rPr>
          <w:rFonts w:ascii="Times New Roman" w:eastAsia="Times New Roman" w:hAnsi="Times New Roman" w:cs="Times New Roman"/>
          <w:i/>
          <w:noProof/>
          <w:sz w:val="20"/>
          <w:szCs w:val="20"/>
        </w:rPr>
        <w:t>ecision</w:t>
      </w:r>
      <w:r w:rsidR="00223249" w:rsidRPr="00FB4E2D">
        <w:rPr>
          <w:rFonts w:ascii="Times New Roman" w:eastAsia="Times New Roman" w:hAnsi="Times New Roman" w:cs="Times New Roman"/>
          <w:i/>
          <w:noProof/>
          <w:sz w:val="20"/>
          <w:szCs w:val="20"/>
        </w:rPr>
        <w:t>-</w:t>
      </w:r>
      <w:r w:rsidR="00492B11" w:rsidRPr="00FB4E2D">
        <w:rPr>
          <w:rFonts w:ascii="Times New Roman" w:eastAsia="Times New Roman" w:hAnsi="Times New Roman" w:cs="Times New Roman"/>
          <w:i/>
          <w:noProof/>
          <w:sz w:val="20"/>
          <w:szCs w:val="20"/>
        </w:rPr>
        <w:t xml:space="preserve">makers may request the registration of third parties in the RUTI system as a prerequisite for their participation in official meetings. In addition, dignitaries from autonomous administrative authorities, prefects, deputy prefects, and representatives of local public administration authorities may request the registration of third parties in RUTI and may choose to publish their official meetings with such entities. </w:t>
      </w:r>
      <w:r w:rsidR="0039749D" w:rsidRPr="00FB4E2D">
        <w:rPr>
          <w:rFonts w:ascii="Times New Roman" w:eastAsia="Times New Roman" w:hAnsi="Times New Roman" w:cs="Times New Roman"/>
          <w:i/>
          <w:noProof/>
          <w:sz w:val="20"/>
          <w:szCs w:val="20"/>
        </w:rPr>
        <w:t>Since</w:t>
      </w:r>
      <w:r w:rsidR="00492B11" w:rsidRPr="00FB4E2D">
        <w:rPr>
          <w:rFonts w:ascii="Times New Roman" w:eastAsia="Times New Roman" w:hAnsi="Times New Roman" w:cs="Times New Roman"/>
          <w:i/>
          <w:noProof/>
          <w:sz w:val="20"/>
          <w:szCs w:val="20"/>
        </w:rPr>
        <w:t xml:space="preserve"> 28 November 2025</w:t>
      </w:r>
      <w:r w:rsidR="0039749D" w:rsidRPr="00FB4E2D">
        <w:rPr>
          <w:rFonts w:ascii="Times New Roman" w:eastAsia="Times New Roman" w:hAnsi="Times New Roman" w:cs="Times New Roman"/>
          <w:i/>
          <w:noProof/>
          <w:sz w:val="20"/>
          <w:szCs w:val="20"/>
        </w:rPr>
        <w:t>, u</w:t>
      </w:r>
      <w:r w:rsidR="00492B11" w:rsidRPr="00FB4E2D">
        <w:rPr>
          <w:rFonts w:ascii="Times New Roman" w:eastAsia="Times New Roman" w:hAnsi="Times New Roman" w:cs="Times New Roman"/>
          <w:i/>
          <w:noProof/>
          <w:sz w:val="20"/>
          <w:szCs w:val="20"/>
        </w:rPr>
        <w:t xml:space="preserve">nder </w:t>
      </w:r>
      <w:r w:rsidR="00002310" w:rsidRPr="00FB4E2D">
        <w:rPr>
          <w:rFonts w:ascii="Times New Roman" w:eastAsia="Times New Roman" w:hAnsi="Times New Roman" w:cs="Times New Roman"/>
          <w:i/>
          <w:noProof/>
          <w:sz w:val="20"/>
          <w:szCs w:val="20"/>
        </w:rPr>
        <w:t>a</w:t>
      </w:r>
      <w:r w:rsidR="00492B11" w:rsidRPr="00FB4E2D">
        <w:rPr>
          <w:rFonts w:ascii="Times New Roman" w:eastAsia="Times New Roman" w:hAnsi="Times New Roman" w:cs="Times New Roman"/>
          <w:i/>
          <w:noProof/>
          <w:sz w:val="20"/>
          <w:szCs w:val="20"/>
        </w:rPr>
        <w:t xml:space="preserve"> new legal framework, Deputies and senators are required to register in RUTI and to conduct meetings related to influencing legislative initiatives exclusively with third parties registered in the register. Third parties seeking to engage with </w:t>
      </w:r>
      <w:r w:rsidR="00B321A7" w:rsidRPr="00FB4E2D">
        <w:rPr>
          <w:rFonts w:ascii="Times New Roman" w:eastAsia="Times New Roman" w:hAnsi="Times New Roman" w:cs="Times New Roman"/>
          <w:i/>
          <w:noProof/>
          <w:sz w:val="20"/>
          <w:szCs w:val="20"/>
        </w:rPr>
        <w:t>m</w:t>
      </w:r>
      <w:r w:rsidR="00492B11" w:rsidRPr="00FB4E2D">
        <w:rPr>
          <w:rFonts w:ascii="Times New Roman" w:eastAsia="Times New Roman" w:hAnsi="Times New Roman" w:cs="Times New Roman"/>
          <w:i/>
          <w:noProof/>
          <w:sz w:val="20"/>
          <w:szCs w:val="20"/>
        </w:rPr>
        <w:t>embers of Parliament must also register in RUTI</w:t>
      </w:r>
      <w:r w:rsidR="00BB0E04"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b/>
          <w:i/>
          <w:noProof/>
          <w:kern w:val="0"/>
          <w:sz w:val="20"/>
          <w:szCs w:val="20"/>
          <w14:ligatures w14:val="none"/>
        </w:rPr>
        <w:t>SI</w:t>
      </w:r>
      <w:r w:rsidRPr="00FB4E2D">
        <w:rPr>
          <w:rFonts w:ascii="Times New Roman" w:eastAsia="Times New Roman" w:hAnsi="Times New Roman" w:cs="Times New Roman"/>
          <w:i/>
          <w:noProof/>
          <w:kern w:val="0"/>
          <w:sz w:val="20"/>
          <w:szCs w:val="20"/>
          <w14:ligatures w14:val="none"/>
        </w:rPr>
        <w:t xml:space="preserve">: According to the Integrity and Corruption Prevention Act, </w:t>
      </w:r>
      <w:r w:rsidR="00B321A7" w:rsidRPr="00FB4E2D">
        <w:rPr>
          <w:rFonts w:ascii="Times New Roman" w:eastAsia="Times New Roman" w:hAnsi="Times New Roman" w:cs="Times New Roman"/>
          <w:i/>
          <w:noProof/>
          <w:sz w:val="20"/>
          <w:szCs w:val="20"/>
        </w:rPr>
        <w:t>l</w:t>
      </w:r>
      <w:r w:rsidRPr="00FB4E2D">
        <w:rPr>
          <w:rFonts w:ascii="Times New Roman" w:eastAsia="Times New Roman" w:hAnsi="Times New Roman" w:cs="Times New Roman"/>
          <w:i/>
          <w:noProof/>
          <w:kern w:val="0"/>
          <w:sz w:val="20"/>
          <w:szCs w:val="20"/>
          <w14:ligatures w14:val="none"/>
        </w:rPr>
        <w:t xml:space="preserve">obbied persons </w:t>
      </w:r>
      <w:r w:rsidR="00DE0830" w:rsidRPr="00FB4E2D">
        <w:rPr>
          <w:rFonts w:ascii="Times New Roman" w:eastAsia="Times New Roman" w:hAnsi="Times New Roman" w:cs="Times New Roman"/>
          <w:i/>
          <w:noProof/>
          <w:sz w:val="20"/>
          <w:szCs w:val="20"/>
        </w:rPr>
        <w:t>are</w:t>
      </w:r>
      <w:r w:rsidRPr="00FB4E2D">
        <w:rPr>
          <w:rFonts w:ascii="Times New Roman" w:eastAsia="Times New Roman" w:hAnsi="Times New Roman" w:cs="Times New Roman"/>
          <w:i/>
          <w:noProof/>
          <w:sz w:val="20"/>
          <w:szCs w:val="20"/>
        </w:rPr>
        <w:t xml:space="preserve"> </w:t>
      </w:r>
      <w:r w:rsidRPr="00FB4E2D">
        <w:rPr>
          <w:rFonts w:ascii="Times New Roman" w:eastAsia="Times New Roman" w:hAnsi="Times New Roman" w:cs="Times New Roman"/>
          <w:i/>
          <w:noProof/>
          <w:kern w:val="0"/>
          <w:sz w:val="20"/>
          <w:szCs w:val="20"/>
          <w14:ligatures w14:val="none"/>
        </w:rPr>
        <w:t xml:space="preserve">holders of public office and public employees in state bodies, the Bank of Slovenia, local community bodies and administrations and holders of public authority who are responsible for decision-making, or who participate in the discussion and adoption of regulations, other general documents and other decisions. Political advisors who are not employed/hold office with a state body or do not meet other abovementioned criteria of the definition, do not fall within the category of lobbied persons. </w:t>
      </w:r>
      <w:r w:rsidRPr="00FB4E2D">
        <w:rPr>
          <w:rFonts w:ascii="Times New Roman" w:eastAsia="Times New Roman" w:hAnsi="Times New Roman" w:cs="Times New Roman"/>
          <w:b/>
          <w:i/>
          <w:noProof/>
          <w:kern w:val="0"/>
          <w:sz w:val="20"/>
          <w:szCs w:val="20"/>
          <w14:ligatures w14:val="none"/>
        </w:rPr>
        <w:t>FI</w:t>
      </w:r>
      <w:r w:rsidRPr="00FB4E2D">
        <w:rPr>
          <w:rFonts w:ascii="Times New Roman" w:eastAsia="Times New Roman" w:hAnsi="Times New Roman" w:cs="Times New Roman"/>
          <w:i/>
          <w:noProof/>
          <w:kern w:val="0"/>
          <w:sz w:val="20"/>
          <w:szCs w:val="20"/>
          <w14:ligatures w14:val="none"/>
        </w:rPr>
        <w:t xml:space="preserve">: The personal scope of the Transparency Register extends to all public officials working in the ministries </w:t>
      </w:r>
      <w:r w:rsidR="00236B50" w:rsidRPr="00FB4E2D">
        <w:rPr>
          <w:rFonts w:ascii="Times New Roman" w:eastAsia="Times New Roman" w:hAnsi="Times New Roman" w:cs="Times New Roman"/>
          <w:i/>
          <w:noProof/>
          <w:sz w:val="20"/>
          <w:szCs w:val="20"/>
        </w:rPr>
        <w:t>–</w:t>
      </w:r>
      <w:r w:rsidRPr="00FB4E2D">
        <w:rPr>
          <w:rFonts w:ascii="Times New Roman" w:eastAsia="Times New Roman" w:hAnsi="Times New Roman" w:cs="Times New Roman"/>
          <w:i/>
          <w:noProof/>
          <w:kern w:val="0"/>
          <w:sz w:val="20"/>
          <w:szCs w:val="20"/>
          <w14:ligatures w14:val="none"/>
        </w:rPr>
        <w:t xml:space="preserve"> not only senior level public officials. </w:t>
      </w:r>
      <w:r w:rsidRPr="00FB4E2D">
        <w:rPr>
          <w:rFonts w:ascii="Times New Roman" w:eastAsia="Times New Roman" w:hAnsi="Times New Roman" w:cs="Times New Roman"/>
          <w:b/>
          <w:i/>
          <w:noProof/>
          <w:kern w:val="0"/>
          <w:sz w:val="20"/>
          <w:szCs w:val="20"/>
          <w14:ligatures w14:val="none"/>
        </w:rPr>
        <w:t>SE</w:t>
      </w:r>
      <w:r w:rsidRPr="00FB4E2D">
        <w:rPr>
          <w:rFonts w:ascii="Times New Roman" w:eastAsia="Times New Roman" w:hAnsi="Times New Roman" w:cs="Times New Roman"/>
          <w:i/>
          <w:noProof/>
          <w:kern w:val="0"/>
          <w:sz w:val="20"/>
          <w:szCs w:val="20"/>
          <w14:ligatures w14:val="none"/>
        </w:rPr>
        <w:t xml:space="preserve">: There is no transparency register, but the principle of public access to official document encompasses all official documents. A document is </w:t>
      </w:r>
      <w:r w:rsidR="00236B50" w:rsidRPr="00FB4E2D">
        <w:rPr>
          <w:rFonts w:ascii="Times New Roman" w:eastAsia="Times New Roman" w:hAnsi="Times New Roman" w:cs="Times New Roman"/>
          <w:i/>
          <w:noProof/>
          <w:kern w:val="0"/>
          <w:sz w:val="20"/>
          <w:szCs w:val="20"/>
          <w14:ligatures w14:val="none"/>
        </w:rPr>
        <w:t>official</w:t>
      </w:r>
      <w:r w:rsidR="00236B50" w:rsidRPr="00FB4E2D">
        <w:rPr>
          <w:rFonts w:ascii="Times New Roman" w:eastAsia="Times New Roman" w:hAnsi="Times New Roman" w:cs="Times New Roman"/>
          <w:i/>
          <w:noProof/>
          <w:sz w:val="20"/>
          <w:szCs w:val="20"/>
        </w:rPr>
        <w:t xml:space="preserve"> </w:t>
      </w:r>
      <w:r w:rsidR="00236B50" w:rsidRPr="00FB4E2D">
        <w:rPr>
          <w:rFonts w:ascii="Times New Roman" w:eastAsia="Times New Roman" w:hAnsi="Times New Roman" w:cs="Times New Roman"/>
          <w:i/>
          <w:noProof/>
          <w:kern w:val="0"/>
          <w:sz w:val="20"/>
          <w:szCs w:val="20"/>
          <w14:ligatures w14:val="none"/>
        </w:rPr>
        <w:t>if</w:t>
      </w:r>
      <w:r w:rsidRPr="00FB4E2D">
        <w:rPr>
          <w:rFonts w:ascii="Times New Roman" w:eastAsia="Times New Roman" w:hAnsi="Times New Roman" w:cs="Times New Roman"/>
          <w:i/>
          <w:noProof/>
          <w:kern w:val="0"/>
          <w:sz w:val="20"/>
          <w:szCs w:val="20"/>
          <w14:ligatures w14:val="none"/>
        </w:rPr>
        <w:t xml:space="preserve"> it is held by a public authority and considered under specific rules to have been received or drawn up by such an authority. The term ‘public authorities’ refers to all bodies that are part of the central government and local government administration. The Government, the administrative authorities, the courts and the municipal boards are all public authorities. Thus, the principle of access to document not only includes documents held by senior public officials, but all public officials.</w:t>
      </w:r>
    </w:p>
    <w:p w14:paraId="19E62EE8" w14:textId="1B96D5D0" w:rsidR="00A02C07" w:rsidRPr="00FB4E2D" w:rsidRDefault="00A02C07" w:rsidP="001F4C99">
      <w:pPr>
        <w:keepNext/>
        <w:tabs>
          <w:tab w:val="left" w:pos="850"/>
        </w:tabs>
        <w:spacing w:before="360" w:after="120" w:line="240" w:lineRule="auto"/>
        <w:ind w:left="850" w:hanging="850"/>
        <w:jc w:val="both"/>
        <w:outlineLvl w:val="0"/>
        <w:rPr>
          <w:rFonts w:ascii="Times New Roman" w:eastAsia="Times New Roman" w:hAnsi="Times New Roman" w:cs="Times New Roman"/>
          <w:b/>
          <w:smallCaps/>
          <w:noProof/>
          <w:kern w:val="0"/>
          <w14:ligatures w14:val="none"/>
        </w:rPr>
      </w:pPr>
      <w:r w:rsidRPr="00FB4E2D">
        <w:rPr>
          <w:rFonts w:ascii="Times New Roman" w:eastAsia="Times New Roman" w:hAnsi="Times New Roman" w:cs="Times New Roman"/>
          <w:b/>
          <w:smallCaps/>
          <w:noProof/>
          <w:kern w:val="0"/>
          <w14:ligatures w14:val="none"/>
        </w:rPr>
        <w:tab/>
        <w:t>3.</w:t>
      </w:r>
      <w:r w:rsidRPr="00FB4E2D">
        <w:rPr>
          <w:rFonts w:ascii="Times New Roman" w:eastAsia="Times New Roman" w:hAnsi="Times New Roman" w:cs="Times New Roman"/>
          <w:b/>
          <w:smallCaps/>
          <w:noProof/>
          <w:kern w:val="0"/>
          <w14:ligatures w14:val="none"/>
        </w:rPr>
        <w:tab/>
      </w:r>
      <w:r w:rsidR="001F4C99" w:rsidRPr="00FB4E2D">
        <w:rPr>
          <w:rFonts w:ascii="Times New Roman" w:eastAsia="Times New Roman" w:hAnsi="Times New Roman" w:cs="Times New Roman"/>
          <w:b/>
          <w:smallCaps/>
          <w:noProof/>
          <w:kern w:val="0"/>
          <w14:ligatures w14:val="none"/>
        </w:rPr>
        <w:t>C</w:t>
      </w:r>
      <w:r w:rsidRPr="00FB4E2D">
        <w:rPr>
          <w:rFonts w:ascii="Times New Roman" w:eastAsia="Times New Roman" w:hAnsi="Times New Roman" w:cs="Times New Roman"/>
          <w:b/>
          <w:smallCaps/>
          <w:noProof/>
          <w:kern w:val="0"/>
          <w14:ligatures w14:val="none"/>
        </w:rPr>
        <w:t xml:space="preserve">onclusion </w:t>
      </w:r>
    </w:p>
    <w:p w14:paraId="2EA2376D" w14:textId="47D2E3AC" w:rsidR="00A02C07" w:rsidRPr="00FB4E2D" w:rsidRDefault="00A02C07" w:rsidP="00A02C07">
      <w:pPr>
        <w:spacing w:after="120" w:line="240" w:lineRule="auto"/>
        <w:jc w:val="both"/>
        <w:rPr>
          <w:rFonts w:ascii="Times New Roman" w:eastAsia="Times New Roman" w:hAnsi="Times New Roman" w:cs="Times New Roman"/>
          <w:b/>
          <w:noProof/>
          <w:kern w:val="0"/>
          <w:szCs w:val="28"/>
          <w14:ligatures w14:val="none"/>
        </w:rPr>
      </w:pPr>
      <w:r w:rsidRPr="00FB4E2D">
        <w:rPr>
          <w:rFonts w:ascii="Times New Roman" w:eastAsia="Times New Roman" w:hAnsi="Times New Roman" w:cs="Times New Roman"/>
          <w:noProof/>
          <w:kern w:val="0"/>
          <w14:ligatures w14:val="none"/>
        </w:rPr>
        <w:t xml:space="preserve">The 2026 EU Justice Scoreboard further develops an in-depth insight into the effectiveness of justice systems in the Member States. The indicators present continuous efforts to improve the efficiency, quality and independence of the justice systems. In addition, they show certain structural aspects of other public authorities tasked with applying EU law. The information in the EU Justice Scoreboard contributes to the monitoring carried out as part of the Annual Rule of Law Cycle and feeds into the Commission’s annual Rule of Law </w:t>
      </w:r>
      <w:r w:rsidR="00B16A55" w:rsidRPr="00FB4E2D">
        <w:rPr>
          <w:rFonts w:ascii="Times New Roman" w:eastAsia="Times New Roman" w:hAnsi="Times New Roman" w:cs="Times New Roman"/>
          <w:noProof/>
          <w:kern w:val="0"/>
          <w14:ligatures w14:val="none"/>
        </w:rPr>
        <w:t>R</w:t>
      </w:r>
      <w:r w:rsidRPr="00FB4E2D">
        <w:rPr>
          <w:rFonts w:ascii="Times New Roman" w:eastAsia="Times New Roman" w:hAnsi="Times New Roman" w:cs="Times New Roman"/>
          <w:noProof/>
          <w:kern w:val="0"/>
          <w14:ligatures w14:val="none"/>
        </w:rPr>
        <w:t xml:space="preserve">eport. </w:t>
      </w:r>
    </w:p>
    <w:p w14:paraId="1BF9B6C4" w14:textId="76F1730A" w:rsidR="00BC62AA" w:rsidRDefault="00BC62AA">
      <w:pPr>
        <w:rPr>
          <w:noProof/>
        </w:rPr>
      </w:pPr>
    </w:p>
    <w:sectPr w:rsidR="00BC62AA" w:rsidSect="006C173B">
      <w:headerReference w:type="even" r:id="rId95"/>
      <w:headerReference w:type="default" r:id="rId96"/>
      <w:footerReference w:type="even" r:id="rId97"/>
      <w:footerReference w:type="default" r:id="rId98"/>
      <w:headerReference w:type="first" r:id="rId99"/>
      <w:footerReference w:type="first" r:id="rId10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150FD" w14:textId="77777777" w:rsidR="007F2DC4" w:rsidRPr="00FB4E2D" w:rsidRDefault="007F2DC4" w:rsidP="000C56CE">
      <w:pPr>
        <w:spacing w:after="0" w:line="240" w:lineRule="auto"/>
      </w:pPr>
      <w:r w:rsidRPr="00FB4E2D">
        <w:separator/>
      </w:r>
    </w:p>
  </w:endnote>
  <w:endnote w:type="continuationSeparator" w:id="0">
    <w:p w14:paraId="2C751C3A" w14:textId="77777777" w:rsidR="007F2DC4" w:rsidRPr="00FB4E2D" w:rsidRDefault="007F2DC4" w:rsidP="000C56CE">
      <w:pPr>
        <w:spacing w:after="0" w:line="240" w:lineRule="auto"/>
      </w:pPr>
      <w:r w:rsidRPr="00FB4E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46640" w14:textId="677A4776" w:rsidR="00CC7F72" w:rsidRPr="00CC7F72" w:rsidRDefault="00CC7F72" w:rsidP="00CC7F72">
    <w:pPr>
      <w:pStyle w:val="FooterCoverPage"/>
      <w:rPr>
        <w:rFonts w:ascii="Arial" w:hAnsi="Arial" w:cs="Arial"/>
        <w:b/>
        <w:sz w:val="48"/>
      </w:rPr>
    </w:pPr>
    <w:r w:rsidRPr="00CC7F72">
      <w:rPr>
        <w:rFonts w:ascii="Arial" w:hAnsi="Arial" w:cs="Arial"/>
        <w:b/>
        <w:sz w:val="48"/>
      </w:rPr>
      <w:t>EN</w:t>
    </w:r>
    <w:r w:rsidRPr="00CC7F72">
      <w:rPr>
        <w:rFonts w:ascii="Arial" w:hAnsi="Arial" w:cs="Arial"/>
        <w:b/>
        <w:sz w:val="48"/>
      </w:rPr>
      <w:tab/>
    </w:r>
    <w:r w:rsidRPr="00CC7F72">
      <w:rPr>
        <w:rFonts w:ascii="Arial" w:hAnsi="Arial" w:cs="Arial"/>
        <w:b/>
        <w:sz w:val="48"/>
      </w:rPr>
      <w:tab/>
    </w:r>
    <w:r w:rsidRPr="00CC7F72">
      <w:tab/>
    </w:r>
    <w:r w:rsidRPr="00CC7F7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2891D" w14:textId="59E3CE35" w:rsidR="00CC7F72" w:rsidRPr="00CC7F72" w:rsidRDefault="00CC7F72" w:rsidP="00CC7F72">
    <w:pPr>
      <w:pStyle w:val="FooterCoverPage"/>
      <w:rPr>
        <w:rFonts w:ascii="Arial" w:hAnsi="Arial" w:cs="Arial"/>
        <w:b/>
        <w:sz w:val="48"/>
      </w:rPr>
    </w:pPr>
    <w:r w:rsidRPr="00CC7F72">
      <w:rPr>
        <w:rFonts w:ascii="Arial" w:hAnsi="Arial" w:cs="Arial"/>
        <w:b/>
        <w:sz w:val="48"/>
      </w:rPr>
      <w:t>EN</w:t>
    </w:r>
    <w:r w:rsidRPr="00CC7F72">
      <w:rPr>
        <w:rFonts w:ascii="Arial" w:hAnsi="Arial" w:cs="Arial"/>
        <w:b/>
        <w:sz w:val="48"/>
      </w:rPr>
      <w:tab/>
    </w:r>
    <w:r w:rsidRPr="00CC7F72">
      <w:rPr>
        <w:rFonts w:ascii="Arial" w:hAnsi="Arial" w:cs="Arial"/>
        <w:b/>
        <w:sz w:val="48"/>
      </w:rPr>
      <w:tab/>
    </w:r>
    <w:r w:rsidRPr="00CC7F72">
      <w:tab/>
    </w:r>
    <w:r w:rsidRPr="00CC7F7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C1B0A" w14:textId="77777777" w:rsidR="00CC7F72" w:rsidRPr="00CC7F72" w:rsidRDefault="00CC7F72" w:rsidP="00CC7F7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5A2E2" w14:textId="77777777" w:rsidR="00A02C07" w:rsidRPr="00FB4E2D" w:rsidRDefault="00A02C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279389307"/>
      <w:docPartObj>
        <w:docPartGallery w:val="Page Numbers (Bottom of Page)"/>
        <w:docPartUnique/>
      </w:docPartObj>
    </w:sdtPr>
    <w:sdtEndPr/>
    <w:sdtContent>
      <w:p w14:paraId="07BEF465" w14:textId="1DC9C121" w:rsidR="00A02C07" w:rsidRPr="00FB4E2D" w:rsidRDefault="00A02C07">
        <w:pPr>
          <w:pStyle w:val="Footer"/>
          <w:jc w:val="center"/>
          <w:rPr>
            <w:rFonts w:ascii="Times New Roman" w:hAnsi="Times New Roman" w:cs="Times New Roman"/>
            <w:sz w:val="20"/>
            <w:szCs w:val="20"/>
          </w:rPr>
        </w:pPr>
        <w:r w:rsidRPr="00FB4E2D">
          <w:rPr>
            <w:rFonts w:ascii="Times New Roman" w:hAnsi="Times New Roman" w:cs="Times New Roman"/>
            <w:sz w:val="20"/>
            <w:szCs w:val="20"/>
          </w:rPr>
          <w:fldChar w:fldCharType="begin"/>
        </w:r>
        <w:r w:rsidRPr="00FB4E2D">
          <w:rPr>
            <w:rFonts w:ascii="Times New Roman" w:hAnsi="Times New Roman" w:cs="Times New Roman"/>
            <w:sz w:val="20"/>
            <w:szCs w:val="20"/>
          </w:rPr>
          <w:instrText xml:space="preserve"> PAGE   \* MERGEFORMAT </w:instrText>
        </w:r>
        <w:r w:rsidRPr="00FB4E2D">
          <w:rPr>
            <w:rFonts w:ascii="Times New Roman" w:hAnsi="Times New Roman" w:cs="Times New Roman"/>
            <w:sz w:val="20"/>
            <w:szCs w:val="20"/>
          </w:rPr>
          <w:fldChar w:fldCharType="separate"/>
        </w:r>
        <w:r w:rsidR="00CC7F72">
          <w:rPr>
            <w:rFonts w:ascii="Times New Roman" w:hAnsi="Times New Roman" w:cs="Times New Roman"/>
            <w:noProof/>
            <w:sz w:val="20"/>
            <w:szCs w:val="20"/>
          </w:rPr>
          <w:t>1</w:t>
        </w:r>
        <w:r w:rsidRPr="00FB4E2D">
          <w:rPr>
            <w:rFonts w:ascii="Times New Roman" w:hAnsi="Times New Roman" w:cs="Times New Roman"/>
            <w:sz w:val="20"/>
            <w:szCs w:val="20"/>
          </w:rPr>
          <w:fldChar w:fldCharType="end"/>
        </w:r>
      </w:p>
    </w:sdtContent>
  </w:sdt>
  <w:p w14:paraId="43B27692" w14:textId="77777777" w:rsidR="00A02C07" w:rsidRPr="00FB4E2D" w:rsidRDefault="00A02C07">
    <w:pPr>
      <w:pStyle w:val="Footer"/>
      <w:rPr>
        <w:rFonts w:ascii="Times New Roman" w:hAnsi="Times New Roman" w:cs="Times New Roman"/>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8F717" w14:textId="77777777" w:rsidR="00A02C07" w:rsidRPr="00FB4E2D" w:rsidRDefault="00A02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13842" w14:textId="77777777" w:rsidR="007F2DC4" w:rsidRPr="00FB4E2D" w:rsidRDefault="007F2DC4" w:rsidP="000C56CE">
      <w:pPr>
        <w:spacing w:after="0" w:line="240" w:lineRule="auto"/>
      </w:pPr>
      <w:r w:rsidRPr="00FB4E2D">
        <w:separator/>
      </w:r>
    </w:p>
  </w:footnote>
  <w:footnote w:type="continuationSeparator" w:id="0">
    <w:p w14:paraId="38687926" w14:textId="77777777" w:rsidR="007F2DC4" w:rsidRPr="00FB4E2D" w:rsidRDefault="007F2DC4" w:rsidP="000C56CE">
      <w:pPr>
        <w:spacing w:after="0" w:line="240" w:lineRule="auto"/>
      </w:pPr>
      <w:r w:rsidRPr="00FB4E2D">
        <w:continuationSeparator/>
      </w:r>
    </w:p>
  </w:footnote>
  <w:footnote w:id="1">
    <w:p w14:paraId="11E39C7E" w14:textId="77777777" w:rsidR="00A02C07" w:rsidRPr="00FB4E2D" w:rsidRDefault="00A02C07" w:rsidP="00A02C07">
      <w:pPr>
        <w:pStyle w:val="FootnoteText"/>
        <w:ind w:left="284" w:hanging="284"/>
        <w:rPr>
          <w:lang w:val="en-IE"/>
        </w:rPr>
      </w:pPr>
      <w:r w:rsidRPr="00FB4E2D">
        <w:rPr>
          <w:vertAlign w:val="superscript"/>
          <w:lang w:val="en-IE"/>
        </w:rPr>
        <w:footnoteRef/>
      </w:r>
      <w:r w:rsidRPr="00FB4E2D">
        <w:rPr>
          <w:lang w:val="en-IE"/>
        </w:rPr>
        <w:t xml:space="preserve"> </w:t>
      </w:r>
      <w:r w:rsidRPr="00FB4E2D">
        <w:rPr>
          <w:lang w:val="en-IE"/>
        </w:rPr>
        <w:tab/>
        <w:t>2025 EU Compass to regain competitiveness and secure sustainable prosperity, COM(2025) 30 final.</w:t>
      </w:r>
    </w:p>
  </w:footnote>
  <w:footnote w:id="2">
    <w:p w14:paraId="63F758A0" w14:textId="77777777" w:rsidR="00A02C07" w:rsidRPr="00FB4E2D" w:rsidRDefault="00A02C07" w:rsidP="00A02C07">
      <w:pPr>
        <w:pStyle w:val="FootnoteText"/>
        <w:ind w:left="284" w:hanging="284"/>
        <w:rPr>
          <w:lang w:val="en-IE"/>
        </w:rPr>
      </w:pPr>
      <w:r w:rsidRPr="00FB4E2D">
        <w:rPr>
          <w:vertAlign w:val="superscript"/>
          <w:lang w:val="en-IE"/>
        </w:rPr>
        <w:footnoteRef/>
      </w:r>
      <w:r w:rsidRPr="00FB4E2D">
        <w:rPr>
          <w:lang w:val="en-IE"/>
        </w:rPr>
        <w:t xml:space="preserve"> </w:t>
      </w:r>
      <w:r w:rsidRPr="00FB4E2D">
        <w:rPr>
          <w:lang w:val="en-IE"/>
        </w:rPr>
        <w:tab/>
        <w:t>COM(2026) 46 final.</w:t>
      </w:r>
    </w:p>
  </w:footnote>
  <w:footnote w:id="3">
    <w:p w14:paraId="230FDD93"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See Communication from the Commission to the European Parliament, the Council, the European Economic and Social Committee and the Committee of the Regions, Identifying and addressing barriers to the Single Market, COM(2020)93, and accompanying SWD(2020)54. </w:t>
      </w:r>
    </w:p>
  </w:footnote>
  <w:footnote w:id="4">
    <w:p w14:paraId="32B41603"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See Communication from the Commission to the European Parliament, the Council, the European Economic and Social Committee and the Committee of the Regions, Digitalisation of justice in the European Union: A toolbox of opportunities, COM(2020)710, and accompanying SWD(2020)540.</w:t>
      </w:r>
    </w:p>
  </w:footnote>
  <w:footnote w:id="5">
    <w:p w14:paraId="41BD411D"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r>
      <w:hyperlink r:id="rId1" w:history="1">
        <w:r w:rsidRPr="00FB4E2D">
          <w:rPr>
            <w:rStyle w:val="Hyperlink"/>
            <w:lang w:val="en-IE"/>
          </w:rPr>
          <w:t>https://commission.europa.eu/publications/2025-rule-law-report-communication-and-country-chapters_en</w:t>
        </w:r>
      </w:hyperlink>
      <w:r w:rsidRPr="00FB4E2D">
        <w:rPr>
          <w:lang w:val="en-IE"/>
        </w:rPr>
        <w:t xml:space="preserve">. </w:t>
      </w:r>
    </w:p>
  </w:footnote>
  <w:footnote w:id="6">
    <w:p w14:paraId="1477CF14"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E.g. European Parliament resolution of 29 May 2018 on the 2017 EU Justice Scoreboard (P8_TA(2018)0216).</w:t>
      </w:r>
    </w:p>
  </w:footnote>
  <w:footnote w:id="7">
    <w:p w14:paraId="534FE810"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r>
      <w:hyperlink r:id="rId2" w:history="1">
        <w:r w:rsidRPr="00FB4E2D">
          <w:rPr>
            <w:rStyle w:val="Hyperlink"/>
            <w:lang w:val="en-IE"/>
          </w:rPr>
          <w:t>https://commission.europa.eu/strategy-and-policy/policies/justice-and-fundamental-rights/upholding-rule-law/eu-justice-scoreboard_en</w:t>
        </w:r>
      </w:hyperlink>
      <w:r w:rsidRPr="00FB4E2D">
        <w:rPr>
          <w:lang w:val="en-IE"/>
        </w:rPr>
        <w:t xml:space="preserve">. </w:t>
      </w:r>
    </w:p>
  </w:footnote>
  <w:footnote w:id="8">
    <w:p w14:paraId="3B8697B0" w14:textId="2CD17BE3"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To help prepare the EU Justice Scoreboard and promote the exchange of best practice on the effectiveness of justice systems, the Commission asked Member States to designate two contact </w:t>
      </w:r>
      <w:r w:rsidRPr="00FB4E2D" w:rsidDel="000A68C2">
        <w:rPr>
          <w:lang w:val="en-IE"/>
        </w:rPr>
        <w:t>persons,</w:t>
      </w:r>
      <w:r w:rsidRPr="00FB4E2D">
        <w:rPr>
          <w:lang w:val="en-IE"/>
        </w:rPr>
        <w:t xml:space="preserve"> one from the judiciary and one from the ministry of justice. This informal group meets regularly.</w:t>
      </w:r>
    </w:p>
  </w:footnote>
  <w:footnote w:id="9">
    <w:p w14:paraId="357607AA" w14:textId="30B96D9F"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Commission maintains an informal group of contact persons dealing with corruption. </w:t>
      </w:r>
      <w:hyperlink r:id="rId3" w:history="1">
        <w:r w:rsidRPr="00FB4E2D">
          <w:rPr>
            <w:rStyle w:val="Hyperlink"/>
            <w:lang w:val="en-IE"/>
          </w:rPr>
          <w:t>https://commission.europa.eu/strategy-and-policy/policies/justice-and-fundamental-rights/democracy-eu-citizenship-anti-corruption/anti-corruption/eu-network-against-corruption_en</w:t>
        </w:r>
      </w:hyperlink>
      <w:r w:rsidR="00555409">
        <w:rPr>
          <w:lang w:val="en-IE"/>
        </w:rPr>
        <w:t>.</w:t>
      </w:r>
    </w:p>
  </w:footnote>
  <w:footnote w:id="10">
    <w:p w14:paraId="0C10DE9A"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ENCJ brings together Member States’ national institutions that are independent of the executive and legislature, and are responsible for supporting the judiciary in the independent delivery of justice: </w:t>
      </w:r>
      <w:hyperlink r:id="rId4" w:history="1">
        <w:r w:rsidRPr="00FB4E2D">
          <w:rPr>
            <w:rStyle w:val="Hyperlink"/>
            <w:lang w:val="en-IE"/>
          </w:rPr>
          <w:t>https://www.encj.eu/</w:t>
        </w:r>
      </w:hyperlink>
      <w:r w:rsidRPr="00FB4E2D">
        <w:rPr>
          <w:lang w:val="en-IE"/>
        </w:rPr>
        <w:t>.</w:t>
      </w:r>
    </w:p>
  </w:footnote>
  <w:footnote w:id="11">
    <w:p w14:paraId="7E386540"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The NPSJC provides a forum that gives European institutions the opportunity to request the opinions of supreme courts, and</w:t>
      </w:r>
      <w:r w:rsidRPr="00FB4E2D" w:rsidDel="000A68C2">
        <w:rPr>
          <w:lang w:val="en-IE"/>
        </w:rPr>
        <w:t xml:space="preserve"> </w:t>
      </w:r>
      <w:r w:rsidRPr="00FB4E2D">
        <w:rPr>
          <w:lang w:val="en-IE"/>
        </w:rPr>
        <w:t xml:space="preserve">brings them closer by encouraging discussion and the exchange of ideas: </w:t>
      </w:r>
      <w:hyperlink r:id="rId5" w:history="1">
        <w:r w:rsidRPr="00FB4E2D">
          <w:rPr>
            <w:rStyle w:val="Hyperlink"/>
            <w:lang w:val="en-IE"/>
          </w:rPr>
          <w:t>http://network-presidents.eu/</w:t>
        </w:r>
      </w:hyperlink>
      <w:r w:rsidRPr="00FB4E2D">
        <w:rPr>
          <w:lang w:val="en-IE"/>
        </w:rPr>
        <w:t>.</w:t>
      </w:r>
    </w:p>
  </w:footnote>
  <w:footnote w:id="12">
    <w:p w14:paraId="54914800"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ACA-Europe is composed of the Court of Justice of the EU and the Councils of State or the </w:t>
      </w:r>
      <w:r w:rsidRPr="00FB4E2D" w:rsidDel="009452AB">
        <w:rPr>
          <w:lang w:val="en-IE"/>
        </w:rPr>
        <w:t xml:space="preserve">Supreme </w:t>
      </w:r>
      <w:r w:rsidRPr="00FB4E2D">
        <w:rPr>
          <w:lang w:val="en-IE"/>
        </w:rPr>
        <w:t xml:space="preserve">administrative jurisdictions of each </w:t>
      </w:r>
      <w:r w:rsidRPr="00FB4E2D" w:rsidDel="009452AB">
        <w:rPr>
          <w:lang w:val="en-IE"/>
        </w:rPr>
        <w:t xml:space="preserve">EU </w:t>
      </w:r>
      <w:r w:rsidRPr="00FB4E2D">
        <w:rPr>
          <w:lang w:val="en-IE"/>
        </w:rPr>
        <w:t xml:space="preserve">Member State: </w:t>
      </w:r>
      <w:hyperlink r:id="rId6" w:history="1">
        <w:r w:rsidRPr="00FB4E2D">
          <w:rPr>
            <w:rStyle w:val="Hyperlink"/>
            <w:lang w:val="en-IE"/>
          </w:rPr>
          <w:t>https://www.aca-europe.eu/index.php/en/</w:t>
        </w:r>
      </w:hyperlink>
      <w:r w:rsidRPr="00FB4E2D">
        <w:rPr>
          <w:lang w:val="en-IE"/>
        </w:rPr>
        <w:t xml:space="preserve">. </w:t>
      </w:r>
    </w:p>
  </w:footnote>
  <w:footnote w:id="13">
    <w:p w14:paraId="64841CA9"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CCBE represents European bars and law societies in their common interests before European and other international institutions. It regularly acts as a liaison between its members and the European institutions, international organisations, and other legal organisations around the world: </w:t>
      </w:r>
      <w:hyperlink r:id="rId7" w:history="1">
        <w:r w:rsidRPr="00FB4E2D">
          <w:rPr>
            <w:rStyle w:val="Hyperlink"/>
            <w:lang w:val="en-IE"/>
          </w:rPr>
          <w:t>https://www.ccbe.eu/</w:t>
        </w:r>
      </w:hyperlink>
      <w:r w:rsidRPr="00FB4E2D">
        <w:rPr>
          <w:lang w:val="en-IE"/>
        </w:rPr>
        <w:t xml:space="preserve">. </w:t>
      </w:r>
    </w:p>
  </w:footnote>
  <w:footnote w:id="14">
    <w:p w14:paraId="3B4C787B"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The ECN was</w:t>
      </w:r>
      <w:r w:rsidRPr="00FB4E2D" w:rsidDel="00D443F2">
        <w:rPr>
          <w:lang w:val="en-IE"/>
        </w:rPr>
        <w:t xml:space="preserve"> </w:t>
      </w:r>
      <w:r w:rsidRPr="00FB4E2D">
        <w:rPr>
          <w:lang w:val="en-IE"/>
        </w:rPr>
        <w:t xml:space="preserve">set up as a forum for discussion and cooperation between European competition authorities in cases where Articles 101 and 102 of the Treaty on the Functioning of the EU (TFEU) are applied. The ECN is the framework for close cooperation referred to in Council Regulation (EC) No 1/2003. Through the ECN, the Commission and the national competition authorities in all </w:t>
      </w:r>
      <w:r w:rsidRPr="00FB4E2D" w:rsidDel="00750E0C">
        <w:rPr>
          <w:lang w:val="en-IE"/>
        </w:rPr>
        <w:t xml:space="preserve">EU </w:t>
      </w:r>
      <w:r w:rsidRPr="00FB4E2D">
        <w:rPr>
          <w:lang w:val="en-IE"/>
        </w:rPr>
        <w:t xml:space="preserve">Member States cooperate with each other: </w:t>
      </w:r>
      <w:hyperlink r:id="rId8" w:history="1">
        <w:r w:rsidRPr="00FB4E2D">
          <w:rPr>
            <w:rStyle w:val="Hyperlink"/>
            <w:lang w:val="en-IE"/>
          </w:rPr>
          <w:t>http://ec.europa.eu/competition/ecn/index_en.html</w:t>
        </w:r>
      </w:hyperlink>
      <w:r w:rsidRPr="00FB4E2D">
        <w:rPr>
          <w:lang w:val="en-IE"/>
        </w:rPr>
        <w:t>.</w:t>
      </w:r>
    </w:p>
  </w:footnote>
  <w:footnote w:id="15">
    <w:p w14:paraId="7FB6CE89" w14:textId="55E59DBC"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Network of First Instance Review Bodies on Public Procurement was set up to strengthen cooperation between national first instance public procurement review bodies in the EU. The group’s task is to advise the European Commission on matters related to the implementation of the Remedies Directives and the functioning of the national remedies systems. </w:t>
      </w:r>
      <w:r w:rsidRPr="00FB4E2D">
        <w:rPr>
          <w:rFonts w:eastAsia="Calibri"/>
          <w:lang w:val="en-IE"/>
        </w:rPr>
        <w:t>As a result of the evaluation of the effectiveness of Remedies Directives (</w:t>
      </w:r>
      <w:hyperlink r:id="rId9" w:history="1">
        <w:r w:rsidRPr="00FB4E2D">
          <w:rPr>
            <w:rStyle w:val="Hyperlink"/>
            <w:rFonts w:eastAsia="Calibri"/>
            <w:lang w:val="en-IE"/>
          </w:rPr>
          <w:t>COM(2017) 28</w:t>
        </w:r>
      </w:hyperlink>
      <w:r w:rsidRPr="00FB4E2D">
        <w:rPr>
          <w:rFonts w:eastAsia="Calibri"/>
          <w:lang w:val="en-IE"/>
        </w:rPr>
        <w:t xml:space="preserve"> final of 24 January 2017), the Commission encourages first instance review bodies to cooperate to improve the exchange of information and good practice.</w:t>
      </w:r>
      <w:r w:rsidRPr="00FB4E2D">
        <w:rPr>
          <w:lang w:val="en-IE"/>
        </w:rPr>
        <w:t xml:space="preserve">   </w:t>
      </w:r>
    </w:p>
  </w:footnote>
  <w:footnote w:id="16">
    <w:p w14:paraId="231E6564" w14:textId="6347CF1D"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COCOM is composed of </w:t>
      </w:r>
      <w:r w:rsidRPr="00FB4E2D" w:rsidDel="00750E0C">
        <w:rPr>
          <w:lang w:val="en-IE"/>
        </w:rPr>
        <w:t xml:space="preserve">EU </w:t>
      </w:r>
      <w:r w:rsidRPr="00FB4E2D">
        <w:rPr>
          <w:lang w:val="en-IE"/>
        </w:rPr>
        <w:t xml:space="preserve">Member State representatives. Its main role is to provide an opinion on the draft measures that the Commission intends to adopt on digital market issues: </w:t>
      </w:r>
      <w:hyperlink r:id="rId10" w:history="1">
        <w:r w:rsidR="00FA47D3" w:rsidRPr="00FD30D7">
          <w:rPr>
            <w:rStyle w:val="Hyperlink"/>
            <w:lang w:val="en-IE"/>
          </w:rPr>
          <w:t>https://ec.europa.eu/transparency/comitology-register/screen/committees</w:t>
        </w:r>
      </w:hyperlink>
      <w:r w:rsidR="00555409">
        <w:rPr>
          <w:lang w:val="en-IE"/>
        </w:rPr>
        <w:t>.</w:t>
      </w:r>
    </w:p>
  </w:footnote>
  <w:footnote w:id="17">
    <w:p w14:paraId="60247E79"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European Observatory on Infringements of Intellectual Property Rights is a network of experts and specialist stakeholders. It is composed of public and private sector representatives, who collaborate in active working groups: </w:t>
      </w:r>
      <w:hyperlink r:id="rId11" w:history="1">
        <w:r w:rsidRPr="00FB4E2D">
          <w:rPr>
            <w:rStyle w:val="Hyperlink"/>
            <w:lang w:val="en-IE"/>
          </w:rPr>
          <w:t>https://euipo.europa.eu/ohimportal/en/web/observatory/home</w:t>
        </w:r>
      </w:hyperlink>
      <w:r w:rsidRPr="00FB4E2D">
        <w:rPr>
          <w:lang w:val="en-IE"/>
        </w:rPr>
        <w:t xml:space="preserve">. </w:t>
      </w:r>
    </w:p>
  </w:footnote>
  <w:footnote w:id="18">
    <w:p w14:paraId="7314DD4B"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CPC is a network of national authorities responsible for enforcing EU consumer protection laws in EU and EEA countries: </w:t>
      </w:r>
      <w:hyperlink r:id="rId12" w:history="1">
        <w:r w:rsidRPr="00FB4E2D">
          <w:rPr>
            <w:rStyle w:val="Hyperlink"/>
            <w:lang w:val="en-IE"/>
          </w:rPr>
          <w:t>https://commission.europa.eu/live-work-travel-eu/consumer-rights-and-complaints/enforcement-consumer-protection/consumer-protection-cooperation-network_en</w:t>
        </w:r>
      </w:hyperlink>
      <w:r w:rsidRPr="00FB4E2D">
        <w:rPr>
          <w:lang w:val="en-IE"/>
        </w:rPr>
        <w:t xml:space="preserve">. </w:t>
      </w:r>
    </w:p>
  </w:footnote>
  <w:footnote w:id="19">
    <w:p w14:paraId="027A7153" w14:textId="00750E30"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EGMLTF meets regularly to share views and </w:t>
      </w:r>
      <w:r w:rsidR="004076A4" w:rsidRPr="00FB4E2D">
        <w:rPr>
          <w:lang w:val="en-IE"/>
        </w:rPr>
        <w:t>helps</w:t>
      </w:r>
      <w:r w:rsidRPr="00FB4E2D">
        <w:rPr>
          <w:lang w:val="en-IE"/>
        </w:rPr>
        <w:t xml:space="preserve"> the </w:t>
      </w:r>
      <w:r w:rsidR="006307E0" w:rsidRPr="00FB4E2D">
        <w:rPr>
          <w:lang w:val="en-IE"/>
        </w:rPr>
        <w:t>Commission to set out its</w:t>
      </w:r>
      <w:r w:rsidRPr="00FB4E2D">
        <w:rPr>
          <w:lang w:val="en-IE"/>
        </w:rPr>
        <w:t xml:space="preserve"> define policy and draft new anti-money laundering and counter-terrorist financing legislation: </w:t>
      </w:r>
      <w:hyperlink r:id="rId13" w:history="1">
        <w:r w:rsidRPr="00FB4E2D">
          <w:rPr>
            <w:rStyle w:val="Hyperlink"/>
            <w:lang w:val="en-IE"/>
          </w:rPr>
          <w:t>https://ec.europa.eu/transparency/expert-groups-register/screen/expert-groups/consult?lang=en&amp;do=groupDetail.groupDetail&amp;groupID=2914</w:t>
        </w:r>
      </w:hyperlink>
      <w:r w:rsidRPr="00FB4E2D">
        <w:rPr>
          <w:lang w:val="en-IE"/>
        </w:rPr>
        <w:t xml:space="preserve">. </w:t>
      </w:r>
    </w:p>
  </w:footnote>
  <w:footnote w:id="20">
    <w:p w14:paraId="2E5A1FFF"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Eurostat is the statistical office of the EU: </w:t>
      </w:r>
      <w:hyperlink r:id="rId14" w:history="1">
        <w:r w:rsidRPr="00FB4E2D">
          <w:rPr>
            <w:rStyle w:val="Hyperlink"/>
            <w:lang w:val="en-IE"/>
          </w:rPr>
          <w:t>https://ec.europa.eu/eurostat/</w:t>
        </w:r>
      </w:hyperlink>
      <w:r w:rsidRPr="00FB4E2D">
        <w:rPr>
          <w:lang w:val="en-IE"/>
        </w:rPr>
        <w:t xml:space="preserve">. </w:t>
      </w:r>
    </w:p>
  </w:footnote>
  <w:footnote w:id="21">
    <w:p w14:paraId="528A3EDF" w14:textId="60304148"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Commission maintains an informal group of contact persons dealing with the fight against corruption. See also </w:t>
      </w:r>
      <w:hyperlink r:id="rId15" w:history="1">
        <w:r w:rsidRPr="00FB4E2D">
          <w:rPr>
            <w:rStyle w:val="Hyperlink"/>
            <w:lang w:val="en-IE"/>
          </w:rPr>
          <w:t>https://commission.europa.eu/strategy-and-policy/policies/justice-and-fundamental-rights/democracy-eu-citizenship-anti-corruption/anti-corruption/eu-network-against-corruption_en</w:t>
        </w:r>
      </w:hyperlink>
      <w:r w:rsidR="00555409">
        <w:t>.</w:t>
      </w:r>
    </w:p>
  </w:footnote>
  <w:footnote w:id="22">
    <w:p w14:paraId="1C9ADB90" w14:textId="67143263"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r>
      <w:hyperlink r:id="rId16" w:history="1">
        <w:r w:rsidR="00FA47D3" w:rsidRPr="00FD30D7">
          <w:rPr>
            <w:rStyle w:val="Hyperlink"/>
          </w:rPr>
          <w:t>https://www.npg-nadal.eu/</w:t>
        </w:r>
      </w:hyperlink>
      <w:r w:rsidR="00FA47D3">
        <w:t xml:space="preserve"> </w:t>
      </w:r>
    </w:p>
  </w:footnote>
  <w:footnote w:id="23">
    <w:p w14:paraId="7BE5E206"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Contact Committee brings together the heads of the supreme audit institutions of the Member States and the European Court of Auditors and provides a forum for discussing and enhancing cooperation in audit and related activities. </w:t>
      </w:r>
      <w:hyperlink r:id="rId17" w:history="1">
        <w:r w:rsidRPr="00FB4E2D">
          <w:rPr>
            <w:rStyle w:val="Hyperlink"/>
            <w:lang w:val="en-IE"/>
          </w:rPr>
          <w:t>https://www.eca.europa.eu/sites/CC/en/pages/about.aspx</w:t>
        </w:r>
      </w:hyperlink>
      <w:r w:rsidRPr="00FB4E2D">
        <w:rPr>
          <w:lang w:val="en-IE"/>
        </w:rPr>
        <w:t xml:space="preserve">. </w:t>
      </w:r>
    </w:p>
  </w:footnote>
  <w:footnote w:id="24">
    <w:p w14:paraId="3D1D01A8" w14:textId="77166F69"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The Council of the Notariats of the European Union (CNUE) is the official body representing the notarial profession in dealings with the institutions</w:t>
      </w:r>
      <w:r w:rsidR="00AA56B7" w:rsidRPr="00FB4E2D">
        <w:rPr>
          <w:lang w:val="en-IE"/>
        </w:rPr>
        <w:t xml:space="preserve"> of the EU</w:t>
      </w:r>
      <w:r w:rsidRPr="00FB4E2D">
        <w:rPr>
          <w:lang w:val="en-IE"/>
        </w:rPr>
        <w:t xml:space="preserve"> and brings together the notariats of the 22 Member States familiar with </w:t>
      </w:r>
      <w:r w:rsidR="008D6D0C" w:rsidRPr="00FB4E2D">
        <w:rPr>
          <w:lang w:val="en-IE"/>
        </w:rPr>
        <w:t>th</w:t>
      </w:r>
      <w:r w:rsidR="00B52194" w:rsidRPr="00FB4E2D">
        <w:rPr>
          <w:lang w:val="en-IE"/>
        </w:rPr>
        <w:t>ese</w:t>
      </w:r>
      <w:r w:rsidR="008D6D0C" w:rsidRPr="00FB4E2D">
        <w:rPr>
          <w:lang w:val="en-IE"/>
        </w:rPr>
        <w:t xml:space="preserve"> institutions</w:t>
      </w:r>
      <w:r w:rsidRPr="00FB4E2D">
        <w:rPr>
          <w:lang w:val="en-IE"/>
        </w:rPr>
        <w:t xml:space="preserve">. </w:t>
      </w:r>
      <w:hyperlink r:id="rId18" w:history="1">
        <w:r w:rsidRPr="00FB4E2D">
          <w:rPr>
            <w:rStyle w:val="Hyperlink"/>
            <w:lang w:val="en-IE"/>
          </w:rPr>
          <w:t>https://www.notariesofeurope.eu/fr/</w:t>
        </w:r>
      </w:hyperlink>
      <w:r w:rsidR="00555409">
        <w:rPr>
          <w:lang w:val="en-IE"/>
        </w:rPr>
        <w:t>.</w:t>
      </w:r>
    </w:p>
  </w:footnote>
  <w:footnote w:id="25">
    <w:p w14:paraId="1CD55F14"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In the context of the European Semester, the Council, on the basis of the Commission’s proposal, addressed country-specific recommendations on their justice systems to seven Member States in 2019 (</w:t>
      </w:r>
      <w:r w:rsidRPr="00FB4E2D" w:rsidDel="005E20F9">
        <w:rPr>
          <w:lang w:val="en-IE"/>
        </w:rPr>
        <w:t>HR</w:t>
      </w:r>
      <w:r w:rsidRPr="00FB4E2D">
        <w:rPr>
          <w:lang w:val="en-IE"/>
        </w:rPr>
        <w:t xml:space="preserve">, IT, CY, HU, MT, </w:t>
      </w:r>
      <w:r w:rsidRPr="00FB4E2D" w:rsidDel="005E20F9">
        <w:rPr>
          <w:lang w:val="en-IE"/>
        </w:rPr>
        <w:t xml:space="preserve">PT </w:t>
      </w:r>
      <w:r w:rsidRPr="00FB4E2D">
        <w:rPr>
          <w:lang w:val="en-IE"/>
        </w:rPr>
        <w:t xml:space="preserve">and </w:t>
      </w:r>
      <w:r w:rsidRPr="00FB4E2D" w:rsidDel="004338A4">
        <w:rPr>
          <w:lang w:val="en-IE"/>
        </w:rPr>
        <w:t>SK</w:t>
      </w:r>
      <w:r w:rsidRPr="00FB4E2D">
        <w:rPr>
          <w:lang w:val="en-IE"/>
        </w:rPr>
        <w:t>) and eight Member States in 2020 (</w:t>
      </w:r>
      <w:r w:rsidRPr="00FB4E2D" w:rsidDel="0099330A">
        <w:rPr>
          <w:lang w:val="en-IE"/>
        </w:rPr>
        <w:t>HR</w:t>
      </w:r>
      <w:r w:rsidRPr="00FB4E2D">
        <w:rPr>
          <w:lang w:val="en-IE"/>
        </w:rPr>
        <w:t xml:space="preserve">, IT, CY, HU, MT, PL, </w:t>
      </w:r>
      <w:r w:rsidRPr="00FB4E2D" w:rsidDel="00281D0B">
        <w:rPr>
          <w:lang w:val="en-IE"/>
        </w:rPr>
        <w:t xml:space="preserve">PT </w:t>
      </w:r>
      <w:r w:rsidRPr="00FB4E2D">
        <w:rPr>
          <w:lang w:val="en-IE"/>
        </w:rPr>
        <w:t xml:space="preserve">and </w:t>
      </w:r>
      <w:r w:rsidRPr="00FB4E2D" w:rsidDel="00281D0B">
        <w:rPr>
          <w:lang w:val="en-IE"/>
        </w:rPr>
        <w:t>SK</w:t>
      </w:r>
      <w:r w:rsidRPr="00FB4E2D">
        <w:rPr>
          <w:lang w:val="en-IE"/>
        </w:rPr>
        <w:t xml:space="preserve">). There were no country-specific recommendations in 2021 due to the ongoing RRF </w:t>
      </w:r>
      <w:r w:rsidRPr="00FB4E2D" w:rsidDel="00281D0B">
        <w:rPr>
          <w:lang w:val="en-IE"/>
        </w:rPr>
        <w:t>processes</w:t>
      </w:r>
      <w:r w:rsidRPr="00FB4E2D">
        <w:rPr>
          <w:lang w:val="en-IE"/>
        </w:rPr>
        <w:t>. In 2022, there were two Member States (PL and HU) with country-specific recommendations related to judicial independence. In 2024, one Member State had a country-specific recommendation related to the effectiveness, independence and integrity of the judicial and anti-corruption system (SK). In 2025, seven Member States had a country-specific recommendation related to the effectiveness, independence and integrity of the judicial and anti-corruption system (BG, EL, ES, IT, HU, PT and SK).</w:t>
      </w:r>
    </w:p>
  </w:footnote>
  <w:footnote w:id="26">
    <w:p w14:paraId="3F6D52A3" w14:textId="430579F7" w:rsidR="006168D9" w:rsidRPr="00FB4E2D" w:rsidRDefault="006168D9" w:rsidP="001B6058">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Article 19(3</w:t>
      </w:r>
      <w:r w:rsidR="00B04CA1" w:rsidRPr="00FB4E2D">
        <w:rPr>
          <w:lang w:val="en-IE"/>
        </w:rPr>
        <w:t>), point (</w:t>
      </w:r>
      <w:r w:rsidRPr="00FB4E2D">
        <w:rPr>
          <w:lang w:val="en-IE"/>
        </w:rPr>
        <w:t>b</w:t>
      </w:r>
      <w:r w:rsidR="00B04CA1" w:rsidRPr="00FB4E2D">
        <w:rPr>
          <w:lang w:val="en-IE"/>
        </w:rPr>
        <w:t>), and Article</w:t>
      </w:r>
      <w:r w:rsidRPr="00FB4E2D">
        <w:rPr>
          <w:lang w:val="en-IE"/>
        </w:rPr>
        <w:t xml:space="preserve"> 24(3) and (5) of Regulation (EU) 2021/241 of the European Parliament and of the Council of 12 February 2021 establishing the Recovery and Resilience Facility, OJ L 57, 18.2.2021, p. 17. The EU Justice Scoreboard is one of the sources of information feeding into the European Semester. This information does not prejudge the Commission’s assessments of the satisfactory fulfilment of milestones and targets under the RRF.</w:t>
      </w:r>
    </w:p>
  </w:footnote>
  <w:footnote w:id="27">
    <w:p w14:paraId="60080151" w14:textId="7FF1C5D3" w:rsidR="006168D9" w:rsidRPr="00FB4E2D" w:rsidRDefault="006168D9" w:rsidP="00C70995">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Furter information can be found in the Recovery and Resilience Scoreboard, accessible via: </w:t>
      </w:r>
      <w:hyperlink r:id="rId19" w:history="1">
        <w:r w:rsidR="00AC09B9" w:rsidRPr="00FB4E2D">
          <w:rPr>
            <w:rStyle w:val="Hyperlink"/>
            <w:lang w:val="en-IE"/>
          </w:rPr>
          <w:t>https://ec.europa.eu/economy_finance/recovery-and-resilience-scoreboard/index.html</w:t>
        </w:r>
      </w:hyperlink>
      <w:r w:rsidR="00555409">
        <w:rPr>
          <w:lang w:val="en-IE"/>
        </w:rPr>
        <w:t>.</w:t>
      </w:r>
    </w:p>
  </w:footnote>
  <w:footnote w:id="28">
    <w:p w14:paraId="50E220F6"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A Competitiveness Compass for the EU, COM(2025) 30 final, p. 19, The 2025 Annual Single Market and Competitiveness Report, COM(2025) 26 final, p. 3.</w:t>
      </w:r>
    </w:p>
  </w:footnote>
  <w:footnote w:id="29">
    <w:p w14:paraId="0E1759FB" w14:textId="064E3C5D" w:rsidR="00A02C07" w:rsidRPr="00FB4E2D" w:rsidRDefault="00A02C07" w:rsidP="00A02C07">
      <w:pPr>
        <w:pStyle w:val="FootnoteText"/>
        <w:ind w:left="284" w:hanging="284"/>
        <w:rPr>
          <w:lang w:val="en-IE"/>
        </w:rPr>
      </w:pPr>
      <w:r w:rsidRPr="00FB4E2D">
        <w:rPr>
          <w:rStyle w:val="FootnoteReference"/>
          <w:lang w:val="en-IE"/>
        </w:rPr>
        <w:footnoteRef/>
      </w:r>
      <w:r w:rsidRPr="00F8228F">
        <w:rPr>
          <w:lang w:val="en-IE"/>
        </w:rPr>
        <w:t xml:space="preserve"> </w:t>
      </w:r>
      <w:r w:rsidRPr="00F8228F">
        <w:rPr>
          <w:lang w:val="en-IE"/>
        </w:rPr>
        <w:tab/>
        <w:t xml:space="preserve">Khan, M.A. et al. 2024. </w:t>
      </w:r>
      <w:r w:rsidR="006816B5" w:rsidRPr="00FB4E2D">
        <w:rPr>
          <w:lang w:val="en-IE"/>
        </w:rPr>
        <w:t>‘</w:t>
      </w:r>
      <w:r w:rsidRPr="00FB4E2D">
        <w:rPr>
          <w:lang w:val="en-IE"/>
        </w:rPr>
        <w:t>Justice and finance: Does judicial efficiency contribute to financial system efficiency</w:t>
      </w:r>
      <w:r w:rsidR="004E6563" w:rsidRPr="00FB4E2D">
        <w:rPr>
          <w:lang w:val="en-IE"/>
        </w:rPr>
        <w:t xml:space="preserve">?’ </w:t>
      </w:r>
      <w:r w:rsidRPr="00FB4E2D">
        <w:rPr>
          <w:lang w:val="en-IE"/>
        </w:rPr>
        <w:t xml:space="preserve"> Borsa Istanbul Review 24(2): pp. 248–255, </w:t>
      </w:r>
      <w:hyperlink r:id="rId20" w:history="1">
        <w:r w:rsidRPr="00FB4E2D">
          <w:rPr>
            <w:rStyle w:val="Hyperlink"/>
            <w:lang w:val="en-IE"/>
          </w:rPr>
          <w:t>https://www.sciencedirect.com/science/article/pii/S2214845023001709</w:t>
        </w:r>
      </w:hyperlink>
      <w:r w:rsidRPr="00FB4E2D">
        <w:rPr>
          <w:lang w:val="en-IE"/>
        </w:rPr>
        <w:t xml:space="preserve"> ; Chemin, M., 2020. </w:t>
      </w:r>
      <w:r w:rsidR="002D4339" w:rsidRPr="00FB4E2D">
        <w:rPr>
          <w:lang w:val="en-IE"/>
        </w:rPr>
        <w:t>’</w:t>
      </w:r>
      <w:r w:rsidR="002D4339" w:rsidRPr="00FB4E2D" w:rsidDel="002D4339">
        <w:rPr>
          <w:lang w:val="en-IE"/>
        </w:rPr>
        <w:t xml:space="preserve"> </w:t>
      </w:r>
      <w:r w:rsidRPr="00FB4E2D">
        <w:rPr>
          <w:lang w:val="en-IE"/>
        </w:rPr>
        <w:t>Judicial efficiency and firm productivity: Evidence from a world database of judicial reforms,</w:t>
      </w:r>
      <w:r w:rsidR="002D4339" w:rsidRPr="00FB4E2D">
        <w:rPr>
          <w:lang w:val="en-IE"/>
        </w:rPr>
        <w:t>’</w:t>
      </w:r>
      <w:r w:rsidRPr="00FB4E2D">
        <w:rPr>
          <w:lang w:val="en-IE"/>
        </w:rPr>
        <w:t xml:space="preserve"> The Review of Economics and Statistics 102(1): pp. 49–64, </w:t>
      </w:r>
      <w:hyperlink r:id="rId21" w:history="1">
        <w:r w:rsidRPr="00FB4E2D">
          <w:rPr>
            <w:rStyle w:val="Hyperlink"/>
            <w:lang w:val="en-IE"/>
          </w:rPr>
          <w:t>https://direct.mit.edu/rest/article/102/1/49/58536/Judicial-Efficiency-and-Firm-Productivity-Evidence</w:t>
        </w:r>
      </w:hyperlink>
      <w:r w:rsidRPr="00FB4E2D">
        <w:rPr>
          <w:sz w:val="22"/>
          <w:szCs w:val="22"/>
          <w:lang w:val="en-IE"/>
        </w:rPr>
        <w:t xml:space="preserve"> ; </w:t>
      </w:r>
      <w:r w:rsidRPr="00FB4E2D">
        <w:rPr>
          <w:lang w:val="en-IE"/>
        </w:rPr>
        <w:t xml:space="preserve">Kapopoulos, P. and Rizos, A., 2024. </w:t>
      </w:r>
      <w:r w:rsidR="002D4339" w:rsidRPr="00FB4E2D">
        <w:rPr>
          <w:lang w:val="en-IE"/>
        </w:rPr>
        <w:t>’</w:t>
      </w:r>
      <w:r w:rsidRPr="00FB4E2D">
        <w:rPr>
          <w:lang w:val="en-IE"/>
        </w:rPr>
        <w:t>Judicial efficiency and economic growth: Evidence based on European Union data,</w:t>
      </w:r>
      <w:r w:rsidR="00AD51C8" w:rsidRPr="00FB4E2D">
        <w:rPr>
          <w:lang w:val="en-IE"/>
        </w:rPr>
        <w:t>’</w:t>
      </w:r>
      <w:r w:rsidRPr="00FB4E2D">
        <w:rPr>
          <w:lang w:val="en-IE"/>
        </w:rPr>
        <w:t xml:space="preserve"> Scottish Journal of Political Economy 71(1): pp. 101</w:t>
      </w:r>
      <w:bookmarkStart w:id="3" w:name="_Hlk216176132"/>
      <w:r w:rsidRPr="00FB4E2D">
        <w:rPr>
          <w:lang w:val="en-IE"/>
        </w:rPr>
        <w:t>–</w:t>
      </w:r>
      <w:bookmarkEnd w:id="3"/>
      <w:r w:rsidRPr="00FB4E2D">
        <w:rPr>
          <w:lang w:val="en-IE"/>
        </w:rPr>
        <w:t xml:space="preserve">131, </w:t>
      </w:r>
      <w:hyperlink r:id="rId22" w:history="1">
        <w:r w:rsidRPr="00FB4E2D">
          <w:rPr>
            <w:rStyle w:val="Hyperlink"/>
            <w:lang w:val="en-IE"/>
          </w:rPr>
          <w:t>https://onlinelibrary.wiley.com/doi/10.1111/sjpe.12357?msockid=1a8244b340af65701f02511641c36474</w:t>
        </w:r>
      </w:hyperlink>
      <w:r w:rsidRPr="00FB4E2D">
        <w:rPr>
          <w:lang w:val="en-IE"/>
        </w:rPr>
        <w:t>.</w:t>
      </w:r>
    </w:p>
  </w:footnote>
  <w:footnote w:id="30">
    <w:p w14:paraId="30E3B924"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vertAlign w:val="superscript"/>
          <w:lang w:val="en-IE"/>
        </w:rPr>
        <w:t xml:space="preserve"> </w:t>
      </w:r>
      <w:r w:rsidRPr="00FB4E2D">
        <w:rPr>
          <w:lang w:val="en-IE"/>
        </w:rPr>
        <w:tab/>
        <w:t xml:space="preserve">IMF, Regional Economic Outlook, November 2017, </w:t>
      </w:r>
      <w:r w:rsidRPr="00FB4E2D">
        <w:rPr>
          <w:i/>
          <w:lang w:val="en-IE"/>
        </w:rPr>
        <w:t xml:space="preserve">Europe: Europe Hitting its Stride, </w:t>
      </w:r>
      <w:r w:rsidRPr="00FB4E2D" w:rsidDel="00281D0B">
        <w:rPr>
          <w:lang w:val="en-IE"/>
        </w:rPr>
        <w:t>p</w:t>
      </w:r>
      <w:r w:rsidRPr="00FB4E2D">
        <w:rPr>
          <w:lang w:val="en-IE"/>
        </w:rPr>
        <w:t xml:space="preserve">p. xviii, 40, 70: </w:t>
      </w:r>
      <w:hyperlink r:id="rId23" w:history="1">
        <w:r w:rsidRPr="00FB4E2D">
          <w:rPr>
            <w:rStyle w:val="Hyperlink"/>
            <w:lang w:val="en-IE"/>
          </w:rPr>
          <w:t>https://www.imf.org/~/media/Files/Publications/REO/EUR/2017/November/eur-booked-print.ashx?la=en</w:t>
        </w:r>
      </w:hyperlink>
      <w:r w:rsidRPr="00FB4E2D">
        <w:rPr>
          <w:lang w:val="en-IE"/>
        </w:rPr>
        <w:t xml:space="preserve">. </w:t>
      </w:r>
    </w:p>
  </w:footnote>
  <w:footnote w:id="31">
    <w:p w14:paraId="2B427471"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ECB, ‘Structural policies in the euro area’, June 2018, ECB Occasional Paper Series No 210: </w:t>
      </w:r>
      <w:hyperlink r:id="rId24" w:history="1">
        <w:r w:rsidRPr="00FB4E2D">
          <w:rPr>
            <w:rStyle w:val="Hyperlink"/>
            <w:lang w:val="en-IE"/>
          </w:rPr>
          <w:t>https://www.ecb.europa.eu/pub/pdf/scpops/ecb.op210.en.pdf?3db9355b1d1599799aa0e475e5624651</w:t>
        </w:r>
      </w:hyperlink>
      <w:r w:rsidRPr="00FB4E2D">
        <w:rPr>
          <w:lang w:val="en-IE"/>
        </w:rPr>
        <w:t xml:space="preserve">. </w:t>
      </w:r>
    </w:p>
  </w:footnote>
  <w:footnote w:id="32">
    <w:p w14:paraId="2F79EF24"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European Network of Councils for the Judiciary and the Montaigne Centre for the Rule of Law and Administration of Justice of Utrecht University, ‘Economic value of the judiciary – A pilot study for five countries on volume, value and duration of large commercial cases’, June 2021: </w:t>
      </w:r>
      <w:hyperlink r:id="rId25" w:history="1">
        <w:r w:rsidRPr="00FB4E2D">
          <w:rPr>
            <w:rStyle w:val="Hyperlink"/>
            <w:lang w:val="en-IE"/>
          </w:rPr>
          <w:t>https://pgwrk-websitemedia.s3.eu-west-1.amazonaws.com/production/pwk-web-encj2017-p/Reports/Economic%20value%20of%20te%20judiciary%20-%20pilot%20study.pdf</w:t>
        </w:r>
      </w:hyperlink>
      <w:r w:rsidRPr="00FB4E2D">
        <w:rPr>
          <w:lang w:val="en-IE"/>
        </w:rPr>
        <w:t xml:space="preserve">. </w:t>
      </w:r>
    </w:p>
  </w:footnote>
  <w:footnote w:id="33">
    <w:p w14:paraId="73D7F49E"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See e.g. OECD, ‘What makes civil justice effective?’ OECD Economics Department Policy Notes, No 18, June 2013 and </w:t>
      </w:r>
      <w:r w:rsidRPr="00FB4E2D">
        <w:rPr>
          <w:i/>
          <w:lang w:val="en-IE"/>
        </w:rPr>
        <w:t>idem</w:t>
      </w:r>
      <w:r w:rsidRPr="00FB4E2D">
        <w:rPr>
          <w:lang w:val="en-IE"/>
        </w:rPr>
        <w:t>, ‘The Economics of Civil Justice: New Cross-Country Data and Empirics’, OECD Economics Department Working Papers, No 1060, August 2013.</w:t>
      </w:r>
    </w:p>
  </w:footnote>
  <w:footnote w:id="34">
    <w:p w14:paraId="3ED0489C"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World Economic Forum, ‘The Global Competitiveness Report 2019’, October 2019: </w:t>
      </w:r>
      <w:hyperlink r:id="rId26" w:history="1">
        <w:r w:rsidRPr="00FB4E2D">
          <w:rPr>
            <w:lang w:val="en-IE"/>
          </w:rPr>
          <w:t>https://www.weforum.org/reports/global-competitiveness-report-2019</w:t>
        </w:r>
      </w:hyperlink>
      <w:r w:rsidRPr="00FB4E2D">
        <w:rPr>
          <w:lang w:val="en-IE"/>
        </w:rPr>
        <w:t>.</w:t>
      </w:r>
    </w:p>
  </w:footnote>
  <w:footnote w:id="35">
    <w:p w14:paraId="577E6236"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World Bank, ‘World Development Report 2017: Governance and the Law, Chapter 3: The role of law’, pp. 83, 140: </w:t>
      </w:r>
      <w:hyperlink r:id="rId27" w:history="1">
        <w:r w:rsidRPr="00FB4E2D">
          <w:rPr>
            <w:rStyle w:val="Hyperlink"/>
            <w:lang w:val="en-IE"/>
          </w:rPr>
          <w:t>http://www.worldbank.org/en/publication/wdr2017</w:t>
        </w:r>
      </w:hyperlink>
      <w:r w:rsidRPr="00FB4E2D">
        <w:rPr>
          <w:lang w:val="en-IE"/>
        </w:rPr>
        <w:t xml:space="preserve">. </w:t>
      </w:r>
    </w:p>
  </w:footnote>
  <w:footnote w:id="36">
    <w:p w14:paraId="268A8DC8" w14:textId="5F17AA29"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The ‘disposition time’ indicator is the number of unresolved cases divided by the number of resolved cases at the end of a year</w:t>
      </w:r>
      <w:r w:rsidR="00962929" w:rsidRPr="00FB4E2D">
        <w:rPr>
          <w:lang w:val="en-IE"/>
        </w:rPr>
        <w:t>,</w:t>
      </w:r>
      <w:r w:rsidRPr="00FB4E2D">
        <w:rPr>
          <w:lang w:val="en-IE"/>
        </w:rPr>
        <w:t xml:space="preserve"> multiplied by 365 (days). It is a standard indicator developed by the CEPEJ: </w:t>
      </w:r>
      <w:hyperlink r:id="rId28" w:history="1">
        <w:r w:rsidRPr="00FB4E2D">
          <w:rPr>
            <w:rStyle w:val="Hyperlink"/>
            <w:lang w:val="en-IE"/>
          </w:rPr>
          <w:t>http://www.coe.int/t/dghl/cooperation/cepej/evaluation/default_en.asp</w:t>
        </w:r>
      </w:hyperlink>
      <w:r w:rsidRPr="00FB4E2D">
        <w:rPr>
          <w:lang w:val="en-IE"/>
        </w:rPr>
        <w:t>.</w:t>
      </w:r>
    </w:p>
  </w:footnote>
  <w:footnote w:id="37">
    <w:p w14:paraId="2C6DF52B"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Bove, V. and Elia, L., 2017 ‘The judicial system and economic development across EU Member States’, JRC Technical Report, EUR 28440 EN, Publications Office of the EU, Luxembourg: </w:t>
      </w:r>
      <w:hyperlink r:id="rId29" w:history="1">
        <w:r w:rsidRPr="00FB4E2D">
          <w:rPr>
            <w:rStyle w:val="Hyperlink"/>
            <w:lang w:val="en-IE"/>
          </w:rPr>
          <w:t>http://publications.jrc.ec.europa.eu/repository/bitstream/JRC104594/jrc104594__2017_the_judicial_system_and_economic_development_across_eu_member_states.pdf</w:t>
        </w:r>
      </w:hyperlink>
      <w:r w:rsidRPr="00FB4E2D">
        <w:rPr>
          <w:lang w:val="en-IE"/>
        </w:rPr>
        <w:t>.</w:t>
      </w:r>
    </w:p>
  </w:footnote>
  <w:footnote w:id="38">
    <w:p w14:paraId="11633F5A" w14:textId="77777777" w:rsidR="00A02C07" w:rsidRPr="00FB4E2D" w:rsidRDefault="00A02C07" w:rsidP="00A02C07">
      <w:pPr>
        <w:pStyle w:val="FootnoteText"/>
        <w:ind w:left="284" w:hanging="284"/>
        <w:rPr>
          <w:i/>
          <w:lang w:val="en-IE"/>
        </w:rPr>
      </w:pPr>
      <w:r w:rsidRPr="00FB4E2D">
        <w:rPr>
          <w:rStyle w:val="FootnoteReference"/>
          <w:lang w:val="en-IE"/>
        </w:rPr>
        <w:footnoteRef/>
      </w:r>
      <w:r w:rsidRPr="00FB4E2D">
        <w:rPr>
          <w:lang w:val="en-IE"/>
        </w:rPr>
        <w:t xml:space="preserve"> </w:t>
      </w:r>
      <w:r w:rsidRPr="00FB4E2D">
        <w:rPr>
          <w:lang w:val="en-IE"/>
        </w:rPr>
        <w:tab/>
      </w:r>
      <w:r w:rsidRPr="00FB4E2D">
        <w:rPr>
          <w:i/>
          <w:lang w:val="en-IE"/>
        </w:rPr>
        <w:t>Ibidem.</w:t>
      </w:r>
    </w:p>
  </w:footnote>
  <w:footnote w:id="39">
    <w:p w14:paraId="7985583E" w14:textId="6502AACE" w:rsidR="009D44AD" w:rsidRPr="00FB4E2D" w:rsidRDefault="009D44AD" w:rsidP="009D44AD">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r>
      <w:r w:rsidR="00B04087" w:rsidRPr="00FB4E2D">
        <w:rPr>
          <w:lang w:val="en-IE"/>
        </w:rPr>
        <w:t xml:space="preserve">The study </w:t>
      </w:r>
      <w:r w:rsidR="00A41F64" w:rsidRPr="00FB4E2D">
        <w:rPr>
          <w:lang w:val="en-IE"/>
        </w:rPr>
        <w:t xml:space="preserve">used the </w:t>
      </w:r>
      <w:r w:rsidR="00CB7460" w:rsidRPr="00FB4E2D">
        <w:rPr>
          <w:lang w:val="en-IE"/>
        </w:rPr>
        <w:t>structural evolution from 1</w:t>
      </w:r>
      <w:r w:rsidR="00FC5571" w:rsidRPr="00FB4E2D">
        <w:rPr>
          <w:lang w:val="en-IE"/>
        </w:rPr>
        <w:t>970 to 2019</w:t>
      </w:r>
      <w:r w:rsidR="007713DB" w:rsidRPr="00FB4E2D">
        <w:rPr>
          <w:lang w:val="en-IE"/>
        </w:rPr>
        <w:t xml:space="preserve"> in the </w:t>
      </w:r>
      <w:r w:rsidR="00A41F64" w:rsidRPr="00FB4E2D">
        <w:rPr>
          <w:lang w:val="en-IE"/>
        </w:rPr>
        <w:t>number of judges as a</w:t>
      </w:r>
      <w:r w:rsidR="00AA19E9" w:rsidRPr="00FB4E2D">
        <w:rPr>
          <w:lang w:val="en-IE"/>
        </w:rPr>
        <w:t>n in</w:t>
      </w:r>
      <w:r w:rsidR="00985464" w:rsidRPr="00FB4E2D">
        <w:rPr>
          <w:lang w:val="en-IE"/>
        </w:rPr>
        <w:t xml:space="preserve">dicator for </w:t>
      </w:r>
      <w:r w:rsidR="007713DB" w:rsidRPr="00FB4E2D">
        <w:rPr>
          <w:lang w:val="en-IE"/>
        </w:rPr>
        <w:t>access to justice</w:t>
      </w:r>
      <w:r w:rsidR="00347EEC" w:rsidRPr="00FB4E2D">
        <w:rPr>
          <w:lang w:val="en-IE"/>
        </w:rPr>
        <w:t xml:space="preserve">. </w:t>
      </w:r>
      <w:r w:rsidR="008A1353" w:rsidRPr="00FB4E2D">
        <w:rPr>
          <w:lang w:val="en-IE"/>
        </w:rPr>
        <w:t>Deseau</w:t>
      </w:r>
      <w:r w:rsidR="00F664D4" w:rsidRPr="00FB4E2D">
        <w:rPr>
          <w:lang w:val="en-IE"/>
        </w:rPr>
        <w:t xml:space="preserve"> A.,</w:t>
      </w:r>
      <w:r w:rsidR="004A4239" w:rsidRPr="00FB4E2D">
        <w:rPr>
          <w:lang w:val="en-IE"/>
        </w:rPr>
        <w:t xml:space="preserve"> </w:t>
      </w:r>
      <w:r w:rsidR="008A1353" w:rsidRPr="00FB4E2D">
        <w:rPr>
          <w:lang w:val="en-IE"/>
        </w:rPr>
        <w:t>Levai</w:t>
      </w:r>
      <w:r w:rsidR="00F664D4" w:rsidRPr="00FB4E2D">
        <w:rPr>
          <w:lang w:val="en-IE"/>
        </w:rPr>
        <w:t xml:space="preserve"> A.</w:t>
      </w:r>
      <w:r w:rsidR="008A1353" w:rsidRPr="00FB4E2D">
        <w:rPr>
          <w:lang w:val="en-IE"/>
        </w:rPr>
        <w:t xml:space="preserve">, </w:t>
      </w:r>
      <w:r w:rsidR="00F664D4" w:rsidRPr="00FB4E2D">
        <w:rPr>
          <w:lang w:val="en-IE"/>
        </w:rPr>
        <w:t xml:space="preserve">and </w:t>
      </w:r>
      <w:r w:rsidR="008A1353" w:rsidRPr="00FB4E2D">
        <w:rPr>
          <w:lang w:val="en-IE"/>
        </w:rPr>
        <w:t>Schmiegelow</w:t>
      </w:r>
      <w:r w:rsidR="00F664D4" w:rsidRPr="00FB4E2D">
        <w:rPr>
          <w:lang w:val="en-IE"/>
        </w:rPr>
        <w:t xml:space="preserve"> M.</w:t>
      </w:r>
      <w:r w:rsidR="008A1353" w:rsidRPr="00FB4E2D">
        <w:rPr>
          <w:lang w:val="en-IE"/>
        </w:rPr>
        <w:t xml:space="preserve">, </w:t>
      </w:r>
      <w:r w:rsidR="00266DB6" w:rsidRPr="00FB4E2D">
        <w:rPr>
          <w:lang w:val="en-IE"/>
        </w:rPr>
        <w:t xml:space="preserve">2025 </w:t>
      </w:r>
      <w:r w:rsidR="00F0487F" w:rsidRPr="00FB4E2D">
        <w:rPr>
          <w:lang w:val="en-IE"/>
        </w:rPr>
        <w:t>‘</w:t>
      </w:r>
      <w:r w:rsidR="008A1353" w:rsidRPr="00FB4E2D">
        <w:rPr>
          <w:lang w:val="en-IE"/>
        </w:rPr>
        <w:t>Access to justice and economic development: Evidence from an international panel dataset</w:t>
      </w:r>
      <w:r w:rsidR="00F0487F" w:rsidRPr="00FB4E2D">
        <w:rPr>
          <w:lang w:val="en-IE"/>
        </w:rPr>
        <w:t>’</w:t>
      </w:r>
      <w:r w:rsidR="008A1353" w:rsidRPr="00FB4E2D">
        <w:rPr>
          <w:lang w:val="en-IE"/>
        </w:rPr>
        <w:t>, European Economic Review, Volume 172, 104947</w:t>
      </w:r>
      <w:r w:rsidR="00FD48D3" w:rsidRPr="00FB4E2D">
        <w:rPr>
          <w:lang w:val="en-IE"/>
        </w:rPr>
        <w:t xml:space="preserve">: </w:t>
      </w:r>
      <w:hyperlink r:id="rId30" w:history="1">
        <w:r w:rsidR="00FD48D3" w:rsidRPr="00FB4E2D">
          <w:rPr>
            <w:rStyle w:val="Hyperlink"/>
            <w:lang w:val="en-IE"/>
          </w:rPr>
          <w:t>https://doi.org/10.1016/j.euroecorev.2024.104947</w:t>
        </w:r>
      </w:hyperlink>
      <w:r w:rsidR="00FD48D3" w:rsidRPr="00FB4E2D">
        <w:rPr>
          <w:lang w:val="en-IE"/>
        </w:rPr>
        <w:t xml:space="preserve">. </w:t>
      </w:r>
    </w:p>
  </w:footnote>
  <w:footnote w:id="40">
    <w:p w14:paraId="2782132C"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Economist Intelligence Unit, ‘Risk and Return – Foreign Direct Investment and the Rule of Law’, 2015 </w:t>
      </w:r>
      <w:hyperlink r:id="rId31" w:history="1">
        <w:r w:rsidRPr="00FB4E2D">
          <w:rPr>
            <w:rStyle w:val="Hyperlink"/>
            <w:lang w:val="en-IE"/>
          </w:rPr>
          <w:t>http://www.biicl.org/documents/625_d4_fdi_main_report.pdf</w:t>
        </w:r>
      </w:hyperlink>
      <w:r w:rsidRPr="00FB4E2D">
        <w:rPr>
          <w:lang w:val="en-IE"/>
        </w:rPr>
        <w:t>, p. 22.</w:t>
      </w:r>
    </w:p>
  </w:footnote>
  <w:footnote w:id="41">
    <w:p w14:paraId="442650A8"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EU Intellectual Property Office (EUIPO), Intellectual Property (IP) SME Scoreboard 2016: </w:t>
      </w:r>
      <w:hyperlink r:id="rId32" w:history="1">
        <w:r w:rsidRPr="00FB4E2D">
          <w:rPr>
            <w:rStyle w:val="Hyperlink"/>
            <w:lang w:val="en-IE"/>
          </w:rPr>
          <w:t>https://euipo.europa.eu/tunnel-web/secure/webdav/guest/document_library/observatory/documents/sme_scoreboard_study_2016/Executive-summary_en.pdf</w:t>
        </w:r>
      </w:hyperlink>
      <w:r w:rsidRPr="00FB4E2D">
        <w:rPr>
          <w:lang w:val="en-IE"/>
        </w:rPr>
        <w:t>.</w:t>
      </w:r>
    </w:p>
  </w:footnote>
  <w:footnote w:id="42">
    <w:p w14:paraId="0CF1166D"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COM(2020)93 and SWD(2020)54. </w:t>
      </w:r>
    </w:p>
  </w:footnote>
  <w:footnote w:id="43">
    <w:p w14:paraId="17F5FB76"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Communication from the Commission to the European Parliament, the Council, the European Economic and Social Committee and the Committee of the Regions, </w:t>
      </w:r>
      <w:r w:rsidRPr="00FB4E2D">
        <w:rPr>
          <w:i/>
          <w:lang w:val="en-IE"/>
        </w:rPr>
        <w:t>Long term action plan for better implementation and enforcement of single market rules</w:t>
      </w:r>
      <w:r w:rsidRPr="00FB4E2D">
        <w:rPr>
          <w:lang w:val="en-IE"/>
        </w:rPr>
        <w:t xml:space="preserve">, COM(2020)94, in particular actions 4, 6 and 18. </w:t>
      </w:r>
    </w:p>
  </w:footnote>
  <w:footnote w:id="44">
    <w:p w14:paraId="2AC404BE"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AI can contribute to a more efficient justice system by helping judges and justice professionals to focus on their substantive work. For example, AI has been used in following cases, document filing or handling of repetitive tasks, as well as research of legislation and case law.</w:t>
      </w:r>
    </w:p>
  </w:footnote>
  <w:footnote w:id="45">
    <w:p w14:paraId="3CF6A78B"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Regulation (EU) 2023/2844 of the European Parliament and of the Council of 13 December 2023 on the digitalisation of judicial cooperation and access to justice in cross-border civil, commercial and criminal matters, and amending certain acts in the field of judicial cooperation, PE/50/2023/REV/1, OJ L, 2023/2844, 27.12.2023.</w:t>
      </w:r>
    </w:p>
  </w:footnote>
  <w:footnote w:id="46">
    <w:p w14:paraId="5D865404"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hyperlink r:id="rId33" w:history="1">
        <w:r w:rsidRPr="00FB4E2D">
          <w:rPr>
            <w:rStyle w:val="Hyperlink"/>
            <w:lang w:val="en-IE"/>
          </w:rPr>
          <w:t>COM(2025)802</w:t>
        </w:r>
      </w:hyperlink>
      <w:r w:rsidRPr="00FB4E2D">
        <w:rPr>
          <w:lang w:val="en-IE"/>
        </w:rPr>
        <w:t xml:space="preserve"> – DigitalJustice@2030.</w:t>
      </w:r>
    </w:p>
    <w:p w14:paraId="0551F31A" w14:textId="700EEE5E" w:rsidR="00A02C07" w:rsidRPr="00FB4E2D" w:rsidRDefault="00A02C07" w:rsidP="00B50AB5">
      <w:pPr>
        <w:pStyle w:val="FootnoteText"/>
        <w:ind w:left="0" w:firstLine="0"/>
        <w:rPr>
          <w:lang w:val="en-IE"/>
        </w:rPr>
      </w:pPr>
    </w:p>
  </w:footnote>
  <w:footnote w:id="47">
    <w:p w14:paraId="33E7D129" w14:textId="7A377C9B"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The enforcement of court decisions is also important for the efficiency of a justice system. However, comparable data are not readily available. More details on the individual Member States’ situation are presented in the 2025 study on the functioning of judicial systems in the </w:t>
      </w:r>
      <w:r w:rsidRPr="00FB4E2D" w:rsidDel="002C2ED7">
        <w:rPr>
          <w:lang w:val="en-IE"/>
        </w:rPr>
        <w:t xml:space="preserve">EU </w:t>
      </w:r>
      <w:r w:rsidRPr="00FB4E2D">
        <w:rPr>
          <w:lang w:val="en-IE"/>
        </w:rPr>
        <w:t>Member States – country profiles, carried out by the CEPEJ Secretariat for the Commission:</w:t>
      </w:r>
      <w:r w:rsidR="00B50AB5" w:rsidRPr="00FB4E2D">
        <w:rPr>
          <w:lang w:val="en-IE"/>
        </w:rPr>
        <w:t xml:space="preserve"> </w:t>
      </w:r>
      <w:hyperlink r:id="rId34" w:history="1">
        <w:r w:rsidR="005D7981" w:rsidRPr="00FB4E2D">
          <w:rPr>
            <w:rStyle w:val="Hyperlink"/>
            <w:lang w:val="en-IE"/>
          </w:rPr>
          <w:t>https://commission.europa.eu/strategy-and-policy/policies/justice-and-fundamental-rights/upholding-rule-law/eu-justice-scoreboard_en</w:t>
        </w:r>
      </w:hyperlink>
      <w:r w:rsidRPr="00FA47D3">
        <w:rPr>
          <w:rStyle w:val="Hyperlink"/>
          <w:color w:val="000000" w:themeColor="text1"/>
          <w:u w:val="none"/>
          <w:lang w:val="en-IE"/>
        </w:rPr>
        <w:t>.</w:t>
      </w:r>
    </w:p>
  </w:footnote>
  <w:footnote w:id="48">
    <w:p w14:paraId="038DCC76" w14:textId="5DBA5AFC" w:rsidR="00F33C04" w:rsidRPr="00FB4E2D" w:rsidRDefault="00F33C04" w:rsidP="00F33C04">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In the context of the European Semester, the Council, on the basis of the Commission’s proposal, addressed country-specific recommendations (CSRs) on their justice systems to seven Member States in 2019 (HR, IT, CY, HU, MT, PT and SK) and eight Member States in 2020 (HR, IT, CY, HU, MT, PL, PT and SK). There were no CSRs in 2021 due to the ongoing RRF process. In 2022, there were two Member States (PL and HU) with CSRs related to judicial independence. In addition, in 2023 the justice system was mentioned for two Member States (HU, PL). In 2023, only PL received a CSR on its justice system, which was based on the 2022 CSR. In 2024, SK received a CSR related to the judicial system and anti-corruption framework, HU received a CSR related to improving the regulatory framework in line with principle</w:t>
      </w:r>
      <w:r w:rsidR="00FF24B6" w:rsidRPr="00FB4E2D">
        <w:rPr>
          <w:lang w:val="en-IE"/>
        </w:rPr>
        <w:t>s</w:t>
      </w:r>
      <w:r w:rsidRPr="00FB4E2D">
        <w:rPr>
          <w:lang w:val="en-IE"/>
        </w:rPr>
        <w:t xml:space="preserve"> of the rule of law , while BG received a CSR regarding the regulatory authorities and their independence. As per the Commission’s 2025 spring package, CSRs reiterate the same issues for SK, HU and BG. Additionally, CSRs address effectiveness of anti-corruption measures for BG and the legislative process for SK, while a CSR regarding judicial efficiency is issued to ES. Several RRPs include measures to increase the efficiency, quality, or independence of justice. </w:t>
      </w:r>
    </w:p>
  </w:footnote>
  <w:footnote w:id="49">
    <w:p w14:paraId="18191CB6" w14:textId="6559A3AE" w:rsidR="00A02C07" w:rsidRPr="00FB4E2D" w:rsidRDefault="00A02C07" w:rsidP="00A02C07">
      <w:pPr>
        <w:spacing w:after="0" w:line="240" w:lineRule="auto"/>
        <w:ind w:left="284" w:hanging="284"/>
        <w:jc w:val="both"/>
        <w:rPr>
          <w:rFonts w:ascii="Times New Roman" w:hAnsi="Times New Roman" w:cs="Times New Roman"/>
          <w:sz w:val="20"/>
          <w:szCs w:val="20"/>
          <w:highlight w:val="yellow"/>
        </w:rPr>
      </w:pPr>
      <w:r w:rsidRPr="00FB4E2D">
        <w:rPr>
          <w:rFonts w:ascii="Times New Roman" w:hAnsi="Times New Roman" w:cs="Times New Roman"/>
          <w:sz w:val="20"/>
          <w:szCs w:val="20"/>
          <w:vertAlign w:val="superscript"/>
        </w:rPr>
        <w:footnoteRef/>
      </w:r>
      <w:r w:rsidRPr="00FB4E2D">
        <w:rPr>
          <w:rFonts w:ascii="Times New Roman" w:hAnsi="Times New Roman" w:cs="Times New Roman"/>
          <w:sz w:val="20"/>
          <w:szCs w:val="20"/>
        </w:rPr>
        <w:t xml:space="preserve"> </w:t>
      </w:r>
      <w:r w:rsidRPr="00FB4E2D">
        <w:rPr>
          <w:rFonts w:ascii="Times New Roman" w:hAnsi="Times New Roman" w:cs="Times New Roman"/>
          <w:sz w:val="20"/>
          <w:szCs w:val="20"/>
        </w:rPr>
        <w:tab/>
        <w:t>Directive (EU) 2018/1673 of the European Parliament and of the Council of 23</w:t>
      </w:r>
      <w:r w:rsidR="00FC204D" w:rsidRPr="00FB4E2D">
        <w:rPr>
          <w:rFonts w:ascii="Times New Roman" w:hAnsi="Times New Roman" w:cs="Times New Roman"/>
          <w:sz w:val="20"/>
          <w:szCs w:val="20"/>
        </w:rPr>
        <w:t> </w:t>
      </w:r>
      <w:r w:rsidRPr="00FB4E2D">
        <w:rPr>
          <w:rFonts w:ascii="Times New Roman" w:hAnsi="Times New Roman" w:cs="Times New Roman"/>
          <w:sz w:val="20"/>
          <w:szCs w:val="20"/>
        </w:rPr>
        <w:t>October</w:t>
      </w:r>
      <w:r w:rsidR="00F33BC9" w:rsidRPr="00FB4E2D">
        <w:rPr>
          <w:rFonts w:ascii="Times New Roman" w:hAnsi="Times New Roman" w:cs="Times New Roman"/>
          <w:sz w:val="20"/>
          <w:szCs w:val="20"/>
        </w:rPr>
        <w:t> </w:t>
      </w:r>
      <w:r w:rsidRPr="00FB4E2D">
        <w:rPr>
          <w:rFonts w:ascii="Times New Roman" w:hAnsi="Times New Roman" w:cs="Times New Roman"/>
          <w:sz w:val="20"/>
          <w:szCs w:val="20"/>
        </w:rPr>
        <w:t>2018 on combating money laundering by criminal law will eliminate certain legal obstacles that may delay prosecution, such as a rule that prosecution for money laundering can only start when the proceedings for the underlying predicate offence have been concluded. Member States were required to transpose the Directive by 8</w:t>
      </w:r>
      <w:r w:rsidR="00F33BC9" w:rsidRPr="00FB4E2D">
        <w:rPr>
          <w:rFonts w:ascii="Times New Roman" w:hAnsi="Times New Roman" w:cs="Times New Roman"/>
          <w:sz w:val="20"/>
          <w:szCs w:val="20"/>
        </w:rPr>
        <w:t> </w:t>
      </w:r>
      <w:r w:rsidRPr="00FB4E2D">
        <w:rPr>
          <w:rFonts w:ascii="Times New Roman" w:hAnsi="Times New Roman" w:cs="Times New Roman"/>
          <w:sz w:val="20"/>
          <w:szCs w:val="20"/>
        </w:rPr>
        <w:t>December</w:t>
      </w:r>
      <w:r w:rsidR="00F33BC9" w:rsidRPr="00FB4E2D">
        <w:rPr>
          <w:rFonts w:ascii="Times New Roman" w:hAnsi="Times New Roman" w:cs="Times New Roman"/>
          <w:sz w:val="20"/>
          <w:szCs w:val="20"/>
        </w:rPr>
        <w:t> </w:t>
      </w:r>
      <w:r w:rsidRPr="00FB4E2D">
        <w:rPr>
          <w:rFonts w:ascii="Times New Roman" w:hAnsi="Times New Roman" w:cs="Times New Roman"/>
          <w:sz w:val="20"/>
          <w:szCs w:val="20"/>
        </w:rPr>
        <w:t>2020.</w:t>
      </w:r>
    </w:p>
  </w:footnote>
  <w:footnote w:id="50">
    <w:p w14:paraId="166F4344"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2025 study on the functioning of judicial systems in the </w:t>
      </w:r>
      <w:r w:rsidRPr="00FB4E2D" w:rsidDel="002C2ED7">
        <w:rPr>
          <w:lang w:val="en-IE"/>
        </w:rPr>
        <w:t xml:space="preserve">EU </w:t>
      </w:r>
      <w:r w:rsidRPr="00FB4E2D">
        <w:rPr>
          <w:lang w:val="en-IE"/>
        </w:rPr>
        <w:t xml:space="preserve">Member States, carried out by the CEPEJ Secretariat for the Commission: </w:t>
      </w:r>
      <w:hyperlink r:id="rId35" w:anchor="documents" w:history="1">
        <w:r w:rsidRPr="00FB4E2D">
          <w:rPr>
            <w:rStyle w:val="Hyperlink"/>
            <w:lang w:val="en-IE"/>
          </w:rPr>
          <w:t>https://commission.europa.eu/strategy-and-policy/policies/justice-and-fundamental-rights/upholding-rule-law/eu-justice-scoreboard_en#documents</w:t>
        </w:r>
      </w:hyperlink>
      <w:r w:rsidRPr="00FB4E2D">
        <w:rPr>
          <w:lang w:val="en-IE"/>
        </w:rPr>
        <w:t xml:space="preserve">. </w:t>
      </w:r>
    </w:p>
  </w:footnote>
  <w:footnote w:id="51">
    <w:p w14:paraId="457456AD"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Length of proceedings, clearance rate and number of pending cases are standard indicators defined by CEPEJ: </w:t>
      </w:r>
      <w:hyperlink r:id="rId36" w:history="1">
        <w:r w:rsidRPr="00FB4E2D">
          <w:rPr>
            <w:rStyle w:val="Hyperlink"/>
            <w:lang w:val="en-IE"/>
          </w:rPr>
          <w:t>http://www.coe.int/t/dghl/cooperation/cepej/evaluation/default_en.asp</w:t>
        </w:r>
      </w:hyperlink>
      <w:r w:rsidRPr="00FA47D3">
        <w:rPr>
          <w:rStyle w:val="Hyperlink"/>
          <w:u w:val="none"/>
          <w:lang w:val="en-IE"/>
        </w:rPr>
        <w:t>.</w:t>
      </w:r>
    </w:p>
  </w:footnote>
  <w:footnote w:id="52">
    <w:p w14:paraId="1B2E15EC" w14:textId="35EB3929"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 xml:space="preserve">The years were chosen to keep the </w:t>
      </w:r>
      <w:r w:rsidR="00B072BD">
        <w:rPr>
          <w:lang w:val="en-IE"/>
        </w:rPr>
        <w:t>10</w:t>
      </w:r>
      <w:r w:rsidRPr="00FB4E2D">
        <w:rPr>
          <w:lang w:val="en-IE"/>
        </w:rPr>
        <w:t>-year perspective with 2014 as a baseline, while at the same time not overcrowding the figures. Data for 2010, 2012, 2013, 2015, 2016, 2017, 2018, 2019, 2020 and 2021 are available in the CEPEJ report.</w:t>
      </w:r>
    </w:p>
  </w:footnote>
  <w:footnote w:id="53">
    <w:p w14:paraId="520BC7DD" w14:textId="3AE93A8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The length of proceedings in specific areas is calculated in calendar days, counting from the day on which an action or appeal was lodged before the court (or the indictment became final) until the day on which the court adopted its decision (Figures 15-22). Where data were not available for all years, the average reflects the available data presented in the chart, based on all cases, a sample of cases or, in very few countries, estimations.</w:t>
      </w:r>
    </w:p>
  </w:footnote>
  <w:footnote w:id="54">
    <w:p w14:paraId="28FF4DEA"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Figure 18 of the Retention and Expansion of Foreign Direct Investment, Political Risk and Policy Responses, 2019 the World Bank Group.</w:t>
      </w:r>
    </w:p>
  </w:footnote>
  <w:footnote w:id="55">
    <w:p w14:paraId="655CE1AC"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See Council Regulation (EC) No 1/2003 of 16 December 2002 on the implementation of the rules on competition laid down in Articles 81 and 82 of the Treaty (Text with EEA relevance), OJ L 1, 4.1.2003, pp. 1</w:t>
      </w:r>
      <w:r w:rsidRPr="00FB4E2D">
        <w:rPr>
          <w:rFonts w:eastAsia="Calibri"/>
          <w:i/>
          <w:lang w:val="en-IE"/>
        </w:rPr>
        <w:t>–</w:t>
      </w:r>
      <w:r w:rsidRPr="00FB4E2D">
        <w:rPr>
          <w:lang w:val="en-IE"/>
        </w:rPr>
        <w:t>25, in particular Articles 3 and 5.</w:t>
      </w:r>
    </w:p>
  </w:footnote>
  <w:footnote w:id="56">
    <w:p w14:paraId="374A7141" w14:textId="20773199"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The calculation was based on the length of appeal cases against national regulatory authority decisions applying national laws that implement the EU regulatory framework for electronic communications (Directives 2002/19/EC (Access Directive), Directive 2002/20/EC (Authorisation Directive), Directive 2002/21/EC (Framework Directive), Directive 2002/22/EC (Universal Service Directive),</w:t>
      </w:r>
      <w:r w:rsidRPr="00FB4E2D" w:rsidDel="009809FB">
        <w:rPr>
          <w:lang w:val="en-IE"/>
        </w:rPr>
        <w:t xml:space="preserve"> </w:t>
      </w:r>
      <w:r w:rsidRPr="00FB4E2D">
        <w:rPr>
          <w:lang w:val="en-IE"/>
        </w:rPr>
        <w:t>as well as other relevant EU law such as the radio spectrum policy programme and Commission spectrum decisions, excluding Directive 2002/58/EC on privacy and electronic communications.</w:t>
      </w:r>
    </w:p>
  </w:footnote>
  <w:footnote w:id="57">
    <w:p w14:paraId="3DE7A86D"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Regulation (EU) 2017/1001 of the European Parliament and of the Council of 14 June 2017 on the European Union trademark (OJ L 154, 16.6.2017, pp. 1</w:t>
      </w:r>
      <w:r w:rsidRPr="00FB4E2D">
        <w:rPr>
          <w:rFonts w:eastAsia="Calibri"/>
          <w:lang w:val="en-IE"/>
        </w:rPr>
        <w:t>–</w:t>
      </w:r>
      <w:r w:rsidRPr="00FB4E2D" w:rsidDel="00A97146">
        <w:rPr>
          <w:lang w:val="en-IE"/>
        </w:rPr>
        <w:t>99</w:t>
      </w:r>
      <w:r w:rsidRPr="00FB4E2D">
        <w:rPr>
          <w:lang w:val="en-IE"/>
        </w:rPr>
        <w:t>).</w:t>
      </w:r>
    </w:p>
  </w:footnote>
  <w:footnote w:id="58">
    <w:p w14:paraId="7B3520F4" w14:textId="79248525"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 xml:space="preserve">Figures </w:t>
      </w:r>
      <w:r w:rsidR="00D00904" w:rsidRPr="00FB4E2D">
        <w:rPr>
          <w:lang w:val="en-IE"/>
        </w:rPr>
        <w:t>19</w:t>
      </w:r>
      <w:r w:rsidRPr="00FB4E2D">
        <w:rPr>
          <w:lang w:val="en-IE"/>
        </w:rPr>
        <w:t xml:space="preserve"> and </w:t>
      </w:r>
      <w:r w:rsidR="00D00904" w:rsidRPr="00FB4E2D">
        <w:rPr>
          <w:lang w:val="en-IE"/>
        </w:rPr>
        <w:t>20</w:t>
      </w:r>
      <w:r w:rsidRPr="00FB4E2D">
        <w:rPr>
          <w:lang w:val="en-IE"/>
        </w:rPr>
        <w:t xml:space="preserve"> relate to the enforcement of the Unfair Terms Directive (93/13/EEC), the Consumer Sales and Guarantees Directive (1999/44/EC), the Unfair Commercial Practices Directive (2005/29/EC) and the Consumer Rights Directive (2011/83/EC), and their national implementing provisions.</w:t>
      </w:r>
    </w:p>
  </w:footnote>
  <w:footnote w:id="59">
    <w:p w14:paraId="403E3C28" w14:textId="6C7D04EE"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EU legislation addresses the fight against money laundering through Directive (EU) 2018/1673 of the European Parliament and of the Council of 23 October 2018 on combating money laundering by criminal law</w:t>
      </w:r>
      <w:r w:rsidR="00501684" w:rsidRPr="00FB4E2D">
        <w:rPr>
          <w:lang w:val="en-IE"/>
        </w:rPr>
        <w:t xml:space="preserve"> and through Directive (EU) 2015/849 of the European Parliament and of the Council of 20 May 2015 on the prevention of the use of the financial system for the purposes of money laundering or terrorist financing</w:t>
      </w:r>
      <w:r w:rsidRPr="00FB4E2D">
        <w:rPr>
          <w:lang w:val="en-IE"/>
        </w:rPr>
        <w:t>.</w:t>
      </w:r>
    </w:p>
  </w:footnote>
  <w:footnote w:id="60">
    <w:p w14:paraId="2E96ACC3" w14:textId="17B68B48"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Recital 2 of Directive (EU) 2015/849.</w:t>
      </w:r>
    </w:p>
  </w:footnote>
  <w:footnote w:id="61">
    <w:p w14:paraId="656E93B2"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IMF factsheet, 8 March 2018: </w:t>
      </w:r>
      <w:hyperlink r:id="rId37" w:history="1">
        <w:r w:rsidRPr="00FB4E2D">
          <w:rPr>
            <w:rStyle w:val="Hyperlink"/>
            <w:lang w:val="en-IE"/>
          </w:rPr>
          <w:t>https://www.imf.org/en/About/Factsheets/Sheets/2016/08/01/16/31/Fight-Against-Money-Laundering-the-Financing-of-Terrorism</w:t>
        </w:r>
      </w:hyperlink>
      <w:r w:rsidRPr="00FB4E2D">
        <w:rPr>
          <w:lang w:val="en-IE"/>
        </w:rPr>
        <w:t xml:space="preserve">. </w:t>
      </w:r>
    </w:p>
  </w:footnote>
  <w:footnote w:id="62">
    <w:p w14:paraId="5E251237" w14:textId="71A34323"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 xml:space="preserve">See also the </w:t>
      </w:r>
      <w:r w:rsidR="00B24219" w:rsidRPr="00FB4E2D">
        <w:rPr>
          <w:lang w:val="en-IE"/>
        </w:rPr>
        <w:t xml:space="preserve">amendment to </w:t>
      </w:r>
      <w:r w:rsidRPr="00FB4E2D">
        <w:rPr>
          <w:lang w:val="en-IE"/>
        </w:rPr>
        <w:t xml:space="preserve">Article 44 </w:t>
      </w:r>
      <w:r w:rsidR="00B24219" w:rsidRPr="00FB4E2D">
        <w:rPr>
          <w:rFonts w:eastAsia="Calibri"/>
          <w:lang w:val="en-IE"/>
        </w:rPr>
        <w:t xml:space="preserve">(EU) 2015/849 </w:t>
      </w:r>
      <w:r w:rsidR="00B24219" w:rsidRPr="00FB4E2D">
        <w:rPr>
          <w:lang w:val="en-IE"/>
        </w:rPr>
        <w:t>through Directive (EU) 2018/843 of the European Parliament and of the Council of 30 May 2018</w:t>
      </w:r>
      <w:r w:rsidRPr="00FB4E2D">
        <w:rPr>
          <w:lang w:val="en-IE"/>
        </w:rPr>
        <w:t xml:space="preserve">, which entered into force in June 2018 and had to be </w:t>
      </w:r>
      <w:r w:rsidR="00B24219" w:rsidRPr="00FB4E2D">
        <w:rPr>
          <w:lang w:val="en-IE"/>
        </w:rPr>
        <w:t xml:space="preserve">transposed </w:t>
      </w:r>
      <w:r w:rsidRPr="00FB4E2D">
        <w:rPr>
          <w:lang w:val="en-IE"/>
        </w:rPr>
        <w:t xml:space="preserve">by Member States </w:t>
      </w:r>
      <w:r w:rsidR="00B24219" w:rsidRPr="00FB4E2D">
        <w:rPr>
          <w:lang w:val="en-IE"/>
        </w:rPr>
        <w:t xml:space="preserve">in their legal order </w:t>
      </w:r>
      <w:r w:rsidRPr="00FB4E2D">
        <w:rPr>
          <w:lang w:val="en-IE"/>
        </w:rPr>
        <w:t xml:space="preserve">by </w:t>
      </w:r>
      <w:r w:rsidR="00B24219" w:rsidRPr="00FB4E2D">
        <w:rPr>
          <w:lang w:val="en-IE"/>
        </w:rPr>
        <w:t xml:space="preserve">10 </w:t>
      </w:r>
      <w:r w:rsidRPr="00FB4E2D">
        <w:rPr>
          <w:lang w:val="en-IE"/>
        </w:rPr>
        <w:t>January 2020.</w:t>
      </w:r>
    </w:p>
  </w:footnote>
  <w:footnote w:id="63">
    <w:p w14:paraId="1FA030BB"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Proposal for a Directive on combating corruption COM(2023) 234 final and Joint Communication on the fight against corruption JOIN(2023) 12 final.</w:t>
      </w:r>
    </w:p>
  </w:footnote>
  <w:footnote w:id="64">
    <w:p w14:paraId="4F30F295"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This data collection has focused on criminal courts of first instance, which usually contribute the most to the overall length of criminal proceedings.</w:t>
      </w:r>
    </w:p>
  </w:footnote>
  <w:footnote w:id="65">
    <w:p w14:paraId="23D72A7A" w14:textId="77777777" w:rsidR="00A02C07" w:rsidRPr="00FB4E2D" w:rsidRDefault="00A02C07" w:rsidP="00A02C07">
      <w:pPr>
        <w:pStyle w:val="FootnoteText"/>
        <w:ind w:left="284" w:hanging="284"/>
        <w:rPr>
          <w:rStyle w:val="FootnoteReference"/>
          <w:lang w:val="en-IE"/>
        </w:rPr>
      </w:pPr>
      <w:r w:rsidRPr="00FB4E2D">
        <w:rPr>
          <w:rStyle w:val="FootnoteReference"/>
          <w:lang w:val="en-IE"/>
        </w:rPr>
        <w:footnoteRef/>
      </w:r>
      <w:r w:rsidRPr="00FB4E2D">
        <w:rPr>
          <w:rStyle w:val="FootnoteReference"/>
          <w:lang w:val="en-IE"/>
        </w:rPr>
        <w:t xml:space="preserve"> </w:t>
      </w:r>
      <w:r w:rsidRPr="00FB4E2D">
        <w:rPr>
          <w:lang w:val="en-IE"/>
        </w:rPr>
        <w:tab/>
      </w:r>
      <w:r w:rsidRPr="00FB4E2D">
        <w:rPr>
          <w:rFonts w:eastAsia="Calibri"/>
          <w:lang w:val="en-IE"/>
        </w:rPr>
        <w:t>Court fees are understood as an amount to be paid to start non-criminal legal proceedings in a court or tribunal.</w:t>
      </w:r>
    </w:p>
  </w:footnote>
  <w:footnote w:id="66">
    <w:p w14:paraId="108556D3" w14:textId="77777777" w:rsidR="00A02C07" w:rsidRPr="00FB4E2D" w:rsidRDefault="00A02C07" w:rsidP="00A02C07">
      <w:pPr>
        <w:spacing w:after="0" w:line="240" w:lineRule="auto"/>
        <w:ind w:left="284" w:hanging="284"/>
        <w:jc w:val="both"/>
        <w:rPr>
          <w:rFonts w:ascii="Times New Roman" w:eastAsia="Calibri" w:hAnsi="Times New Roman" w:cs="Times New Roman"/>
          <w:sz w:val="20"/>
          <w:szCs w:val="20"/>
        </w:rPr>
      </w:pPr>
      <w:r w:rsidRPr="00FB4E2D">
        <w:rPr>
          <w:rStyle w:val="FootnoteReference"/>
          <w:rFonts w:ascii="Times New Roman" w:hAnsi="Times New Roman" w:cs="Times New Roman"/>
          <w:sz w:val="20"/>
          <w:szCs w:val="20"/>
        </w:rPr>
        <w:footnoteRef/>
      </w:r>
      <w:r w:rsidRPr="00FB4E2D">
        <w:rPr>
          <w:rFonts w:ascii="Times New Roman" w:hAnsi="Times New Roman" w:cs="Times New Roman"/>
          <w:sz w:val="20"/>
          <w:szCs w:val="20"/>
        </w:rPr>
        <w:t xml:space="preserve"> </w:t>
      </w:r>
      <w:r w:rsidRPr="00FB4E2D">
        <w:rPr>
          <w:rFonts w:ascii="Times New Roman" w:hAnsi="Times New Roman" w:cs="Times New Roman"/>
          <w:sz w:val="20"/>
          <w:szCs w:val="20"/>
        </w:rPr>
        <w:tab/>
      </w:r>
      <w:r w:rsidRPr="00FB4E2D">
        <w:rPr>
          <w:rFonts w:ascii="Times New Roman" w:eastAsia="Calibri" w:hAnsi="Times New Roman" w:cs="Times New Roman"/>
          <w:sz w:val="20"/>
          <w:szCs w:val="20"/>
        </w:rPr>
        <w:t>Legal fees are the bill for services provided by lawyers to their clients.</w:t>
      </w:r>
    </w:p>
  </w:footnote>
  <w:footnote w:id="67">
    <w:p w14:paraId="6660A196"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Article 47(3) of the Charter of Fundamental Rights of the EU.</w:t>
      </w:r>
    </w:p>
  </w:footnote>
  <w:footnote w:id="68">
    <w:p w14:paraId="2423D587" w14:textId="765FB902"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Member States use different methods to set the eligibility threshold, e.g. different reference periods (monthly/annual income). In 14 Member States there is also a threshold tied to the applicant’s personal capital. This is not taken into account for this figure. In BE, BG, IE, ES, FR, HR, HU, LT, LU, NL and PT, certain groups of people (e.g. individuals who receive certain benefits) are automatically entitled to receive legal aid in civil/commercial disputes. Additional criteria that Member States may use, such as the merits of the case, are not reflected in this figure. Although not directly related to the figure, in several Member States (AT, CZ, DE, DK, IT, NL, PL, SI) legal aid is not limited to natural persons. In EE, the decision to grant legal aid is not based on the level of financial resources of the applicant. In IE, partial legal aid has to take into account also the disposable assets of the applicant. In LV, the data are not comparable with the previous year due </w:t>
      </w:r>
      <w:r w:rsidR="009F503F" w:rsidRPr="00FB4E2D">
        <w:rPr>
          <w:lang w:val="en-IE"/>
        </w:rPr>
        <w:t xml:space="preserve">to the </w:t>
      </w:r>
      <w:r w:rsidRPr="00FB4E2D">
        <w:rPr>
          <w:lang w:val="en-IE"/>
        </w:rPr>
        <w:t>adaptation of calculation</w:t>
      </w:r>
      <w:r w:rsidR="009F503F" w:rsidRPr="00FB4E2D">
        <w:rPr>
          <w:lang w:val="en-IE"/>
        </w:rPr>
        <w:t xml:space="preserve"> method.</w:t>
      </w:r>
    </w:p>
  </w:footnote>
  <w:footnote w:id="69">
    <w:p w14:paraId="0DC37450" w14:textId="3454180D"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 xml:space="preserve">To collect comparable data, each Member State’s Eurostat poverty threshold has been converted to a monthly income. The at-risk-of-poverty (AROP) threshold is set at 60% of the national median equivalised disposable household income. </w:t>
      </w:r>
      <w:r w:rsidR="00737DBD" w:rsidRPr="00FB4E2D">
        <w:rPr>
          <w:lang w:val="en-IE"/>
        </w:rPr>
        <w:t xml:space="preserve">Source: Eurostat (online data code </w:t>
      </w:r>
      <w:hyperlink r:id="rId38" w:history="1">
        <w:r w:rsidR="00737DBD" w:rsidRPr="00FB4E2D">
          <w:rPr>
            <w:rStyle w:val="Hyperlink"/>
            <w:lang w:val="en-IE"/>
          </w:rPr>
          <w:t>ilc_li01</w:t>
        </w:r>
      </w:hyperlink>
      <w:r w:rsidR="00737DBD" w:rsidRPr="00FB4E2D">
        <w:rPr>
          <w:lang w:val="en-IE"/>
        </w:rPr>
        <w:t>)</w:t>
      </w:r>
      <w:r w:rsidR="00555409">
        <w:rPr>
          <w:lang w:val="en-IE"/>
        </w:rPr>
        <w:t>.</w:t>
      </w:r>
    </w:p>
  </w:footnote>
  <w:footnote w:id="70">
    <w:p w14:paraId="1E51D37E" w14:textId="2A2ACB0D" w:rsidR="00A02C07" w:rsidRPr="00FB4E2D" w:rsidRDefault="00A02C07" w:rsidP="00A02C07">
      <w:pPr>
        <w:pStyle w:val="FootnoteText"/>
        <w:ind w:left="284" w:hanging="284"/>
        <w:rPr>
          <w:rStyle w:val="FootnoteReference"/>
          <w:highlight w:val="yellow"/>
          <w:lang w:val="en-IE"/>
        </w:rPr>
      </w:pPr>
      <w:r w:rsidRPr="00FB4E2D">
        <w:rPr>
          <w:rStyle w:val="FootnoteReference"/>
          <w:lang w:val="en-IE"/>
        </w:rPr>
        <w:footnoteRef/>
      </w:r>
      <w:r w:rsidRPr="00FB4E2D">
        <w:rPr>
          <w:lang w:val="en-IE"/>
        </w:rPr>
        <w:t xml:space="preserve"> </w:t>
      </w:r>
      <w:r w:rsidRPr="00FB4E2D">
        <w:rPr>
          <w:lang w:val="en-IE"/>
        </w:rPr>
        <w:tab/>
        <w:t>The 2025 data are collected using replies from</w:t>
      </w:r>
      <w:r w:rsidR="009F503F" w:rsidRPr="00FB4E2D">
        <w:rPr>
          <w:lang w:val="en-IE"/>
        </w:rPr>
        <w:t xml:space="preserve"> members of the</w:t>
      </w:r>
      <w:r w:rsidRPr="00FB4E2D">
        <w:rPr>
          <w:lang w:val="en-IE"/>
        </w:rPr>
        <w:t xml:space="preserve"> Council of Bar and Law Societies in Europe (CCBE) to a questionnaire based on the following specific scenario: a dispute </w:t>
      </w:r>
      <w:r w:rsidR="009F503F" w:rsidRPr="00FB4E2D">
        <w:rPr>
          <w:lang w:val="en-IE"/>
        </w:rPr>
        <w:t>between a</w:t>
      </w:r>
      <w:r w:rsidRPr="00FB4E2D">
        <w:rPr>
          <w:lang w:val="en-IE"/>
        </w:rPr>
        <w:t xml:space="preserve"> consumer </w:t>
      </w:r>
      <w:r w:rsidR="009F503F" w:rsidRPr="00FB4E2D">
        <w:rPr>
          <w:lang w:val="en-IE"/>
        </w:rPr>
        <w:t xml:space="preserve">and </w:t>
      </w:r>
      <w:r w:rsidRPr="00FB4E2D">
        <w:rPr>
          <w:lang w:val="en-IE"/>
        </w:rPr>
        <w:t xml:space="preserve">a company (two different claim values indicated: EUR 6 000 and the Eurostat </w:t>
      </w:r>
      <w:r w:rsidR="009F0983" w:rsidRPr="00FB4E2D">
        <w:rPr>
          <w:lang w:val="en-IE"/>
        </w:rPr>
        <w:t>at-risk-of-poverty (</w:t>
      </w:r>
      <w:r w:rsidRPr="00FB4E2D">
        <w:rPr>
          <w:lang w:val="en-IE"/>
        </w:rPr>
        <w:t>AROP</w:t>
      </w:r>
      <w:r w:rsidR="009F0983" w:rsidRPr="00FB4E2D">
        <w:rPr>
          <w:lang w:val="en-IE"/>
        </w:rPr>
        <w:t>)</w:t>
      </w:r>
      <w:r w:rsidRPr="00FB4E2D">
        <w:rPr>
          <w:lang w:val="en-IE"/>
        </w:rPr>
        <w:t xml:space="preserve"> threshold for each Member State). Given that conditions for legal aid depend on the applicant’s situation, the following scenario was used: a single 35-year-old employed applicant without any depend</w:t>
      </w:r>
      <w:r w:rsidR="003F0951" w:rsidRPr="00FB4E2D">
        <w:rPr>
          <w:lang w:val="en-IE"/>
        </w:rPr>
        <w:t>e</w:t>
      </w:r>
      <w:r w:rsidRPr="00FB4E2D">
        <w:rPr>
          <w:lang w:val="en-IE"/>
        </w:rPr>
        <w:t xml:space="preserve">nt or legal expenses insurance, with a regular income and a rented apartment. </w:t>
      </w:r>
    </w:p>
  </w:footnote>
  <w:footnote w:id="71">
    <w:p w14:paraId="442B459E" w14:textId="491232B1" w:rsidR="00A02C07" w:rsidRPr="00FB4E2D" w:rsidRDefault="00A02C07" w:rsidP="00A02C07">
      <w:pPr>
        <w:pStyle w:val="FootnoteText"/>
        <w:ind w:left="284" w:hanging="284"/>
        <w:rPr>
          <w:rStyle w:val="FootnoteReference"/>
          <w:highlight w:val="yellow"/>
          <w:lang w:val="en-IE"/>
        </w:rPr>
      </w:pPr>
      <w:r w:rsidRPr="00FB4E2D">
        <w:rPr>
          <w:rStyle w:val="FootnoteReference"/>
          <w:lang w:val="en-IE"/>
        </w:rPr>
        <w:footnoteRef/>
      </w:r>
      <w:r w:rsidRPr="00FB4E2D">
        <w:rPr>
          <w:lang w:val="en-IE"/>
        </w:rPr>
        <w:t xml:space="preserve"> </w:t>
      </w:r>
      <w:r w:rsidRPr="00FB4E2D">
        <w:rPr>
          <w:lang w:val="en-IE"/>
        </w:rPr>
        <w:tab/>
        <w:t xml:space="preserve">The data, referring to income thresholds valid in </w:t>
      </w:r>
      <w:r w:rsidR="001B0DEE" w:rsidRPr="00FB4E2D">
        <w:rPr>
          <w:lang w:val="en-IE"/>
        </w:rPr>
        <w:t>2024</w:t>
      </w:r>
      <w:r w:rsidRPr="00FB4E2D">
        <w:rPr>
          <w:lang w:val="en-IE"/>
        </w:rPr>
        <w:t>, have been collected using replies from</w:t>
      </w:r>
      <w:r w:rsidR="00E9048E" w:rsidRPr="00FB4E2D">
        <w:rPr>
          <w:lang w:val="en-IE"/>
        </w:rPr>
        <w:t xml:space="preserve"> members of the</w:t>
      </w:r>
      <w:r w:rsidRPr="00FB4E2D">
        <w:rPr>
          <w:lang w:val="en-IE"/>
        </w:rPr>
        <w:t xml:space="preserve"> Council of Bar and Law Societies in Europe (CCBE) to a questionnaire based on the following scenario: a consumer dispute between an individual and a company (two different claim values indicated: EUR 6 000 and the Eurostat </w:t>
      </w:r>
      <w:r w:rsidR="000034F2" w:rsidRPr="00FB4E2D">
        <w:rPr>
          <w:lang w:val="en-IE"/>
        </w:rPr>
        <w:t>at-risk-of-poverty (</w:t>
      </w:r>
      <w:r w:rsidRPr="00FB4E2D">
        <w:rPr>
          <w:lang w:val="en-IE"/>
        </w:rPr>
        <w:t>AROP</w:t>
      </w:r>
      <w:r w:rsidR="000034F2" w:rsidRPr="00FB4E2D">
        <w:rPr>
          <w:lang w:val="en-IE"/>
        </w:rPr>
        <w:t>)</w:t>
      </w:r>
      <w:r w:rsidRPr="00FB4E2D">
        <w:rPr>
          <w:lang w:val="en-IE"/>
        </w:rPr>
        <w:t xml:space="preserve"> threshold for each Member State). </w:t>
      </w:r>
    </w:p>
  </w:footnote>
  <w:footnote w:id="72">
    <w:p w14:paraId="4B1A84C1"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See 2024 EU Justice Scoreboard, footnote 70 for the description of the case study.</w:t>
      </w:r>
    </w:p>
  </w:footnote>
  <w:footnote w:id="73">
    <w:p w14:paraId="5363CF75" w14:textId="62442B5F" w:rsidR="00A02C07" w:rsidRPr="00FB4E2D" w:rsidRDefault="00A02C07" w:rsidP="00A02C07">
      <w:pPr>
        <w:pStyle w:val="FootnoteText"/>
        <w:ind w:left="284" w:hanging="284"/>
        <w:rPr>
          <w:rStyle w:val="FootnoteReference"/>
          <w:highlight w:val="yellow"/>
          <w:lang w:val="en-IE"/>
        </w:rPr>
      </w:pPr>
      <w:r w:rsidRPr="00FB4E2D">
        <w:rPr>
          <w:rStyle w:val="FootnoteReference"/>
          <w:lang w:val="en-IE"/>
        </w:rPr>
        <w:footnoteRef/>
      </w:r>
      <w:r w:rsidRPr="00FB4E2D">
        <w:rPr>
          <w:lang w:val="en-IE"/>
        </w:rPr>
        <w:t xml:space="preserve"> </w:t>
      </w:r>
      <w:r w:rsidRPr="00FB4E2D">
        <w:rPr>
          <w:lang w:val="en-IE"/>
        </w:rPr>
        <w:tab/>
        <w:t>The data, referring to income thresholds valid in 2024, have been collected using replies from Council of Bar and Law Societies in Europe (CCBE) members to a questionnaire based on the following scenario: a consumer dispute between an individual and a company (two different claim values indicated: EUR 6 000 and the Eurostat</w:t>
      </w:r>
      <w:r w:rsidR="00C80200" w:rsidRPr="00FB4E2D">
        <w:rPr>
          <w:lang w:val="en-IE"/>
        </w:rPr>
        <w:t xml:space="preserve"> at-risk-of-poverty</w:t>
      </w:r>
      <w:r w:rsidRPr="00FB4E2D">
        <w:rPr>
          <w:lang w:val="en-IE"/>
        </w:rPr>
        <w:t xml:space="preserve"> </w:t>
      </w:r>
      <w:r w:rsidR="00C80200" w:rsidRPr="00FB4E2D">
        <w:rPr>
          <w:lang w:val="en-IE"/>
        </w:rPr>
        <w:t>(</w:t>
      </w:r>
      <w:r w:rsidRPr="00FB4E2D">
        <w:rPr>
          <w:lang w:val="en-IE"/>
        </w:rPr>
        <w:t>AROP</w:t>
      </w:r>
      <w:r w:rsidR="00C80200" w:rsidRPr="00FB4E2D">
        <w:rPr>
          <w:lang w:val="en-IE"/>
        </w:rPr>
        <w:t>)</w:t>
      </w:r>
      <w:r w:rsidRPr="00FB4E2D">
        <w:rPr>
          <w:lang w:val="en-IE"/>
        </w:rPr>
        <w:t xml:space="preserve"> threshold for each Member State). </w:t>
      </w:r>
    </w:p>
  </w:footnote>
  <w:footnote w:id="74">
    <w:p w14:paraId="371A9232" w14:textId="6EFB3FEB"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Conversion made using the European Central Bank’s Euro Foreign Exchange Reference Rates applicable on 18</w:t>
      </w:r>
      <w:r w:rsidR="00B75995" w:rsidRPr="00FB4E2D">
        <w:rPr>
          <w:lang w:val="en-IE"/>
        </w:rPr>
        <w:t> </w:t>
      </w:r>
      <w:r w:rsidRPr="00FB4E2D">
        <w:rPr>
          <w:lang w:val="en-IE"/>
        </w:rPr>
        <w:t xml:space="preserve"> November</w:t>
      </w:r>
      <w:r w:rsidR="00B75995" w:rsidRPr="00FB4E2D">
        <w:rPr>
          <w:lang w:val="en-IE"/>
        </w:rPr>
        <w:t> </w:t>
      </w:r>
      <w:r w:rsidRPr="00FB4E2D">
        <w:rPr>
          <w:lang w:val="en-IE"/>
        </w:rPr>
        <w:t xml:space="preserve"> 2025 - BGN 1.9558, CZK 24.188, DKK 7.4684, HUF 384.96, PLN 4.2440, RON 5.0870, SEK 10.9970.</w:t>
      </w:r>
    </w:p>
  </w:footnote>
  <w:footnote w:id="75">
    <w:p w14:paraId="11676813" w14:textId="37FD3941" w:rsidR="00A02C07" w:rsidRPr="00FB4E2D" w:rsidRDefault="00A02C07" w:rsidP="00A02C07">
      <w:pPr>
        <w:pStyle w:val="FootnoteText"/>
        <w:ind w:left="284" w:hanging="284"/>
        <w:rPr>
          <w:rStyle w:val="FootnoteReference"/>
          <w:lang w:val="en-IE"/>
        </w:rPr>
      </w:pPr>
      <w:r w:rsidRPr="00FB4E2D">
        <w:rPr>
          <w:rStyle w:val="FootnoteReference"/>
          <w:lang w:val="en-IE"/>
        </w:rPr>
        <w:footnoteRef/>
      </w:r>
      <w:r w:rsidRPr="00FB4E2D">
        <w:rPr>
          <w:lang w:val="en-IE"/>
        </w:rPr>
        <w:t xml:space="preserve"> </w:t>
      </w:r>
      <w:r w:rsidRPr="00FB4E2D">
        <w:rPr>
          <w:lang w:val="en-IE"/>
        </w:rPr>
        <w:tab/>
        <w:t xml:space="preserve">The data, referring to income thresholds valid in 2024, have been collected using replies from Council of Bar and Law Societies in Europe (CCBE) members to a questionnaire based on the following scenario: a consumer dispute between an individual and a company (two different claim values indicated: EUR 6 000 and the Eurostat </w:t>
      </w:r>
      <w:r w:rsidR="00C80200" w:rsidRPr="00FB4E2D">
        <w:rPr>
          <w:lang w:val="en-IE"/>
        </w:rPr>
        <w:t>at-risk-of-poverty  (</w:t>
      </w:r>
      <w:r w:rsidRPr="00FB4E2D">
        <w:rPr>
          <w:lang w:val="en-IE"/>
        </w:rPr>
        <w:t>AROP</w:t>
      </w:r>
      <w:r w:rsidR="00C80200" w:rsidRPr="00FB4E2D">
        <w:rPr>
          <w:lang w:val="en-IE"/>
        </w:rPr>
        <w:t>)</w:t>
      </w:r>
      <w:r w:rsidRPr="00FB4E2D">
        <w:rPr>
          <w:lang w:val="en-IE"/>
        </w:rPr>
        <w:t xml:space="preserve"> threshold for each Member State). </w:t>
      </w:r>
    </w:p>
  </w:footnote>
  <w:footnote w:id="76">
    <w:p w14:paraId="4710678F" w14:textId="77777777" w:rsidR="00A02C07" w:rsidRPr="00FB4E2D" w:rsidRDefault="00A02C07" w:rsidP="00A02C07">
      <w:pPr>
        <w:pStyle w:val="FootnoteText"/>
        <w:ind w:left="284" w:hanging="284"/>
        <w:rPr>
          <w:rStyle w:val="FootnoteReference"/>
          <w:highlight w:val="yellow"/>
          <w:lang w:val="en-IE"/>
        </w:rPr>
      </w:pPr>
      <w:r w:rsidRPr="00FB4E2D">
        <w:rPr>
          <w:rStyle w:val="FootnoteReference"/>
          <w:lang w:val="en-IE"/>
        </w:rPr>
        <w:footnoteRef/>
      </w:r>
      <w:r w:rsidRPr="00FB4E2D">
        <w:rPr>
          <w:lang w:val="en-IE"/>
        </w:rPr>
        <w:t xml:space="preserve"> </w:t>
      </w:r>
      <w:r w:rsidRPr="00FB4E2D">
        <w:rPr>
          <w:lang w:val="en-IE"/>
        </w:rPr>
        <w:tab/>
        <w:t>The data has been collected by Council of the Notariats of the European Union (CNUE) in cooperation with the European Commission.</w:t>
      </w:r>
    </w:p>
  </w:footnote>
  <w:footnote w:id="77">
    <w:p w14:paraId="5B61BDCD" w14:textId="10DCF8CF"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 xml:space="preserve">The methods for promoting and incentivising the use of ADR do not include compulsory requirements to use </w:t>
      </w:r>
      <w:r w:rsidR="00EE314A" w:rsidRPr="00FB4E2D">
        <w:rPr>
          <w:lang w:val="en-IE"/>
        </w:rPr>
        <w:t xml:space="preserve">it </w:t>
      </w:r>
      <w:r w:rsidRPr="00FB4E2D">
        <w:rPr>
          <w:lang w:val="en-IE"/>
        </w:rPr>
        <w:t>before going to court. Such requirements may raise concerns about their compatibility with the right to an effective remedy before a tribunal</w:t>
      </w:r>
      <w:r w:rsidR="00EE314A" w:rsidRPr="00FB4E2D">
        <w:rPr>
          <w:lang w:val="en-IE"/>
        </w:rPr>
        <w:t xml:space="preserve">, as per </w:t>
      </w:r>
      <w:r w:rsidRPr="00FB4E2D">
        <w:rPr>
          <w:lang w:val="en-IE"/>
        </w:rPr>
        <w:t xml:space="preserve">the </w:t>
      </w:r>
      <w:r w:rsidR="00403D2D" w:rsidRPr="00FB4E2D">
        <w:rPr>
          <w:lang w:val="en-IE"/>
        </w:rPr>
        <w:t xml:space="preserve">EU </w:t>
      </w:r>
      <w:r w:rsidRPr="00FB4E2D">
        <w:rPr>
          <w:lang w:val="en-IE"/>
        </w:rPr>
        <w:t>Charter of Fundamental Rights.</w:t>
      </w:r>
    </w:p>
  </w:footnote>
  <w:footnote w:id="78">
    <w:p w14:paraId="4FBB4E0B"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79">
    <w:p w14:paraId="2C13975B"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80">
    <w:p w14:paraId="06A236DC" w14:textId="6245339E"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As introduced by Directive (EU) 2020/1828 on representative actions, </w:t>
      </w:r>
      <w:hyperlink r:id="rId39" w:history="1">
        <w:r w:rsidRPr="00FB4E2D">
          <w:rPr>
            <w:rStyle w:val="Hyperlink"/>
            <w:lang w:val="en-IE"/>
          </w:rPr>
          <w:t>https://commission.europa.eu/law/law-topic/consumer-protection-law/representative-actions-directive_en</w:t>
        </w:r>
      </w:hyperlink>
      <w:r w:rsidRPr="00FB4E2D">
        <w:rPr>
          <w:lang w:val="en-IE"/>
        </w:rPr>
        <w:t xml:space="preserve">, </w:t>
      </w:r>
      <w:r w:rsidR="00EE314A" w:rsidRPr="00FB4E2D">
        <w:rPr>
          <w:lang w:val="en-IE"/>
        </w:rPr>
        <w:t xml:space="preserve">to protect </w:t>
      </w:r>
      <w:r w:rsidRPr="00FB4E2D">
        <w:rPr>
          <w:lang w:val="en-IE"/>
        </w:rPr>
        <w:t xml:space="preserve">the collective interests of consumers. </w:t>
      </w:r>
    </w:p>
  </w:footnote>
  <w:footnote w:id="81">
    <w:p w14:paraId="181F3D43" w14:textId="659BF475"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82">
    <w:p w14:paraId="017DF4AE"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 xml:space="preserve">2025 data collected in cooperation with the group of contact persons on national justice systems. </w:t>
      </w:r>
    </w:p>
  </w:footnote>
  <w:footnote w:id="83">
    <w:p w14:paraId="582079AC"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 xml:space="preserve">2025 data collected in cooperation with the group of contact persons on national justice systems. </w:t>
      </w:r>
    </w:p>
  </w:footnote>
  <w:footnote w:id="84">
    <w:p w14:paraId="70E899BE"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 xml:space="preserve">2025 data collected in cooperation with the group of contact persons on national justice systems. </w:t>
      </w:r>
    </w:p>
  </w:footnote>
  <w:footnote w:id="85">
    <w:p w14:paraId="265F06A9"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Judgment of the Court of Justice of the European Union, Case C‑64/16 </w:t>
      </w:r>
      <w:r w:rsidRPr="00FB4E2D">
        <w:rPr>
          <w:i/>
          <w:lang w:val="en-IE"/>
        </w:rPr>
        <w:t>Associação Sindical dos Juízes Portugueses</w:t>
      </w:r>
      <w:r w:rsidRPr="00FB4E2D">
        <w:rPr>
          <w:lang w:val="en-IE"/>
        </w:rPr>
        <w:t>, (ECLI:EU:C:2018:117) para. 45, ‘Like the protection against removal from office of the members of the body concerned (see, in particular, judgment of 19 September 2006, </w:t>
      </w:r>
      <w:r w:rsidRPr="00FB4E2D">
        <w:rPr>
          <w:i/>
          <w:lang w:val="en-IE"/>
        </w:rPr>
        <w:t>Wilson</w:t>
      </w:r>
      <w:r w:rsidRPr="00FB4E2D">
        <w:rPr>
          <w:lang w:val="en-IE"/>
        </w:rPr>
        <w:t>, C</w:t>
      </w:r>
      <w:r w:rsidRPr="00FB4E2D">
        <w:rPr>
          <w:lang w:val="en-IE"/>
        </w:rPr>
        <w:noBreakHyphen/>
        <w:t xml:space="preserve">506/04, EU:C:2006:587, paragraph 51), the receipt by those members of a level of remuneration commensurate with the importance of the functions they carry out constitutes a guarantee essential to judicial independence.’ See also Judgment of the Court of Justice of the European Union, Joined Cases C-146/23 and C-374/23 </w:t>
      </w:r>
      <w:r w:rsidRPr="00FB4E2D">
        <w:rPr>
          <w:i/>
          <w:lang w:val="en-IE"/>
        </w:rPr>
        <w:t>Sąd Rejonowy w Białymstoku</w:t>
      </w:r>
      <w:r w:rsidRPr="00FB4E2D">
        <w:rPr>
          <w:i/>
          <w:iCs/>
          <w:lang w:val="en-IE"/>
        </w:rPr>
        <w:t xml:space="preserve"> </w:t>
      </w:r>
      <w:r w:rsidRPr="00FB4E2D">
        <w:rPr>
          <w:lang w:val="en-IE"/>
        </w:rPr>
        <w:t>and</w:t>
      </w:r>
      <w:r w:rsidRPr="00FB4E2D">
        <w:rPr>
          <w:i/>
          <w:iCs/>
          <w:lang w:val="en-IE"/>
        </w:rPr>
        <w:t xml:space="preserve"> </w:t>
      </w:r>
      <w:r w:rsidRPr="00FB4E2D">
        <w:rPr>
          <w:i/>
          <w:lang w:val="en-IE"/>
        </w:rPr>
        <w:t>Adoreikė</w:t>
      </w:r>
      <w:r w:rsidRPr="00FB4E2D">
        <w:rPr>
          <w:i/>
          <w:iCs/>
          <w:lang w:val="en-IE"/>
        </w:rPr>
        <w:t xml:space="preserve"> </w:t>
      </w:r>
      <w:r w:rsidRPr="00FB4E2D">
        <w:rPr>
          <w:lang w:val="en-IE"/>
        </w:rPr>
        <w:t>(ECLI:EU:C:2025:109), where the Court confirms that the detailed rules for determining the remuneration of judges must be objective, foreseeable, stable and transparent. The determination of that remuneration must have a legal basis and meet the criteria of objectivity, foreseeability, stability and transparency. Any derogation from the method for determining the remuneration must be justified by an objective of general interest.</w:t>
      </w:r>
    </w:p>
  </w:footnote>
  <w:footnote w:id="86">
    <w:p w14:paraId="268F45F5" w14:textId="1F7C0C33"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r>
      <w:hyperlink r:id="rId40" w:anchor="documents" w:history="1">
        <w:r w:rsidRPr="00FB4E2D">
          <w:rPr>
            <w:rStyle w:val="Hyperlink"/>
            <w:rFonts w:eastAsia="Calibri"/>
            <w:i/>
            <w:iCs/>
            <w:lang w:val="en-IE"/>
          </w:rPr>
          <w:t>https://commission.europa.eu/strategy-and-policy/policies/justice-and-fundamental-rights/upholding-rule-law/eu-justice-scoreboard_en#documents</w:t>
        </w:r>
      </w:hyperlink>
      <w:r w:rsidR="00754749">
        <w:t>.</w:t>
      </w:r>
    </w:p>
  </w:footnote>
  <w:footnote w:id="87">
    <w:p w14:paraId="617B8332" w14:textId="76C6474A"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 xml:space="preserve">European Institute for Gender Equality, Gender Statistics Database: </w:t>
      </w:r>
      <w:hyperlink r:id="rId41" w:history="1">
        <w:r w:rsidRPr="00FB4E2D">
          <w:rPr>
            <w:rStyle w:val="Hyperlink"/>
            <w:lang w:val="en-IE"/>
          </w:rPr>
          <w:t>https://eige.europa.eu/gender-statistics/dgs/indicator/wmidm_jud_natcrt__wmid_natcrt_supcrt/datatable</w:t>
        </w:r>
      </w:hyperlink>
      <w:r w:rsidR="00754749">
        <w:rPr>
          <w:lang w:val="en-IE"/>
        </w:rPr>
        <w:t>.</w:t>
      </w:r>
    </w:p>
  </w:footnote>
  <w:footnote w:id="88">
    <w:p w14:paraId="5A650209"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Communication from the Commission to the European Parliament, the Council, the European Economic and Social Committee and the Committee of the Regions ‘Digitalisation of justice in the European Union: A toolbox of opportunities’ COM(2020) 710 and accompanying SWD(2020)540.</w:t>
      </w:r>
    </w:p>
  </w:footnote>
  <w:footnote w:id="89">
    <w:p w14:paraId="700BEA2F"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90">
    <w:p w14:paraId="142401E4"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91">
    <w:p w14:paraId="44694233"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92">
    <w:p w14:paraId="151D651D"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93">
    <w:p w14:paraId="23BCC10F"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94">
    <w:p w14:paraId="1B4726C8"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95">
    <w:p w14:paraId="13A78154"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96">
    <w:p w14:paraId="1C192F9C"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See </w:t>
      </w:r>
      <w:r w:rsidRPr="00FB4E2D">
        <w:rPr>
          <w:i/>
          <w:lang w:val="en-IE"/>
        </w:rPr>
        <w:t>Best practice guide for managing Supreme Courts</w:t>
      </w:r>
      <w:r w:rsidRPr="00FB4E2D">
        <w:rPr>
          <w:lang w:val="en-IE"/>
        </w:rPr>
        <w:t>, under the project Supreme Courts as guarantee for effectiveness of judicial systems, p. 29.</w:t>
      </w:r>
    </w:p>
  </w:footnote>
  <w:footnote w:id="97">
    <w:p w14:paraId="0D444114"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footnote>
  <w:footnote w:id="98">
    <w:p w14:paraId="0E8141BC"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Anonymisation/pseudonymisation is more efficient if assisted by an algorithm. However, human supervision is needed since the algorithms do not understand context.</w:t>
      </w:r>
    </w:p>
  </w:footnote>
  <w:footnote w:id="99">
    <w:p w14:paraId="0FC375E2"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Directive 2003/98/EC of the European Parliament and of the Council of 17 November 2003 on the reuse of public sector information (OJ L 345, 31.12.2003, p. 90) and Directive (EU) 2019/1024 of the European Parliament and of the Council of 20 June 2019 on open data and the reuse of public sector information (OJ L 172, 26.6.2019, p. 56).</w:t>
      </w:r>
    </w:p>
  </w:footnote>
  <w:footnote w:id="100">
    <w:p w14:paraId="588E1580"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Judgments modelled according to standards (e.g. Akoma Ntoso) and their associated metadata are downloadable free of charge in the form of a database or by other automated means (e.g. Application Programming Interface).</w:t>
      </w:r>
    </w:p>
  </w:footnote>
  <w:footnote w:id="101">
    <w:p w14:paraId="5DDBA464"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See also Communication from the Commission to the European Parliament, the Council, the European Economic and Social Committee and the Committee of the Regions – A European strategy for data, COM(2020) 66 final, Commission White Paper on Artificial Intelligence – A European approach to excellence and trust, COM(2020) 65 final, and Conclusions of the Council and the representatives of the Governments of the Member States meeting within the Council on Best Practices regarding the Online Publication of Court Decisions (OJ C 362, 8.10.2018, p. 2).</w:t>
      </w:r>
    </w:p>
  </w:footnote>
  <w:footnote w:id="102">
    <w:p w14:paraId="4E3E88D0"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103">
    <w:p w14:paraId="50137066"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2025 data collected in cooperation with the group of contact persons on national justice systems.</w:t>
      </w:r>
    </w:p>
  </w:footnote>
  <w:footnote w:id="104">
    <w:p w14:paraId="14CBD4EB"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See </w:t>
      </w:r>
      <w:hyperlink r:id="rId42" w:history="1">
        <w:r w:rsidRPr="00FB4E2D">
          <w:rPr>
            <w:rStyle w:val="Hyperlink"/>
            <w:lang w:val="en-IE"/>
          </w:rPr>
          <w:t>http://eur-lex.europa.eu/legal-content/EN/TXT/PDF/?uri=CELEX:12012P/TXT&amp;from=EN</w:t>
        </w:r>
      </w:hyperlink>
    </w:p>
  </w:footnote>
  <w:footnote w:id="105">
    <w:p w14:paraId="6AB4095F" w14:textId="03981990"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Court of Justice, judgment of 6 March 2025, </w:t>
      </w:r>
      <w:r w:rsidRPr="00FB4E2D">
        <w:rPr>
          <w:i/>
          <w:lang w:val="en-IE"/>
        </w:rPr>
        <w:t>D. K. and Others v Prokuratura Rejonowa (Withdrawal of cases),</w:t>
      </w:r>
      <w:r w:rsidRPr="00FB4E2D">
        <w:rPr>
          <w:lang w:val="en-IE"/>
        </w:rPr>
        <w:t xml:space="preserve"> joined cases C-647/21 and C-648/21, EU:C:2025:143, judgment of 25 February 2025 (Grand Chamber), </w:t>
      </w:r>
      <w:r w:rsidRPr="00FB4E2D">
        <w:rPr>
          <w:i/>
          <w:lang w:val="en-IE"/>
        </w:rPr>
        <w:t>XL and Others (Judicial salaries)</w:t>
      </w:r>
      <w:r w:rsidRPr="00FB4E2D">
        <w:rPr>
          <w:lang w:val="en-IE"/>
        </w:rPr>
        <w:t xml:space="preserve">, joined cases C-146/23 and C-374/23, EU:C:2025:109, judgment of 14 November 2024, </w:t>
      </w:r>
      <w:r w:rsidRPr="00FB4E2D">
        <w:rPr>
          <w:i/>
          <w:lang w:val="en-IE"/>
        </w:rPr>
        <w:t>S. S.A. v C. sp. z o.o. (Allocation of cases)</w:t>
      </w:r>
      <w:r w:rsidRPr="00FB4E2D">
        <w:rPr>
          <w:lang w:val="en-IE"/>
        </w:rPr>
        <w:t xml:space="preserve">, C-197/23, EU:C:2024:956; judgment of 22 February 2022, </w:t>
      </w:r>
      <w:r w:rsidRPr="00FB4E2D">
        <w:rPr>
          <w:i/>
          <w:lang w:val="en-IE"/>
        </w:rPr>
        <w:t>RS (Effect of the decisions of a constitutional court)</w:t>
      </w:r>
      <w:r w:rsidRPr="00FB4E2D">
        <w:rPr>
          <w:lang w:val="en-IE"/>
        </w:rPr>
        <w:t xml:space="preserve">, C-430/21, EU:C:2022:99; judgment of 16 November 2021, </w:t>
      </w:r>
      <w:r w:rsidRPr="00FB4E2D">
        <w:rPr>
          <w:i/>
          <w:lang w:val="en-IE"/>
        </w:rPr>
        <w:t>Criminal proceedings against WB and Others</w:t>
      </w:r>
      <w:r w:rsidRPr="00FB4E2D">
        <w:rPr>
          <w:lang w:val="en-IE"/>
        </w:rPr>
        <w:t xml:space="preserve">, Joined Cases C-748/19 to C-754/19, EU:C:2021:931; judgment of 6 October 2021, </w:t>
      </w:r>
      <w:r w:rsidRPr="00FB4E2D">
        <w:rPr>
          <w:i/>
          <w:lang w:val="en-IE"/>
        </w:rPr>
        <w:t>W.</w:t>
      </w:r>
      <w:r w:rsidRPr="00FB4E2D">
        <w:rPr>
          <w:lang w:val="en-IE"/>
        </w:rPr>
        <w:t xml:space="preserve"> </w:t>
      </w:r>
      <w:r w:rsidRPr="00FB4E2D">
        <w:rPr>
          <w:i/>
          <w:lang w:val="en-IE"/>
        </w:rPr>
        <w:t>Ż.</w:t>
      </w:r>
      <w:r w:rsidRPr="00FB4E2D">
        <w:rPr>
          <w:lang w:val="en-IE"/>
        </w:rPr>
        <w:t xml:space="preserve">, C-487/19, EU:C:2021:798; judgment of 15 July 2021, </w:t>
      </w:r>
      <w:r w:rsidRPr="00FB4E2D">
        <w:rPr>
          <w:i/>
          <w:lang w:val="en-IE"/>
        </w:rPr>
        <w:t>Commission v. Poland</w:t>
      </w:r>
      <w:r w:rsidRPr="00FB4E2D">
        <w:rPr>
          <w:lang w:val="en-IE"/>
        </w:rPr>
        <w:t xml:space="preserve">, C-791/19, EU:C:2021:366; judgment of 2 March 2021, </w:t>
      </w:r>
      <w:r w:rsidRPr="00FB4E2D">
        <w:rPr>
          <w:i/>
          <w:lang w:val="en-IE"/>
        </w:rPr>
        <w:t>AB</w:t>
      </w:r>
      <w:r w:rsidRPr="00FB4E2D">
        <w:rPr>
          <w:lang w:val="en-IE"/>
        </w:rPr>
        <w:t xml:space="preserve">, C-824/18, EU:C:2021:153; judgment of 19 November 2019, </w:t>
      </w:r>
      <w:r w:rsidRPr="00FB4E2D">
        <w:rPr>
          <w:i/>
          <w:lang w:val="en-IE"/>
        </w:rPr>
        <w:t>A. K. and Others</w:t>
      </w:r>
      <w:r w:rsidRPr="00FB4E2D">
        <w:rPr>
          <w:lang w:val="en-IE"/>
        </w:rPr>
        <w:t xml:space="preserve">, C-585/18, C-624/18 and C-625/18, EU:C:2019:982, paras. 121 and 122; judgment of 5 November 2019, </w:t>
      </w:r>
      <w:r w:rsidRPr="00FB4E2D">
        <w:rPr>
          <w:i/>
          <w:lang w:val="en-IE"/>
        </w:rPr>
        <w:t>Commission v Poland</w:t>
      </w:r>
      <w:r w:rsidRPr="00FB4E2D">
        <w:rPr>
          <w:lang w:val="en-IE"/>
        </w:rPr>
        <w:t xml:space="preserve">, C-192/18, EU:C:2019:924; judgment of 24 June 2019, </w:t>
      </w:r>
      <w:r w:rsidRPr="00FB4E2D">
        <w:rPr>
          <w:i/>
          <w:lang w:val="en-IE"/>
        </w:rPr>
        <w:t>Commission v. Poland</w:t>
      </w:r>
      <w:r w:rsidRPr="00FB4E2D">
        <w:rPr>
          <w:lang w:val="en-IE"/>
        </w:rPr>
        <w:t xml:space="preserve">, C-619/18, EU:C:2019:531 paras. 73 and 74; judgment of 27 February 2018, </w:t>
      </w:r>
      <w:r w:rsidRPr="00FB4E2D">
        <w:rPr>
          <w:i/>
          <w:lang w:val="en-IE"/>
        </w:rPr>
        <w:t>Associação Sindical dos Juízes Portugueses</w:t>
      </w:r>
      <w:r w:rsidRPr="00FB4E2D">
        <w:rPr>
          <w:lang w:val="en-IE"/>
        </w:rPr>
        <w:t xml:space="preserve">, C‑64/16, EU:C:2018:117, para. 44; judgment of 25 July 2018, </w:t>
      </w:r>
      <w:r w:rsidRPr="00FB4E2D">
        <w:rPr>
          <w:i/>
          <w:lang w:val="en-IE"/>
        </w:rPr>
        <w:t>Minister for Justice and Equality</w:t>
      </w:r>
      <w:r w:rsidRPr="00FB4E2D">
        <w:rPr>
          <w:lang w:val="en-IE"/>
        </w:rPr>
        <w:t xml:space="preserve">, C‑216/18 </w:t>
      </w:r>
      <w:r w:rsidR="00067E4B" w:rsidRPr="00FB4E2D">
        <w:rPr>
          <w:lang w:val="en-IE"/>
        </w:rPr>
        <w:t>PPU, EU</w:t>
      </w:r>
      <w:r w:rsidRPr="00FB4E2D">
        <w:rPr>
          <w:lang w:val="en-IE"/>
        </w:rPr>
        <w:t>:C:2018:586, para. 65.</w:t>
      </w:r>
    </w:p>
  </w:footnote>
  <w:footnote w:id="106">
    <w:p w14:paraId="17D85EBA"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Court of Justice, judgment of 11 July 2024 (Grand Chamber), </w:t>
      </w:r>
      <w:r w:rsidRPr="00FB4E2D">
        <w:rPr>
          <w:i/>
          <w:lang w:val="en-IE"/>
        </w:rPr>
        <w:t>Hann-Invest</w:t>
      </w:r>
      <w:r w:rsidRPr="00FB4E2D">
        <w:rPr>
          <w:lang w:val="en-IE"/>
        </w:rPr>
        <w:t>, C-554/21 and C-622/21, EU:C:2024:594. Supreme Courts, as final instance courts, and higher/appeal courts in general, are essential to secure the uniform application of the law in Member States. Nevertheless, hierarchical judicial organisations should not undermine individual independence (Recommendation CM/Rec(2010)12, para. 22). Superior courts should not address instructions to judges about the way they should decide individual cases, except in national preliminary rulings or when deciding on legal remedies according to the law (Recommendation CM/Rec(2010)12, para. 23). A hierarchical organisation of the judiciary in the sense of a subordination of judges to higher instances in their judicial decision-making activity would be a clear violation of the principle of internal independence, according to the Venice Commission (Venice Commission, Report on the independence of the judicial system, Part I: the independence of courts, Study No 494/2008, 16 March 2010, CDL-AD(2010)004, paras. 68 - 72). Any procedure for the unification of case law must comply with fundamental principles of separation of powers, and even after such a decision by a higher/Supreme Court, all courts and judges must remain competent to assess their cases independently and impartially, and to distinguish new cases from the interpretation previously unified by a higher/supreme court (2022 EU Justice Scoreboard, p. 45).</w:t>
      </w:r>
    </w:p>
  </w:footnote>
  <w:footnote w:id="107">
    <w:p w14:paraId="62B6B78C"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Court of Justice, judgment of 5 June 2023, </w:t>
      </w:r>
      <w:r w:rsidRPr="00FB4E2D">
        <w:rPr>
          <w:i/>
          <w:lang w:val="en-IE"/>
        </w:rPr>
        <w:t>Commission v. Poland</w:t>
      </w:r>
      <w:r w:rsidRPr="00FB4E2D">
        <w:rPr>
          <w:lang w:val="en-IE"/>
        </w:rPr>
        <w:t>, C-204/21, ECLI:EU:C:2023:442, para. 354 and the case law cited.</w:t>
      </w:r>
    </w:p>
  </w:footnote>
  <w:footnote w:id="108">
    <w:p w14:paraId="16AC559F" w14:textId="497E1515"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Eurobarometer survey </w:t>
      </w:r>
      <w:r w:rsidR="00AD7D7E" w:rsidRPr="00FB4E2D">
        <w:rPr>
          <w:lang w:val="en-IE"/>
        </w:rPr>
        <w:t>FL581</w:t>
      </w:r>
      <w:r w:rsidRPr="00FB4E2D">
        <w:rPr>
          <w:lang w:val="en-IE"/>
        </w:rPr>
        <w:t xml:space="preserve">, conducted between </w:t>
      </w:r>
      <w:r w:rsidR="0027636D" w:rsidRPr="00FB4E2D">
        <w:rPr>
          <w:lang w:val="en-IE"/>
        </w:rPr>
        <w:t>17</w:t>
      </w:r>
      <w:r w:rsidRPr="00FB4E2D">
        <w:rPr>
          <w:lang w:val="en-IE"/>
        </w:rPr>
        <w:t xml:space="preserve"> and </w:t>
      </w:r>
      <w:r w:rsidR="0027636D" w:rsidRPr="00FB4E2D">
        <w:rPr>
          <w:lang w:val="en-IE"/>
        </w:rPr>
        <w:t>25 April 2026</w:t>
      </w:r>
      <w:r w:rsidRPr="00FB4E2D">
        <w:rPr>
          <w:lang w:val="en-IE"/>
        </w:rPr>
        <w:t xml:space="preserve">. Replies to the question: ‘From what you know, how would you rate the justice system in (your country) in terms of the independence of courts and judges? Would you say it is very good, fairly good, fairly bad or very bad?’, see: </w:t>
      </w:r>
      <w:hyperlink r:id="rId43" w:anchor="surveys" w:history="1">
        <w:r w:rsidRPr="00FB4E2D">
          <w:rPr>
            <w:rStyle w:val="Hyperlink"/>
            <w:lang w:val="en-IE"/>
          </w:rPr>
          <w:t>https://commission.europa.eu/strategy-and-policy/policies/justice-and-fundamental-rights/upholding-rule-law/eu-justice-scoreboard_</w:t>
        </w:r>
        <w:bookmarkStart w:id="397" w:name="_Hlt224210298"/>
        <w:bookmarkStart w:id="398" w:name="_Hlt224210299"/>
        <w:r w:rsidRPr="00FB4E2D">
          <w:rPr>
            <w:rStyle w:val="Hyperlink"/>
            <w:lang w:val="en-IE"/>
          </w:rPr>
          <w:t>e</w:t>
        </w:r>
        <w:bookmarkEnd w:id="397"/>
        <w:bookmarkEnd w:id="398"/>
        <w:r w:rsidRPr="00FB4E2D">
          <w:rPr>
            <w:rStyle w:val="Hyperlink"/>
            <w:lang w:val="en-IE"/>
          </w:rPr>
          <w:t>n#surveys</w:t>
        </w:r>
      </w:hyperlink>
      <w:r w:rsidRPr="00FB4E2D">
        <w:rPr>
          <w:lang w:val="en-IE"/>
        </w:rPr>
        <w:t>.</w:t>
      </w:r>
    </w:p>
  </w:footnote>
  <w:footnote w:id="109">
    <w:p w14:paraId="6C5D6D7B" w14:textId="3315A128"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Eurobarometer survey FL</w:t>
      </w:r>
      <w:r w:rsidR="00AD7D7E" w:rsidRPr="00FB4E2D">
        <w:rPr>
          <w:lang w:val="en-IE"/>
        </w:rPr>
        <w:t>581</w:t>
      </w:r>
      <w:r w:rsidRPr="00FB4E2D">
        <w:rPr>
          <w:lang w:val="en-IE"/>
        </w:rPr>
        <w:t>, replies to the question: ‘Could you tell me to what extent each of the following reasons explains your rating of the independence of the justice system in your country: very much, somewhat, not really, not at all?’ if the reply to Q1 is ‘fairly bad’ or ‘very bad’.</w:t>
      </w:r>
    </w:p>
  </w:footnote>
  <w:footnote w:id="110">
    <w:p w14:paraId="573DF4C7" w14:textId="51BD6FCE"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Eurobarometer survey FL</w:t>
      </w:r>
      <w:r w:rsidR="00AD7D7E" w:rsidRPr="00FB4E2D">
        <w:rPr>
          <w:lang w:val="en-IE"/>
        </w:rPr>
        <w:t>582</w:t>
      </w:r>
      <w:r w:rsidRPr="00FB4E2D">
        <w:rPr>
          <w:lang w:val="en-IE"/>
        </w:rPr>
        <w:t xml:space="preserve">, conducted between </w:t>
      </w:r>
      <w:r w:rsidR="009629DF" w:rsidRPr="00FB4E2D">
        <w:rPr>
          <w:lang w:val="en-IE"/>
        </w:rPr>
        <w:t>23 April</w:t>
      </w:r>
      <w:r w:rsidRPr="00FB4E2D">
        <w:rPr>
          <w:lang w:val="en-IE"/>
        </w:rPr>
        <w:t xml:space="preserve"> and </w:t>
      </w:r>
      <w:r w:rsidR="009629DF" w:rsidRPr="00FB4E2D">
        <w:rPr>
          <w:lang w:val="en-IE"/>
        </w:rPr>
        <w:t xml:space="preserve">8 May </w:t>
      </w:r>
      <w:r w:rsidR="00B60040" w:rsidRPr="00FB4E2D">
        <w:rPr>
          <w:lang w:val="en-IE"/>
        </w:rPr>
        <w:t>2026</w:t>
      </w:r>
      <w:r w:rsidRPr="00FB4E2D">
        <w:rPr>
          <w:lang w:val="en-IE"/>
        </w:rPr>
        <w:t xml:space="preserve">, replies to the question: ‘From what you know, how would you rate the justice system in (your country) in terms of the independence of courts and judges? Would you say it is very good, fairly good, fairly bad or very bad?’, see: </w:t>
      </w:r>
      <w:hyperlink r:id="rId44" w:anchor="surveys" w:history="1">
        <w:r w:rsidRPr="00FB4E2D">
          <w:rPr>
            <w:rStyle w:val="Hyperlink"/>
            <w:lang w:val="en-IE"/>
          </w:rPr>
          <w:t>https://commission.europa.eu/strategy-and-policy/policies/justice-and-fundamental-rights/upholding-rule-law/eu-justice-scoreboard_en#surveys</w:t>
        </w:r>
      </w:hyperlink>
      <w:r w:rsidRPr="00FA47D3">
        <w:rPr>
          <w:rStyle w:val="Hyperlink"/>
          <w:u w:val="none"/>
          <w:lang w:val="en-IE"/>
        </w:rPr>
        <w:t>.</w:t>
      </w:r>
    </w:p>
  </w:footnote>
  <w:footnote w:id="111">
    <w:p w14:paraId="7EE4621C" w14:textId="42145C4F"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Eurobarometer survey F</w:t>
      </w:r>
      <w:r w:rsidR="00BF19D6" w:rsidRPr="00FB4E2D">
        <w:rPr>
          <w:lang w:val="en-IE"/>
        </w:rPr>
        <w:t>582</w:t>
      </w:r>
      <w:r w:rsidRPr="00FB4E2D">
        <w:rPr>
          <w:lang w:val="en-IE"/>
        </w:rPr>
        <w:t>; replies to the question: ‘Could you tell me to what extent each of the following reasons explains your rating of the independence of the justice system in (your country): very much, somewhat, not really, not at all?’ if the response to Q1 was ‘fairly bad’ or ‘very bad’.</w:t>
      </w:r>
    </w:p>
  </w:footnote>
  <w:footnote w:id="112">
    <w:p w14:paraId="1A94DAFD" w14:textId="13148C2D"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Eurobarometer survey FL</w:t>
      </w:r>
      <w:r w:rsidR="00BF19D6" w:rsidRPr="00FB4E2D">
        <w:rPr>
          <w:lang w:val="en-IE"/>
        </w:rPr>
        <w:t>582</w:t>
      </w:r>
      <w:r w:rsidRPr="00FB4E2D">
        <w:rPr>
          <w:lang w:val="en-IE"/>
        </w:rPr>
        <w:t xml:space="preserve">, conducted between </w:t>
      </w:r>
      <w:r w:rsidR="00B60040" w:rsidRPr="00FB4E2D">
        <w:rPr>
          <w:lang w:val="en-IE"/>
        </w:rPr>
        <w:t>23 April</w:t>
      </w:r>
      <w:r w:rsidRPr="00FB4E2D">
        <w:rPr>
          <w:lang w:val="en-IE"/>
        </w:rPr>
        <w:t xml:space="preserve"> and </w:t>
      </w:r>
      <w:r w:rsidR="00B60040" w:rsidRPr="00FB4E2D">
        <w:rPr>
          <w:lang w:val="en-IE"/>
        </w:rPr>
        <w:t>8 May 2026</w:t>
      </w:r>
      <w:r w:rsidRPr="00FB4E2D">
        <w:rPr>
          <w:lang w:val="en-IE"/>
        </w:rPr>
        <w:t>, replies to the question Q3: ‘To what extent are you confident that your investments are protected by the law and courts in (your country) if something goes wrong?’ For the purpose of the survey, investment was defined as including any kind of asset that a company owns or controls and that is characterised by the commitment of capital or other resources, the expectation of gain or profit or the assumption of risk.</w:t>
      </w:r>
    </w:p>
  </w:footnote>
  <w:footnote w:id="113">
    <w:p w14:paraId="5BA1D77A" w14:textId="3A8A1945"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Eurobarometer survey FL</w:t>
      </w:r>
      <w:r w:rsidR="00BF19D6" w:rsidRPr="00FB4E2D">
        <w:rPr>
          <w:lang w:val="en-IE"/>
        </w:rPr>
        <w:t>582</w:t>
      </w:r>
      <w:r w:rsidRPr="00FB4E2D">
        <w:rPr>
          <w:lang w:val="en-IE"/>
        </w:rPr>
        <w:t>; replies to the question: ‘What are your main reasons for concern about the effectiveness of investment protection?’ if the response to Q3 was ‘fairly unconfident’ or ‘very unconfident’.</w:t>
      </w:r>
    </w:p>
  </w:footnote>
  <w:footnote w:id="114">
    <w:p w14:paraId="6AD44CAB" w14:textId="01C4EE71"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r>
      <w:r w:rsidR="008A3D00" w:rsidRPr="00FB4E2D">
        <w:rPr>
          <w:lang w:val="en-IE"/>
        </w:rPr>
        <w:t xml:space="preserve">Survey by the European Network of Councils for the Judiciary </w:t>
      </w:r>
      <w:r w:rsidR="00093A68" w:rsidRPr="00FB4E2D">
        <w:rPr>
          <w:lang w:val="en-IE"/>
        </w:rPr>
        <w:t xml:space="preserve">conducted </w:t>
      </w:r>
      <w:r w:rsidR="008A3D00" w:rsidRPr="00FB4E2D">
        <w:rPr>
          <w:lang w:val="en-IE"/>
        </w:rPr>
        <w:t>between 7 January to 12 March 2025</w:t>
      </w:r>
      <w:r w:rsidRPr="00FB4E2D">
        <w:rPr>
          <w:lang w:val="en-IE"/>
        </w:rPr>
        <w:t>; replies to the question ‘During the last three years cases have been allocated to judges other than in accordance with established rules or procedures in order to influence the outcome of the particular case ?’.</w:t>
      </w:r>
    </w:p>
  </w:footnote>
  <w:footnote w:id="115">
    <w:p w14:paraId="6D8E24CB"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See Court of Justice, judgment of 6 March 2025, </w:t>
      </w:r>
      <w:r w:rsidRPr="00FB4E2D">
        <w:rPr>
          <w:i/>
          <w:lang w:val="en-IE"/>
        </w:rPr>
        <w:t>D. K. and Others v Prokuratura Rejonowa (Withdrawal of cases),</w:t>
      </w:r>
      <w:r w:rsidRPr="00FB4E2D">
        <w:rPr>
          <w:lang w:val="en-IE"/>
        </w:rPr>
        <w:t xml:space="preserve"> joined cases C-647/21 and C-648/21, judgment of 25 February 2025 (Grand Chamber), </w:t>
      </w:r>
      <w:r w:rsidRPr="00FB4E2D">
        <w:rPr>
          <w:i/>
          <w:lang w:val="en-IE"/>
        </w:rPr>
        <w:t>XL and Others (Judicial salaries)</w:t>
      </w:r>
      <w:r w:rsidRPr="00FB4E2D">
        <w:rPr>
          <w:lang w:val="en-IE"/>
        </w:rPr>
        <w:t xml:space="preserve">, joined cases C-146/23 and C-374/23, judgment of 14 November 2024, </w:t>
      </w:r>
      <w:r w:rsidRPr="00FB4E2D">
        <w:rPr>
          <w:i/>
          <w:lang w:val="en-IE"/>
        </w:rPr>
        <w:t>S. S.A. v C. sp. z o.o. (Allocation of cases)</w:t>
      </w:r>
      <w:r w:rsidRPr="00FB4E2D">
        <w:rPr>
          <w:lang w:val="en-IE"/>
        </w:rPr>
        <w:t xml:space="preserve">, C-197/23, judgment of 11 July 2024 (Grand Chamber), </w:t>
      </w:r>
      <w:r w:rsidRPr="00FB4E2D">
        <w:rPr>
          <w:i/>
          <w:lang w:val="en-IE"/>
        </w:rPr>
        <w:t>Hann-Invest</w:t>
      </w:r>
      <w:r w:rsidRPr="00FB4E2D">
        <w:rPr>
          <w:lang w:val="en-IE"/>
        </w:rPr>
        <w:t xml:space="preserve">, C-554/21, judgment of 21 December 2023, </w:t>
      </w:r>
      <w:r w:rsidRPr="00FB4E2D">
        <w:rPr>
          <w:i/>
          <w:lang w:val="en-IE"/>
        </w:rPr>
        <w:t>Krajowa Rada Sądownictwa (Maintien en fonctions d’un juge)</w:t>
      </w:r>
      <w:r w:rsidRPr="00FB4E2D">
        <w:rPr>
          <w:lang w:val="en-IE"/>
        </w:rPr>
        <w:t>, C-718/21, ECLI:EU:C:2023:1015, paras. 76-77, and the case-law cited,</w:t>
      </w:r>
      <w:r w:rsidRPr="00FB4E2D" w:rsidDel="001528D5">
        <w:rPr>
          <w:lang w:val="en-IE"/>
        </w:rPr>
        <w:t xml:space="preserve"> </w:t>
      </w:r>
      <w:r w:rsidRPr="00FB4E2D">
        <w:rPr>
          <w:lang w:val="en-IE"/>
        </w:rPr>
        <w:t xml:space="preserve">judgment of 5 June 2023, </w:t>
      </w:r>
      <w:r w:rsidRPr="00FB4E2D">
        <w:rPr>
          <w:i/>
          <w:lang w:val="en-IE"/>
        </w:rPr>
        <w:t>Commission v. Poland</w:t>
      </w:r>
      <w:r w:rsidRPr="00FB4E2D">
        <w:rPr>
          <w:lang w:val="en-IE"/>
        </w:rPr>
        <w:t xml:space="preserve">, C-204/21, ECLI:EU:C:2023:442, para. 355; judgment of 16 November 2021, </w:t>
      </w:r>
      <w:r w:rsidRPr="00FB4E2D">
        <w:rPr>
          <w:i/>
          <w:lang w:val="en-IE"/>
        </w:rPr>
        <w:t>Criminal proceedings against WB and Others</w:t>
      </w:r>
      <w:r w:rsidRPr="00FB4E2D">
        <w:rPr>
          <w:lang w:val="en-IE"/>
        </w:rPr>
        <w:t xml:space="preserve">, Joined Cases C-748/19 to C-754/19, para. 67; judgment of 6 October 2021, </w:t>
      </w:r>
      <w:r w:rsidRPr="00FB4E2D">
        <w:rPr>
          <w:i/>
          <w:lang w:val="en-IE"/>
        </w:rPr>
        <w:t>W.Ż.</w:t>
      </w:r>
      <w:r w:rsidRPr="00FB4E2D">
        <w:rPr>
          <w:lang w:val="en-IE"/>
        </w:rPr>
        <w:t xml:space="preserve">, C-487/19, para. 109; judgment of 15 July 2021, </w:t>
      </w:r>
      <w:r w:rsidRPr="00FB4E2D">
        <w:rPr>
          <w:i/>
          <w:lang w:val="en-IE"/>
        </w:rPr>
        <w:t>Commission v. Poland</w:t>
      </w:r>
      <w:r w:rsidRPr="00FB4E2D">
        <w:rPr>
          <w:lang w:val="en-IE"/>
        </w:rPr>
        <w:t xml:space="preserve">, C-791/19, para. 59; judgment of 2 March 2021, </w:t>
      </w:r>
      <w:r w:rsidRPr="00FB4E2D">
        <w:rPr>
          <w:i/>
          <w:lang w:val="en-IE"/>
        </w:rPr>
        <w:t>A.B.</w:t>
      </w:r>
      <w:r w:rsidRPr="00FB4E2D">
        <w:rPr>
          <w:lang w:val="en-IE"/>
        </w:rPr>
        <w:t xml:space="preserve">, C-824/18, para.117; judgment of 19 November 2019, </w:t>
      </w:r>
      <w:r w:rsidRPr="00FB4E2D">
        <w:rPr>
          <w:i/>
          <w:lang w:val="en-IE"/>
        </w:rPr>
        <w:t>A. K. and Others</w:t>
      </w:r>
      <w:r w:rsidRPr="00FB4E2D">
        <w:rPr>
          <w:lang w:val="en-IE"/>
        </w:rPr>
        <w:t xml:space="preserve"> (Independence of the Disciplinary Chamber of the Supreme Court), C-585/18, C-624/18 and C-625/18, ECLI:EU:C:2019:982, paras. 121 and 122; judgment of 24 June 2019, </w:t>
      </w:r>
      <w:r w:rsidRPr="00FB4E2D">
        <w:rPr>
          <w:i/>
          <w:lang w:val="en-IE"/>
        </w:rPr>
        <w:t>Commission v. Poland</w:t>
      </w:r>
      <w:r w:rsidRPr="00FB4E2D">
        <w:rPr>
          <w:lang w:val="en-IE"/>
        </w:rPr>
        <w:t xml:space="preserve">, C-619/18, ECLI:EU:C:2019:531 paras. 73 and 74; judgment of 25 July 2018, </w:t>
      </w:r>
      <w:r w:rsidRPr="00FB4E2D">
        <w:rPr>
          <w:i/>
          <w:lang w:val="en-IE"/>
        </w:rPr>
        <w:t>LM</w:t>
      </w:r>
      <w:r w:rsidRPr="00FB4E2D">
        <w:rPr>
          <w:lang w:val="en-IE"/>
        </w:rPr>
        <w:t xml:space="preserve">, C-216/18 PPU, ECLI:EU:C:2018:586, para. 66; judgment of 27 February 2018, </w:t>
      </w:r>
      <w:r w:rsidRPr="00FB4E2D">
        <w:rPr>
          <w:i/>
          <w:lang w:val="en-IE"/>
        </w:rPr>
        <w:t>Associação Sindical dos Juízes Portugueses</w:t>
      </w:r>
      <w:r w:rsidRPr="00FB4E2D">
        <w:rPr>
          <w:lang w:val="en-IE"/>
        </w:rPr>
        <w:t xml:space="preserve">, C‑64/16, ECLI:EU:C:2018:117, para. 44. See also paragraphs 46 and 47 of the Recommendation CM/Rec(2010)12 Judges: Independence, Efficiency and Responsibility (adopted by the Committee of Ministers of the Council of Europe on 17 November 2010) and the explanatory memorandum. These provide that the authority taking decisions on the selection and career of judges should be independent of the executive and legislative powers. With a view to guaranteeing its independence, at least half of the members of the authority should be judges chosen by their peers. 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 </w:t>
      </w:r>
    </w:p>
  </w:footnote>
  <w:footnote w:id="116">
    <w:p w14:paraId="01267683"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See Court of Justice, judgment of 5 June 2023, </w:t>
      </w:r>
      <w:r w:rsidRPr="00FB4E2D">
        <w:rPr>
          <w:i/>
          <w:lang w:val="en-IE"/>
        </w:rPr>
        <w:t>Commission v. Poland</w:t>
      </w:r>
      <w:r w:rsidRPr="00FB4E2D">
        <w:rPr>
          <w:lang w:val="en-IE"/>
        </w:rPr>
        <w:t xml:space="preserve">, C-204/21, ECLI:EU:C:2023:442, para. 355; judgment of 2 March 2021, </w:t>
      </w:r>
      <w:r w:rsidRPr="00FB4E2D">
        <w:rPr>
          <w:i/>
          <w:lang w:val="en-IE"/>
        </w:rPr>
        <w:t>A.B.</w:t>
      </w:r>
      <w:r w:rsidRPr="00FB4E2D">
        <w:rPr>
          <w:lang w:val="en-IE"/>
        </w:rPr>
        <w:t xml:space="preserve">, C-824/18, para. 119; judgment of 19 November 2019, </w:t>
      </w:r>
      <w:r w:rsidRPr="00FB4E2D">
        <w:rPr>
          <w:i/>
          <w:lang w:val="en-IE"/>
        </w:rPr>
        <w:t>A. K. and Others</w:t>
      </w:r>
      <w:r w:rsidRPr="00FB4E2D">
        <w:rPr>
          <w:lang w:val="en-IE"/>
        </w:rPr>
        <w:t xml:space="preserve"> (Independence of the Disciplinary Chamber of the Supreme Court), C-585/18, C-624/18 and C-625/18, ECLI:EU:C:2019:982, para. 123; judgment of 24 June 2019, </w:t>
      </w:r>
      <w:r w:rsidRPr="00FB4E2D">
        <w:rPr>
          <w:i/>
          <w:lang w:val="en-IE"/>
        </w:rPr>
        <w:t>Commission v. Poland</w:t>
      </w:r>
      <w:r w:rsidRPr="00FB4E2D">
        <w:rPr>
          <w:lang w:val="en-IE"/>
        </w:rPr>
        <w:t xml:space="preserve">, C-619/18, ECLI:EU:C:2019:531 para. 112. </w:t>
      </w:r>
    </w:p>
  </w:footnote>
  <w:footnote w:id="117">
    <w:p w14:paraId="3B9D2F52"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See Recommendation CM/Rec(2010)12 Judges: Independence, Efficiency and Responsibility, adopted by the Committee of Ministers of the Council of Europe on 17 November 2010 and the explanatory memorandum (‘the Recommendation CM/Rec(2010)12’).</w:t>
      </w:r>
    </w:p>
  </w:footnote>
  <w:footnote w:id="118">
    <w:p w14:paraId="182D2B51"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The figure is based on the responses to an updated questionnaire drawn up by the Commission in close association with the ENCJ. Responses to the updated questionnaire from Member States that have no councils for the judiciary or that are not ENCJ members (CZ, DE, EE, AT and PL) were obtained in cooperation with the Network of the Presidents of the Supreme Judicial Courts of the EU.</w:t>
      </w:r>
    </w:p>
  </w:footnote>
  <w:footnote w:id="119">
    <w:p w14:paraId="17E38F28"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Figures are based on responses to an updated questionnaire drawn up by the Commission in close cooperation with the Network of Public Prosecutors or equivalent institutions at the Supreme Judicial Courts of the Member States of the European Union – the NADAL Network.</w:t>
      </w:r>
    </w:p>
  </w:footnote>
  <w:footnote w:id="120">
    <w:p w14:paraId="0FF7A503"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Figure is based on the responses to an updated questionnaire drawn up by the Commission in close association with the Council of Bars and Law Societies of Europe (CCBE).</w:t>
      </w:r>
    </w:p>
  </w:footnote>
  <w:footnote w:id="121">
    <w:p w14:paraId="2A820F66"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According to paragraphs 51 and 44 of the Recommendation CM/Rec(2010)12, where recruitment is made for a probationary period or fixed term, the decision on whether to confirm or renew such an appointment should only be taken based on objective criteria pre-established by law or by the competent authorities. Such decisions should be based on merit, having regard to the qualifications, skills and capacity required to adjudicate cases by applying the law while respecting human dignity.</w:t>
      </w:r>
    </w:p>
  </w:footnote>
  <w:footnote w:id="122">
    <w:p w14:paraId="5A959571" w14:textId="72238F0B"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Data collected through an updated questionnaire drawn up by the Commission in close association with the ENCJ. Responses to the updated questionnaire from Member States that have no </w:t>
      </w:r>
      <w:r w:rsidR="0044684E" w:rsidRPr="00FB4E2D">
        <w:rPr>
          <w:lang w:val="en-IE"/>
        </w:rPr>
        <w:t>c</w:t>
      </w:r>
      <w:r w:rsidRPr="00FB4E2D">
        <w:rPr>
          <w:lang w:val="en-IE"/>
        </w:rPr>
        <w:t xml:space="preserve">ouncils for the </w:t>
      </w:r>
      <w:r w:rsidR="0044684E" w:rsidRPr="00FB4E2D">
        <w:rPr>
          <w:lang w:val="en-IE"/>
        </w:rPr>
        <w:t>j</w:t>
      </w:r>
      <w:r w:rsidRPr="00FB4E2D">
        <w:rPr>
          <w:lang w:val="en-IE"/>
        </w:rPr>
        <w:t>udiciary are not ENCJ members, were obtained through cooperation with the NPSC.</w:t>
      </w:r>
    </w:p>
  </w:footnote>
  <w:footnote w:id="123">
    <w:p w14:paraId="379304A4"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Council Framework Decision 2002/584/JHA on the European arrest warrant and the surrender procedures between Member States (OJ L 190, 18.7.2002, p. 1).</w:t>
      </w:r>
    </w:p>
  </w:footnote>
  <w:footnote w:id="124">
    <w:p w14:paraId="1E25D355"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Court of Justice, judgment of 27 May 2019, </w:t>
      </w:r>
      <w:r w:rsidRPr="00FB4E2D">
        <w:rPr>
          <w:i/>
          <w:lang w:val="en-IE"/>
        </w:rPr>
        <w:t>OG and PI (Public Prosecutor’s Office of Lübeck and Zwickau)</w:t>
      </w:r>
      <w:r w:rsidRPr="00FB4E2D">
        <w:rPr>
          <w:lang w:val="en-IE"/>
        </w:rPr>
        <w:t xml:space="preserve">, Joined Cases C-508/18 and C-82/19 PPU, paras 73, 74 and 88, ECLI:EU:C:2019:456; judgment of 27 May 2019, C‑509/18, para 52, ECLI:EU:C:2019:457; see also judgments of 12 December 2019, </w:t>
      </w:r>
      <w:r w:rsidRPr="00FB4E2D">
        <w:rPr>
          <w:i/>
          <w:lang w:val="en-IE"/>
        </w:rPr>
        <w:t xml:space="preserve">Parquet général du Grand-Duché de Luxembourg and Openbaar Ministerie (Public Prosecutors of Lyon and Tours), </w:t>
      </w:r>
      <w:r w:rsidRPr="00FB4E2D">
        <w:rPr>
          <w:lang w:val="en-IE"/>
        </w:rPr>
        <w:t>in Joined Cases C-566/19 PPU and C-626/19, ECLI:EU:C:2019:1077;</w:t>
      </w:r>
      <w:r w:rsidRPr="00FB4E2D">
        <w:rPr>
          <w:i/>
          <w:lang w:val="en-IE"/>
        </w:rPr>
        <w:t xml:space="preserve"> Openbaar Ministerie (Swedish Prosecution Authority), </w:t>
      </w:r>
      <w:r w:rsidRPr="00FB4E2D">
        <w:rPr>
          <w:lang w:val="en-IE"/>
        </w:rPr>
        <w:t>C-625/19 PPU, ECLI:EU:C:2019:1078,</w:t>
      </w:r>
      <w:r w:rsidRPr="00FB4E2D">
        <w:rPr>
          <w:i/>
          <w:lang w:val="en-IE"/>
        </w:rPr>
        <w:t xml:space="preserve"> </w:t>
      </w:r>
      <w:r w:rsidRPr="00FB4E2D">
        <w:rPr>
          <w:lang w:val="en-IE"/>
        </w:rPr>
        <w:t>and</w:t>
      </w:r>
      <w:r w:rsidRPr="00FB4E2D">
        <w:rPr>
          <w:i/>
          <w:lang w:val="en-IE"/>
        </w:rPr>
        <w:t xml:space="preserve"> Openbaar Ministerie (Public Prosecutor in Brussels), </w:t>
      </w:r>
      <w:r w:rsidRPr="00FB4E2D">
        <w:rPr>
          <w:lang w:val="en-IE"/>
        </w:rPr>
        <w:t xml:space="preserve">C-627/19 PPU, ECLI:EU:C:2019:1079; judgment of 24 November 2020, </w:t>
      </w:r>
      <w:r w:rsidRPr="00FB4E2D">
        <w:rPr>
          <w:i/>
          <w:lang w:val="en-IE"/>
        </w:rPr>
        <w:t>AZ</w:t>
      </w:r>
      <w:r w:rsidRPr="00FB4E2D">
        <w:rPr>
          <w:lang w:val="en-IE"/>
        </w:rPr>
        <w:t xml:space="preserve">, C-510/19, para 54, ECLI:EU:C:2020:953. See also judgment of 10 November 2016, </w:t>
      </w:r>
      <w:r w:rsidRPr="00FB4E2D">
        <w:rPr>
          <w:i/>
          <w:lang w:val="en-IE"/>
        </w:rPr>
        <w:t xml:space="preserve">Kovalkovas, </w:t>
      </w:r>
      <w:r w:rsidRPr="00FB4E2D">
        <w:rPr>
          <w:lang w:val="en-IE"/>
        </w:rPr>
        <w:t xml:space="preserve">C-477/16 PPU, paras 34 and 36, ECLI:EU:C:2016:861, and judgment of 10 November 2016, </w:t>
      </w:r>
      <w:r w:rsidRPr="00FB4E2D">
        <w:rPr>
          <w:i/>
          <w:lang w:val="en-IE"/>
        </w:rPr>
        <w:t xml:space="preserve">Poltorak, </w:t>
      </w:r>
      <w:r w:rsidRPr="00FB4E2D">
        <w:rPr>
          <w:lang w:val="en-IE"/>
        </w:rPr>
        <w:t>C-452/16 PPU, para 35, ECLI:EU:C:2016:858, on the term ‘judiciary’, ‘which must […] be distinguished, in accordance with the principle of the separation of powers which characterises the operation of the rule of law, from the executive’. See also Opinion No 13(2018) Independence, accountability and ethics of prosecutors, adopted by the Consultative Council of European Prosecutors (CCPE), recommendation xii.</w:t>
      </w:r>
    </w:p>
  </w:footnote>
  <w:footnote w:id="125">
    <w:p w14:paraId="2C292FDC"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CDL-AD(2010)040-e Report on European Standards as regards the Independence of the Judicial System: Part II - the Prosecution Service - Adopted by the Venice Commission - at its 85th plenary session (Venice, 17-18 December 2010), para. 26.</w:t>
      </w:r>
    </w:p>
  </w:footnote>
  <w:footnote w:id="126">
    <w:p w14:paraId="431DC571" w14:textId="77777777" w:rsidR="00A02C07" w:rsidRPr="00FB4E2D" w:rsidRDefault="00A02C07" w:rsidP="00A02C07">
      <w:pPr>
        <w:pStyle w:val="FootnoteText"/>
        <w:ind w:left="284" w:hanging="284"/>
        <w:rPr>
          <w:rStyle w:val="FootnoteReference"/>
          <w:lang w:val="en-IE"/>
        </w:rPr>
      </w:pPr>
      <w:r w:rsidRPr="00FB4E2D">
        <w:rPr>
          <w:rStyle w:val="FootnoteReference"/>
          <w:lang w:val="en-IE"/>
        </w:rPr>
        <w:footnoteRef/>
      </w:r>
      <w:r w:rsidRPr="00FB4E2D">
        <w:rPr>
          <w:rStyle w:val="FootnoteReference"/>
          <w:lang w:val="en-IE"/>
        </w:rPr>
        <w:t xml:space="preserve"> </w:t>
      </w:r>
      <w:r w:rsidRPr="00FB4E2D">
        <w:rPr>
          <w:lang w:val="en-IE"/>
        </w:rPr>
        <w:tab/>
        <w:t>In a democratic society, both courts and the investigative authorities must remain free from political pressure. The concept of independence means that prosecutors are free from unlawful interference in the exercise of their duties to ensure full respect for and application of the law and the principle of the rule of law and that they are not subject to any political pressure or unlawful influence of any kind. Independence applies not only to the prosecution service as a whole, but also to its particular bodies and to individual prosecutors. Whatever the model of the national justice system or the legal tradition in which it is anchored, European standards provide that Member States take effective measures to guarantee that public prosecutors are able to fulfil their professional duties and responsibilities under appropriate legal and organisational conditions and without unjustified interference.</w:t>
      </w:r>
      <w:r w:rsidRPr="00FB4E2D">
        <w:rPr>
          <w:lang w:val="en-IE"/>
        </w:rPr>
        <w:br/>
        <w:t>See Consultative Council of European Prosecutors (CCPE) Opinion No 15 (2020) on the role of prosecutors in emergency situations, in particular when facing a pandemic; Opinion No 16 (2021) on the implications of the decisions of international courts and treaty bodies as regards the practical independence of prosecutors, para. 13. See also Recommendation Rec(2000)19 on the role of public prosecution in the criminal justice system, adopted by the Committee of Ministers of the Council of Europe on 6 October 2000 (the 2000 Recommendation), paras. 4, 11 and 13. Opinion No 13 (2018) Independence, accountability and ethics of prosecutors, adopted by the Consultative Council of European Prosecutors (CCPE), recommendations i and iii; Group of States against corruption (GRECO), fourth evaluation round ‘Corruption prevention - Members of Parliament, Judges and Prosecutors’, a large number of recommendations ask for the introduction of arrangements to shield the prosecution service from undue influence and interference in the investigation of criminal cases.</w:t>
      </w:r>
    </w:p>
  </w:footnote>
  <w:footnote w:id="127">
    <w:p w14:paraId="682C5491"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Data collected through a questionnaire drawn up by the Commission in close association with the NADAL Network of Prosecutors.</w:t>
      </w:r>
    </w:p>
  </w:footnote>
  <w:footnote w:id="128">
    <w:p w14:paraId="07B53AB0"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Data collected through a questionnaire drawn up by the Commission in close association with the NADAL Network of Prosecutors.</w:t>
      </w:r>
    </w:p>
  </w:footnote>
  <w:footnote w:id="129">
    <w:p w14:paraId="4E9916A7"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‘Lawyers play an important role in protecting the rule of law and judicial independence, while respecting the separation of powers and fundamental rights.’, ‘</w:t>
      </w:r>
      <w:r w:rsidRPr="00FB4E2D">
        <w:rPr>
          <w:i/>
          <w:lang w:val="en-IE"/>
        </w:rPr>
        <w:t>Access to a lawyer and rule of law</w:t>
      </w:r>
      <w:r w:rsidRPr="00FB4E2D">
        <w:rPr>
          <w:lang w:val="en-IE"/>
        </w:rPr>
        <w:t xml:space="preserve">’, Presidency discussion paper for the meeting of the Justice and Home Affairs Council on 3 and 4 March 2022: </w:t>
      </w:r>
      <w:hyperlink r:id="rId45" w:history="1">
        <w:r w:rsidRPr="00FB4E2D">
          <w:rPr>
            <w:rStyle w:val="Hyperlink"/>
            <w:lang w:val="en-IE"/>
          </w:rPr>
          <w:t>https://data.consilium.europa.eu/doc/document/ST-6319-2022-INIT/en/pdf</w:t>
        </w:r>
      </w:hyperlink>
      <w:r w:rsidRPr="00FA47D3">
        <w:rPr>
          <w:rStyle w:val="Hyperlink"/>
          <w:u w:val="none"/>
          <w:lang w:val="en-IE"/>
        </w:rPr>
        <w:t>.</w:t>
      </w:r>
    </w:p>
  </w:footnote>
  <w:footnote w:id="130">
    <w:p w14:paraId="6206DEA8" w14:textId="2772BA5A"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CJEU, Case C-155/79, AM &amp; S Europe Ltd v Commission, paragraphs 18–21 (recognising legal professional privilege as a general principle of EU law protecting confidential communications with independent lawyers); CJEU, Case C-550/07 P, Akzo Nobel Chemicals and Akcros Chemicals v Commission, paragraphs 42–46 and 54 (confirming that legal professional privilege is a fundamental guarantee of the right </w:t>
      </w:r>
      <w:r w:rsidR="00145CF9" w:rsidRPr="00FB4E2D">
        <w:rPr>
          <w:lang w:val="en-IE"/>
        </w:rPr>
        <w:t xml:space="preserve">to a </w:t>
      </w:r>
      <w:r w:rsidRPr="00FB4E2D">
        <w:rPr>
          <w:lang w:val="en-IE"/>
        </w:rPr>
        <w:t>defence); CJEU, Case C-694/20, Orde van Vlaamse Balies and Others, paras. 26–30 and 34–36 (holding that the confidentiality of communications between lawyers and their clients is protected under Article 7 of the Charter and forms part of the essence of that right).</w:t>
      </w:r>
    </w:p>
  </w:footnote>
  <w:footnote w:id="131">
    <w:p w14:paraId="3C98B2A4" w14:textId="77777777" w:rsidR="00A02C07" w:rsidRPr="00FB4E2D" w:rsidRDefault="00A02C07" w:rsidP="00A02C07">
      <w:pPr>
        <w:pStyle w:val="FootnoteText"/>
        <w:ind w:left="284" w:hanging="284"/>
        <w:rPr>
          <w:lang w:val="en-IE"/>
        </w:rPr>
      </w:pPr>
      <w:r w:rsidRPr="00FB4E2D">
        <w:rPr>
          <w:vertAlign w:val="superscript"/>
          <w:lang w:val="en-IE"/>
        </w:rPr>
        <w:footnoteRef/>
      </w:r>
      <w:r w:rsidRPr="00FB4E2D">
        <w:rPr>
          <w:lang w:val="en-IE"/>
        </w:rPr>
        <w:t xml:space="preserve"> </w:t>
      </w:r>
      <w:r w:rsidRPr="00FB4E2D">
        <w:rPr>
          <w:lang w:val="en-IE"/>
        </w:rPr>
        <w:tab/>
        <w:t>Recommendation No. R(2000)21 of the Committee of Ministers of the Council of Europe.</w:t>
      </w:r>
    </w:p>
  </w:footnote>
  <w:footnote w:id="132">
    <w:p w14:paraId="490A0EBA" w14:textId="77777777" w:rsidR="00A02C07" w:rsidRPr="00FB4E2D" w:rsidRDefault="00A02C07" w:rsidP="00A02C07">
      <w:pPr>
        <w:pStyle w:val="FootnoteText"/>
        <w:ind w:left="284" w:hanging="284"/>
        <w:rPr>
          <w:rStyle w:val="FootnoteReference"/>
          <w:lang w:val="en-IE"/>
        </w:rPr>
      </w:pPr>
      <w:r w:rsidRPr="00FB4E2D">
        <w:rPr>
          <w:rStyle w:val="FootnoteReference"/>
          <w:lang w:val="en-IE"/>
        </w:rPr>
        <w:footnoteRef/>
      </w:r>
      <w:r w:rsidRPr="00FB4E2D">
        <w:rPr>
          <w:lang w:val="en-IE"/>
        </w:rPr>
        <w:t xml:space="preserve"> </w:t>
      </w:r>
      <w:r w:rsidRPr="00FB4E2D">
        <w:rPr>
          <w:lang w:val="en-IE"/>
        </w:rPr>
        <w:tab/>
        <w:t>The 2025 data are collected through replies by CCBE members to a questionnaire.</w:t>
      </w:r>
    </w:p>
  </w:footnote>
  <w:footnote w:id="133">
    <w:p w14:paraId="21E3C48C" w14:textId="6FB11B9D"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Eurobarometer survey FL</w:t>
      </w:r>
      <w:r w:rsidR="00BF19D6" w:rsidRPr="00FB4E2D">
        <w:rPr>
          <w:lang w:val="en-IE"/>
        </w:rPr>
        <w:t>582</w:t>
      </w:r>
      <w:r w:rsidRPr="00FB4E2D">
        <w:rPr>
          <w:lang w:val="en-IE"/>
        </w:rPr>
        <w:t xml:space="preserve">, conducted between </w:t>
      </w:r>
      <w:r w:rsidR="00B60040" w:rsidRPr="00FB4E2D">
        <w:rPr>
          <w:lang w:val="en-IE"/>
        </w:rPr>
        <w:t>23 April</w:t>
      </w:r>
      <w:r w:rsidRPr="00FB4E2D">
        <w:rPr>
          <w:lang w:val="en-IE"/>
        </w:rPr>
        <w:t xml:space="preserve"> and </w:t>
      </w:r>
      <w:r w:rsidR="00B60040" w:rsidRPr="00FB4E2D">
        <w:rPr>
          <w:lang w:val="en-IE"/>
        </w:rPr>
        <w:t>8 May 2026</w:t>
      </w:r>
      <w:r w:rsidRPr="00FB4E2D">
        <w:rPr>
          <w:lang w:val="en-IE"/>
        </w:rPr>
        <w:t xml:space="preserve">, replies to the question: ‘From what you know, how would you rate the public procurement review body that reviews public procurement cases in terms of its independence? Would you say it is very good, fairly good, fairly bad or very bad?’, see: </w:t>
      </w:r>
      <w:hyperlink r:id="rId46" w:anchor="surveys" w:history="1">
        <w:r w:rsidRPr="00FB4E2D">
          <w:rPr>
            <w:rStyle w:val="Hyperlink"/>
            <w:lang w:val="en-IE"/>
          </w:rPr>
          <w:t>https://commission.europa.eu/strategy-and-policy/policies/justice-and-fundamental-rights/upholding-rule-law/eu-justice-scoreboard_en#surveys</w:t>
        </w:r>
      </w:hyperlink>
      <w:r w:rsidRPr="00FA47D3">
        <w:rPr>
          <w:color w:val="000000" w:themeColor="text1"/>
          <w:lang w:val="en-IE"/>
        </w:rPr>
        <w:t>.</w:t>
      </w:r>
    </w:p>
  </w:footnote>
  <w:footnote w:id="134">
    <w:p w14:paraId="39F7F392" w14:textId="7917CE49"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Eurobarometer survey FL</w:t>
      </w:r>
      <w:r w:rsidR="00A766D3" w:rsidRPr="00FB4E2D">
        <w:rPr>
          <w:lang w:val="en-IE"/>
        </w:rPr>
        <w:t>582</w:t>
      </w:r>
      <w:r w:rsidRPr="00FB4E2D">
        <w:rPr>
          <w:lang w:val="en-IE"/>
        </w:rPr>
        <w:t xml:space="preserve">, conducted between </w:t>
      </w:r>
      <w:r w:rsidR="00B60040" w:rsidRPr="00FB4E2D">
        <w:rPr>
          <w:lang w:val="en-IE"/>
        </w:rPr>
        <w:t>23 April</w:t>
      </w:r>
      <w:r w:rsidRPr="00FB4E2D">
        <w:rPr>
          <w:lang w:val="en-IE"/>
        </w:rPr>
        <w:t xml:space="preserve"> and </w:t>
      </w:r>
      <w:r w:rsidR="00B60040" w:rsidRPr="00FB4E2D">
        <w:rPr>
          <w:lang w:val="en-IE"/>
        </w:rPr>
        <w:t>8 May 2026</w:t>
      </w:r>
      <w:r w:rsidRPr="00FB4E2D">
        <w:rPr>
          <w:lang w:val="en-IE"/>
        </w:rPr>
        <w:t xml:space="preserve">, replies to the question: ‘From what you know, how would you rate the national competition authority that decides in competition matters in terms of its independence? Would you say it is very good, fairly good, fairly bad or very bad?’, see: </w:t>
      </w:r>
      <w:hyperlink r:id="rId47" w:anchor="surveys" w:history="1">
        <w:r w:rsidRPr="00FB4E2D">
          <w:rPr>
            <w:rStyle w:val="Hyperlink"/>
            <w:lang w:val="en-IE"/>
          </w:rPr>
          <w:t>https://commission.europa.eu/strategy-and-policy/policies/justice-and-fundamental-rights/upholding-rule-law/eu-justice-scoreboard_en#surveys</w:t>
        </w:r>
      </w:hyperlink>
      <w:r w:rsidRPr="00FA47D3">
        <w:rPr>
          <w:color w:val="000000" w:themeColor="text1"/>
          <w:lang w:val="en-IE"/>
        </w:rPr>
        <w:t>.</w:t>
      </w:r>
    </w:p>
  </w:footnote>
  <w:footnote w:id="135">
    <w:p w14:paraId="7847F12A" w14:textId="77777777" w:rsidR="00A02C07" w:rsidRPr="00FB4E2D" w:rsidRDefault="00A02C07" w:rsidP="00A02C07">
      <w:pPr>
        <w:pStyle w:val="FootnoteText"/>
        <w:ind w:left="284" w:hanging="284"/>
        <w:rPr>
          <w:highlight w:val="yellow"/>
          <w:lang w:val="en-IE"/>
        </w:rPr>
      </w:pPr>
      <w:r w:rsidRPr="00FB4E2D">
        <w:rPr>
          <w:rStyle w:val="FootnoteReference"/>
          <w:lang w:val="en-IE"/>
        </w:rPr>
        <w:footnoteRef/>
      </w:r>
      <w:r w:rsidRPr="00FB4E2D">
        <w:rPr>
          <w:lang w:val="en-IE"/>
        </w:rPr>
        <w:t xml:space="preserve"> </w:t>
      </w:r>
      <w:r w:rsidRPr="00FB4E2D">
        <w:rPr>
          <w:lang w:val="en-IE"/>
        </w:rPr>
        <w:tab/>
        <w:t>The Contact Committee structure consists of the Contact Committee itself, composed of the heads of the EU SAIs and the ECA, the Liaison Officers, who provide an active network of professional contacts around Europe, as well as working groups, networks and task forces on specific audit topics.</w:t>
      </w:r>
    </w:p>
  </w:footnote>
  <w:footnote w:id="136">
    <w:p w14:paraId="7AFBE33F"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BE, FR, EL, IT, PT, ES.</w:t>
      </w:r>
    </w:p>
  </w:footnote>
  <w:footnote w:id="137">
    <w:p w14:paraId="2C49E5FE"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AT, HR, CY, DK, EE, FI, HU, IRE, LT, MT, SK, SE.</w:t>
      </w:r>
    </w:p>
  </w:footnote>
  <w:footnote w:id="138">
    <w:p w14:paraId="2A090FBA" w14:textId="77777777" w:rsidR="00A02C07" w:rsidRPr="000645B0" w:rsidRDefault="00A02C07" w:rsidP="00A02C07">
      <w:pPr>
        <w:pStyle w:val="FootnoteText"/>
        <w:ind w:left="284" w:hanging="284"/>
        <w:rPr>
          <w:lang w:val="en-IE"/>
        </w:rPr>
      </w:pPr>
      <w:r w:rsidRPr="00FB4E2D">
        <w:rPr>
          <w:rStyle w:val="FootnoteReference"/>
          <w:lang w:val="en-IE"/>
        </w:rPr>
        <w:footnoteRef/>
      </w:r>
      <w:r w:rsidRPr="000645B0">
        <w:rPr>
          <w:lang w:val="en-IE"/>
        </w:rPr>
        <w:t xml:space="preserve"> </w:t>
      </w:r>
      <w:r w:rsidRPr="000645B0">
        <w:rPr>
          <w:lang w:val="en-IE"/>
        </w:rPr>
        <w:tab/>
        <w:t>BE, BG, CZ, FR, DE, EL, LV, LU, NL, PL, PT, RO, SI, ES.</w:t>
      </w:r>
    </w:p>
  </w:footnote>
  <w:footnote w:id="139">
    <w:p w14:paraId="38AD0CDE" w14:textId="77777777"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INTOSAI (2019), Mexico Declaration on SAI Independence, Principle 4.</w:t>
      </w:r>
    </w:p>
  </w:footnote>
  <w:footnote w:id="140">
    <w:p w14:paraId="59D0281B" w14:textId="77777777" w:rsidR="00CF275C" w:rsidRPr="00FB4E2D" w:rsidRDefault="00CF275C" w:rsidP="00CF275C">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Regulation (EU, Euratom) 2020/2092 of the European Parliament and of the Council of 16 December 2020 on a general regime of conditionality for the protection of the Union budget (OJ L 433I, 22.12.2020).</w:t>
      </w:r>
    </w:p>
  </w:footnote>
  <w:footnote w:id="141">
    <w:p w14:paraId="564C3C49" w14:textId="5491FC4C"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 xml:space="preserve">Proposal for a Directive of the European Parliament and of the Council establishing harmonised requirements in the internal market on transparency of interest representation carried out on behalf of </w:t>
      </w:r>
      <w:r w:rsidR="004A0737" w:rsidRPr="00FB4E2D">
        <w:rPr>
          <w:lang w:val="en-IE"/>
        </w:rPr>
        <w:t xml:space="preserve">non-EU </w:t>
      </w:r>
      <w:r w:rsidRPr="00FB4E2D">
        <w:rPr>
          <w:lang w:val="en-IE"/>
        </w:rPr>
        <w:t>countries and amending Directive (EU) 2019/1937 COM(2023) 637 final.</w:t>
      </w:r>
    </w:p>
  </w:footnote>
  <w:footnote w:id="142">
    <w:p w14:paraId="1AFC52EA" w14:textId="1A6F44CE" w:rsidR="00865265" w:rsidRPr="00FB4E2D" w:rsidRDefault="00865265" w:rsidP="00E7339F">
      <w:pPr>
        <w:pStyle w:val="FootnoteText"/>
        <w:ind w:left="284" w:hanging="284"/>
        <w:rPr>
          <w:lang w:val="en-IE"/>
        </w:rPr>
      </w:pPr>
      <w:r w:rsidRPr="00FB4E2D">
        <w:rPr>
          <w:rStyle w:val="FootnoteReference"/>
          <w:lang w:val="en-IE"/>
        </w:rPr>
        <w:footnoteRef/>
      </w:r>
      <w:r w:rsidRPr="00FB4E2D">
        <w:rPr>
          <w:lang w:val="en-IE"/>
        </w:rPr>
        <w:t xml:space="preserve"> </w:t>
      </w:r>
      <w:r w:rsidR="004647E7" w:rsidRPr="00FB4E2D">
        <w:rPr>
          <w:lang w:val="en-IE"/>
        </w:rPr>
        <w:tab/>
      </w:r>
      <w:r w:rsidRPr="00FB4E2D">
        <w:rPr>
          <w:lang w:val="en-IE"/>
        </w:rPr>
        <w:t>The key findings in the 2026 EU Justice Scoreboard do not prejudge the assessment of a fulfilment of a measure in the RRP, if relevant</w:t>
      </w:r>
      <w:r w:rsidRPr="00FB4E2D">
        <w:rPr>
          <w:i/>
          <w:iCs/>
          <w:lang w:val="en-IE"/>
        </w:rPr>
        <w:t>.</w:t>
      </w:r>
    </w:p>
  </w:footnote>
  <w:footnote w:id="143">
    <w:p w14:paraId="5FA1DA49" w14:textId="135363FD" w:rsidR="00A02C07" w:rsidRPr="00FB4E2D" w:rsidRDefault="00A02C07" w:rsidP="00A02C07">
      <w:pPr>
        <w:pStyle w:val="FootnoteText"/>
        <w:ind w:left="284" w:hanging="284"/>
        <w:rPr>
          <w:lang w:val="en-IE"/>
        </w:rPr>
      </w:pPr>
      <w:r w:rsidRPr="00FB4E2D">
        <w:rPr>
          <w:rStyle w:val="FootnoteReference"/>
          <w:lang w:val="en-IE"/>
        </w:rPr>
        <w:footnoteRef/>
      </w:r>
      <w:r w:rsidRPr="00FB4E2D">
        <w:rPr>
          <w:lang w:val="en-IE"/>
        </w:rPr>
        <w:t xml:space="preserve"> </w:t>
      </w:r>
      <w:r w:rsidRPr="00FB4E2D">
        <w:rPr>
          <w:lang w:val="en-IE"/>
        </w:rPr>
        <w:tab/>
        <w:t>Data collected through a questionnaire drawn up by the Commission in close association with the national contact points in the fight against corruption</w:t>
      </w:r>
      <w:r w:rsidR="007240BB" w:rsidRPr="00FB4E2D">
        <w:rPr>
          <w:lang w:val="en-IE"/>
        </w:rPr>
        <w:t xml:space="preserve"> and updated in Spring 2026</w:t>
      </w:r>
      <w:r w:rsidRPr="00FB4E2D">
        <w:rPr>
          <w:lang w:val="en-IE"/>
        </w:rPr>
        <w:t>.</w:t>
      </w:r>
    </w:p>
  </w:footnote>
  <w:footnote w:id="144">
    <w:p w14:paraId="3E3EAD79" w14:textId="25E22139" w:rsidR="00A02C07" w:rsidRPr="00C3655E" w:rsidRDefault="00A02C07" w:rsidP="00A02C07">
      <w:pPr>
        <w:pStyle w:val="FootnoteText"/>
        <w:ind w:left="284" w:hanging="284"/>
      </w:pPr>
      <w:r w:rsidRPr="00FB4E2D">
        <w:rPr>
          <w:rStyle w:val="FootnoteReference"/>
          <w:lang w:val="en-IE"/>
        </w:rPr>
        <w:footnoteRef/>
      </w:r>
      <w:r w:rsidRPr="00FB4E2D">
        <w:rPr>
          <w:lang w:val="en-IE"/>
        </w:rPr>
        <w:t xml:space="preserve"> </w:t>
      </w:r>
      <w:r w:rsidRPr="00FB4E2D">
        <w:rPr>
          <w:lang w:val="en-IE"/>
        </w:rPr>
        <w:tab/>
        <w:t>Data collected through a questionnaire drawn up by the Commission in close association with the national contact points in the fight against corruption</w:t>
      </w:r>
      <w:r w:rsidR="009B2BC2" w:rsidRPr="00FB4E2D">
        <w:rPr>
          <w:lang w:val="en-IE"/>
        </w:rPr>
        <w:t xml:space="preserve"> and </w:t>
      </w:r>
      <w:r w:rsidR="00A6672D" w:rsidRPr="00FB4E2D">
        <w:rPr>
          <w:lang w:val="en-IE"/>
        </w:rPr>
        <w:t>updated in Spring 2026</w:t>
      </w:r>
      <w:r w:rsidRPr="00FB4E2D">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0115B" w14:textId="77777777" w:rsidR="00CC7F72" w:rsidRPr="00CC7F72" w:rsidRDefault="00CC7F72" w:rsidP="00CC7F7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185F5" w14:textId="77777777" w:rsidR="00CC7F72" w:rsidRPr="00CC7F72" w:rsidRDefault="00CC7F72" w:rsidP="00CC7F7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17E9C" w14:textId="77777777" w:rsidR="00CC7F72" w:rsidRPr="00CC7F72" w:rsidRDefault="00CC7F72" w:rsidP="00CC7F7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0A467" w14:textId="00AE0D25" w:rsidR="00A02C07" w:rsidRPr="00FB4E2D" w:rsidRDefault="00A02C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17C9" w14:textId="77777777" w:rsidR="00A02C07" w:rsidRPr="00FB4E2D" w:rsidRDefault="00A02C07" w:rsidP="008F28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95CE3" w14:textId="77777777" w:rsidR="00A02C07" w:rsidRPr="00FB4E2D" w:rsidRDefault="00A02C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013B7"/>
    <w:multiLevelType w:val="hybridMultilevel"/>
    <w:tmpl w:val="D2CA2556"/>
    <w:lvl w:ilvl="0" w:tplc="07360958">
      <w:start w:val="1"/>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C744862"/>
    <w:multiLevelType w:val="hybridMultilevel"/>
    <w:tmpl w:val="1C7AC15C"/>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2AD31010"/>
    <w:multiLevelType w:val="hybridMultilevel"/>
    <w:tmpl w:val="1AA21390"/>
    <w:lvl w:ilvl="0" w:tplc="C25CB890">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E7631D6"/>
    <w:multiLevelType w:val="hybridMultilevel"/>
    <w:tmpl w:val="1B923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D21BF7"/>
    <w:multiLevelType w:val="hybridMultilevel"/>
    <w:tmpl w:val="37ECAC1A"/>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6F5C93C"/>
    <w:multiLevelType w:val="hybridMultilevel"/>
    <w:tmpl w:val="B70A7634"/>
    <w:lvl w:ilvl="0" w:tplc="23722A9A">
      <w:start w:val="1"/>
      <w:numFmt w:val="bullet"/>
      <w:lvlText w:val="-"/>
      <w:lvlJc w:val="left"/>
      <w:pPr>
        <w:ind w:left="720" w:hanging="360"/>
      </w:pPr>
      <w:rPr>
        <w:rFonts w:ascii="Symbol" w:hAnsi="Symbol" w:hint="default"/>
      </w:rPr>
    </w:lvl>
    <w:lvl w:ilvl="1" w:tplc="E56CF7C8">
      <w:start w:val="1"/>
      <w:numFmt w:val="bullet"/>
      <w:lvlText w:val="o"/>
      <w:lvlJc w:val="left"/>
      <w:pPr>
        <w:ind w:left="1440" w:hanging="360"/>
      </w:pPr>
      <w:rPr>
        <w:rFonts w:ascii="Courier New" w:hAnsi="Courier New" w:hint="default"/>
      </w:rPr>
    </w:lvl>
    <w:lvl w:ilvl="2" w:tplc="55E0C2AA">
      <w:start w:val="1"/>
      <w:numFmt w:val="bullet"/>
      <w:lvlText w:val=""/>
      <w:lvlJc w:val="left"/>
      <w:pPr>
        <w:ind w:left="2160" w:hanging="360"/>
      </w:pPr>
      <w:rPr>
        <w:rFonts w:ascii="Wingdings" w:hAnsi="Wingdings" w:hint="default"/>
      </w:rPr>
    </w:lvl>
    <w:lvl w:ilvl="3" w:tplc="74A43248">
      <w:start w:val="1"/>
      <w:numFmt w:val="bullet"/>
      <w:lvlText w:val=""/>
      <w:lvlJc w:val="left"/>
      <w:pPr>
        <w:ind w:left="2880" w:hanging="360"/>
      </w:pPr>
      <w:rPr>
        <w:rFonts w:ascii="Symbol" w:hAnsi="Symbol" w:hint="default"/>
      </w:rPr>
    </w:lvl>
    <w:lvl w:ilvl="4" w:tplc="7478B3F0">
      <w:start w:val="1"/>
      <w:numFmt w:val="bullet"/>
      <w:lvlText w:val="o"/>
      <w:lvlJc w:val="left"/>
      <w:pPr>
        <w:ind w:left="3600" w:hanging="360"/>
      </w:pPr>
      <w:rPr>
        <w:rFonts w:ascii="Courier New" w:hAnsi="Courier New" w:hint="default"/>
      </w:rPr>
    </w:lvl>
    <w:lvl w:ilvl="5" w:tplc="8B9C5FF4">
      <w:start w:val="1"/>
      <w:numFmt w:val="bullet"/>
      <w:lvlText w:val=""/>
      <w:lvlJc w:val="left"/>
      <w:pPr>
        <w:ind w:left="4320" w:hanging="360"/>
      </w:pPr>
      <w:rPr>
        <w:rFonts w:ascii="Wingdings" w:hAnsi="Wingdings" w:hint="default"/>
      </w:rPr>
    </w:lvl>
    <w:lvl w:ilvl="6" w:tplc="9F9EFB4C">
      <w:start w:val="1"/>
      <w:numFmt w:val="bullet"/>
      <w:lvlText w:val=""/>
      <w:lvlJc w:val="left"/>
      <w:pPr>
        <w:ind w:left="5040" w:hanging="360"/>
      </w:pPr>
      <w:rPr>
        <w:rFonts w:ascii="Symbol" w:hAnsi="Symbol" w:hint="default"/>
      </w:rPr>
    </w:lvl>
    <w:lvl w:ilvl="7" w:tplc="5D84055E">
      <w:start w:val="1"/>
      <w:numFmt w:val="bullet"/>
      <w:lvlText w:val="o"/>
      <w:lvlJc w:val="left"/>
      <w:pPr>
        <w:ind w:left="5760" w:hanging="360"/>
      </w:pPr>
      <w:rPr>
        <w:rFonts w:ascii="Courier New" w:hAnsi="Courier New" w:hint="default"/>
      </w:rPr>
    </w:lvl>
    <w:lvl w:ilvl="8" w:tplc="3490D896">
      <w:start w:val="1"/>
      <w:numFmt w:val="bullet"/>
      <w:lvlText w:val=""/>
      <w:lvlJc w:val="left"/>
      <w:pPr>
        <w:ind w:left="6480" w:hanging="360"/>
      </w:pPr>
      <w:rPr>
        <w:rFonts w:ascii="Wingdings" w:hAnsi="Wingdings" w:hint="default"/>
      </w:rPr>
    </w:lvl>
  </w:abstractNum>
  <w:abstractNum w:abstractNumId="6"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9638C4"/>
    <w:multiLevelType w:val="hybridMultilevel"/>
    <w:tmpl w:val="DB9EF278"/>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5E5125A8"/>
    <w:multiLevelType w:val="hybridMultilevel"/>
    <w:tmpl w:val="C254CB1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2E37C19"/>
    <w:multiLevelType w:val="hybridMultilevel"/>
    <w:tmpl w:val="1AB875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634D5BCB"/>
    <w:multiLevelType w:val="hybridMultilevel"/>
    <w:tmpl w:val="7DA49D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67817BFC"/>
    <w:multiLevelType w:val="hybridMultilevel"/>
    <w:tmpl w:val="A5EE1BA2"/>
    <w:lvl w:ilvl="0" w:tplc="B29EE494">
      <w:start w:val="2"/>
      <w:numFmt w:val="lowerLetter"/>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EF54662"/>
    <w:multiLevelType w:val="hybridMultilevel"/>
    <w:tmpl w:val="A9A8FB3E"/>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7F2F7E35"/>
    <w:multiLevelType w:val="hybridMultilevel"/>
    <w:tmpl w:val="1416EA54"/>
    <w:lvl w:ilvl="0" w:tplc="D04A65E2">
      <w:start w:val="2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43128A"/>
    <w:multiLevelType w:val="hybridMultilevel"/>
    <w:tmpl w:val="37ECAC1A"/>
    <w:lvl w:ilvl="0" w:tplc="D384F66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14"/>
  </w:num>
  <w:num w:numId="3">
    <w:abstractNumId w:val="3"/>
  </w:num>
  <w:num w:numId="4">
    <w:abstractNumId w:val="6"/>
  </w:num>
  <w:num w:numId="5">
    <w:abstractNumId w:val="13"/>
  </w:num>
  <w:num w:numId="6">
    <w:abstractNumId w:val="10"/>
  </w:num>
  <w:num w:numId="7">
    <w:abstractNumId w:val="2"/>
  </w:num>
  <w:num w:numId="8">
    <w:abstractNumId w:val="0"/>
  </w:num>
  <w:num w:numId="9">
    <w:abstractNumId w:val="4"/>
  </w:num>
  <w:num w:numId="10">
    <w:abstractNumId w:val="9"/>
  </w:num>
  <w:num w:numId="11">
    <w:abstractNumId w:val="7"/>
  </w:num>
  <w:num w:numId="12">
    <w:abstractNumId w:val="8"/>
  </w:num>
  <w:num w:numId="13">
    <w:abstractNumId w:val="12"/>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DE2B4DD-2A2C-4624-9D5C-16F07E1A7F0C"/>
    <w:docVar w:name="LW_COVERPAGE_TYPE" w:val="1"/>
    <w:docVar w:name="LW_CROSSREFERENCE" w:val="&lt;UNUSED&gt;"/>
    <w:docVar w:name="LW_DocType" w:val="NORMAL"/>
    <w:docVar w:name="LW_EMISSION" w:val="4.6.2026"/>
    <w:docVar w:name="LW_EMISSION_ISODATE" w:val="2026-06-04"/>
    <w:docVar w:name="LW_EMISSION_LOCATION" w:val="BRX"/>
    <w:docVar w:name="LW_EMISSION_PREFIX" w:val="Brussels, "/>
    <w:docVar w:name="LW_EMISSION_SUFFIX" w:val=" "/>
    <w:docVar w:name="LW_ID_DOCTYPE_NONLW" w:val="CP-035"/>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EU Justice Scoreboard"/>
    <w:docVar w:name="LW_TYPE.DOC.CP" w:val="COMMUNICATION FROM THE COMMISSION TO THE EUROPEAN  PARLIAMENT, THE COUNCIL, THE EUROPEAN CENTRAL BANK, THE _x000b_EUROPEAN ECONOMIC AND SOCIAL COMMITTEE AND THE COMMITTEE OF THE REGIONS _x000b_  "/>
    <w:docVar w:name="LwApiVersions" w:val="LW4CoDe 1.24.5.0; LW 9.2, Build 20251112"/>
  </w:docVars>
  <w:rsids>
    <w:rsidRoot w:val="000C56CE"/>
    <w:rsid w:val="00000ABC"/>
    <w:rsid w:val="00000C87"/>
    <w:rsid w:val="000015F0"/>
    <w:rsid w:val="00002310"/>
    <w:rsid w:val="000026D3"/>
    <w:rsid w:val="0000272B"/>
    <w:rsid w:val="000034F2"/>
    <w:rsid w:val="000052B2"/>
    <w:rsid w:val="0000546F"/>
    <w:rsid w:val="000060D5"/>
    <w:rsid w:val="00006ECB"/>
    <w:rsid w:val="00007583"/>
    <w:rsid w:val="000075A5"/>
    <w:rsid w:val="000108EC"/>
    <w:rsid w:val="00011E49"/>
    <w:rsid w:val="0001309E"/>
    <w:rsid w:val="000148FB"/>
    <w:rsid w:val="00014C72"/>
    <w:rsid w:val="00015407"/>
    <w:rsid w:val="000161A4"/>
    <w:rsid w:val="00016727"/>
    <w:rsid w:val="000209CA"/>
    <w:rsid w:val="0002173E"/>
    <w:rsid w:val="00021D93"/>
    <w:rsid w:val="000232C0"/>
    <w:rsid w:val="00023662"/>
    <w:rsid w:val="00023BB5"/>
    <w:rsid w:val="00025CEC"/>
    <w:rsid w:val="00026A65"/>
    <w:rsid w:val="00027040"/>
    <w:rsid w:val="0003044A"/>
    <w:rsid w:val="00030509"/>
    <w:rsid w:val="00031478"/>
    <w:rsid w:val="000321A8"/>
    <w:rsid w:val="00033116"/>
    <w:rsid w:val="00033779"/>
    <w:rsid w:val="00033994"/>
    <w:rsid w:val="000347DB"/>
    <w:rsid w:val="000348D3"/>
    <w:rsid w:val="00035026"/>
    <w:rsid w:val="00035C7E"/>
    <w:rsid w:val="00037A15"/>
    <w:rsid w:val="00040102"/>
    <w:rsid w:val="00040CD6"/>
    <w:rsid w:val="00040D3C"/>
    <w:rsid w:val="000427C2"/>
    <w:rsid w:val="0004281D"/>
    <w:rsid w:val="000433F7"/>
    <w:rsid w:val="00043C8C"/>
    <w:rsid w:val="00044031"/>
    <w:rsid w:val="0004432E"/>
    <w:rsid w:val="00044D5F"/>
    <w:rsid w:val="00044F27"/>
    <w:rsid w:val="000504CA"/>
    <w:rsid w:val="000505FC"/>
    <w:rsid w:val="000518B7"/>
    <w:rsid w:val="00051FC5"/>
    <w:rsid w:val="000524FE"/>
    <w:rsid w:val="00052A06"/>
    <w:rsid w:val="00053715"/>
    <w:rsid w:val="00053874"/>
    <w:rsid w:val="00053B6E"/>
    <w:rsid w:val="00055CBC"/>
    <w:rsid w:val="000561F6"/>
    <w:rsid w:val="00056DA6"/>
    <w:rsid w:val="000570E4"/>
    <w:rsid w:val="000575D2"/>
    <w:rsid w:val="00060230"/>
    <w:rsid w:val="00060412"/>
    <w:rsid w:val="00060831"/>
    <w:rsid w:val="00061BB2"/>
    <w:rsid w:val="00061BF2"/>
    <w:rsid w:val="00063BA8"/>
    <w:rsid w:val="000645B0"/>
    <w:rsid w:val="0006531B"/>
    <w:rsid w:val="00065AD2"/>
    <w:rsid w:val="00065BE5"/>
    <w:rsid w:val="00066495"/>
    <w:rsid w:val="00067E4B"/>
    <w:rsid w:val="0007030A"/>
    <w:rsid w:val="00070414"/>
    <w:rsid w:val="00070609"/>
    <w:rsid w:val="000709D7"/>
    <w:rsid w:val="00070AC0"/>
    <w:rsid w:val="00071455"/>
    <w:rsid w:val="00071B19"/>
    <w:rsid w:val="000724A2"/>
    <w:rsid w:val="000725FB"/>
    <w:rsid w:val="00073374"/>
    <w:rsid w:val="0007354A"/>
    <w:rsid w:val="000737F6"/>
    <w:rsid w:val="00073965"/>
    <w:rsid w:val="000739C2"/>
    <w:rsid w:val="00073D4D"/>
    <w:rsid w:val="0007408C"/>
    <w:rsid w:val="00074CE3"/>
    <w:rsid w:val="00074D10"/>
    <w:rsid w:val="0007746E"/>
    <w:rsid w:val="0007773A"/>
    <w:rsid w:val="00077C7E"/>
    <w:rsid w:val="0008040D"/>
    <w:rsid w:val="00080AF8"/>
    <w:rsid w:val="00080C4C"/>
    <w:rsid w:val="00081316"/>
    <w:rsid w:val="000817B5"/>
    <w:rsid w:val="00082B60"/>
    <w:rsid w:val="000835B2"/>
    <w:rsid w:val="000854B9"/>
    <w:rsid w:val="00085781"/>
    <w:rsid w:val="00085B21"/>
    <w:rsid w:val="0008617D"/>
    <w:rsid w:val="00091668"/>
    <w:rsid w:val="0009246C"/>
    <w:rsid w:val="00093A68"/>
    <w:rsid w:val="00093E42"/>
    <w:rsid w:val="00094793"/>
    <w:rsid w:val="000952EB"/>
    <w:rsid w:val="000954DD"/>
    <w:rsid w:val="000972B0"/>
    <w:rsid w:val="000974A1"/>
    <w:rsid w:val="00097D37"/>
    <w:rsid w:val="000A071D"/>
    <w:rsid w:val="000A079F"/>
    <w:rsid w:val="000A0B63"/>
    <w:rsid w:val="000A1C9C"/>
    <w:rsid w:val="000A1D09"/>
    <w:rsid w:val="000A2430"/>
    <w:rsid w:val="000A2951"/>
    <w:rsid w:val="000A3147"/>
    <w:rsid w:val="000A4242"/>
    <w:rsid w:val="000A5138"/>
    <w:rsid w:val="000A693B"/>
    <w:rsid w:val="000A7BDD"/>
    <w:rsid w:val="000A7C06"/>
    <w:rsid w:val="000A7E6E"/>
    <w:rsid w:val="000B085B"/>
    <w:rsid w:val="000B0A15"/>
    <w:rsid w:val="000B0F4D"/>
    <w:rsid w:val="000B1551"/>
    <w:rsid w:val="000B16A3"/>
    <w:rsid w:val="000B16DE"/>
    <w:rsid w:val="000B26DF"/>
    <w:rsid w:val="000B44E8"/>
    <w:rsid w:val="000B477F"/>
    <w:rsid w:val="000B4870"/>
    <w:rsid w:val="000B4DC7"/>
    <w:rsid w:val="000B5025"/>
    <w:rsid w:val="000B53C7"/>
    <w:rsid w:val="000B7F25"/>
    <w:rsid w:val="000C0B35"/>
    <w:rsid w:val="000C2589"/>
    <w:rsid w:val="000C2DFE"/>
    <w:rsid w:val="000C36B5"/>
    <w:rsid w:val="000C38D0"/>
    <w:rsid w:val="000C3CF4"/>
    <w:rsid w:val="000C56CE"/>
    <w:rsid w:val="000D00E7"/>
    <w:rsid w:val="000D1051"/>
    <w:rsid w:val="000D1E38"/>
    <w:rsid w:val="000D21BD"/>
    <w:rsid w:val="000D2CA5"/>
    <w:rsid w:val="000D47ED"/>
    <w:rsid w:val="000D4AB9"/>
    <w:rsid w:val="000D6733"/>
    <w:rsid w:val="000D6798"/>
    <w:rsid w:val="000D6F66"/>
    <w:rsid w:val="000E107B"/>
    <w:rsid w:val="000E15FC"/>
    <w:rsid w:val="000E2A74"/>
    <w:rsid w:val="000E2ABB"/>
    <w:rsid w:val="000E4DDA"/>
    <w:rsid w:val="000E5F3C"/>
    <w:rsid w:val="000E70E8"/>
    <w:rsid w:val="000E7910"/>
    <w:rsid w:val="000E7F14"/>
    <w:rsid w:val="000F00E0"/>
    <w:rsid w:val="000F1131"/>
    <w:rsid w:val="000F118D"/>
    <w:rsid w:val="000F2709"/>
    <w:rsid w:val="000F3696"/>
    <w:rsid w:val="000F47C3"/>
    <w:rsid w:val="000F569B"/>
    <w:rsid w:val="000F5EF0"/>
    <w:rsid w:val="000F7318"/>
    <w:rsid w:val="000F7C3A"/>
    <w:rsid w:val="000F7EA2"/>
    <w:rsid w:val="00100BC0"/>
    <w:rsid w:val="001020F5"/>
    <w:rsid w:val="001030C2"/>
    <w:rsid w:val="00103F10"/>
    <w:rsid w:val="00104DE7"/>
    <w:rsid w:val="001059E3"/>
    <w:rsid w:val="00106D35"/>
    <w:rsid w:val="001079CC"/>
    <w:rsid w:val="001101A3"/>
    <w:rsid w:val="001102DC"/>
    <w:rsid w:val="00110A1F"/>
    <w:rsid w:val="00110CDB"/>
    <w:rsid w:val="001113BA"/>
    <w:rsid w:val="001118E9"/>
    <w:rsid w:val="00111A20"/>
    <w:rsid w:val="00111D27"/>
    <w:rsid w:val="0011201D"/>
    <w:rsid w:val="0011368E"/>
    <w:rsid w:val="00113B4F"/>
    <w:rsid w:val="00114014"/>
    <w:rsid w:val="00115877"/>
    <w:rsid w:val="00115A87"/>
    <w:rsid w:val="00115CD1"/>
    <w:rsid w:val="00116E76"/>
    <w:rsid w:val="00117689"/>
    <w:rsid w:val="00117FF6"/>
    <w:rsid w:val="0012031D"/>
    <w:rsid w:val="001208F1"/>
    <w:rsid w:val="00121484"/>
    <w:rsid w:val="00121651"/>
    <w:rsid w:val="001233ED"/>
    <w:rsid w:val="0012346E"/>
    <w:rsid w:val="0012391B"/>
    <w:rsid w:val="00124BBA"/>
    <w:rsid w:val="001258BD"/>
    <w:rsid w:val="0012601F"/>
    <w:rsid w:val="001265B6"/>
    <w:rsid w:val="00126B93"/>
    <w:rsid w:val="00126CF6"/>
    <w:rsid w:val="00127F6F"/>
    <w:rsid w:val="001300B4"/>
    <w:rsid w:val="001300F0"/>
    <w:rsid w:val="001303FB"/>
    <w:rsid w:val="00131085"/>
    <w:rsid w:val="00131A86"/>
    <w:rsid w:val="00131BD2"/>
    <w:rsid w:val="001320EE"/>
    <w:rsid w:val="00133B77"/>
    <w:rsid w:val="001355C4"/>
    <w:rsid w:val="00135677"/>
    <w:rsid w:val="00137055"/>
    <w:rsid w:val="00140948"/>
    <w:rsid w:val="00141704"/>
    <w:rsid w:val="001425F4"/>
    <w:rsid w:val="00142907"/>
    <w:rsid w:val="0014355A"/>
    <w:rsid w:val="00144B14"/>
    <w:rsid w:val="00145005"/>
    <w:rsid w:val="00145CF9"/>
    <w:rsid w:val="001467B6"/>
    <w:rsid w:val="001477C2"/>
    <w:rsid w:val="00147EB0"/>
    <w:rsid w:val="001504CD"/>
    <w:rsid w:val="00150616"/>
    <w:rsid w:val="00150D81"/>
    <w:rsid w:val="00151836"/>
    <w:rsid w:val="00151CE7"/>
    <w:rsid w:val="00152114"/>
    <w:rsid w:val="00152D92"/>
    <w:rsid w:val="00152EEA"/>
    <w:rsid w:val="001530FC"/>
    <w:rsid w:val="001532C9"/>
    <w:rsid w:val="00154BF4"/>
    <w:rsid w:val="001563BA"/>
    <w:rsid w:val="00157060"/>
    <w:rsid w:val="00157DE8"/>
    <w:rsid w:val="0016005F"/>
    <w:rsid w:val="00160612"/>
    <w:rsid w:val="00160BA7"/>
    <w:rsid w:val="00160D1E"/>
    <w:rsid w:val="001616A8"/>
    <w:rsid w:val="001649D1"/>
    <w:rsid w:val="001655C8"/>
    <w:rsid w:val="0016613B"/>
    <w:rsid w:val="001662DC"/>
    <w:rsid w:val="001664A3"/>
    <w:rsid w:val="00166AB9"/>
    <w:rsid w:val="0016793C"/>
    <w:rsid w:val="00167B72"/>
    <w:rsid w:val="00170164"/>
    <w:rsid w:val="00170DD5"/>
    <w:rsid w:val="001721E3"/>
    <w:rsid w:val="00172309"/>
    <w:rsid w:val="0017364F"/>
    <w:rsid w:val="00173936"/>
    <w:rsid w:val="0017470A"/>
    <w:rsid w:val="0017585C"/>
    <w:rsid w:val="00175D3B"/>
    <w:rsid w:val="00175F2A"/>
    <w:rsid w:val="00180EC1"/>
    <w:rsid w:val="0018150C"/>
    <w:rsid w:val="00182530"/>
    <w:rsid w:val="001826E4"/>
    <w:rsid w:val="00183DD4"/>
    <w:rsid w:val="001840C1"/>
    <w:rsid w:val="0018464A"/>
    <w:rsid w:val="00184E0B"/>
    <w:rsid w:val="00186641"/>
    <w:rsid w:val="00186AF8"/>
    <w:rsid w:val="00186F49"/>
    <w:rsid w:val="00190182"/>
    <w:rsid w:val="00190F57"/>
    <w:rsid w:val="00191D77"/>
    <w:rsid w:val="00192827"/>
    <w:rsid w:val="0019325C"/>
    <w:rsid w:val="00193F8F"/>
    <w:rsid w:val="00194259"/>
    <w:rsid w:val="001950D8"/>
    <w:rsid w:val="00197329"/>
    <w:rsid w:val="001A10A6"/>
    <w:rsid w:val="001A13BC"/>
    <w:rsid w:val="001A190B"/>
    <w:rsid w:val="001A2962"/>
    <w:rsid w:val="001A2EEF"/>
    <w:rsid w:val="001A351D"/>
    <w:rsid w:val="001A3936"/>
    <w:rsid w:val="001A39E4"/>
    <w:rsid w:val="001A3FA9"/>
    <w:rsid w:val="001A49BC"/>
    <w:rsid w:val="001A51EF"/>
    <w:rsid w:val="001A5287"/>
    <w:rsid w:val="001A69F1"/>
    <w:rsid w:val="001A71C5"/>
    <w:rsid w:val="001A7532"/>
    <w:rsid w:val="001A7D66"/>
    <w:rsid w:val="001B09C0"/>
    <w:rsid w:val="001B0DEE"/>
    <w:rsid w:val="001B1876"/>
    <w:rsid w:val="001B24D8"/>
    <w:rsid w:val="001B2EAA"/>
    <w:rsid w:val="001B3913"/>
    <w:rsid w:val="001B3B74"/>
    <w:rsid w:val="001B4097"/>
    <w:rsid w:val="001B459A"/>
    <w:rsid w:val="001B47F1"/>
    <w:rsid w:val="001B6058"/>
    <w:rsid w:val="001B60CF"/>
    <w:rsid w:val="001B6692"/>
    <w:rsid w:val="001B7D9C"/>
    <w:rsid w:val="001C01A1"/>
    <w:rsid w:val="001C0238"/>
    <w:rsid w:val="001C0BB6"/>
    <w:rsid w:val="001C10AF"/>
    <w:rsid w:val="001C12E1"/>
    <w:rsid w:val="001C1DE6"/>
    <w:rsid w:val="001C2894"/>
    <w:rsid w:val="001C3586"/>
    <w:rsid w:val="001C3FC6"/>
    <w:rsid w:val="001C492D"/>
    <w:rsid w:val="001C5113"/>
    <w:rsid w:val="001C55B3"/>
    <w:rsid w:val="001C6009"/>
    <w:rsid w:val="001C65F9"/>
    <w:rsid w:val="001C6ACA"/>
    <w:rsid w:val="001C7A0A"/>
    <w:rsid w:val="001D0340"/>
    <w:rsid w:val="001D14BF"/>
    <w:rsid w:val="001D359A"/>
    <w:rsid w:val="001D3755"/>
    <w:rsid w:val="001D3A82"/>
    <w:rsid w:val="001D6903"/>
    <w:rsid w:val="001D762B"/>
    <w:rsid w:val="001D7DBB"/>
    <w:rsid w:val="001E002E"/>
    <w:rsid w:val="001E03BD"/>
    <w:rsid w:val="001E04C4"/>
    <w:rsid w:val="001E0E24"/>
    <w:rsid w:val="001E140F"/>
    <w:rsid w:val="001E1BC3"/>
    <w:rsid w:val="001E2022"/>
    <w:rsid w:val="001E2F79"/>
    <w:rsid w:val="001E3291"/>
    <w:rsid w:val="001E59B8"/>
    <w:rsid w:val="001E6514"/>
    <w:rsid w:val="001F22ED"/>
    <w:rsid w:val="001F237D"/>
    <w:rsid w:val="001F250A"/>
    <w:rsid w:val="001F2BA1"/>
    <w:rsid w:val="001F2EB4"/>
    <w:rsid w:val="001F3C76"/>
    <w:rsid w:val="001F3CC1"/>
    <w:rsid w:val="001F4C99"/>
    <w:rsid w:val="001F6C58"/>
    <w:rsid w:val="002003C0"/>
    <w:rsid w:val="002006BA"/>
    <w:rsid w:val="00200922"/>
    <w:rsid w:val="00200D71"/>
    <w:rsid w:val="002022F6"/>
    <w:rsid w:val="00202F8D"/>
    <w:rsid w:val="002032D9"/>
    <w:rsid w:val="00203AF6"/>
    <w:rsid w:val="00204322"/>
    <w:rsid w:val="0020454A"/>
    <w:rsid w:val="002048AF"/>
    <w:rsid w:val="00204D67"/>
    <w:rsid w:val="0020572F"/>
    <w:rsid w:val="00206A7A"/>
    <w:rsid w:val="00207B6C"/>
    <w:rsid w:val="00207E25"/>
    <w:rsid w:val="00210C0B"/>
    <w:rsid w:val="00210C4F"/>
    <w:rsid w:val="00211CBD"/>
    <w:rsid w:val="00212278"/>
    <w:rsid w:val="00212A06"/>
    <w:rsid w:val="002131BB"/>
    <w:rsid w:val="00213BFF"/>
    <w:rsid w:val="00215D5A"/>
    <w:rsid w:val="00217980"/>
    <w:rsid w:val="00217D0A"/>
    <w:rsid w:val="00217D81"/>
    <w:rsid w:val="002205C2"/>
    <w:rsid w:val="00220AE5"/>
    <w:rsid w:val="00220D0D"/>
    <w:rsid w:val="00222969"/>
    <w:rsid w:val="00222E65"/>
    <w:rsid w:val="00223249"/>
    <w:rsid w:val="0022326A"/>
    <w:rsid w:val="0022395B"/>
    <w:rsid w:val="00224840"/>
    <w:rsid w:val="002252C4"/>
    <w:rsid w:val="00225527"/>
    <w:rsid w:val="002256BC"/>
    <w:rsid w:val="00227169"/>
    <w:rsid w:val="002279CF"/>
    <w:rsid w:val="002326C7"/>
    <w:rsid w:val="002326DD"/>
    <w:rsid w:val="00232ABB"/>
    <w:rsid w:val="00233845"/>
    <w:rsid w:val="00236B50"/>
    <w:rsid w:val="00236DEE"/>
    <w:rsid w:val="00237063"/>
    <w:rsid w:val="00240694"/>
    <w:rsid w:val="002406A6"/>
    <w:rsid w:val="00240A12"/>
    <w:rsid w:val="00241343"/>
    <w:rsid w:val="00242758"/>
    <w:rsid w:val="00243281"/>
    <w:rsid w:val="002433A3"/>
    <w:rsid w:val="0024340B"/>
    <w:rsid w:val="0024382F"/>
    <w:rsid w:val="0024466F"/>
    <w:rsid w:val="002462EB"/>
    <w:rsid w:val="002474F2"/>
    <w:rsid w:val="00247ABB"/>
    <w:rsid w:val="002508FC"/>
    <w:rsid w:val="00250975"/>
    <w:rsid w:val="00250E22"/>
    <w:rsid w:val="00252429"/>
    <w:rsid w:val="00252450"/>
    <w:rsid w:val="0025278F"/>
    <w:rsid w:val="002528BC"/>
    <w:rsid w:val="002529CE"/>
    <w:rsid w:val="002533DE"/>
    <w:rsid w:val="0025431D"/>
    <w:rsid w:val="00254A05"/>
    <w:rsid w:val="00254B32"/>
    <w:rsid w:val="00254D62"/>
    <w:rsid w:val="00254DAE"/>
    <w:rsid w:val="002550CE"/>
    <w:rsid w:val="00255A35"/>
    <w:rsid w:val="00256210"/>
    <w:rsid w:val="00257769"/>
    <w:rsid w:val="00257B09"/>
    <w:rsid w:val="00257E34"/>
    <w:rsid w:val="002606AF"/>
    <w:rsid w:val="00260FF1"/>
    <w:rsid w:val="00262888"/>
    <w:rsid w:val="00263EE5"/>
    <w:rsid w:val="002652DF"/>
    <w:rsid w:val="00265A38"/>
    <w:rsid w:val="00265E25"/>
    <w:rsid w:val="00266DB6"/>
    <w:rsid w:val="00267C05"/>
    <w:rsid w:val="002726E2"/>
    <w:rsid w:val="00272FEF"/>
    <w:rsid w:val="00275373"/>
    <w:rsid w:val="00275590"/>
    <w:rsid w:val="0027636D"/>
    <w:rsid w:val="0027654D"/>
    <w:rsid w:val="00276567"/>
    <w:rsid w:val="00276C25"/>
    <w:rsid w:val="00276CD0"/>
    <w:rsid w:val="002770B5"/>
    <w:rsid w:val="00277E58"/>
    <w:rsid w:val="002804E0"/>
    <w:rsid w:val="00280777"/>
    <w:rsid w:val="002816DD"/>
    <w:rsid w:val="002827EF"/>
    <w:rsid w:val="00282B90"/>
    <w:rsid w:val="00283416"/>
    <w:rsid w:val="0028378E"/>
    <w:rsid w:val="0028466B"/>
    <w:rsid w:val="00284A90"/>
    <w:rsid w:val="00285BB6"/>
    <w:rsid w:val="00285DD8"/>
    <w:rsid w:val="00285E7D"/>
    <w:rsid w:val="0029000D"/>
    <w:rsid w:val="00290601"/>
    <w:rsid w:val="00291264"/>
    <w:rsid w:val="00292B6F"/>
    <w:rsid w:val="00292D39"/>
    <w:rsid w:val="00292FA1"/>
    <w:rsid w:val="002942D8"/>
    <w:rsid w:val="00294DE0"/>
    <w:rsid w:val="002961EE"/>
    <w:rsid w:val="00296EFA"/>
    <w:rsid w:val="0029722F"/>
    <w:rsid w:val="00297744"/>
    <w:rsid w:val="002A1512"/>
    <w:rsid w:val="002A2631"/>
    <w:rsid w:val="002A285D"/>
    <w:rsid w:val="002A286D"/>
    <w:rsid w:val="002A3193"/>
    <w:rsid w:val="002A5867"/>
    <w:rsid w:val="002A6CE6"/>
    <w:rsid w:val="002A6D53"/>
    <w:rsid w:val="002A751D"/>
    <w:rsid w:val="002A75FC"/>
    <w:rsid w:val="002B38CE"/>
    <w:rsid w:val="002B468B"/>
    <w:rsid w:val="002B6402"/>
    <w:rsid w:val="002B7D0A"/>
    <w:rsid w:val="002B7F30"/>
    <w:rsid w:val="002C0A2E"/>
    <w:rsid w:val="002C10A5"/>
    <w:rsid w:val="002C111E"/>
    <w:rsid w:val="002C1A56"/>
    <w:rsid w:val="002C2A2E"/>
    <w:rsid w:val="002C30E2"/>
    <w:rsid w:val="002C34A5"/>
    <w:rsid w:val="002C4640"/>
    <w:rsid w:val="002C4EA0"/>
    <w:rsid w:val="002C5860"/>
    <w:rsid w:val="002C5E4A"/>
    <w:rsid w:val="002C7482"/>
    <w:rsid w:val="002D03D8"/>
    <w:rsid w:val="002D055A"/>
    <w:rsid w:val="002D0AEB"/>
    <w:rsid w:val="002D16F5"/>
    <w:rsid w:val="002D249D"/>
    <w:rsid w:val="002D2BDF"/>
    <w:rsid w:val="002D3139"/>
    <w:rsid w:val="002D41F5"/>
    <w:rsid w:val="002D4339"/>
    <w:rsid w:val="002D45CF"/>
    <w:rsid w:val="002D5B46"/>
    <w:rsid w:val="002D5E23"/>
    <w:rsid w:val="002D613A"/>
    <w:rsid w:val="002D6DDD"/>
    <w:rsid w:val="002D7678"/>
    <w:rsid w:val="002E06E1"/>
    <w:rsid w:val="002E1544"/>
    <w:rsid w:val="002E28E7"/>
    <w:rsid w:val="002E32FF"/>
    <w:rsid w:val="002E5343"/>
    <w:rsid w:val="002E53E8"/>
    <w:rsid w:val="002E61C0"/>
    <w:rsid w:val="002E624D"/>
    <w:rsid w:val="002E71F8"/>
    <w:rsid w:val="002E7504"/>
    <w:rsid w:val="002F2B29"/>
    <w:rsid w:val="002F2E79"/>
    <w:rsid w:val="002F34D7"/>
    <w:rsid w:val="002F38EF"/>
    <w:rsid w:val="002F5B3D"/>
    <w:rsid w:val="002F67FF"/>
    <w:rsid w:val="002F69B6"/>
    <w:rsid w:val="0030126B"/>
    <w:rsid w:val="003018A7"/>
    <w:rsid w:val="0030531E"/>
    <w:rsid w:val="00305786"/>
    <w:rsid w:val="00305A90"/>
    <w:rsid w:val="00305E7C"/>
    <w:rsid w:val="00306A04"/>
    <w:rsid w:val="00310DD0"/>
    <w:rsid w:val="00310F82"/>
    <w:rsid w:val="00312152"/>
    <w:rsid w:val="003125EC"/>
    <w:rsid w:val="0031272F"/>
    <w:rsid w:val="00312EEB"/>
    <w:rsid w:val="003148BC"/>
    <w:rsid w:val="003151C6"/>
    <w:rsid w:val="00315F36"/>
    <w:rsid w:val="003213CE"/>
    <w:rsid w:val="00321B5B"/>
    <w:rsid w:val="00322C30"/>
    <w:rsid w:val="003233ED"/>
    <w:rsid w:val="00323E17"/>
    <w:rsid w:val="00323FD2"/>
    <w:rsid w:val="0032405A"/>
    <w:rsid w:val="00324CB6"/>
    <w:rsid w:val="003257AA"/>
    <w:rsid w:val="00325B65"/>
    <w:rsid w:val="00326A91"/>
    <w:rsid w:val="003272F5"/>
    <w:rsid w:val="00327578"/>
    <w:rsid w:val="0032790F"/>
    <w:rsid w:val="003304E5"/>
    <w:rsid w:val="00330BD4"/>
    <w:rsid w:val="00331838"/>
    <w:rsid w:val="00331FA6"/>
    <w:rsid w:val="00332043"/>
    <w:rsid w:val="003333C0"/>
    <w:rsid w:val="0033352B"/>
    <w:rsid w:val="003346D5"/>
    <w:rsid w:val="0033496F"/>
    <w:rsid w:val="003363C3"/>
    <w:rsid w:val="003364F5"/>
    <w:rsid w:val="003367AA"/>
    <w:rsid w:val="00336992"/>
    <w:rsid w:val="00336AA6"/>
    <w:rsid w:val="00336F67"/>
    <w:rsid w:val="0033710F"/>
    <w:rsid w:val="003376EB"/>
    <w:rsid w:val="003402C4"/>
    <w:rsid w:val="003408D4"/>
    <w:rsid w:val="003409BD"/>
    <w:rsid w:val="00341F9F"/>
    <w:rsid w:val="00342EC9"/>
    <w:rsid w:val="003433F2"/>
    <w:rsid w:val="0034490F"/>
    <w:rsid w:val="00344ECB"/>
    <w:rsid w:val="003456CF"/>
    <w:rsid w:val="00345DEF"/>
    <w:rsid w:val="00346C41"/>
    <w:rsid w:val="0034755C"/>
    <w:rsid w:val="00347659"/>
    <w:rsid w:val="0034794B"/>
    <w:rsid w:val="00347EEC"/>
    <w:rsid w:val="00347F42"/>
    <w:rsid w:val="00350F62"/>
    <w:rsid w:val="0035199D"/>
    <w:rsid w:val="00352130"/>
    <w:rsid w:val="00353551"/>
    <w:rsid w:val="00354327"/>
    <w:rsid w:val="003544D2"/>
    <w:rsid w:val="003548C0"/>
    <w:rsid w:val="003550F5"/>
    <w:rsid w:val="003554F1"/>
    <w:rsid w:val="003558E4"/>
    <w:rsid w:val="0035676C"/>
    <w:rsid w:val="00357674"/>
    <w:rsid w:val="00357C78"/>
    <w:rsid w:val="00361AAB"/>
    <w:rsid w:val="0036208E"/>
    <w:rsid w:val="00365020"/>
    <w:rsid w:val="003658F7"/>
    <w:rsid w:val="003661B0"/>
    <w:rsid w:val="00366E7D"/>
    <w:rsid w:val="00367D77"/>
    <w:rsid w:val="00367E0C"/>
    <w:rsid w:val="00370131"/>
    <w:rsid w:val="003743DD"/>
    <w:rsid w:val="0037523B"/>
    <w:rsid w:val="00375466"/>
    <w:rsid w:val="003756F1"/>
    <w:rsid w:val="00375BD8"/>
    <w:rsid w:val="00376834"/>
    <w:rsid w:val="003778C9"/>
    <w:rsid w:val="0038014B"/>
    <w:rsid w:val="003804AA"/>
    <w:rsid w:val="00383265"/>
    <w:rsid w:val="0038397A"/>
    <w:rsid w:val="0038441B"/>
    <w:rsid w:val="00384652"/>
    <w:rsid w:val="00385790"/>
    <w:rsid w:val="00391001"/>
    <w:rsid w:val="00391245"/>
    <w:rsid w:val="00392139"/>
    <w:rsid w:val="00392B80"/>
    <w:rsid w:val="00392CFF"/>
    <w:rsid w:val="00392DB5"/>
    <w:rsid w:val="00392DC1"/>
    <w:rsid w:val="0039305C"/>
    <w:rsid w:val="003943B9"/>
    <w:rsid w:val="00394542"/>
    <w:rsid w:val="003949E1"/>
    <w:rsid w:val="00395B28"/>
    <w:rsid w:val="00395F6C"/>
    <w:rsid w:val="003962B3"/>
    <w:rsid w:val="003969D3"/>
    <w:rsid w:val="0039749D"/>
    <w:rsid w:val="00397798"/>
    <w:rsid w:val="003A0DBA"/>
    <w:rsid w:val="003A1071"/>
    <w:rsid w:val="003A11D5"/>
    <w:rsid w:val="003A1693"/>
    <w:rsid w:val="003A1E48"/>
    <w:rsid w:val="003A1ED7"/>
    <w:rsid w:val="003A2184"/>
    <w:rsid w:val="003A2D07"/>
    <w:rsid w:val="003A4BCA"/>
    <w:rsid w:val="003A5059"/>
    <w:rsid w:val="003A54F2"/>
    <w:rsid w:val="003A569E"/>
    <w:rsid w:val="003A64B4"/>
    <w:rsid w:val="003A6C2B"/>
    <w:rsid w:val="003A7C02"/>
    <w:rsid w:val="003B0113"/>
    <w:rsid w:val="003B0233"/>
    <w:rsid w:val="003B0453"/>
    <w:rsid w:val="003B080D"/>
    <w:rsid w:val="003B0A18"/>
    <w:rsid w:val="003B0ADE"/>
    <w:rsid w:val="003B107D"/>
    <w:rsid w:val="003B1317"/>
    <w:rsid w:val="003B15B8"/>
    <w:rsid w:val="003B2F35"/>
    <w:rsid w:val="003B3139"/>
    <w:rsid w:val="003B4947"/>
    <w:rsid w:val="003B4BEC"/>
    <w:rsid w:val="003B61F8"/>
    <w:rsid w:val="003B73B1"/>
    <w:rsid w:val="003B7B4B"/>
    <w:rsid w:val="003B7C84"/>
    <w:rsid w:val="003B7D4D"/>
    <w:rsid w:val="003C01D9"/>
    <w:rsid w:val="003C0777"/>
    <w:rsid w:val="003C25D2"/>
    <w:rsid w:val="003C3E7B"/>
    <w:rsid w:val="003C4D5E"/>
    <w:rsid w:val="003C56A9"/>
    <w:rsid w:val="003C583C"/>
    <w:rsid w:val="003C6A19"/>
    <w:rsid w:val="003C6F95"/>
    <w:rsid w:val="003D01CA"/>
    <w:rsid w:val="003D0E96"/>
    <w:rsid w:val="003D26AE"/>
    <w:rsid w:val="003D3FBF"/>
    <w:rsid w:val="003D40F5"/>
    <w:rsid w:val="003D4151"/>
    <w:rsid w:val="003D481A"/>
    <w:rsid w:val="003D4B59"/>
    <w:rsid w:val="003D5D98"/>
    <w:rsid w:val="003E04D4"/>
    <w:rsid w:val="003E1410"/>
    <w:rsid w:val="003E1D63"/>
    <w:rsid w:val="003E396F"/>
    <w:rsid w:val="003E3B03"/>
    <w:rsid w:val="003E4C1E"/>
    <w:rsid w:val="003E6409"/>
    <w:rsid w:val="003F07AE"/>
    <w:rsid w:val="003F0951"/>
    <w:rsid w:val="003F1999"/>
    <w:rsid w:val="003F1C36"/>
    <w:rsid w:val="003F268F"/>
    <w:rsid w:val="003F2803"/>
    <w:rsid w:val="003F2832"/>
    <w:rsid w:val="003F2F30"/>
    <w:rsid w:val="003F3907"/>
    <w:rsid w:val="003F3957"/>
    <w:rsid w:val="003F4585"/>
    <w:rsid w:val="003F47EA"/>
    <w:rsid w:val="003F4D9B"/>
    <w:rsid w:val="003F4E44"/>
    <w:rsid w:val="003F53C4"/>
    <w:rsid w:val="003F76A0"/>
    <w:rsid w:val="00401432"/>
    <w:rsid w:val="00401A91"/>
    <w:rsid w:val="00401B20"/>
    <w:rsid w:val="00401EED"/>
    <w:rsid w:val="004023FF"/>
    <w:rsid w:val="00402829"/>
    <w:rsid w:val="004029D9"/>
    <w:rsid w:val="00403D2D"/>
    <w:rsid w:val="00403F2A"/>
    <w:rsid w:val="0040430C"/>
    <w:rsid w:val="00404DD0"/>
    <w:rsid w:val="00405084"/>
    <w:rsid w:val="004058F0"/>
    <w:rsid w:val="004076A4"/>
    <w:rsid w:val="00410A16"/>
    <w:rsid w:val="00411079"/>
    <w:rsid w:val="00411FE8"/>
    <w:rsid w:val="00412B67"/>
    <w:rsid w:val="00412D34"/>
    <w:rsid w:val="00413672"/>
    <w:rsid w:val="00413697"/>
    <w:rsid w:val="004139CB"/>
    <w:rsid w:val="00414413"/>
    <w:rsid w:val="004144AE"/>
    <w:rsid w:val="00415DAB"/>
    <w:rsid w:val="00415DD7"/>
    <w:rsid w:val="00415E38"/>
    <w:rsid w:val="00417A6B"/>
    <w:rsid w:val="00420901"/>
    <w:rsid w:val="00421366"/>
    <w:rsid w:val="00421626"/>
    <w:rsid w:val="004223CD"/>
    <w:rsid w:val="0042256D"/>
    <w:rsid w:val="004235EF"/>
    <w:rsid w:val="00423B36"/>
    <w:rsid w:val="004242AA"/>
    <w:rsid w:val="0042552D"/>
    <w:rsid w:val="00426BE0"/>
    <w:rsid w:val="004321F1"/>
    <w:rsid w:val="00433153"/>
    <w:rsid w:val="00433306"/>
    <w:rsid w:val="0043337E"/>
    <w:rsid w:val="0043372C"/>
    <w:rsid w:val="00433B9D"/>
    <w:rsid w:val="00436327"/>
    <w:rsid w:val="00436839"/>
    <w:rsid w:val="00436DBC"/>
    <w:rsid w:val="004374E7"/>
    <w:rsid w:val="004407D6"/>
    <w:rsid w:val="004411C8"/>
    <w:rsid w:val="0044146D"/>
    <w:rsid w:val="00441FB9"/>
    <w:rsid w:val="004428B3"/>
    <w:rsid w:val="004439C7"/>
    <w:rsid w:val="004443D5"/>
    <w:rsid w:val="0044552B"/>
    <w:rsid w:val="00445F6F"/>
    <w:rsid w:val="0044684E"/>
    <w:rsid w:val="004509C0"/>
    <w:rsid w:val="00450BCD"/>
    <w:rsid w:val="00450FDA"/>
    <w:rsid w:val="00451045"/>
    <w:rsid w:val="00451D94"/>
    <w:rsid w:val="00452229"/>
    <w:rsid w:val="004528A6"/>
    <w:rsid w:val="00453B1C"/>
    <w:rsid w:val="004545E5"/>
    <w:rsid w:val="004551A7"/>
    <w:rsid w:val="004552CB"/>
    <w:rsid w:val="00455D64"/>
    <w:rsid w:val="00456531"/>
    <w:rsid w:val="0045734B"/>
    <w:rsid w:val="00457D0D"/>
    <w:rsid w:val="0046023A"/>
    <w:rsid w:val="00461CD1"/>
    <w:rsid w:val="00462ACB"/>
    <w:rsid w:val="00462FFC"/>
    <w:rsid w:val="0046350E"/>
    <w:rsid w:val="00464325"/>
    <w:rsid w:val="004647E7"/>
    <w:rsid w:val="0046497D"/>
    <w:rsid w:val="00464A5B"/>
    <w:rsid w:val="00466D9F"/>
    <w:rsid w:val="00466FAC"/>
    <w:rsid w:val="00467726"/>
    <w:rsid w:val="00471576"/>
    <w:rsid w:val="004723D6"/>
    <w:rsid w:val="004728A1"/>
    <w:rsid w:val="00473120"/>
    <w:rsid w:val="004733DD"/>
    <w:rsid w:val="004747FD"/>
    <w:rsid w:val="00474815"/>
    <w:rsid w:val="0047540F"/>
    <w:rsid w:val="00476095"/>
    <w:rsid w:val="004808BB"/>
    <w:rsid w:val="004819FE"/>
    <w:rsid w:val="00483588"/>
    <w:rsid w:val="00483953"/>
    <w:rsid w:val="00484C1B"/>
    <w:rsid w:val="00484C47"/>
    <w:rsid w:val="0048514D"/>
    <w:rsid w:val="00485FCC"/>
    <w:rsid w:val="004879BB"/>
    <w:rsid w:val="00491DE8"/>
    <w:rsid w:val="00492A56"/>
    <w:rsid w:val="00492B11"/>
    <w:rsid w:val="00492B3B"/>
    <w:rsid w:val="00493039"/>
    <w:rsid w:val="0049445A"/>
    <w:rsid w:val="004945E5"/>
    <w:rsid w:val="00494AEE"/>
    <w:rsid w:val="00496CC7"/>
    <w:rsid w:val="00497188"/>
    <w:rsid w:val="004A00E1"/>
    <w:rsid w:val="004A0737"/>
    <w:rsid w:val="004A0902"/>
    <w:rsid w:val="004A12A0"/>
    <w:rsid w:val="004A2840"/>
    <w:rsid w:val="004A33C1"/>
    <w:rsid w:val="004A3475"/>
    <w:rsid w:val="004A40D1"/>
    <w:rsid w:val="004A4239"/>
    <w:rsid w:val="004A564B"/>
    <w:rsid w:val="004A5E17"/>
    <w:rsid w:val="004A612D"/>
    <w:rsid w:val="004A65C0"/>
    <w:rsid w:val="004B0774"/>
    <w:rsid w:val="004B0993"/>
    <w:rsid w:val="004B2519"/>
    <w:rsid w:val="004B4B9A"/>
    <w:rsid w:val="004B542C"/>
    <w:rsid w:val="004B7F56"/>
    <w:rsid w:val="004C00B4"/>
    <w:rsid w:val="004C0741"/>
    <w:rsid w:val="004C0FB8"/>
    <w:rsid w:val="004C38AA"/>
    <w:rsid w:val="004C3920"/>
    <w:rsid w:val="004C47A5"/>
    <w:rsid w:val="004C484F"/>
    <w:rsid w:val="004C4A87"/>
    <w:rsid w:val="004C6925"/>
    <w:rsid w:val="004C72BC"/>
    <w:rsid w:val="004C73D2"/>
    <w:rsid w:val="004C75AC"/>
    <w:rsid w:val="004C7E3A"/>
    <w:rsid w:val="004D01F4"/>
    <w:rsid w:val="004D0BB5"/>
    <w:rsid w:val="004D1174"/>
    <w:rsid w:val="004D292A"/>
    <w:rsid w:val="004D2AE9"/>
    <w:rsid w:val="004D3600"/>
    <w:rsid w:val="004D387C"/>
    <w:rsid w:val="004D3DB9"/>
    <w:rsid w:val="004D4E4D"/>
    <w:rsid w:val="004D65BF"/>
    <w:rsid w:val="004E11E3"/>
    <w:rsid w:val="004E3DFE"/>
    <w:rsid w:val="004E412C"/>
    <w:rsid w:val="004E4C80"/>
    <w:rsid w:val="004E5905"/>
    <w:rsid w:val="004E60E0"/>
    <w:rsid w:val="004E6563"/>
    <w:rsid w:val="004F01AF"/>
    <w:rsid w:val="004F14CA"/>
    <w:rsid w:val="004F15C5"/>
    <w:rsid w:val="004F15E1"/>
    <w:rsid w:val="004F1AE1"/>
    <w:rsid w:val="004F24BF"/>
    <w:rsid w:val="004F2CDC"/>
    <w:rsid w:val="004F4B49"/>
    <w:rsid w:val="004F4F87"/>
    <w:rsid w:val="004F6233"/>
    <w:rsid w:val="004F693B"/>
    <w:rsid w:val="004F6ED8"/>
    <w:rsid w:val="004F70DA"/>
    <w:rsid w:val="004F7BCD"/>
    <w:rsid w:val="00500CAA"/>
    <w:rsid w:val="00501684"/>
    <w:rsid w:val="005017D9"/>
    <w:rsid w:val="005030A4"/>
    <w:rsid w:val="0050354E"/>
    <w:rsid w:val="00503ABB"/>
    <w:rsid w:val="005041EE"/>
    <w:rsid w:val="0050518F"/>
    <w:rsid w:val="00505FB8"/>
    <w:rsid w:val="0050619B"/>
    <w:rsid w:val="00506290"/>
    <w:rsid w:val="00506343"/>
    <w:rsid w:val="00506401"/>
    <w:rsid w:val="0051089A"/>
    <w:rsid w:val="0051173C"/>
    <w:rsid w:val="00511A29"/>
    <w:rsid w:val="005127EA"/>
    <w:rsid w:val="0051351F"/>
    <w:rsid w:val="005139C0"/>
    <w:rsid w:val="00514DE3"/>
    <w:rsid w:val="00514F26"/>
    <w:rsid w:val="00515F83"/>
    <w:rsid w:val="00517095"/>
    <w:rsid w:val="00517469"/>
    <w:rsid w:val="005179B7"/>
    <w:rsid w:val="00517E26"/>
    <w:rsid w:val="00521702"/>
    <w:rsid w:val="00522014"/>
    <w:rsid w:val="00522251"/>
    <w:rsid w:val="005222C7"/>
    <w:rsid w:val="00522D1C"/>
    <w:rsid w:val="0052323F"/>
    <w:rsid w:val="00523A88"/>
    <w:rsid w:val="00523C10"/>
    <w:rsid w:val="00524257"/>
    <w:rsid w:val="00525A78"/>
    <w:rsid w:val="00525DAF"/>
    <w:rsid w:val="00526C24"/>
    <w:rsid w:val="00526CE7"/>
    <w:rsid w:val="0052764A"/>
    <w:rsid w:val="00527F66"/>
    <w:rsid w:val="005306BD"/>
    <w:rsid w:val="005317A2"/>
    <w:rsid w:val="00531CBD"/>
    <w:rsid w:val="00532039"/>
    <w:rsid w:val="00532562"/>
    <w:rsid w:val="00533170"/>
    <w:rsid w:val="00534DDD"/>
    <w:rsid w:val="00535000"/>
    <w:rsid w:val="005353BC"/>
    <w:rsid w:val="00536B32"/>
    <w:rsid w:val="00536BAB"/>
    <w:rsid w:val="005376A7"/>
    <w:rsid w:val="00537BF5"/>
    <w:rsid w:val="00537F77"/>
    <w:rsid w:val="00540BEC"/>
    <w:rsid w:val="005417D2"/>
    <w:rsid w:val="00541BA4"/>
    <w:rsid w:val="0054209D"/>
    <w:rsid w:val="005438B9"/>
    <w:rsid w:val="005440C8"/>
    <w:rsid w:val="00546493"/>
    <w:rsid w:val="005469CC"/>
    <w:rsid w:val="0054747F"/>
    <w:rsid w:val="005513F1"/>
    <w:rsid w:val="005517F1"/>
    <w:rsid w:val="00552208"/>
    <w:rsid w:val="0055259F"/>
    <w:rsid w:val="00552662"/>
    <w:rsid w:val="00552FEC"/>
    <w:rsid w:val="00553036"/>
    <w:rsid w:val="0055397C"/>
    <w:rsid w:val="00555385"/>
    <w:rsid w:val="00555409"/>
    <w:rsid w:val="00555B04"/>
    <w:rsid w:val="00555D54"/>
    <w:rsid w:val="0055667B"/>
    <w:rsid w:val="00556B4D"/>
    <w:rsid w:val="00556CFF"/>
    <w:rsid w:val="00560431"/>
    <w:rsid w:val="00560817"/>
    <w:rsid w:val="00560D38"/>
    <w:rsid w:val="00561345"/>
    <w:rsid w:val="00561BA0"/>
    <w:rsid w:val="00561C88"/>
    <w:rsid w:val="005646E6"/>
    <w:rsid w:val="005650A7"/>
    <w:rsid w:val="00565C35"/>
    <w:rsid w:val="00566131"/>
    <w:rsid w:val="00566A7F"/>
    <w:rsid w:val="00566BDD"/>
    <w:rsid w:val="00566E61"/>
    <w:rsid w:val="00567E6F"/>
    <w:rsid w:val="00570790"/>
    <w:rsid w:val="005709C0"/>
    <w:rsid w:val="005709E5"/>
    <w:rsid w:val="00570F39"/>
    <w:rsid w:val="005722F0"/>
    <w:rsid w:val="005724EE"/>
    <w:rsid w:val="0057330A"/>
    <w:rsid w:val="00574568"/>
    <w:rsid w:val="005750C1"/>
    <w:rsid w:val="005752E8"/>
    <w:rsid w:val="0057565C"/>
    <w:rsid w:val="00575FF9"/>
    <w:rsid w:val="005766E1"/>
    <w:rsid w:val="00576D3D"/>
    <w:rsid w:val="00577FE6"/>
    <w:rsid w:val="005804BB"/>
    <w:rsid w:val="005810F8"/>
    <w:rsid w:val="005814F3"/>
    <w:rsid w:val="0058232C"/>
    <w:rsid w:val="00582E2C"/>
    <w:rsid w:val="00582FAC"/>
    <w:rsid w:val="00582FBF"/>
    <w:rsid w:val="00582FD3"/>
    <w:rsid w:val="005832BF"/>
    <w:rsid w:val="005835ED"/>
    <w:rsid w:val="0058509C"/>
    <w:rsid w:val="00585ADF"/>
    <w:rsid w:val="005862C2"/>
    <w:rsid w:val="00586CD4"/>
    <w:rsid w:val="00586ECA"/>
    <w:rsid w:val="00590BEE"/>
    <w:rsid w:val="00590C01"/>
    <w:rsid w:val="005923F2"/>
    <w:rsid w:val="00592F72"/>
    <w:rsid w:val="00593029"/>
    <w:rsid w:val="00593501"/>
    <w:rsid w:val="00595D4A"/>
    <w:rsid w:val="00596EC8"/>
    <w:rsid w:val="005A181E"/>
    <w:rsid w:val="005A25FD"/>
    <w:rsid w:val="005A2803"/>
    <w:rsid w:val="005A2F59"/>
    <w:rsid w:val="005A3DA9"/>
    <w:rsid w:val="005A448F"/>
    <w:rsid w:val="005A53B0"/>
    <w:rsid w:val="005A55D8"/>
    <w:rsid w:val="005A57E4"/>
    <w:rsid w:val="005A669A"/>
    <w:rsid w:val="005A67C1"/>
    <w:rsid w:val="005A6E83"/>
    <w:rsid w:val="005B1E65"/>
    <w:rsid w:val="005B318B"/>
    <w:rsid w:val="005B339E"/>
    <w:rsid w:val="005B3950"/>
    <w:rsid w:val="005B3DFD"/>
    <w:rsid w:val="005B489D"/>
    <w:rsid w:val="005B5D01"/>
    <w:rsid w:val="005B5FBC"/>
    <w:rsid w:val="005B688C"/>
    <w:rsid w:val="005B7D24"/>
    <w:rsid w:val="005C0994"/>
    <w:rsid w:val="005C0A58"/>
    <w:rsid w:val="005C0C07"/>
    <w:rsid w:val="005C6840"/>
    <w:rsid w:val="005C7054"/>
    <w:rsid w:val="005C77F1"/>
    <w:rsid w:val="005C7C63"/>
    <w:rsid w:val="005D0A41"/>
    <w:rsid w:val="005D1ACC"/>
    <w:rsid w:val="005D4438"/>
    <w:rsid w:val="005D4B2A"/>
    <w:rsid w:val="005D4D12"/>
    <w:rsid w:val="005D513D"/>
    <w:rsid w:val="005D69C3"/>
    <w:rsid w:val="005D6AF3"/>
    <w:rsid w:val="005D7981"/>
    <w:rsid w:val="005D7A2A"/>
    <w:rsid w:val="005D7CF0"/>
    <w:rsid w:val="005E1249"/>
    <w:rsid w:val="005E147A"/>
    <w:rsid w:val="005E2670"/>
    <w:rsid w:val="005E2B01"/>
    <w:rsid w:val="005E35E6"/>
    <w:rsid w:val="005E42AF"/>
    <w:rsid w:val="005E47A3"/>
    <w:rsid w:val="005E5955"/>
    <w:rsid w:val="005E6548"/>
    <w:rsid w:val="005E6E90"/>
    <w:rsid w:val="005F00A1"/>
    <w:rsid w:val="005F09B2"/>
    <w:rsid w:val="005F1E55"/>
    <w:rsid w:val="005F1EF4"/>
    <w:rsid w:val="005F2643"/>
    <w:rsid w:val="005F355D"/>
    <w:rsid w:val="005F3DE1"/>
    <w:rsid w:val="005F409E"/>
    <w:rsid w:val="005F4328"/>
    <w:rsid w:val="005F606E"/>
    <w:rsid w:val="005F65D8"/>
    <w:rsid w:val="005F67BF"/>
    <w:rsid w:val="005F68FF"/>
    <w:rsid w:val="005F7717"/>
    <w:rsid w:val="005F7F0D"/>
    <w:rsid w:val="00600082"/>
    <w:rsid w:val="0060042C"/>
    <w:rsid w:val="0060096A"/>
    <w:rsid w:val="00601025"/>
    <w:rsid w:val="00602571"/>
    <w:rsid w:val="00602E53"/>
    <w:rsid w:val="00604958"/>
    <w:rsid w:val="00605726"/>
    <w:rsid w:val="00605CAD"/>
    <w:rsid w:val="0060631D"/>
    <w:rsid w:val="0060665F"/>
    <w:rsid w:val="0060690E"/>
    <w:rsid w:val="006069D9"/>
    <w:rsid w:val="0060701E"/>
    <w:rsid w:val="006073F0"/>
    <w:rsid w:val="00607EBF"/>
    <w:rsid w:val="00610F07"/>
    <w:rsid w:val="0061110B"/>
    <w:rsid w:val="00611DC5"/>
    <w:rsid w:val="0061204F"/>
    <w:rsid w:val="00612AFE"/>
    <w:rsid w:val="006132FF"/>
    <w:rsid w:val="00613F6F"/>
    <w:rsid w:val="00614701"/>
    <w:rsid w:val="0061575F"/>
    <w:rsid w:val="00615992"/>
    <w:rsid w:val="006168D9"/>
    <w:rsid w:val="00617238"/>
    <w:rsid w:val="00617BF9"/>
    <w:rsid w:val="00622319"/>
    <w:rsid w:val="00623DF7"/>
    <w:rsid w:val="0062478F"/>
    <w:rsid w:val="0062722C"/>
    <w:rsid w:val="006275CA"/>
    <w:rsid w:val="00627AD3"/>
    <w:rsid w:val="006307E0"/>
    <w:rsid w:val="006307EC"/>
    <w:rsid w:val="00631593"/>
    <w:rsid w:val="006316BD"/>
    <w:rsid w:val="0063207F"/>
    <w:rsid w:val="00632509"/>
    <w:rsid w:val="006325E3"/>
    <w:rsid w:val="006331C9"/>
    <w:rsid w:val="00633DD3"/>
    <w:rsid w:val="00633F58"/>
    <w:rsid w:val="00634CC5"/>
    <w:rsid w:val="006365D7"/>
    <w:rsid w:val="006371F6"/>
    <w:rsid w:val="006378B6"/>
    <w:rsid w:val="00637A97"/>
    <w:rsid w:val="00641A92"/>
    <w:rsid w:val="00643195"/>
    <w:rsid w:val="00643C4B"/>
    <w:rsid w:val="006444F5"/>
    <w:rsid w:val="00644EDC"/>
    <w:rsid w:val="00647072"/>
    <w:rsid w:val="006472DE"/>
    <w:rsid w:val="00647752"/>
    <w:rsid w:val="0064795D"/>
    <w:rsid w:val="00651730"/>
    <w:rsid w:val="006530EB"/>
    <w:rsid w:val="00653104"/>
    <w:rsid w:val="0065513B"/>
    <w:rsid w:val="00655F1A"/>
    <w:rsid w:val="0065652E"/>
    <w:rsid w:val="0065797F"/>
    <w:rsid w:val="00661D9C"/>
    <w:rsid w:val="00662168"/>
    <w:rsid w:val="0066331B"/>
    <w:rsid w:val="0066463F"/>
    <w:rsid w:val="0066597D"/>
    <w:rsid w:val="00665C2F"/>
    <w:rsid w:val="0067030E"/>
    <w:rsid w:val="006709DA"/>
    <w:rsid w:val="006717CB"/>
    <w:rsid w:val="00672C5E"/>
    <w:rsid w:val="00674516"/>
    <w:rsid w:val="00675848"/>
    <w:rsid w:val="00676752"/>
    <w:rsid w:val="00676F23"/>
    <w:rsid w:val="006773F0"/>
    <w:rsid w:val="00677D8F"/>
    <w:rsid w:val="006800DF"/>
    <w:rsid w:val="0068081F"/>
    <w:rsid w:val="00680B4E"/>
    <w:rsid w:val="006816B5"/>
    <w:rsid w:val="00683091"/>
    <w:rsid w:val="00683659"/>
    <w:rsid w:val="006838BF"/>
    <w:rsid w:val="00685DBA"/>
    <w:rsid w:val="0069067C"/>
    <w:rsid w:val="0069133A"/>
    <w:rsid w:val="006917A9"/>
    <w:rsid w:val="00692ACE"/>
    <w:rsid w:val="0069307D"/>
    <w:rsid w:val="00696E64"/>
    <w:rsid w:val="006A03EF"/>
    <w:rsid w:val="006A2703"/>
    <w:rsid w:val="006A2D80"/>
    <w:rsid w:val="006A31B1"/>
    <w:rsid w:val="006A38F2"/>
    <w:rsid w:val="006A4DD4"/>
    <w:rsid w:val="006A5B18"/>
    <w:rsid w:val="006A5D7D"/>
    <w:rsid w:val="006A5DCF"/>
    <w:rsid w:val="006A6063"/>
    <w:rsid w:val="006A6E22"/>
    <w:rsid w:val="006A74F9"/>
    <w:rsid w:val="006A79C3"/>
    <w:rsid w:val="006A7F3E"/>
    <w:rsid w:val="006B2008"/>
    <w:rsid w:val="006B2548"/>
    <w:rsid w:val="006B2C3C"/>
    <w:rsid w:val="006B3018"/>
    <w:rsid w:val="006B3A1E"/>
    <w:rsid w:val="006B3B7D"/>
    <w:rsid w:val="006B4300"/>
    <w:rsid w:val="006B6267"/>
    <w:rsid w:val="006B6C98"/>
    <w:rsid w:val="006B714E"/>
    <w:rsid w:val="006B7DEF"/>
    <w:rsid w:val="006C09B1"/>
    <w:rsid w:val="006C173B"/>
    <w:rsid w:val="006C21B9"/>
    <w:rsid w:val="006C22B9"/>
    <w:rsid w:val="006C316D"/>
    <w:rsid w:val="006C35F5"/>
    <w:rsid w:val="006C3CC8"/>
    <w:rsid w:val="006C48B1"/>
    <w:rsid w:val="006C4B82"/>
    <w:rsid w:val="006C6A0D"/>
    <w:rsid w:val="006D1F30"/>
    <w:rsid w:val="006D1F84"/>
    <w:rsid w:val="006D2E18"/>
    <w:rsid w:val="006D38DC"/>
    <w:rsid w:val="006D4828"/>
    <w:rsid w:val="006D4881"/>
    <w:rsid w:val="006D533B"/>
    <w:rsid w:val="006D7634"/>
    <w:rsid w:val="006E1F31"/>
    <w:rsid w:val="006E1F89"/>
    <w:rsid w:val="006E2253"/>
    <w:rsid w:val="006E25C9"/>
    <w:rsid w:val="006E2649"/>
    <w:rsid w:val="006E2745"/>
    <w:rsid w:val="006E28AF"/>
    <w:rsid w:val="006E30CE"/>
    <w:rsid w:val="006E4626"/>
    <w:rsid w:val="006E4744"/>
    <w:rsid w:val="006E5A6E"/>
    <w:rsid w:val="006E5DE4"/>
    <w:rsid w:val="006E6051"/>
    <w:rsid w:val="006E6232"/>
    <w:rsid w:val="006E66BD"/>
    <w:rsid w:val="006E6C6D"/>
    <w:rsid w:val="006E6F34"/>
    <w:rsid w:val="006E6FCB"/>
    <w:rsid w:val="006E7181"/>
    <w:rsid w:val="006E78BD"/>
    <w:rsid w:val="006F04BC"/>
    <w:rsid w:val="006F1451"/>
    <w:rsid w:val="006F1C62"/>
    <w:rsid w:val="006F2ECE"/>
    <w:rsid w:val="006F30A5"/>
    <w:rsid w:val="006F311D"/>
    <w:rsid w:val="006F3ADF"/>
    <w:rsid w:val="006F447C"/>
    <w:rsid w:val="006F4E12"/>
    <w:rsid w:val="006F5745"/>
    <w:rsid w:val="006F5818"/>
    <w:rsid w:val="006F5C9B"/>
    <w:rsid w:val="006F5FD9"/>
    <w:rsid w:val="006F6321"/>
    <w:rsid w:val="006F66E3"/>
    <w:rsid w:val="006F6F99"/>
    <w:rsid w:val="006F70AC"/>
    <w:rsid w:val="006F7AA6"/>
    <w:rsid w:val="0070063D"/>
    <w:rsid w:val="00700C4D"/>
    <w:rsid w:val="0070108E"/>
    <w:rsid w:val="00701605"/>
    <w:rsid w:val="0070297D"/>
    <w:rsid w:val="00702F44"/>
    <w:rsid w:val="0070462D"/>
    <w:rsid w:val="0070572F"/>
    <w:rsid w:val="007061BE"/>
    <w:rsid w:val="00706E17"/>
    <w:rsid w:val="00706EC0"/>
    <w:rsid w:val="00707218"/>
    <w:rsid w:val="00707E82"/>
    <w:rsid w:val="00707FB2"/>
    <w:rsid w:val="0071111F"/>
    <w:rsid w:val="007121CE"/>
    <w:rsid w:val="00712D57"/>
    <w:rsid w:val="00712DBB"/>
    <w:rsid w:val="00712E69"/>
    <w:rsid w:val="007143E9"/>
    <w:rsid w:val="00715109"/>
    <w:rsid w:val="00715355"/>
    <w:rsid w:val="00715E2A"/>
    <w:rsid w:val="00716708"/>
    <w:rsid w:val="00717369"/>
    <w:rsid w:val="00717AFD"/>
    <w:rsid w:val="00717EE0"/>
    <w:rsid w:val="007206A2"/>
    <w:rsid w:val="00720B40"/>
    <w:rsid w:val="007219FE"/>
    <w:rsid w:val="00721B57"/>
    <w:rsid w:val="00721F67"/>
    <w:rsid w:val="0072213B"/>
    <w:rsid w:val="0072273F"/>
    <w:rsid w:val="00722C98"/>
    <w:rsid w:val="007230B3"/>
    <w:rsid w:val="00723AD0"/>
    <w:rsid w:val="007240BB"/>
    <w:rsid w:val="007241AD"/>
    <w:rsid w:val="00724418"/>
    <w:rsid w:val="0072495B"/>
    <w:rsid w:val="00724E69"/>
    <w:rsid w:val="00724FFD"/>
    <w:rsid w:val="0072526A"/>
    <w:rsid w:val="007254E7"/>
    <w:rsid w:val="0072781F"/>
    <w:rsid w:val="00727BAA"/>
    <w:rsid w:val="00730FAB"/>
    <w:rsid w:val="00733019"/>
    <w:rsid w:val="007339E4"/>
    <w:rsid w:val="00735B04"/>
    <w:rsid w:val="00736F98"/>
    <w:rsid w:val="00737DBD"/>
    <w:rsid w:val="00742568"/>
    <w:rsid w:val="007428C2"/>
    <w:rsid w:val="00742CF0"/>
    <w:rsid w:val="00743C40"/>
    <w:rsid w:val="00744694"/>
    <w:rsid w:val="00744F10"/>
    <w:rsid w:val="007456E8"/>
    <w:rsid w:val="00745CA2"/>
    <w:rsid w:val="00745F48"/>
    <w:rsid w:val="00747601"/>
    <w:rsid w:val="00750007"/>
    <w:rsid w:val="007502F2"/>
    <w:rsid w:val="00750C0F"/>
    <w:rsid w:val="007516CB"/>
    <w:rsid w:val="00751AE5"/>
    <w:rsid w:val="00752C1C"/>
    <w:rsid w:val="00752C5E"/>
    <w:rsid w:val="00752F89"/>
    <w:rsid w:val="00753613"/>
    <w:rsid w:val="00753C3B"/>
    <w:rsid w:val="00754749"/>
    <w:rsid w:val="00754B3E"/>
    <w:rsid w:val="0075560B"/>
    <w:rsid w:val="007606D9"/>
    <w:rsid w:val="00762D1A"/>
    <w:rsid w:val="007630E6"/>
    <w:rsid w:val="00763610"/>
    <w:rsid w:val="00763CE0"/>
    <w:rsid w:val="00765241"/>
    <w:rsid w:val="007658A2"/>
    <w:rsid w:val="00766B0A"/>
    <w:rsid w:val="0076770D"/>
    <w:rsid w:val="00770743"/>
    <w:rsid w:val="00770D62"/>
    <w:rsid w:val="00770F38"/>
    <w:rsid w:val="007713DB"/>
    <w:rsid w:val="00771F50"/>
    <w:rsid w:val="00772463"/>
    <w:rsid w:val="007729CE"/>
    <w:rsid w:val="00773836"/>
    <w:rsid w:val="00774486"/>
    <w:rsid w:val="007752F2"/>
    <w:rsid w:val="00777E44"/>
    <w:rsid w:val="0078001D"/>
    <w:rsid w:val="0078013A"/>
    <w:rsid w:val="0078075B"/>
    <w:rsid w:val="007807B9"/>
    <w:rsid w:val="00782CAA"/>
    <w:rsid w:val="00782EA0"/>
    <w:rsid w:val="00783174"/>
    <w:rsid w:val="0078357C"/>
    <w:rsid w:val="0078511B"/>
    <w:rsid w:val="0078518B"/>
    <w:rsid w:val="00785196"/>
    <w:rsid w:val="0078527D"/>
    <w:rsid w:val="007854BD"/>
    <w:rsid w:val="00785557"/>
    <w:rsid w:val="00786248"/>
    <w:rsid w:val="007862ED"/>
    <w:rsid w:val="00786A92"/>
    <w:rsid w:val="00786B5C"/>
    <w:rsid w:val="00786CE1"/>
    <w:rsid w:val="007875B9"/>
    <w:rsid w:val="007876C5"/>
    <w:rsid w:val="00787757"/>
    <w:rsid w:val="00787A14"/>
    <w:rsid w:val="00790242"/>
    <w:rsid w:val="00791606"/>
    <w:rsid w:val="00792741"/>
    <w:rsid w:val="00792BDA"/>
    <w:rsid w:val="007952A7"/>
    <w:rsid w:val="0079553A"/>
    <w:rsid w:val="00796443"/>
    <w:rsid w:val="00796B8F"/>
    <w:rsid w:val="00796D20"/>
    <w:rsid w:val="0079748E"/>
    <w:rsid w:val="0079780B"/>
    <w:rsid w:val="00797C9C"/>
    <w:rsid w:val="007A0031"/>
    <w:rsid w:val="007A026D"/>
    <w:rsid w:val="007A2D90"/>
    <w:rsid w:val="007A3397"/>
    <w:rsid w:val="007A3EBD"/>
    <w:rsid w:val="007A4F25"/>
    <w:rsid w:val="007A59A9"/>
    <w:rsid w:val="007A59C6"/>
    <w:rsid w:val="007A6CC6"/>
    <w:rsid w:val="007A76B0"/>
    <w:rsid w:val="007A7A2E"/>
    <w:rsid w:val="007A7DD5"/>
    <w:rsid w:val="007B041E"/>
    <w:rsid w:val="007B066B"/>
    <w:rsid w:val="007B2374"/>
    <w:rsid w:val="007B238D"/>
    <w:rsid w:val="007B254A"/>
    <w:rsid w:val="007B2556"/>
    <w:rsid w:val="007B25CE"/>
    <w:rsid w:val="007B2C1F"/>
    <w:rsid w:val="007B4246"/>
    <w:rsid w:val="007B4B63"/>
    <w:rsid w:val="007B5E59"/>
    <w:rsid w:val="007B5F28"/>
    <w:rsid w:val="007B605D"/>
    <w:rsid w:val="007B6C60"/>
    <w:rsid w:val="007B7B34"/>
    <w:rsid w:val="007B7E62"/>
    <w:rsid w:val="007C115C"/>
    <w:rsid w:val="007C12C6"/>
    <w:rsid w:val="007C1D6F"/>
    <w:rsid w:val="007C222F"/>
    <w:rsid w:val="007C4AD5"/>
    <w:rsid w:val="007C72D3"/>
    <w:rsid w:val="007C72D7"/>
    <w:rsid w:val="007D0CE8"/>
    <w:rsid w:val="007D0D3E"/>
    <w:rsid w:val="007D124F"/>
    <w:rsid w:val="007D165E"/>
    <w:rsid w:val="007D1ACB"/>
    <w:rsid w:val="007D1CFF"/>
    <w:rsid w:val="007D206C"/>
    <w:rsid w:val="007D2FE0"/>
    <w:rsid w:val="007D4150"/>
    <w:rsid w:val="007D5052"/>
    <w:rsid w:val="007D5222"/>
    <w:rsid w:val="007D5A58"/>
    <w:rsid w:val="007D773B"/>
    <w:rsid w:val="007D7840"/>
    <w:rsid w:val="007D7A35"/>
    <w:rsid w:val="007E046D"/>
    <w:rsid w:val="007E0C35"/>
    <w:rsid w:val="007E0F46"/>
    <w:rsid w:val="007E1065"/>
    <w:rsid w:val="007E22F3"/>
    <w:rsid w:val="007E22F6"/>
    <w:rsid w:val="007E2FB3"/>
    <w:rsid w:val="007E308F"/>
    <w:rsid w:val="007E3692"/>
    <w:rsid w:val="007E379F"/>
    <w:rsid w:val="007E4563"/>
    <w:rsid w:val="007E4D1B"/>
    <w:rsid w:val="007E5502"/>
    <w:rsid w:val="007E55DA"/>
    <w:rsid w:val="007E5758"/>
    <w:rsid w:val="007E6398"/>
    <w:rsid w:val="007E63A7"/>
    <w:rsid w:val="007E6C5D"/>
    <w:rsid w:val="007E79BF"/>
    <w:rsid w:val="007F0DF9"/>
    <w:rsid w:val="007F151A"/>
    <w:rsid w:val="007F2B8C"/>
    <w:rsid w:val="007F2C68"/>
    <w:rsid w:val="007F2DC4"/>
    <w:rsid w:val="007F2FC2"/>
    <w:rsid w:val="007F32CD"/>
    <w:rsid w:val="007F356D"/>
    <w:rsid w:val="007F44CE"/>
    <w:rsid w:val="007F4D3F"/>
    <w:rsid w:val="007F5B62"/>
    <w:rsid w:val="007F6AED"/>
    <w:rsid w:val="007F6C53"/>
    <w:rsid w:val="007F7057"/>
    <w:rsid w:val="007F7423"/>
    <w:rsid w:val="00800682"/>
    <w:rsid w:val="00801265"/>
    <w:rsid w:val="00801CB6"/>
    <w:rsid w:val="00801F16"/>
    <w:rsid w:val="008024C4"/>
    <w:rsid w:val="0080318F"/>
    <w:rsid w:val="00803FEE"/>
    <w:rsid w:val="008049A3"/>
    <w:rsid w:val="00806795"/>
    <w:rsid w:val="00806D87"/>
    <w:rsid w:val="0080722C"/>
    <w:rsid w:val="00807F6E"/>
    <w:rsid w:val="00810A1E"/>
    <w:rsid w:val="0081268E"/>
    <w:rsid w:val="00812CCC"/>
    <w:rsid w:val="0081343E"/>
    <w:rsid w:val="00813F37"/>
    <w:rsid w:val="00814094"/>
    <w:rsid w:val="00814364"/>
    <w:rsid w:val="00814420"/>
    <w:rsid w:val="0081566E"/>
    <w:rsid w:val="00816212"/>
    <w:rsid w:val="00816AD7"/>
    <w:rsid w:val="00816F28"/>
    <w:rsid w:val="00817162"/>
    <w:rsid w:val="0082064A"/>
    <w:rsid w:val="0082069D"/>
    <w:rsid w:val="00822262"/>
    <w:rsid w:val="0082536C"/>
    <w:rsid w:val="00825423"/>
    <w:rsid w:val="00825588"/>
    <w:rsid w:val="00826C59"/>
    <w:rsid w:val="008275E9"/>
    <w:rsid w:val="00827703"/>
    <w:rsid w:val="00830515"/>
    <w:rsid w:val="008312FC"/>
    <w:rsid w:val="0083156A"/>
    <w:rsid w:val="00832D22"/>
    <w:rsid w:val="00832F45"/>
    <w:rsid w:val="0083350B"/>
    <w:rsid w:val="00833723"/>
    <w:rsid w:val="008339FE"/>
    <w:rsid w:val="00833B62"/>
    <w:rsid w:val="00833F44"/>
    <w:rsid w:val="0083472E"/>
    <w:rsid w:val="00835206"/>
    <w:rsid w:val="008356CE"/>
    <w:rsid w:val="008359C4"/>
    <w:rsid w:val="00835DAC"/>
    <w:rsid w:val="008363AC"/>
    <w:rsid w:val="00836748"/>
    <w:rsid w:val="00836B40"/>
    <w:rsid w:val="008378DC"/>
    <w:rsid w:val="00837FE6"/>
    <w:rsid w:val="00840797"/>
    <w:rsid w:val="00841253"/>
    <w:rsid w:val="00841362"/>
    <w:rsid w:val="00841A86"/>
    <w:rsid w:val="00841B92"/>
    <w:rsid w:val="00841F59"/>
    <w:rsid w:val="00842EFC"/>
    <w:rsid w:val="00844005"/>
    <w:rsid w:val="008440C7"/>
    <w:rsid w:val="00844348"/>
    <w:rsid w:val="008447F0"/>
    <w:rsid w:val="00846B51"/>
    <w:rsid w:val="008476C5"/>
    <w:rsid w:val="00850166"/>
    <w:rsid w:val="0085088D"/>
    <w:rsid w:val="00851271"/>
    <w:rsid w:val="00852ED2"/>
    <w:rsid w:val="00852FC8"/>
    <w:rsid w:val="00853F3E"/>
    <w:rsid w:val="00854490"/>
    <w:rsid w:val="00854799"/>
    <w:rsid w:val="00854EA9"/>
    <w:rsid w:val="00860147"/>
    <w:rsid w:val="008604E7"/>
    <w:rsid w:val="00860A36"/>
    <w:rsid w:val="00862704"/>
    <w:rsid w:val="00862C2D"/>
    <w:rsid w:val="00862CC9"/>
    <w:rsid w:val="00864F53"/>
    <w:rsid w:val="0086522E"/>
    <w:rsid w:val="00865265"/>
    <w:rsid w:val="00865B35"/>
    <w:rsid w:val="00865B76"/>
    <w:rsid w:val="00870174"/>
    <w:rsid w:val="008704CF"/>
    <w:rsid w:val="0087131E"/>
    <w:rsid w:val="00871725"/>
    <w:rsid w:val="00872041"/>
    <w:rsid w:val="008728E5"/>
    <w:rsid w:val="008745D3"/>
    <w:rsid w:val="008757F9"/>
    <w:rsid w:val="00875A42"/>
    <w:rsid w:val="00875B7A"/>
    <w:rsid w:val="0087646B"/>
    <w:rsid w:val="00876991"/>
    <w:rsid w:val="00876A0F"/>
    <w:rsid w:val="00876EB6"/>
    <w:rsid w:val="008773EF"/>
    <w:rsid w:val="00881358"/>
    <w:rsid w:val="008814B1"/>
    <w:rsid w:val="00881C3C"/>
    <w:rsid w:val="00882D8A"/>
    <w:rsid w:val="00884F84"/>
    <w:rsid w:val="008854FB"/>
    <w:rsid w:val="0088624B"/>
    <w:rsid w:val="00887291"/>
    <w:rsid w:val="00887F1F"/>
    <w:rsid w:val="00887F5C"/>
    <w:rsid w:val="0089244C"/>
    <w:rsid w:val="0089258C"/>
    <w:rsid w:val="008925E4"/>
    <w:rsid w:val="00892798"/>
    <w:rsid w:val="00892A18"/>
    <w:rsid w:val="00892D53"/>
    <w:rsid w:val="00893FB9"/>
    <w:rsid w:val="008941B7"/>
    <w:rsid w:val="00894C7D"/>
    <w:rsid w:val="00894F0E"/>
    <w:rsid w:val="00895E75"/>
    <w:rsid w:val="008964FE"/>
    <w:rsid w:val="00896767"/>
    <w:rsid w:val="008973E6"/>
    <w:rsid w:val="00897F66"/>
    <w:rsid w:val="008A03F8"/>
    <w:rsid w:val="008A0834"/>
    <w:rsid w:val="008A1353"/>
    <w:rsid w:val="008A3C40"/>
    <w:rsid w:val="008A3D00"/>
    <w:rsid w:val="008A41E6"/>
    <w:rsid w:val="008A4469"/>
    <w:rsid w:val="008A45A2"/>
    <w:rsid w:val="008A4E08"/>
    <w:rsid w:val="008A5A56"/>
    <w:rsid w:val="008A64D1"/>
    <w:rsid w:val="008B0118"/>
    <w:rsid w:val="008B1A8F"/>
    <w:rsid w:val="008B2512"/>
    <w:rsid w:val="008B251B"/>
    <w:rsid w:val="008B377B"/>
    <w:rsid w:val="008B4AB6"/>
    <w:rsid w:val="008B632B"/>
    <w:rsid w:val="008B6603"/>
    <w:rsid w:val="008B7CCD"/>
    <w:rsid w:val="008C054F"/>
    <w:rsid w:val="008C06AC"/>
    <w:rsid w:val="008C238C"/>
    <w:rsid w:val="008C23AC"/>
    <w:rsid w:val="008C28D3"/>
    <w:rsid w:val="008C2B2E"/>
    <w:rsid w:val="008C2F7A"/>
    <w:rsid w:val="008C3EDB"/>
    <w:rsid w:val="008C4566"/>
    <w:rsid w:val="008C480C"/>
    <w:rsid w:val="008C4C60"/>
    <w:rsid w:val="008C5F4B"/>
    <w:rsid w:val="008C6C8E"/>
    <w:rsid w:val="008C7410"/>
    <w:rsid w:val="008D1189"/>
    <w:rsid w:val="008D1925"/>
    <w:rsid w:val="008D20E6"/>
    <w:rsid w:val="008D227D"/>
    <w:rsid w:val="008D2352"/>
    <w:rsid w:val="008D241A"/>
    <w:rsid w:val="008D5EBC"/>
    <w:rsid w:val="008D6D0C"/>
    <w:rsid w:val="008D7A7C"/>
    <w:rsid w:val="008E1308"/>
    <w:rsid w:val="008E194A"/>
    <w:rsid w:val="008E1ACC"/>
    <w:rsid w:val="008E3955"/>
    <w:rsid w:val="008E3A77"/>
    <w:rsid w:val="008E4348"/>
    <w:rsid w:val="008E47A1"/>
    <w:rsid w:val="008E4BAF"/>
    <w:rsid w:val="008E572C"/>
    <w:rsid w:val="008E5850"/>
    <w:rsid w:val="008E5C2B"/>
    <w:rsid w:val="008E5F6D"/>
    <w:rsid w:val="008E6A47"/>
    <w:rsid w:val="008F2281"/>
    <w:rsid w:val="008F24D4"/>
    <w:rsid w:val="008F28F9"/>
    <w:rsid w:val="008F2AB8"/>
    <w:rsid w:val="008F43B7"/>
    <w:rsid w:val="008F48C7"/>
    <w:rsid w:val="008F4FDB"/>
    <w:rsid w:val="008F5C68"/>
    <w:rsid w:val="008F6714"/>
    <w:rsid w:val="008F7998"/>
    <w:rsid w:val="008F7C3B"/>
    <w:rsid w:val="00900DA1"/>
    <w:rsid w:val="0090180B"/>
    <w:rsid w:val="009019C7"/>
    <w:rsid w:val="009020B6"/>
    <w:rsid w:val="0090332C"/>
    <w:rsid w:val="00903477"/>
    <w:rsid w:val="00903624"/>
    <w:rsid w:val="009037F3"/>
    <w:rsid w:val="00903AEB"/>
    <w:rsid w:val="00904A16"/>
    <w:rsid w:val="00904DE3"/>
    <w:rsid w:val="00905B1B"/>
    <w:rsid w:val="00905DFB"/>
    <w:rsid w:val="00907B87"/>
    <w:rsid w:val="00907DEB"/>
    <w:rsid w:val="00907F37"/>
    <w:rsid w:val="0091105E"/>
    <w:rsid w:val="0091148C"/>
    <w:rsid w:val="00912742"/>
    <w:rsid w:val="00912C40"/>
    <w:rsid w:val="009138C4"/>
    <w:rsid w:val="00914576"/>
    <w:rsid w:val="009151FE"/>
    <w:rsid w:val="00920FC3"/>
    <w:rsid w:val="0092314E"/>
    <w:rsid w:val="00923B4A"/>
    <w:rsid w:val="00923F37"/>
    <w:rsid w:val="0092478D"/>
    <w:rsid w:val="00924A38"/>
    <w:rsid w:val="00924FA5"/>
    <w:rsid w:val="00925CC9"/>
    <w:rsid w:val="009262FB"/>
    <w:rsid w:val="00926B50"/>
    <w:rsid w:val="0092720F"/>
    <w:rsid w:val="00927C2D"/>
    <w:rsid w:val="00930A29"/>
    <w:rsid w:val="00931087"/>
    <w:rsid w:val="00931427"/>
    <w:rsid w:val="0093387E"/>
    <w:rsid w:val="00933BE3"/>
    <w:rsid w:val="009365A8"/>
    <w:rsid w:val="00936D2A"/>
    <w:rsid w:val="00937A9B"/>
    <w:rsid w:val="00937B59"/>
    <w:rsid w:val="00940017"/>
    <w:rsid w:val="00940A6D"/>
    <w:rsid w:val="009410F2"/>
    <w:rsid w:val="00941FC1"/>
    <w:rsid w:val="00942210"/>
    <w:rsid w:val="009428E5"/>
    <w:rsid w:val="00943513"/>
    <w:rsid w:val="00943C91"/>
    <w:rsid w:val="00945715"/>
    <w:rsid w:val="0094796D"/>
    <w:rsid w:val="00950A1B"/>
    <w:rsid w:val="00951D08"/>
    <w:rsid w:val="00952CDB"/>
    <w:rsid w:val="00954AF9"/>
    <w:rsid w:val="009560EE"/>
    <w:rsid w:val="0095702E"/>
    <w:rsid w:val="009573A3"/>
    <w:rsid w:val="00960632"/>
    <w:rsid w:val="0096176A"/>
    <w:rsid w:val="00961DA9"/>
    <w:rsid w:val="00961E7C"/>
    <w:rsid w:val="00962832"/>
    <w:rsid w:val="00962929"/>
    <w:rsid w:val="009629DF"/>
    <w:rsid w:val="0096395F"/>
    <w:rsid w:val="0096401B"/>
    <w:rsid w:val="00967F1E"/>
    <w:rsid w:val="00967F2B"/>
    <w:rsid w:val="009700E2"/>
    <w:rsid w:val="009701F1"/>
    <w:rsid w:val="00970CB0"/>
    <w:rsid w:val="00970CCB"/>
    <w:rsid w:val="0097116F"/>
    <w:rsid w:val="009712EE"/>
    <w:rsid w:val="00973A65"/>
    <w:rsid w:val="00973ADA"/>
    <w:rsid w:val="00973B77"/>
    <w:rsid w:val="009742B4"/>
    <w:rsid w:val="009749B8"/>
    <w:rsid w:val="00975938"/>
    <w:rsid w:val="009769DA"/>
    <w:rsid w:val="0098025F"/>
    <w:rsid w:val="00980AAC"/>
    <w:rsid w:val="009810AD"/>
    <w:rsid w:val="0098258D"/>
    <w:rsid w:val="009826B0"/>
    <w:rsid w:val="009852A0"/>
    <w:rsid w:val="00985464"/>
    <w:rsid w:val="009856A4"/>
    <w:rsid w:val="009858EE"/>
    <w:rsid w:val="009860C4"/>
    <w:rsid w:val="0098681F"/>
    <w:rsid w:val="00990331"/>
    <w:rsid w:val="009909B0"/>
    <w:rsid w:val="00990B01"/>
    <w:rsid w:val="00991288"/>
    <w:rsid w:val="00991BE7"/>
    <w:rsid w:val="00991F44"/>
    <w:rsid w:val="009922BC"/>
    <w:rsid w:val="0099245A"/>
    <w:rsid w:val="00992AA1"/>
    <w:rsid w:val="009932AE"/>
    <w:rsid w:val="00993A85"/>
    <w:rsid w:val="00993A8A"/>
    <w:rsid w:val="00993D1A"/>
    <w:rsid w:val="00995C42"/>
    <w:rsid w:val="00996AE3"/>
    <w:rsid w:val="0099716B"/>
    <w:rsid w:val="00997715"/>
    <w:rsid w:val="00997913"/>
    <w:rsid w:val="00997AEE"/>
    <w:rsid w:val="00997FEF"/>
    <w:rsid w:val="009A0414"/>
    <w:rsid w:val="009A27B6"/>
    <w:rsid w:val="009A4773"/>
    <w:rsid w:val="009A54F8"/>
    <w:rsid w:val="009A6605"/>
    <w:rsid w:val="009A69CF"/>
    <w:rsid w:val="009A6C29"/>
    <w:rsid w:val="009B24AD"/>
    <w:rsid w:val="009B2748"/>
    <w:rsid w:val="009B2BC2"/>
    <w:rsid w:val="009B4DB1"/>
    <w:rsid w:val="009B5186"/>
    <w:rsid w:val="009B5E26"/>
    <w:rsid w:val="009B6E57"/>
    <w:rsid w:val="009B7AA7"/>
    <w:rsid w:val="009C0610"/>
    <w:rsid w:val="009C09D0"/>
    <w:rsid w:val="009C0F3E"/>
    <w:rsid w:val="009C226F"/>
    <w:rsid w:val="009C2E6E"/>
    <w:rsid w:val="009C2EC0"/>
    <w:rsid w:val="009C2FCB"/>
    <w:rsid w:val="009C36DF"/>
    <w:rsid w:val="009C462E"/>
    <w:rsid w:val="009C52FD"/>
    <w:rsid w:val="009C55D7"/>
    <w:rsid w:val="009C60D3"/>
    <w:rsid w:val="009C656D"/>
    <w:rsid w:val="009C6642"/>
    <w:rsid w:val="009C6EB9"/>
    <w:rsid w:val="009D089E"/>
    <w:rsid w:val="009D1712"/>
    <w:rsid w:val="009D2127"/>
    <w:rsid w:val="009D24AF"/>
    <w:rsid w:val="009D2F1B"/>
    <w:rsid w:val="009D3096"/>
    <w:rsid w:val="009D3663"/>
    <w:rsid w:val="009D38C7"/>
    <w:rsid w:val="009D44AD"/>
    <w:rsid w:val="009D4657"/>
    <w:rsid w:val="009D5C8A"/>
    <w:rsid w:val="009D5F7E"/>
    <w:rsid w:val="009D69DB"/>
    <w:rsid w:val="009D7F96"/>
    <w:rsid w:val="009E06CD"/>
    <w:rsid w:val="009E1C2A"/>
    <w:rsid w:val="009E1ED6"/>
    <w:rsid w:val="009E2456"/>
    <w:rsid w:val="009E2613"/>
    <w:rsid w:val="009E2881"/>
    <w:rsid w:val="009E3C12"/>
    <w:rsid w:val="009E3F58"/>
    <w:rsid w:val="009E4527"/>
    <w:rsid w:val="009E4A6F"/>
    <w:rsid w:val="009E4C98"/>
    <w:rsid w:val="009E7780"/>
    <w:rsid w:val="009E77E6"/>
    <w:rsid w:val="009F060D"/>
    <w:rsid w:val="009F0983"/>
    <w:rsid w:val="009F0F0F"/>
    <w:rsid w:val="009F1793"/>
    <w:rsid w:val="009F1CC0"/>
    <w:rsid w:val="009F1D59"/>
    <w:rsid w:val="009F2A39"/>
    <w:rsid w:val="009F2D75"/>
    <w:rsid w:val="009F2FC0"/>
    <w:rsid w:val="009F39C8"/>
    <w:rsid w:val="009F3DFB"/>
    <w:rsid w:val="009F4ADA"/>
    <w:rsid w:val="009F4FE3"/>
    <w:rsid w:val="009F503F"/>
    <w:rsid w:val="009F6515"/>
    <w:rsid w:val="009F6581"/>
    <w:rsid w:val="009F671A"/>
    <w:rsid w:val="009F6F0F"/>
    <w:rsid w:val="009F6FE0"/>
    <w:rsid w:val="009F7362"/>
    <w:rsid w:val="009F7CE8"/>
    <w:rsid w:val="00A02C07"/>
    <w:rsid w:val="00A0335B"/>
    <w:rsid w:val="00A034B3"/>
    <w:rsid w:val="00A037BF"/>
    <w:rsid w:val="00A03C63"/>
    <w:rsid w:val="00A041C6"/>
    <w:rsid w:val="00A0471F"/>
    <w:rsid w:val="00A04D06"/>
    <w:rsid w:val="00A062E0"/>
    <w:rsid w:val="00A07B92"/>
    <w:rsid w:val="00A07F87"/>
    <w:rsid w:val="00A1138F"/>
    <w:rsid w:val="00A12033"/>
    <w:rsid w:val="00A12062"/>
    <w:rsid w:val="00A1286F"/>
    <w:rsid w:val="00A12C6F"/>
    <w:rsid w:val="00A1306A"/>
    <w:rsid w:val="00A13FDB"/>
    <w:rsid w:val="00A14233"/>
    <w:rsid w:val="00A14346"/>
    <w:rsid w:val="00A14C72"/>
    <w:rsid w:val="00A1574E"/>
    <w:rsid w:val="00A1637C"/>
    <w:rsid w:val="00A17A3B"/>
    <w:rsid w:val="00A201F6"/>
    <w:rsid w:val="00A2047C"/>
    <w:rsid w:val="00A214A5"/>
    <w:rsid w:val="00A21D73"/>
    <w:rsid w:val="00A221BE"/>
    <w:rsid w:val="00A22CC7"/>
    <w:rsid w:val="00A2313A"/>
    <w:rsid w:val="00A234F0"/>
    <w:rsid w:val="00A236E1"/>
    <w:rsid w:val="00A23937"/>
    <w:rsid w:val="00A242E1"/>
    <w:rsid w:val="00A243B2"/>
    <w:rsid w:val="00A2475C"/>
    <w:rsid w:val="00A2542E"/>
    <w:rsid w:val="00A26194"/>
    <w:rsid w:val="00A26851"/>
    <w:rsid w:val="00A30D19"/>
    <w:rsid w:val="00A331BD"/>
    <w:rsid w:val="00A3639B"/>
    <w:rsid w:val="00A37525"/>
    <w:rsid w:val="00A37C59"/>
    <w:rsid w:val="00A408F2"/>
    <w:rsid w:val="00A40F09"/>
    <w:rsid w:val="00A4101C"/>
    <w:rsid w:val="00A4160D"/>
    <w:rsid w:val="00A41F64"/>
    <w:rsid w:val="00A42D84"/>
    <w:rsid w:val="00A44576"/>
    <w:rsid w:val="00A46359"/>
    <w:rsid w:val="00A46B8E"/>
    <w:rsid w:val="00A46EAE"/>
    <w:rsid w:val="00A5032D"/>
    <w:rsid w:val="00A50A12"/>
    <w:rsid w:val="00A521A8"/>
    <w:rsid w:val="00A52889"/>
    <w:rsid w:val="00A53D41"/>
    <w:rsid w:val="00A543E9"/>
    <w:rsid w:val="00A547F1"/>
    <w:rsid w:val="00A5485F"/>
    <w:rsid w:val="00A5550B"/>
    <w:rsid w:val="00A556F7"/>
    <w:rsid w:val="00A559A8"/>
    <w:rsid w:val="00A55D2D"/>
    <w:rsid w:val="00A56EB6"/>
    <w:rsid w:val="00A57484"/>
    <w:rsid w:val="00A5766C"/>
    <w:rsid w:val="00A576D8"/>
    <w:rsid w:val="00A57BFA"/>
    <w:rsid w:val="00A61215"/>
    <w:rsid w:val="00A61FD6"/>
    <w:rsid w:val="00A62771"/>
    <w:rsid w:val="00A6337B"/>
    <w:rsid w:val="00A63F14"/>
    <w:rsid w:val="00A643E5"/>
    <w:rsid w:val="00A65E8D"/>
    <w:rsid w:val="00A65EA2"/>
    <w:rsid w:val="00A664C7"/>
    <w:rsid w:val="00A66639"/>
    <w:rsid w:val="00A6672D"/>
    <w:rsid w:val="00A67530"/>
    <w:rsid w:val="00A67686"/>
    <w:rsid w:val="00A71C98"/>
    <w:rsid w:val="00A73E69"/>
    <w:rsid w:val="00A74280"/>
    <w:rsid w:val="00A74680"/>
    <w:rsid w:val="00A74EAA"/>
    <w:rsid w:val="00A766D3"/>
    <w:rsid w:val="00A76978"/>
    <w:rsid w:val="00A76E33"/>
    <w:rsid w:val="00A8028F"/>
    <w:rsid w:val="00A80561"/>
    <w:rsid w:val="00A81455"/>
    <w:rsid w:val="00A81D15"/>
    <w:rsid w:val="00A81E50"/>
    <w:rsid w:val="00A8285D"/>
    <w:rsid w:val="00A83108"/>
    <w:rsid w:val="00A837F1"/>
    <w:rsid w:val="00A83ED3"/>
    <w:rsid w:val="00A84675"/>
    <w:rsid w:val="00A849F0"/>
    <w:rsid w:val="00A84F7B"/>
    <w:rsid w:val="00A8649D"/>
    <w:rsid w:val="00A875A4"/>
    <w:rsid w:val="00A8775B"/>
    <w:rsid w:val="00A90B0C"/>
    <w:rsid w:val="00A92980"/>
    <w:rsid w:val="00A93116"/>
    <w:rsid w:val="00A9321C"/>
    <w:rsid w:val="00A9535D"/>
    <w:rsid w:val="00A95905"/>
    <w:rsid w:val="00A97515"/>
    <w:rsid w:val="00AA129E"/>
    <w:rsid w:val="00AA19E9"/>
    <w:rsid w:val="00AA1CE1"/>
    <w:rsid w:val="00AA269C"/>
    <w:rsid w:val="00AA4361"/>
    <w:rsid w:val="00AA5438"/>
    <w:rsid w:val="00AA54CF"/>
    <w:rsid w:val="00AA56B7"/>
    <w:rsid w:val="00AA69F5"/>
    <w:rsid w:val="00AB09DC"/>
    <w:rsid w:val="00AB265D"/>
    <w:rsid w:val="00AB2DA1"/>
    <w:rsid w:val="00AB31DA"/>
    <w:rsid w:val="00AB5132"/>
    <w:rsid w:val="00AB5F35"/>
    <w:rsid w:val="00AB6100"/>
    <w:rsid w:val="00AB653C"/>
    <w:rsid w:val="00AB6AE4"/>
    <w:rsid w:val="00AC09B9"/>
    <w:rsid w:val="00AC09C2"/>
    <w:rsid w:val="00AC11D8"/>
    <w:rsid w:val="00AC147F"/>
    <w:rsid w:val="00AC1E82"/>
    <w:rsid w:val="00AC2ECD"/>
    <w:rsid w:val="00AC3103"/>
    <w:rsid w:val="00AC4078"/>
    <w:rsid w:val="00AC41DB"/>
    <w:rsid w:val="00AC43C2"/>
    <w:rsid w:val="00AC44A8"/>
    <w:rsid w:val="00AC527D"/>
    <w:rsid w:val="00AC5643"/>
    <w:rsid w:val="00AC59AC"/>
    <w:rsid w:val="00AC5C92"/>
    <w:rsid w:val="00AC6AF6"/>
    <w:rsid w:val="00AD06E2"/>
    <w:rsid w:val="00AD14A6"/>
    <w:rsid w:val="00AD14E7"/>
    <w:rsid w:val="00AD1C7A"/>
    <w:rsid w:val="00AD1D92"/>
    <w:rsid w:val="00AD21C6"/>
    <w:rsid w:val="00AD283B"/>
    <w:rsid w:val="00AD355F"/>
    <w:rsid w:val="00AD51C8"/>
    <w:rsid w:val="00AD51CA"/>
    <w:rsid w:val="00AD5239"/>
    <w:rsid w:val="00AD5540"/>
    <w:rsid w:val="00AD5D4D"/>
    <w:rsid w:val="00AD6ADD"/>
    <w:rsid w:val="00AD6BD8"/>
    <w:rsid w:val="00AD75F5"/>
    <w:rsid w:val="00AD7D7E"/>
    <w:rsid w:val="00AE05A2"/>
    <w:rsid w:val="00AE0628"/>
    <w:rsid w:val="00AE242C"/>
    <w:rsid w:val="00AE2777"/>
    <w:rsid w:val="00AE3218"/>
    <w:rsid w:val="00AE52A8"/>
    <w:rsid w:val="00AE5ABA"/>
    <w:rsid w:val="00AE65EF"/>
    <w:rsid w:val="00AE6F17"/>
    <w:rsid w:val="00AE6F1E"/>
    <w:rsid w:val="00AF0887"/>
    <w:rsid w:val="00AF2EF0"/>
    <w:rsid w:val="00AF3EBD"/>
    <w:rsid w:val="00AF452E"/>
    <w:rsid w:val="00AF51E4"/>
    <w:rsid w:val="00AF5520"/>
    <w:rsid w:val="00AF55E4"/>
    <w:rsid w:val="00AF71D4"/>
    <w:rsid w:val="00AF723A"/>
    <w:rsid w:val="00AF756A"/>
    <w:rsid w:val="00AF7A01"/>
    <w:rsid w:val="00AF7ADC"/>
    <w:rsid w:val="00B00431"/>
    <w:rsid w:val="00B00BE3"/>
    <w:rsid w:val="00B010DD"/>
    <w:rsid w:val="00B01316"/>
    <w:rsid w:val="00B01520"/>
    <w:rsid w:val="00B0308D"/>
    <w:rsid w:val="00B0372C"/>
    <w:rsid w:val="00B04087"/>
    <w:rsid w:val="00B04404"/>
    <w:rsid w:val="00B04CA1"/>
    <w:rsid w:val="00B04DB3"/>
    <w:rsid w:val="00B05896"/>
    <w:rsid w:val="00B05D1D"/>
    <w:rsid w:val="00B06627"/>
    <w:rsid w:val="00B0687A"/>
    <w:rsid w:val="00B06960"/>
    <w:rsid w:val="00B072BD"/>
    <w:rsid w:val="00B07C02"/>
    <w:rsid w:val="00B07C21"/>
    <w:rsid w:val="00B07D65"/>
    <w:rsid w:val="00B07E82"/>
    <w:rsid w:val="00B07F84"/>
    <w:rsid w:val="00B1204B"/>
    <w:rsid w:val="00B12D4E"/>
    <w:rsid w:val="00B14D59"/>
    <w:rsid w:val="00B1557B"/>
    <w:rsid w:val="00B1580A"/>
    <w:rsid w:val="00B16257"/>
    <w:rsid w:val="00B16A55"/>
    <w:rsid w:val="00B16C00"/>
    <w:rsid w:val="00B17C29"/>
    <w:rsid w:val="00B17EC5"/>
    <w:rsid w:val="00B20816"/>
    <w:rsid w:val="00B210FA"/>
    <w:rsid w:val="00B21ECF"/>
    <w:rsid w:val="00B228A4"/>
    <w:rsid w:val="00B23126"/>
    <w:rsid w:val="00B23B2F"/>
    <w:rsid w:val="00B23B8B"/>
    <w:rsid w:val="00B24219"/>
    <w:rsid w:val="00B259E3"/>
    <w:rsid w:val="00B267B3"/>
    <w:rsid w:val="00B313F0"/>
    <w:rsid w:val="00B321A7"/>
    <w:rsid w:val="00B33C1A"/>
    <w:rsid w:val="00B345D2"/>
    <w:rsid w:val="00B36FCA"/>
    <w:rsid w:val="00B37B7E"/>
    <w:rsid w:val="00B37BEC"/>
    <w:rsid w:val="00B37CFF"/>
    <w:rsid w:val="00B40D8B"/>
    <w:rsid w:val="00B41224"/>
    <w:rsid w:val="00B4246E"/>
    <w:rsid w:val="00B43914"/>
    <w:rsid w:val="00B44DE7"/>
    <w:rsid w:val="00B4616E"/>
    <w:rsid w:val="00B466E3"/>
    <w:rsid w:val="00B467ED"/>
    <w:rsid w:val="00B46885"/>
    <w:rsid w:val="00B4759F"/>
    <w:rsid w:val="00B50AB5"/>
    <w:rsid w:val="00B51BA4"/>
    <w:rsid w:val="00B52194"/>
    <w:rsid w:val="00B528B6"/>
    <w:rsid w:val="00B52F42"/>
    <w:rsid w:val="00B53060"/>
    <w:rsid w:val="00B542FB"/>
    <w:rsid w:val="00B5445F"/>
    <w:rsid w:val="00B54993"/>
    <w:rsid w:val="00B553B0"/>
    <w:rsid w:val="00B55644"/>
    <w:rsid w:val="00B5589B"/>
    <w:rsid w:val="00B56540"/>
    <w:rsid w:val="00B60040"/>
    <w:rsid w:val="00B60A6F"/>
    <w:rsid w:val="00B60FDF"/>
    <w:rsid w:val="00B614FD"/>
    <w:rsid w:val="00B6161D"/>
    <w:rsid w:val="00B61DF4"/>
    <w:rsid w:val="00B6204E"/>
    <w:rsid w:val="00B62C30"/>
    <w:rsid w:val="00B62F76"/>
    <w:rsid w:val="00B6396A"/>
    <w:rsid w:val="00B63A90"/>
    <w:rsid w:val="00B64DA2"/>
    <w:rsid w:val="00B65261"/>
    <w:rsid w:val="00B65D92"/>
    <w:rsid w:val="00B6784E"/>
    <w:rsid w:val="00B67A64"/>
    <w:rsid w:val="00B71432"/>
    <w:rsid w:val="00B71E87"/>
    <w:rsid w:val="00B72116"/>
    <w:rsid w:val="00B739D1"/>
    <w:rsid w:val="00B73C93"/>
    <w:rsid w:val="00B743AE"/>
    <w:rsid w:val="00B74A88"/>
    <w:rsid w:val="00B75995"/>
    <w:rsid w:val="00B76F91"/>
    <w:rsid w:val="00B77149"/>
    <w:rsid w:val="00B77212"/>
    <w:rsid w:val="00B77A9C"/>
    <w:rsid w:val="00B80ED2"/>
    <w:rsid w:val="00B8138D"/>
    <w:rsid w:val="00B8307E"/>
    <w:rsid w:val="00B839AB"/>
    <w:rsid w:val="00B84167"/>
    <w:rsid w:val="00B8572C"/>
    <w:rsid w:val="00B86132"/>
    <w:rsid w:val="00B86557"/>
    <w:rsid w:val="00B86D8E"/>
    <w:rsid w:val="00B9029A"/>
    <w:rsid w:val="00B905FE"/>
    <w:rsid w:val="00B90994"/>
    <w:rsid w:val="00B91433"/>
    <w:rsid w:val="00B92835"/>
    <w:rsid w:val="00B93D9E"/>
    <w:rsid w:val="00B941D8"/>
    <w:rsid w:val="00BA098C"/>
    <w:rsid w:val="00BA0C42"/>
    <w:rsid w:val="00BA1295"/>
    <w:rsid w:val="00BA24E4"/>
    <w:rsid w:val="00BA39CD"/>
    <w:rsid w:val="00BA5F66"/>
    <w:rsid w:val="00BA6BA9"/>
    <w:rsid w:val="00BA7292"/>
    <w:rsid w:val="00BA7BF3"/>
    <w:rsid w:val="00BB0386"/>
    <w:rsid w:val="00BB0706"/>
    <w:rsid w:val="00BB0E04"/>
    <w:rsid w:val="00BB10EA"/>
    <w:rsid w:val="00BB186D"/>
    <w:rsid w:val="00BB2755"/>
    <w:rsid w:val="00BB2BB3"/>
    <w:rsid w:val="00BB35B2"/>
    <w:rsid w:val="00BB364E"/>
    <w:rsid w:val="00BB3DA7"/>
    <w:rsid w:val="00BB49BB"/>
    <w:rsid w:val="00BB4CF5"/>
    <w:rsid w:val="00BB6BCF"/>
    <w:rsid w:val="00BB770C"/>
    <w:rsid w:val="00BB7ADA"/>
    <w:rsid w:val="00BB7E03"/>
    <w:rsid w:val="00BC119E"/>
    <w:rsid w:val="00BC1541"/>
    <w:rsid w:val="00BC1A69"/>
    <w:rsid w:val="00BC1DAA"/>
    <w:rsid w:val="00BC22FA"/>
    <w:rsid w:val="00BC3367"/>
    <w:rsid w:val="00BC3EC5"/>
    <w:rsid w:val="00BC5764"/>
    <w:rsid w:val="00BC58AB"/>
    <w:rsid w:val="00BC62AA"/>
    <w:rsid w:val="00BC6B17"/>
    <w:rsid w:val="00BC6B98"/>
    <w:rsid w:val="00BC7023"/>
    <w:rsid w:val="00BC7396"/>
    <w:rsid w:val="00BD0F1B"/>
    <w:rsid w:val="00BD16CA"/>
    <w:rsid w:val="00BD1796"/>
    <w:rsid w:val="00BD1C84"/>
    <w:rsid w:val="00BD1E3D"/>
    <w:rsid w:val="00BD2553"/>
    <w:rsid w:val="00BD27F1"/>
    <w:rsid w:val="00BD2F33"/>
    <w:rsid w:val="00BD416A"/>
    <w:rsid w:val="00BD4AA5"/>
    <w:rsid w:val="00BD50DC"/>
    <w:rsid w:val="00BD52B0"/>
    <w:rsid w:val="00BD55B4"/>
    <w:rsid w:val="00BD58CB"/>
    <w:rsid w:val="00BD5AB6"/>
    <w:rsid w:val="00BD5BB3"/>
    <w:rsid w:val="00BD5E4F"/>
    <w:rsid w:val="00BD61BE"/>
    <w:rsid w:val="00BD61E1"/>
    <w:rsid w:val="00BD6C47"/>
    <w:rsid w:val="00BE007F"/>
    <w:rsid w:val="00BE2375"/>
    <w:rsid w:val="00BE3311"/>
    <w:rsid w:val="00BE3D1D"/>
    <w:rsid w:val="00BE4C4F"/>
    <w:rsid w:val="00BE4F5F"/>
    <w:rsid w:val="00BE7274"/>
    <w:rsid w:val="00BF044D"/>
    <w:rsid w:val="00BF10E4"/>
    <w:rsid w:val="00BF19D6"/>
    <w:rsid w:val="00BF1C5C"/>
    <w:rsid w:val="00BF2789"/>
    <w:rsid w:val="00BF2ABF"/>
    <w:rsid w:val="00BF3BD4"/>
    <w:rsid w:val="00BF60D3"/>
    <w:rsid w:val="00BF6BA5"/>
    <w:rsid w:val="00C000D1"/>
    <w:rsid w:val="00C00D36"/>
    <w:rsid w:val="00C015D3"/>
    <w:rsid w:val="00C01C4D"/>
    <w:rsid w:val="00C03276"/>
    <w:rsid w:val="00C05470"/>
    <w:rsid w:val="00C05CEF"/>
    <w:rsid w:val="00C07F82"/>
    <w:rsid w:val="00C10346"/>
    <w:rsid w:val="00C10AAD"/>
    <w:rsid w:val="00C10AF3"/>
    <w:rsid w:val="00C10FDC"/>
    <w:rsid w:val="00C10FF0"/>
    <w:rsid w:val="00C11126"/>
    <w:rsid w:val="00C11884"/>
    <w:rsid w:val="00C11DF1"/>
    <w:rsid w:val="00C123C4"/>
    <w:rsid w:val="00C1263A"/>
    <w:rsid w:val="00C12BB7"/>
    <w:rsid w:val="00C12C55"/>
    <w:rsid w:val="00C13145"/>
    <w:rsid w:val="00C1425F"/>
    <w:rsid w:val="00C14532"/>
    <w:rsid w:val="00C14543"/>
    <w:rsid w:val="00C172B4"/>
    <w:rsid w:val="00C17CAC"/>
    <w:rsid w:val="00C17D8B"/>
    <w:rsid w:val="00C2046A"/>
    <w:rsid w:val="00C2059D"/>
    <w:rsid w:val="00C205AC"/>
    <w:rsid w:val="00C20632"/>
    <w:rsid w:val="00C20765"/>
    <w:rsid w:val="00C209F6"/>
    <w:rsid w:val="00C22010"/>
    <w:rsid w:val="00C227B8"/>
    <w:rsid w:val="00C231F6"/>
    <w:rsid w:val="00C24594"/>
    <w:rsid w:val="00C2484A"/>
    <w:rsid w:val="00C24982"/>
    <w:rsid w:val="00C24B3A"/>
    <w:rsid w:val="00C24CA5"/>
    <w:rsid w:val="00C263EF"/>
    <w:rsid w:val="00C276DA"/>
    <w:rsid w:val="00C30EE0"/>
    <w:rsid w:val="00C3202F"/>
    <w:rsid w:val="00C32B4D"/>
    <w:rsid w:val="00C3316D"/>
    <w:rsid w:val="00C34130"/>
    <w:rsid w:val="00C34F24"/>
    <w:rsid w:val="00C352E4"/>
    <w:rsid w:val="00C360B2"/>
    <w:rsid w:val="00C368D1"/>
    <w:rsid w:val="00C40AEF"/>
    <w:rsid w:val="00C41003"/>
    <w:rsid w:val="00C41A7A"/>
    <w:rsid w:val="00C42A50"/>
    <w:rsid w:val="00C42F0A"/>
    <w:rsid w:val="00C43C37"/>
    <w:rsid w:val="00C44061"/>
    <w:rsid w:val="00C4435D"/>
    <w:rsid w:val="00C4448E"/>
    <w:rsid w:val="00C46B79"/>
    <w:rsid w:val="00C46CC2"/>
    <w:rsid w:val="00C47017"/>
    <w:rsid w:val="00C508CD"/>
    <w:rsid w:val="00C51D01"/>
    <w:rsid w:val="00C52242"/>
    <w:rsid w:val="00C5236F"/>
    <w:rsid w:val="00C52629"/>
    <w:rsid w:val="00C53519"/>
    <w:rsid w:val="00C54AF9"/>
    <w:rsid w:val="00C5514B"/>
    <w:rsid w:val="00C55F48"/>
    <w:rsid w:val="00C565C0"/>
    <w:rsid w:val="00C574D6"/>
    <w:rsid w:val="00C60693"/>
    <w:rsid w:val="00C6112A"/>
    <w:rsid w:val="00C61254"/>
    <w:rsid w:val="00C61320"/>
    <w:rsid w:val="00C613CA"/>
    <w:rsid w:val="00C61675"/>
    <w:rsid w:val="00C61935"/>
    <w:rsid w:val="00C6308E"/>
    <w:rsid w:val="00C631D9"/>
    <w:rsid w:val="00C63782"/>
    <w:rsid w:val="00C65DBA"/>
    <w:rsid w:val="00C70995"/>
    <w:rsid w:val="00C71C21"/>
    <w:rsid w:val="00C72756"/>
    <w:rsid w:val="00C72D6C"/>
    <w:rsid w:val="00C73842"/>
    <w:rsid w:val="00C74308"/>
    <w:rsid w:val="00C74C58"/>
    <w:rsid w:val="00C752F7"/>
    <w:rsid w:val="00C7647E"/>
    <w:rsid w:val="00C76D63"/>
    <w:rsid w:val="00C76E94"/>
    <w:rsid w:val="00C7703D"/>
    <w:rsid w:val="00C800BF"/>
    <w:rsid w:val="00C801D4"/>
    <w:rsid w:val="00C80200"/>
    <w:rsid w:val="00C80C8E"/>
    <w:rsid w:val="00C81B9D"/>
    <w:rsid w:val="00C82F1F"/>
    <w:rsid w:val="00C838E2"/>
    <w:rsid w:val="00C83B89"/>
    <w:rsid w:val="00C8475B"/>
    <w:rsid w:val="00C84B3B"/>
    <w:rsid w:val="00C84BEE"/>
    <w:rsid w:val="00C84DB7"/>
    <w:rsid w:val="00C8551E"/>
    <w:rsid w:val="00C855C9"/>
    <w:rsid w:val="00C85987"/>
    <w:rsid w:val="00C85DED"/>
    <w:rsid w:val="00C862C9"/>
    <w:rsid w:val="00C86D88"/>
    <w:rsid w:val="00C86EA7"/>
    <w:rsid w:val="00C871B2"/>
    <w:rsid w:val="00C875C5"/>
    <w:rsid w:val="00C90BF6"/>
    <w:rsid w:val="00C92082"/>
    <w:rsid w:val="00C92733"/>
    <w:rsid w:val="00C93A93"/>
    <w:rsid w:val="00C93E4F"/>
    <w:rsid w:val="00C944F6"/>
    <w:rsid w:val="00C947A2"/>
    <w:rsid w:val="00C962BE"/>
    <w:rsid w:val="00C967CA"/>
    <w:rsid w:val="00C96E3C"/>
    <w:rsid w:val="00CA10F1"/>
    <w:rsid w:val="00CA2476"/>
    <w:rsid w:val="00CA2D9E"/>
    <w:rsid w:val="00CA2E2D"/>
    <w:rsid w:val="00CA3AB3"/>
    <w:rsid w:val="00CA6993"/>
    <w:rsid w:val="00CB0826"/>
    <w:rsid w:val="00CB0DC6"/>
    <w:rsid w:val="00CB1459"/>
    <w:rsid w:val="00CB1735"/>
    <w:rsid w:val="00CB1990"/>
    <w:rsid w:val="00CB1A4D"/>
    <w:rsid w:val="00CB3073"/>
    <w:rsid w:val="00CB399F"/>
    <w:rsid w:val="00CB3DAD"/>
    <w:rsid w:val="00CB3F2F"/>
    <w:rsid w:val="00CB470F"/>
    <w:rsid w:val="00CB566B"/>
    <w:rsid w:val="00CB588B"/>
    <w:rsid w:val="00CB7460"/>
    <w:rsid w:val="00CB7A61"/>
    <w:rsid w:val="00CC0077"/>
    <w:rsid w:val="00CC0DCE"/>
    <w:rsid w:val="00CC17DA"/>
    <w:rsid w:val="00CC239A"/>
    <w:rsid w:val="00CC5041"/>
    <w:rsid w:val="00CC7033"/>
    <w:rsid w:val="00CC7314"/>
    <w:rsid w:val="00CC74C5"/>
    <w:rsid w:val="00CC79C2"/>
    <w:rsid w:val="00CC7A3F"/>
    <w:rsid w:val="00CC7B2B"/>
    <w:rsid w:val="00CC7B9C"/>
    <w:rsid w:val="00CC7F72"/>
    <w:rsid w:val="00CD1C9A"/>
    <w:rsid w:val="00CD1D77"/>
    <w:rsid w:val="00CD296E"/>
    <w:rsid w:val="00CD2DB1"/>
    <w:rsid w:val="00CD3141"/>
    <w:rsid w:val="00CD6183"/>
    <w:rsid w:val="00CD6B25"/>
    <w:rsid w:val="00CD6BFE"/>
    <w:rsid w:val="00CD6D32"/>
    <w:rsid w:val="00CD6EFF"/>
    <w:rsid w:val="00CD7005"/>
    <w:rsid w:val="00CD75AD"/>
    <w:rsid w:val="00CD7F23"/>
    <w:rsid w:val="00CDD870"/>
    <w:rsid w:val="00CE0876"/>
    <w:rsid w:val="00CE102F"/>
    <w:rsid w:val="00CE32FE"/>
    <w:rsid w:val="00CE3A29"/>
    <w:rsid w:val="00CE6CC3"/>
    <w:rsid w:val="00CE707B"/>
    <w:rsid w:val="00CE71C0"/>
    <w:rsid w:val="00CE7204"/>
    <w:rsid w:val="00CE79FE"/>
    <w:rsid w:val="00CF029E"/>
    <w:rsid w:val="00CF0DB4"/>
    <w:rsid w:val="00CF0EA1"/>
    <w:rsid w:val="00CF0ECF"/>
    <w:rsid w:val="00CF0FAF"/>
    <w:rsid w:val="00CF275C"/>
    <w:rsid w:val="00CF288F"/>
    <w:rsid w:val="00CF2979"/>
    <w:rsid w:val="00CF2E6F"/>
    <w:rsid w:val="00CF2EE4"/>
    <w:rsid w:val="00CF3015"/>
    <w:rsid w:val="00CF42ED"/>
    <w:rsid w:val="00CF4990"/>
    <w:rsid w:val="00CF50C7"/>
    <w:rsid w:val="00CF5584"/>
    <w:rsid w:val="00CF5B50"/>
    <w:rsid w:val="00CF5C7A"/>
    <w:rsid w:val="00CF649B"/>
    <w:rsid w:val="00CF6627"/>
    <w:rsid w:val="00CF785A"/>
    <w:rsid w:val="00CF78BE"/>
    <w:rsid w:val="00D00166"/>
    <w:rsid w:val="00D00563"/>
    <w:rsid w:val="00D00904"/>
    <w:rsid w:val="00D01117"/>
    <w:rsid w:val="00D01B75"/>
    <w:rsid w:val="00D01E2D"/>
    <w:rsid w:val="00D030C6"/>
    <w:rsid w:val="00D036C3"/>
    <w:rsid w:val="00D03F0C"/>
    <w:rsid w:val="00D0421F"/>
    <w:rsid w:val="00D04964"/>
    <w:rsid w:val="00D04998"/>
    <w:rsid w:val="00D04E45"/>
    <w:rsid w:val="00D04F34"/>
    <w:rsid w:val="00D058BC"/>
    <w:rsid w:val="00D06C6E"/>
    <w:rsid w:val="00D105AB"/>
    <w:rsid w:val="00D1217C"/>
    <w:rsid w:val="00D12F96"/>
    <w:rsid w:val="00D135A2"/>
    <w:rsid w:val="00D136E2"/>
    <w:rsid w:val="00D149FF"/>
    <w:rsid w:val="00D14C08"/>
    <w:rsid w:val="00D160A0"/>
    <w:rsid w:val="00D160BB"/>
    <w:rsid w:val="00D17BCD"/>
    <w:rsid w:val="00D17D4C"/>
    <w:rsid w:val="00D20527"/>
    <w:rsid w:val="00D21343"/>
    <w:rsid w:val="00D22084"/>
    <w:rsid w:val="00D22EC7"/>
    <w:rsid w:val="00D2437C"/>
    <w:rsid w:val="00D24F41"/>
    <w:rsid w:val="00D2528D"/>
    <w:rsid w:val="00D3018E"/>
    <w:rsid w:val="00D30B98"/>
    <w:rsid w:val="00D32A2F"/>
    <w:rsid w:val="00D3437F"/>
    <w:rsid w:val="00D35F16"/>
    <w:rsid w:val="00D36C4B"/>
    <w:rsid w:val="00D413A2"/>
    <w:rsid w:val="00D4322E"/>
    <w:rsid w:val="00D445C3"/>
    <w:rsid w:val="00D4594B"/>
    <w:rsid w:val="00D46A3C"/>
    <w:rsid w:val="00D47B13"/>
    <w:rsid w:val="00D51450"/>
    <w:rsid w:val="00D51B43"/>
    <w:rsid w:val="00D51C03"/>
    <w:rsid w:val="00D5347A"/>
    <w:rsid w:val="00D54A69"/>
    <w:rsid w:val="00D54B84"/>
    <w:rsid w:val="00D54E67"/>
    <w:rsid w:val="00D555A6"/>
    <w:rsid w:val="00D55717"/>
    <w:rsid w:val="00D55F8F"/>
    <w:rsid w:val="00D567DB"/>
    <w:rsid w:val="00D60A0E"/>
    <w:rsid w:val="00D6291B"/>
    <w:rsid w:val="00D62C2E"/>
    <w:rsid w:val="00D62FF5"/>
    <w:rsid w:val="00D63D06"/>
    <w:rsid w:val="00D659F5"/>
    <w:rsid w:val="00D662E6"/>
    <w:rsid w:val="00D66351"/>
    <w:rsid w:val="00D67EAA"/>
    <w:rsid w:val="00D72475"/>
    <w:rsid w:val="00D72E93"/>
    <w:rsid w:val="00D73417"/>
    <w:rsid w:val="00D73A8E"/>
    <w:rsid w:val="00D756C2"/>
    <w:rsid w:val="00D75DEF"/>
    <w:rsid w:val="00D768D3"/>
    <w:rsid w:val="00D76B8B"/>
    <w:rsid w:val="00D76D3D"/>
    <w:rsid w:val="00D7763A"/>
    <w:rsid w:val="00D77A68"/>
    <w:rsid w:val="00D77D21"/>
    <w:rsid w:val="00D82AE9"/>
    <w:rsid w:val="00D82C2E"/>
    <w:rsid w:val="00D82D93"/>
    <w:rsid w:val="00D8395D"/>
    <w:rsid w:val="00D83BA5"/>
    <w:rsid w:val="00D83E25"/>
    <w:rsid w:val="00D85B4E"/>
    <w:rsid w:val="00D85BB9"/>
    <w:rsid w:val="00D8608A"/>
    <w:rsid w:val="00D862AC"/>
    <w:rsid w:val="00D862B9"/>
    <w:rsid w:val="00D870B1"/>
    <w:rsid w:val="00D90866"/>
    <w:rsid w:val="00D91104"/>
    <w:rsid w:val="00D911DC"/>
    <w:rsid w:val="00D918FF"/>
    <w:rsid w:val="00D91982"/>
    <w:rsid w:val="00D9227D"/>
    <w:rsid w:val="00D93169"/>
    <w:rsid w:val="00D9595A"/>
    <w:rsid w:val="00D96EDB"/>
    <w:rsid w:val="00D97A9B"/>
    <w:rsid w:val="00DA0257"/>
    <w:rsid w:val="00DA025D"/>
    <w:rsid w:val="00DA04B6"/>
    <w:rsid w:val="00DA0C00"/>
    <w:rsid w:val="00DA0C56"/>
    <w:rsid w:val="00DA370D"/>
    <w:rsid w:val="00DA6883"/>
    <w:rsid w:val="00DA7046"/>
    <w:rsid w:val="00DA79C8"/>
    <w:rsid w:val="00DA7BFA"/>
    <w:rsid w:val="00DB138A"/>
    <w:rsid w:val="00DB1BFF"/>
    <w:rsid w:val="00DB254A"/>
    <w:rsid w:val="00DB2A69"/>
    <w:rsid w:val="00DB34BD"/>
    <w:rsid w:val="00DB5184"/>
    <w:rsid w:val="00DB631C"/>
    <w:rsid w:val="00DB64EE"/>
    <w:rsid w:val="00DC0088"/>
    <w:rsid w:val="00DC12E0"/>
    <w:rsid w:val="00DC2495"/>
    <w:rsid w:val="00DC3C2B"/>
    <w:rsid w:val="00DC5238"/>
    <w:rsid w:val="00DC6AFF"/>
    <w:rsid w:val="00DC6B06"/>
    <w:rsid w:val="00DC6B46"/>
    <w:rsid w:val="00DC79D5"/>
    <w:rsid w:val="00DD00B2"/>
    <w:rsid w:val="00DD030A"/>
    <w:rsid w:val="00DD052B"/>
    <w:rsid w:val="00DD08A6"/>
    <w:rsid w:val="00DD2A53"/>
    <w:rsid w:val="00DD3391"/>
    <w:rsid w:val="00DD4100"/>
    <w:rsid w:val="00DD4855"/>
    <w:rsid w:val="00DD4EBC"/>
    <w:rsid w:val="00DD5128"/>
    <w:rsid w:val="00DD5724"/>
    <w:rsid w:val="00DD5AAE"/>
    <w:rsid w:val="00DD6F44"/>
    <w:rsid w:val="00DE07C6"/>
    <w:rsid w:val="00DE0830"/>
    <w:rsid w:val="00DE137F"/>
    <w:rsid w:val="00DE19A0"/>
    <w:rsid w:val="00DE1F0E"/>
    <w:rsid w:val="00DE27DF"/>
    <w:rsid w:val="00DE3112"/>
    <w:rsid w:val="00DE329F"/>
    <w:rsid w:val="00DE32AC"/>
    <w:rsid w:val="00DE691C"/>
    <w:rsid w:val="00DE7475"/>
    <w:rsid w:val="00DE75CB"/>
    <w:rsid w:val="00DE76DB"/>
    <w:rsid w:val="00DF06B4"/>
    <w:rsid w:val="00DF0E7D"/>
    <w:rsid w:val="00DF12B0"/>
    <w:rsid w:val="00DF1580"/>
    <w:rsid w:val="00DF16B4"/>
    <w:rsid w:val="00DF1B19"/>
    <w:rsid w:val="00DF1CB4"/>
    <w:rsid w:val="00DF2018"/>
    <w:rsid w:val="00DF201A"/>
    <w:rsid w:val="00DF5D71"/>
    <w:rsid w:val="00DF5E8D"/>
    <w:rsid w:val="00DF6471"/>
    <w:rsid w:val="00DF759D"/>
    <w:rsid w:val="00DF767B"/>
    <w:rsid w:val="00DF7995"/>
    <w:rsid w:val="00E005CC"/>
    <w:rsid w:val="00E005CD"/>
    <w:rsid w:val="00E00E7D"/>
    <w:rsid w:val="00E01D6E"/>
    <w:rsid w:val="00E01F3D"/>
    <w:rsid w:val="00E0562A"/>
    <w:rsid w:val="00E06403"/>
    <w:rsid w:val="00E072FA"/>
    <w:rsid w:val="00E07433"/>
    <w:rsid w:val="00E07C59"/>
    <w:rsid w:val="00E112CB"/>
    <w:rsid w:val="00E1152F"/>
    <w:rsid w:val="00E13625"/>
    <w:rsid w:val="00E13ADE"/>
    <w:rsid w:val="00E14043"/>
    <w:rsid w:val="00E147E9"/>
    <w:rsid w:val="00E161A1"/>
    <w:rsid w:val="00E1643D"/>
    <w:rsid w:val="00E16E04"/>
    <w:rsid w:val="00E20014"/>
    <w:rsid w:val="00E218FE"/>
    <w:rsid w:val="00E222ED"/>
    <w:rsid w:val="00E23AB1"/>
    <w:rsid w:val="00E23CFC"/>
    <w:rsid w:val="00E24727"/>
    <w:rsid w:val="00E25148"/>
    <w:rsid w:val="00E25EBF"/>
    <w:rsid w:val="00E26AC3"/>
    <w:rsid w:val="00E2753B"/>
    <w:rsid w:val="00E27D9B"/>
    <w:rsid w:val="00E3002E"/>
    <w:rsid w:val="00E3006F"/>
    <w:rsid w:val="00E303E9"/>
    <w:rsid w:val="00E30CAD"/>
    <w:rsid w:val="00E3123C"/>
    <w:rsid w:val="00E33171"/>
    <w:rsid w:val="00E33D61"/>
    <w:rsid w:val="00E346BA"/>
    <w:rsid w:val="00E35F58"/>
    <w:rsid w:val="00E363DE"/>
    <w:rsid w:val="00E36C29"/>
    <w:rsid w:val="00E414F8"/>
    <w:rsid w:val="00E435B4"/>
    <w:rsid w:val="00E44D24"/>
    <w:rsid w:val="00E44D99"/>
    <w:rsid w:val="00E45505"/>
    <w:rsid w:val="00E455C4"/>
    <w:rsid w:val="00E45B8D"/>
    <w:rsid w:val="00E45E15"/>
    <w:rsid w:val="00E462CB"/>
    <w:rsid w:val="00E47B90"/>
    <w:rsid w:val="00E51408"/>
    <w:rsid w:val="00E51762"/>
    <w:rsid w:val="00E51B1C"/>
    <w:rsid w:val="00E528CF"/>
    <w:rsid w:val="00E52CD6"/>
    <w:rsid w:val="00E532B6"/>
    <w:rsid w:val="00E532DA"/>
    <w:rsid w:val="00E536FC"/>
    <w:rsid w:val="00E5374A"/>
    <w:rsid w:val="00E541A0"/>
    <w:rsid w:val="00E552E9"/>
    <w:rsid w:val="00E55B10"/>
    <w:rsid w:val="00E56B1F"/>
    <w:rsid w:val="00E57087"/>
    <w:rsid w:val="00E571D8"/>
    <w:rsid w:val="00E57EF7"/>
    <w:rsid w:val="00E60D66"/>
    <w:rsid w:val="00E612E1"/>
    <w:rsid w:val="00E635BE"/>
    <w:rsid w:val="00E639AD"/>
    <w:rsid w:val="00E6499C"/>
    <w:rsid w:val="00E64DFF"/>
    <w:rsid w:val="00E657FF"/>
    <w:rsid w:val="00E6630C"/>
    <w:rsid w:val="00E669E0"/>
    <w:rsid w:val="00E6776B"/>
    <w:rsid w:val="00E67B30"/>
    <w:rsid w:val="00E709A2"/>
    <w:rsid w:val="00E70D19"/>
    <w:rsid w:val="00E70E0F"/>
    <w:rsid w:val="00E7134B"/>
    <w:rsid w:val="00E7170E"/>
    <w:rsid w:val="00E71814"/>
    <w:rsid w:val="00E71F7A"/>
    <w:rsid w:val="00E72080"/>
    <w:rsid w:val="00E7339F"/>
    <w:rsid w:val="00E74767"/>
    <w:rsid w:val="00E750BE"/>
    <w:rsid w:val="00E761CE"/>
    <w:rsid w:val="00E76659"/>
    <w:rsid w:val="00E76729"/>
    <w:rsid w:val="00E800A1"/>
    <w:rsid w:val="00E804B7"/>
    <w:rsid w:val="00E8080F"/>
    <w:rsid w:val="00E8170C"/>
    <w:rsid w:val="00E81DEC"/>
    <w:rsid w:val="00E8318D"/>
    <w:rsid w:val="00E83A08"/>
    <w:rsid w:val="00E84BCA"/>
    <w:rsid w:val="00E85665"/>
    <w:rsid w:val="00E856E8"/>
    <w:rsid w:val="00E85AA0"/>
    <w:rsid w:val="00E86A56"/>
    <w:rsid w:val="00E8716B"/>
    <w:rsid w:val="00E873AC"/>
    <w:rsid w:val="00E87C3E"/>
    <w:rsid w:val="00E9021C"/>
    <w:rsid w:val="00E90443"/>
    <w:rsid w:val="00E9048E"/>
    <w:rsid w:val="00E90E24"/>
    <w:rsid w:val="00E924C4"/>
    <w:rsid w:val="00E92518"/>
    <w:rsid w:val="00E9329A"/>
    <w:rsid w:val="00E94D50"/>
    <w:rsid w:val="00E96CED"/>
    <w:rsid w:val="00E9719D"/>
    <w:rsid w:val="00E976E0"/>
    <w:rsid w:val="00E97848"/>
    <w:rsid w:val="00EA12B0"/>
    <w:rsid w:val="00EA136A"/>
    <w:rsid w:val="00EA1785"/>
    <w:rsid w:val="00EA2711"/>
    <w:rsid w:val="00EA2C6C"/>
    <w:rsid w:val="00EA326A"/>
    <w:rsid w:val="00EA37B6"/>
    <w:rsid w:val="00EA5F1D"/>
    <w:rsid w:val="00EA6427"/>
    <w:rsid w:val="00EA6E1A"/>
    <w:rsid w:val="00EA7219"/>
    <w:rsid w:val="00EA72C7"/>
    <w:rsid w:val="00EA7A3A"/>
    <w:rsid w:val="00EA7CAE"/>
    <w:rsid w:val="00EA7F2D"/>
    <w:rsid w:val="00EB0BB0"/>
    <w:rsid w:val="00EB1319"/>
    <w:rsid w:val="00EB3C3F"/>
    <w:rsid w:val="00EB4172"/>
    <w:rsid w:val="00EB42D2"/>
    <w:rsid w:val="00EB54B7"/>
    <w:rsid w:val="00EB5D42"/>
    <w:rsid w:val="00EB7DF7"/>
    <w:rsid w:val="00EC0780"/>
    <w:rsid w:val="00EC0EC5"/>
    <w:rsid w:val="00EC0FEA"/>
    <w:rsid w:val="00EC2640"/>
    <w:rsid w:val="00EC29B0"/>
    <w:rsid w:val="00EC3009"/>
    <w:rsid w:val="00EC3299"/>
    <w:rsid w:val="00EC45B7"/>
    <w:rsid w:val="00EC485E"/>
    <w:rsid w:val="00EC57EC"/>
    <w:rsid w:val="00EC5C06"/>
    <w:rsid w:val="00EC669B"/>
    <w:rsid w:val="00EC673C"/>
    <w:rsid w:val="00EC6FD3"/>
    <w:rsid w:val="00EC71F3"/>
    <w:rsid w:val="00EC75C1"/>
    <w:rsid w:val="00ED0FC7"/>
    <w:rsid w:val="00ED16D9"/>
    <w:rsid w:val="00ED3E2C"/>
    <w:rsid w:val="00ED4495"/>
    <w:rsid w:val="00ED4ACA"/>
    <w:rsid w:val="00ED4CDE"/>
    <w:rsid w:val="00ED4D5A"/>
    <w:rsid w:val="00ED5E46"/>
    <w:rsid w:val="00ED774F"/>
    <w:rsid w:val="00EE0A84"/>
    <w:rsid w:val="00EE12CD"/>
    <w:rsid w:val="00EE1948"/>
    <w:rsid w:val="00EE1D44"/>
    <w:rsid w:val="00EE28B0"/>
    <w:rsid w:val="00EE314A"/>
    <w:rsid w:val="00EE7136"/>
    <w:rsid w:val="00EE744F"/>
    <w:rsid w:val="00EF01E6"/>
    <w:rsid w:val="00EF1B0A"/>
    <w:rsid w:val="00EF1B0F"/>
    <w:rsid w:val="00EF2D8E"/>
    <w:rsid w:val="00EF369B"/>
    <w:rsid w:val="00EF36B5"/>
    <w:rsid w:val="00EF3A5F"/>
    <w:rsid w:val="00EF3E91"/>
    <w:rsid w:val="00EF41CD"/>
    <w:rsid w:val="00EF5817"/>
    <w:rsid w:val="00EF7165"/>
    <w:rsid w:val="00EF7E85"/>
    <w:rsid w:val="00F002EB"/>
    <w:rsid w:val="00F0039F"/>
    <w:rsid w:val="00F00734"/>
    <w:rsid w:val="00F010FF"/>
    <w:rsid w:val="00F015DB"/>
    <w:rsid w:val="00F01BFE"/>
    <w:rsid w:val="00F03BB6"/>
    <w:rsid w:val="00F0452F"/>
    <w:rsid w:val="00F0487F"/>
    <w:rsid w:val="00F04D93"/>
    <w:rsid w:val="00F0521B"/>
    <w:rsid w:val="00F057C8"/>
    <w:rsid w:val="00F07D39"/>
    <w:rsid w:val="00F1044D"/>
    <w:rsid w:val="00F1109C"/>
    <w:rsid w:val="00F1132B"/>
    <w:rsid w:val="00F12133"/>
    <w:rsid w:val="00F12213"/>
    <w:rsid w:val="00F12423"/>
    <w:rsid w:val="00F12828"/>
    <w:rsid w:val="00F12E87"/>
    <w:rsid w:val="00F12F09"/>
    <w:rsid w:val="00F13B66"/>
    <w:rsid w:val="00F143C1"/>
    <w:rsid w:val="00F156B3"/>
    <w:rsid w:val="00F15EE3"/>
    <w:rsid w:val="00F16E90"/>
    <w:rsid w:val="00F17B2D"/>
    <w:rsid w:val="00F20D3A"/>
    <w:rsid w:val="00F219C2"/>
    <w:rsid w:val="00F221D2"/>
    <w:rsid w:val="00F24C4B"/>
    <w:rsid w:val="00F2626F"/>
    <w:rsid w:val="00F26A52"/>
    <w:rsid w:val="00F279A0"/>
    <w:rsid w:val="00F30024"/>
    <w:rsid w:val="00F3009C"/>
    <w:rsid w:val="00F308C7"/>
    <w:rsid w:val="00F30A47"/>
    <w:rsid w:val="00F30DF1"/>
    <w:rsid w:val="00F30F1C"/>
    <w:rsid w:val="00F31142"/>
    <w:rsid w:val="00F32114"/>
    <w:rsid w:val="00F3291C"/>
    <w:rsid w:val="00F336BB"/>
    <w:rsid w:val="00F33BC9"/>
    <w:rsid w:val="00F33C04"/>
    <w:rsid w:val="00F36C76"/>
    <w:rsid w:val="00F37175"/>
    <w:rsid w:val="00F4127A"/>
    <w:rsid w:val="00F43237"/>
    <w:rsid w:val="00F43777"/>
    <w:rsid w:val="00F44566"/>
    <w:rsid w:val="00F447C9"/>
    <w:rsid w:val="00F44FD5"/>
    <w:rsid w:val="00F45ED4"/>
    <w:rsid w:val="00F473AC"/>
    <w:rsid w:val="00F475A7"/>
    <w:rsid w:val="00F51098"/>
    <w:rsid w:val="00F51813"/>
    <w:rsid w:val="00F52875"/>
    <w:rsid w:val="00F52C35"/>
    <w:rsid w:val="00F540BE"/>
    <w:rsid w:val="00F541D7"/>
    <w:rsid w:val="00F543A0"/>
    <w:rsid w:val="00F54D3A"/>
    <w:rsid w:val="00F56964"/>
    <w:rsid w:val="00F5777D"/>
    <w:rsid w:val="00F6126D"/>
    <w:rsid w:val="00F62510"/>
    <w:rsid w:val="00F63264"/>
    <w:rsid w:val="00F6420B"/>
    <w:rsid w:val="00F647F7"/>
    <w:rsid w:val="00F65301"/>
    <w:rsid w:val="00F6533D"/>
    <w:rsid w:val="00F65543"/>
    <w:rsid w:val="00F65E4C"/>
    <w:rsid w:val="00F66229"/>
    <w:rsid w:val="00F664D4"/>
    <w:rsid w:val="00F66A3F"/>
    <w:rsid w:val="00F6728C"/>
    <w:rsid w:val="00F70B3D"/>
    <w:rsid w:val="00F70B48"/>
    <w:rsid w:val="00F70B5D"/>
    <w:rsid w:val="00F70D2D"/>
    <w:rsid w:val="00F724B0"/>
    <w:rsid w:val="00F72A10"/>
    <w:rsid w:val="00F7312D"/>
    <w:rsid w:val="00F73EB5"/>
    <w:rsid w:val="00F743CE"/>
    <w:rsid w:val="00F75027"/>
    <w:rsid w:val="00F7545B"/>
    <w:rsid w:val="00F75BC7"/>
    <w:rsid w:val="00F75FA7"/>
    <w:rsid w:val="00F76595"/>
    <w:rsid w:val="00F804EC"/>
    <w:rsid w:val="00F8190E"/>
    <w:rsid w:val="00F8228F"/>
    <w:rsid w:val="00F82A24"/>
    <w:rsid w:val="00F83595"/>
    <w:rsid w:val="00F83C56"/>
    <w:rsid w:val="00F84BB8"/>
    <w:rsid w:val="00F84D9F"/>
    <w:rsid w:val="00F854C9"/>
    <w:rsid w:val="00F854FD"/>
    <w:rsid w:val="00F85C18"/>
    <w:rsid w:val="00F86D6C"/>
    <w:rsid w:val="00F873B9"/>
    <w:rsid w:val="00F90511"/>
    <w:rsid w:val="00F90C7E"/>
    <w:rsid w:val="00F916EC"/>
    <w:rsid w:val="00F920E6"/>
    <w:rsid w:val="00F92BDD"/>
    <w:rsid w:val="00F93075"/>
    <w:rsid w:val="00F93264"/>
    <w:rsid w:val="00F934A8"/>
    <w:rsid w:val="00F93F5B"/>
    <w:rsid w:val="00F9493F"/>
    <w:rsid w:val="00F94EC6"/>
    <w:rsid w:val="00F95556"/>
    <w:rsid w:val="00F9580B"/>
    <w:rsid w:val="00F96359"/>
    <w:rsid w:val="00F9657D"/>
    <w:rsid w:val="00F96F77"/>
    <w:rsid w:val="00F97DB3"/>
    <w:rsid w:val="00F97DFF"/>
    <w:rsid w:val="00FA0305"/>
    <w:rsid w:val="00FA04CE"/>
    <w:rsid w:val="00FA0A65"/>
    <w:rsid w:val="00FA3376"/>
    <w:rsid w:val="00FA47D3"/>
    <w:rsid w:val="00FA4973"/>
    <w:rsid w:val="00FA5321"/>
    <w:rsid w:val="00FA5711"/>
    <w:rsid w:val="00FA575D"/>
    <w:rsid w:val="00FA62E3"/>
    <w:rsid w:val="00FA639B"/>
    <w:rsid w:val="00FA6A51"/>
    <w:rsid w:val="00FA74A8"/>
    <w:rsid w:val="00FA79C0"/>
    <w:rsid w:val="00FB06D6"/>
    <w:rsid w:val="00FB1010"/>
    <w:rsid w:val="00FB1069"/>
    <w:rsid w:val="00FB2657"/>
    <w:rsid w:val="00FB4448"/>
    <w:rsid w:val="00FB4597"/>
    <w:rsid w:val="00FB46A4"/>
    <w:rsid w:val="00FB4E2D"/>
    <w:rsid w:val="00FB5057"/>
    <w:rsid w:val="00FB560C"/>
    <w:rsid w:val="00FB5C5C"/>
    <w:rsid w:val="00FB6211"/>
    <w:rsid w:val="00FB6402"/>
    <w:rsid w:val="00FB7FDF"/>
    <w:rsid w:val="00FC1091"/>
    <w:rsid w:val="00FC204D"/>
    <w:rsid w:val="00FC2721"/>
    <w:rsid w:val="00FC2EE7"/>
    <w:rsid w:val="00FC2FF4"/>
    <w:rsid w:val="00FC4F0A"/>
    <w:rsid w:val="00FC5571"/>
    <w:rsid w:val="00FC571C"/>
    <w:rsid w:val="00FC639D"/>
    <w:rsid w:val="00FC6707"/>
    <w:rsid w:val="00FC6E5C"/>
    <w:rsid w:val="00FC7338"/>
    <w:rsid w:val="00FD0069"/>
    <w:rsid w:val="00FD1D0E"/>
    <w:rsid w:val="00FD2A9D"/>
    <w:rsid w:val="00FD31E7"/>
    <w:rsid w:val="00FD3675"/>
    <w:rsid w:val="00FD45A6"/>
    <w:rsid w:val="00FD48D3"/>
    <w:rsid w:val="00FD4977"/>
    <w:rsid w:val="00FD61A0"/>
    <w:rsid w:val="00FD6F12"/>
    <w:rsid w:val="00FE00EF"/>
    <w:rsid w:val="00FE0852"/>
    <w:rsid w:val="00FE12CC"/>
    <w:rsid w:val="00FE1B22"/>
    <w:rsid w:val="00FE1CAD"/>
    <w:rsid w:val="00FE2E6B"/>
    <w:rsid w:val="00FE4578"/>
    <w:rsid w:val="00FE4666"/>
    <w:rsid w:val="00FE579C"/>
    <w:rsid w:val="00FE69D6"/>
    <w:rsid w:val="00FE72C1"/>
    <w:rsid w:val="00FE7819"/>
    <w:rsid w:val="00FF0D61"/>
    <w:rsid w:val="00FF0F2F"/>
    <w:rsid w:val="00FF1A4D"/>
    <w:rsid w:val="00FF1A93"/>
    <w:rsid w:val="00FF24B6"/>
    <w:rsid w:val="00FF258D"/>
    <w:rsid w:val="00FF2C9F"/>
    <w:rsid w:val="00FF3FDF"/>
    <w:rsid w:val="00FF47B8"/>
    <w:rsid w:val="00FF4C50"/>
    <w:rsid w:val="00FF5154"/>
    <w:rsid w:val="00FF5C88"/>
    <w:rsid w:val="00FF608A"/>
    <w:rsid w:val="00FF7DEA"/>
    <w:rsid w:val="018B3A43"/>
    <w:rsid w:val="03821479"/>
    <w:rsid w:val="047D3C0C"/>
    <w:rsid w:val="04FB74F7"/>
    <w:rsid w:val="050999CD"/>
    <w:rsid w:val="05F3D9AF"/>
    <w:rsid w:val="07EB6727"/>
    <w:rsid w:val="08853EA0"/>
    <w:rsid w:val="0A2A1D00"/>
    <w:rsid w:val="0A52FF3C"/>
    <w:rsid w:val="0AB8ABEC"/>
    <w:rsid w:val="0DA63083"/>
    <w:rsid w:val="0E6C3F03"/>
    <w:rsid w:val="10E83C0A"/>
    <w:rsid w:val="112BD64B"/>
    <w:rsid w:val="11D1B6F9"/>
    <w:rsid w:val="14122AD7"/>
    <w:rsid w:val="16DEFDB6"/>
    <w:rsid w:val="1804F38B"/>
    <w:rsid w:val="184EFA3F"/>
    <w:rsid w:val="1911D22C"/>
    <w:rsid w:val="199680B4"/>
    <w:rsid w:val="1A3CDB6B"/>
    <w:rsid w:val="1AFE69EC"/>
    <w:rsid w:val="1B47D4F3"/>
    <w:rsid w:val="1CBDDBBC"/>
    <w:rsid w:val="1CC82D7F"/>
    <w:rsid w:val="1FBBAF6F"/>
    <w:rsid w:val="202D4E0B"/>
    <w:rsid w:val="20B9AFAF"/>
    <w:rsid w:val="2340178E"/>
    <w:rsid w:val="23AFA9EC"/>
    <w:rsid w:val="2429BB56"/>
    <w:rsid w:val="245317B5"/>
    <w:rsid w:val="25EF8191"/>
    <w:rsid w:val="25FCE2BE"/>
    <w:rsid w:val="262521C7"/>
    <w:rsid w:val="265527D7"/>
    <w:rsid w:val="26DFFB18"/>
    <w:rsid w:val="284ABF62"/>
    <w:rsid w:val="2856F500"/>
    <w:rsid w:val="293243AB"/>
    <w:rsid w:val="304FDF73"/>
    <w:rsid w:val="337F4067"/>
    <w:rsid w:val="34CB7941"/>
    <w:rsid w:val="36BD37A3"/>
    <w:rsid w:val="36F96596"/>
    <w:rsid w:val="37978CDB"/>
    <w:rsid w:val="392E3A02"/>
    <w:rsid w:val="3936F848"/>
    <w:rsid w:val="39483EA1"/>
    <w:rsid w:val="3D96A092"/>
    <w:rsid w:val="3EE8079C"/>
    <w:rsid w:val="3FFA14DF"/>
    <w:rsid w:val="4002BF8A"/>
    <w:rsid w:val="40894006"/>
    <w:rsid w:val="4242D60F"/>
    <w:rsid w:val="45C342A4"/>
    <w:rsid w:val="45CB1AF1"/>
    <w:rsid w:val="46AA6F77"/>
    <w:rsid w:val="48638FEE"/>
    <w:rsid w:val="48768514"/>
    <w:rsid w:val="495DCB10"/>
    <w:rsid w:val="4A60AD7C"/>
    <w:rsid w:val="4A6BC606"/>
    <w:rsid w:val="4B0B99A0"/>
    <w:rsid w:val="4C2E0C35"/>
    <w:rsid w:val="4DC3D38C"/>
    <w:rsid w:val="504BDE9C"/>
    <w:rsid w:val="52285F76"/>
    <w:rsid w:val="52F6FEBC"/>
    <w:rsid w:val="53825253"/>
    <w:rsid w:val="53AE6B2B"/>
    <w:rsid w:val="53B1BC59"/>
    <w:rsid w:val="54F33094"/>
    <w:rsid w:val="550F34B6"/>
    <w:rsid w:val="55C91E5C"/>
    <w:rsid w:val="562525C6"/>
    <w:rsid w:val="5670CC73"/>
    <w:rsid w:val="572AD76A"/>
    <w:rsid w:val="573A6429"/>
    <w:rsid w:val="583CCDCC"/>
    <w:rsid w:val="59E5B0BE"/>
    <w:rsid w:val="59F03BF9"/>
    <w:rsid w:val="5ABD3632"/>
    <w:rsid w:val="5AFBBB20"/>
    <w:rsid w:val="5C46E8AE"/>
    <w:rsid w:val="5D6F7020"/>
    <w:rsid w:val="5E5F58EE"/>
    <w:rsid w:val="5E743191"/>
    <w:rsid w:val="5E9F936A"/>
    <w:rsid w:val="5FA55B02"/>
    <w:rsid w:val="5FF4D2A8"/>
    <w:rsid w:val="60C53122"/>
    <w:rsid w:val="60C9C9FF"/>
    <w:rsid w:val="6113F937"/>
    <w:rsid w:val="628905CF"/>
    <w:rsid w:val="6511F6D3"/>
    <w:rsid w:val="679A07FC"/>
    <w:rsid w:val="68685BF2"/>
    <w:rsid w:val="68D04096"/>
    <w:rsid w:val="6B1AC093"/>
    <w:rsid w:val="6B561369"/>
    <w:rsid w:val="6CF6F9CD"/>
    <w:rsid w:val="6D1C06AA"/>
    <w:rsid w:val="6E2B0E6D"/>
    <w:rsid w:val="6E42D7E9"/>
    <w:rsid w:val="6EA1ADA6"/>
    <w:rsid w:val="70E6EA09"/>
    <w:rsid w:val="72136EBE"/>
    <w:rsid w:val="72889FB1"/>
    <w:rsid w:val="72D30EAE"/>
    <w:rsid w:val="73D36EB3"/>
    <w:rsid w:val="74E0E02F"/>
    <w:rsid w:val="75501FA9"/>
    <w:rsid w:val="7644177C"/>
    <w:rsid w:val="77437C95"/>
    <w:rsid w:val="787505B8"/>
    <w:rsid w:val="79076714"/>
    <w:rsid w:val="7B21EB6F"/>
    <w:rsid w:val="7CDA0FAE"/>
    <w:rsid w:val="7E8DED0F"/>
    <w:rsid w:val="7EB5C5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2894D0F"/>
  <w15:chartTrackingRefBased/>
  <w15:docId w15:val="{AF87B671-5C72-494A-9981-55B1DDB0D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E"/>
    </w:rPr>
  </w:style>
  <w:style w:type="paragraph" w:styleId="Heading1">
    <w:name w:val="heading 1"/>
    <w:basedOn w:val="Normal"/>
    <w:next w:val="Normal"/>
    <w:link w:val="Heading1Char"/>
    <w:uiPriority w:val="9"/>
    <w:qFormat/>
    <w:rsid w:val="000C5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5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56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C56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6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6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6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6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6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6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56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56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C56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6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6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6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6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6CE"/>
    <w:rPr>
      <w:rFonts w:eastAsiaTheme="majorEastAsia" w:cstheme="majorBidi"/>
      <w:color w:val="272727" w:themeColor="text1" w:themeTint="D8"/>
    </w:rPr>
  </w:style>
  <w:style w:type="paragraph" w:styleId="Title">
    <w:name w:val="Title"/>
    <w:basedOn w:val="Normal"/>
    <w:next w:val="Normal"/>
    <w:link w:val="TitleChar"/>
    <w:uiPriority w:val="10"/>
    <w:qFormat/>
    <w:rsid w:val="000C5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6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6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6CE"/>
    <w:pPr>
      <w:spacing w:before="160"/>
      <w:jc w:val="center"/>
    </w:pPr>
    <w:rPr>
      <w:i/>
      <w:iCs/>
      <w:color w:val="404040" w:themeColor="text1" w:themeTint="BF"/>
    </w:rPr>
  </w:style>
  <w:style w:type="character" w:customStyle="1" w:styleId="QuoteChar">
    <w:name w:val="Quote Char"/>
    <w:basedOn w:val="DefaultParagraphFont"/>
    <w:link w:val="Quote"/>
    <w:uiPriority w:val="29"/>
    <w:rsid w:val="000C56CE"/>
    <w:rPr>
      <w:i/>
      <w:iCs/>
      <w:color w:val="404040" w:themeColor="text1" w:themeTint="BF"/>
    </w:rPr>
  </w:style>
  <w:style w:type="paragraph" w:styleId="ListParagraph">
    <w:name w:val="List Paragraph"/>
    <w:basedOn w:val="Normal"/>
    <w:uiPriority w:val="34"/>
    <w:qFormat/>
    <w:rsid w:val="000C56CE"/>
    <w:pPr>
      <w:ind w:left="720"/>
      <w:contextualSpacing/>
    </w:pPr>
  </w:style>
  <w:style w:type="character" w:styleId="IntenseEmphasis">
    <w:name w:val="Intense Emphasis"/>
    <w:basedOn w:val="DefaultParagraphFont"/>
    <w:uiPriority w:val="21"/>
    <w:qFormat/>
    <w:rsid w:val="000C56CE"/>
    <w:rPr>
      <w:i/>
      <w:iCs/>
      <w:color w:val="0F4761" w:themeColor="accent1" w:themeShade="BF"/>
    </w:rPr>
  </w:style>
  <w:style w:type="paragraph" w:styleId="IntenseQuote">
    <w:name w:val="Intense Quote"/>
    <w:basedOn w:val="Normal"/>
    <w:next w:val="Normal"/>
    <w:link w:val="IntenseQuoteChar"/>
    <w:uiPriority w:val="30"/>
    <w:qFormat/>
    <w:rsid w:val="000C5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6CE"/>
    <w:rPr>
      <w:i/>
      <w:iCs/>
      <w:color w:val="0F4761" w:themeColor="accent1" w:themeShade="BF"/>
    </w:rPr>
  </w:style>
  <w:style w:type="character" w:styleId="IntenseReference">
    <w:name w:val="Intense Reference"/>
    <w:basedOn w:val="DefaultParagraphFont"/>
    <w:uiPriority w:val="32"/>
    <w:qFormat/>
    <w:rsid w:val="000C56CE"/>
    <w:rPr>
      <w:b/>
      <w:bCs/>
      <w:smallCaps/>
      <w:color w:val="0F4761" w:themeColor="accent1" w:themeShade="BF"/>
      <w:spacing w:val="5"/>
    </w:rPr>
  </w:style>
  <w:style w:type="character" w:customStyle="1" w:styleId="Marker">
    <w:name w:val="Marker"/>
    <w:basedOn w:val="DefaultParagraphFont"/>
    <w:rsid w:val="000C56CE"/>
    <w:rPr>
      <w:color w:val="0000FF"/>
      <w:shd w:val="clear" w:color="auto" w:fill="auto"/>
    </w:rPr>
  </w:style>
  <w:style w:type="paragraph" w:styleId="Header">
    <w:name w:val="header"/>
    <w:basedOn w:val="Normal"/>
    <w:link w:val="HeaderChar"/>
    <w:uiPriority w:val="99"/>
    <w:unhideWhenUsed/>
    <w:rsid w:val="000C5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6CE"/>
  </w:style>
  <w:style w:type="paragraph" w:styleId="Footer">
    <w:name w:val="footer"/>
    <w:basedOn w:val="Normal"/>
    <w:link w:val="FooterChar"/>
    <w:uiPriority w:val="99"/>
    <w:unhideWhenUsed/>
    <w:rsid w:val="000C5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6CE"/>
  </w:style>
  <w:style w:type="paragraph" w:customStyle="1" w:styleId="Pagedecouverture">
    <w:name w:val="Page de couverture"/>
    <w:basedOn w:val="Normal"/>
    <w:next w:val="Normal"/>
    <w:rsid w:val="000C56C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0C56C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0C56CE"/>
    <w:rPr>
      <w:rFonts w:ascii="Times New Roman" w:hAnsi="Times New Roman" w:cs="Times New Roman"/>
      <w:lang w:val="en-IE"/>
    </w:rPr>
  </w:style>
  <w:style w:type="paragraph" w:customStyle="1" w:styleId="FooterSensitivity">
    <w:name w:val="Footer Sensitivity"/>
    <w:basedOn w:val="Normal"/>
    <w:link w:val="FooterSensitivityChar"/>
    <w:rsid w:val="000C56C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C56CE"/>
    <w:rPr>
      <w:rFonts w:ascii="Times New Roman" w:hAnsi="Times New Roman" w:cs="Times New Roman"/>
      <w:b/>
      <w:sz w:val="32"/>
      <w:lang w:val="en-IE"/>
    </w:rPr>
  </w:style>
  <w:style w:type="paragraph" w:customStyle="1" w:styleId="HeaderCoverPage">
    <w:name w:val="Header Cover Page"/>
    <w:basedOn w:val="Normal"/>
    <w:link w:val="HeaderCoverPageChar"/>
    <w:rsid w:val="000C56C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0C56CE"/>
    <w:rPr>
      <w:rFonts w:ascii="Times New Roman" w:hAnsi="Times New Roman" w:cs="Times New Roman"/>
      <w:lang w:val="en-IE"/>
    </w:rPr>
  </w:style>
  <w:style w:type="paragraph" w:customStyle="1" w:styleId="HeaderSensitivity">
    <w:name w:val="Header Sensitivity"/>
    <w:basedOn w:val="Normal"/>
    <w:link w:val="HeaderSensitivityChar"/>
    <w:rsid w:val="000C56C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C56CE"/>
    <w:rPr>
      <w:rFonts w:ascii="Times New Roman" w:hAnsi="Times New Roman" w:cs="Times New Roman"/>
      <w:b/>
      <w:sz w:val="32"/>
      <w:lang w:val="en-IE"/>
    </w:rPr>
  </w:style>
  <w:style w:type="paragraph" w:customStyle="1" w:styleId="HeaderSensitivityRight">
    <w:name w:val="Header Sensitivity Right"/>
    <w:basedOn w:val="Normal"/>
    <w:link w:val="HeaderSensitivityRightChar"/>
    <w:rsid w:val="000C56C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C56CE"/>
    <w:rPr>
      <w:rFonts w:ascii="Times New Roman" w:hAnsi="Times New Roman" w:cs="Times New Roman"/>
      <w:sz w:val="28"/>
      <w:lang w:val="en-IE"/>
    </w:rPr>
  </w:style>
  <w:style w:type="numbering" w:customStyle="1" w:styleId="NoList1">
    <w:name w:val="No List1"/>
    <w:next w:val="NoList"/>
    <w:uiPriority w:val="99"/>
    <w:semiHidden/>
    <w:unhideWhenUsed/>
    <w:rsid w:val="00A02C07"/>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 Char1,Footnote Text_EP-LC"/>
    <w:basedOn w:val="Normal"/>
    <w:link w:val="FootnoteTextChar"/>
    <w:uiPriority w:val="99"/>
    <w:qFormat/>
    <w:rsid w:val="00A02C07"/>
    <w:pPr>
      <w:spacing w:after="0" w:line="240" w:lineRule="auto"/>
      <w:ind w:left="720" w:hanging="720"/>
      <w:jc w:val="both"/>
    </w:pPr>
    <w:rPr>
      <w:rFonts w:ascii="Times New Roman" w:eastAsia="Times New Roman" w:hAnsi="Times New Roman" w:cs="Times New Roman"/>
      <w:kern w:val="0"/>
      <w:sz w:val="20"/>
      <w:szCs w:val="20"/>
      <w:lang w:val="en-GB"/>
      <w14:ligatures w14:val="none"/>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sid w:val="00A02C07"/>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ootnote Reference Superscript,Footnote symbol,Footnote Reference Number,BVI fnr,Voetnootverwijzing,Footnote reference number,Times 10 Point,Exposant 3 Point,Ref,de nota al pie,note TESI,SUPERS,EN Footnote Reference,16 Point Char"/>
    <w:link w:val="16Point"/>
    <w:uiPriority w:val="99"/>
    <w:qFormat/>
    <w:rsid w:val="00A02C07"/>
    <w:rPr>
      <w:vertAlign w:val="superscript"/>
    </w:rPr>
  </w:style>
  <w:style w:type="paragraph" w:customStyle="1" w:styleId="Text1">
    <w:name w:val="Text 1"/>
    <w:basedOn w:val="Normal"/>
    <w:rsid w:val="00A02C07"/>
    <w:pPr>
      <w:spacing w:before="120" w:after="120" w:line="240" w:lineRule="auto"/>
      <w:ind w:left="850"/>
      <w:jc w:val="both"/>
    </w:pPr>
    <w:rPr>
      <w:rFonts w:ascii="Times New Roman" w:eastAsia="Times New Roman" w:hAnsi="Times New Roman" w:cs="Times New Roman"/>
      <w:kern w:val="0"/>
      <w:lang w:val="en-GB"/>
      <w14:ligatures w14:val="none"/>
    </w:rPr>
  </w:style>
  <w:style w:type="paragraph" w:customStyle="1" w:styleId="Tiret0">
    <w:name w:val="Tiret 0"/>
    <w:basedOn w:val="Normal"/>
    <w:rsid w:val="00A02C07"/>
    <w:pPr>
      <w:tabs>
        <w:tab w:val="num" w:pos="850"/>
      </w:tabs>
      <w:spacing w:before="120" w:after="120" w:line="240" w:lineRule="auto"/>
      <w:ind w:left="850" w:hanging="850"/>
      <w:jc w:val="both"/>
    </w:pPr>
    <w:rPr>
      <w:rFonts w:ascii="Times New Roman" w:eastAsia="Times New Roman" w:hAnsi="Times New Roman" w:cs="Times New Roman"/>
      <w:kern w:val="0"/>
      <w:lang w:val="en-GB"/>
      <w14:ligatures w14:val="none"/>
    </w:rPr>
  </w:style>
  <w:style w:type="paragraph" w:customStyle="1" w:styleId="Tiret1">
    <w:name w:val="Tiret 1"/>
    <w:basedOn w:val="Normal"/>
    <w:rsid w:val="00A02C07"/>
    <w:pPr>
      <w:tabs>
        <w:tab w:val="num" w:pos="1417"/>
      </w:tabs>
      <w:spacing w:before="120" w:after="120" w:line="240" w:lineRule="auto"/>
      <w:ind w:left="1417" w:hanging="567"/>
      <w:jc w:val="both"/>
    </w:pPr>
    <w:rPr>
      <w:rFonts w:ascii="Times New Roman" w:eastAsia="Times New Roman" w:hAnsi="Times New Roman" w:cs="Times New Roman"/>
      <w:kern w:val="0"/>
      <w:lang w:val="en-GB"/>
      <w14:ligatures w14:val="none"/>
    </w:rPr>
  </w:style>
  <w:style w:type="paragraph" w:customStyle="1" w:styleId="ManualHeading1">
    <w:name w:val="Manual Heading 1"/>
    <w:basedOn w:val="Normal"/>
    <w:next w:val="Text1"/>
    <w:link w:val="ManualHeading1Char"/>
    <w:rsid w:val="00A02C07"/>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lang w:val="en-GB"/>
      <w14:ligatures w14:val="none"/>
    </w:rPr>
  </w:style>
  <w:style w:type="paragraph" w:customStyle="1" w:styleId="ManualHeading3">
    <w:name w:val="Manual Heading 3"/>
    <w:basedOn w:val="Normal"/>
    <w:next w:val="Text1"/>
    <w:rsid w:val="00A02C07"/>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lang w:val="en-GB"/>
      <w14:ligatures w14:val="none"/>
    </w:rPr>
  </w:style>
  <w:style w:type="paragraph" w:customStyle="1" w:styleId="Caption1">
    <w:name w:val="Caption1"/>
    <w:basedOn w:val="Normal"/>
    <w:next w:val="Normal"/>
    <w:uiPriority w:val="35"/>
    <w:unhideWhenUsed/>
    <w:qFormat/>
    <w:rsid w:val="00A02C07"/>
    <w:pPr>
      <w:spacing w:line="240" w:lineRule="auto"/>
    </w:pPr>
    <w:rPr>
      <w:rFonts w:eastAsia="Yu Mincho"/>
      <w:b/>
      <w:bCs/>
      <w:smallCaps/>
      <w:color w:val="44546A"/>
      <w:kern w:val="0"/>
      <w:sz w:val="22"/>
      <w:szCs w:val="22"/>
      <w:lang w:val="fr-BE"/>
      <w14:ligatures w14:val="none"/>
    </w:rPr>
  </w:style>
  <w:style w:type="paragraph" w:styleId="ListNumber">
    <w:name w:val="List Number"/>
    <w:basedOn w:val="Normal"/>
    <w:rsid w:val="00A02C07"/>
    <w:pPr>
      <w:tabs>
        <w:tab w:val="num" w:pos="360"/>
      </w:tabs>
      <w:spacing w:before="120" w:after="120" w:line="240" w:lineRule="auto"/>
      <w:ind w:left="360" w:hanging="360"/>
      <w:contextualSpacing/>
      <w:jc w:val="both"/>
    </w:pPr>
    <w:rPr>
      <w:rFonts w:ascii="Times New Roman" w:eastAsia="Times New Roman" w:hAnsi="Times New Roman" w:cs="Times New Roman"/>
      <w:kern w:val="0"/>
      <w:lang w:val="en-GB"/>
      <w14:ligatures w14:val="none"/>
    </w:rPr>
  </w:style>
  <w:style w:type="character" w:styleId="Hyperlink">
    <w:name w:val="Hyperlink"/>
    <w:uiPriority w:val="99"/>
    <w:rsid w:val="00A02C07"/>
    <w:rPr>
      <w:color w:val="0000FF"/>
      <w:u w:val="single"/>
    </w:rPr>
  </w:style>
  <w:style w:type="character" w:customStyle="1" w:styleId="ManualHeading1Char">
    <w:name w:val="Manual Heading 1 Char"/>
    <w:link w:val="ManualHeading1"/>
    <w:rsid w:val="00A02C07"/>
    <w:rPr>
      <w:rFonts w:ascii="Times New Roman" w:eastAsia="Times New Roman" w:hAnsi="Times New Roman" w:cs="Times New Roman"/>
      <w:b/>
      <w:smallCaps/>
      <w:kern w:val="0"/>
      <w:lang w:val="en-GB"/>
      <w14:ligatures w14:val="none"/>
    </w:rPr>
  </w:style>
  <w:style w:type="paragraph" w:customStyle="1" w:styleId="Typedudocument">
    <w:name w:val="Type du document"/>
    <w:basedOn w:val="Normal"/>
    <w:next w:val="Normal"/>
    <w:rsid w:val="00A02C07"/>
    <w:pPr>
      <w:spacing w:before="360" w:after="0" w:line="240" w:lineRule="auto"/>
      <w:jc w:val="center"/>
    </w:pPr>
    <w:rPr>
      <w:rFonts w:ascii="Times New Roman" w:eastAsia="Times New Roman" w:hAnsi="Times New Roman" w:cs="Times New Roman"/>
      <w:b/>
      <w:kern w:val="0"/>
      <w:lang w:val="en-GB"/>
      <w14:ligatures w14:val="none"/>
    </w:rPr>
  </w:style>
  <w:style w:type="paragraph" w:customStyle="1" w:styleId="Titreobjet">
    <w:name w:val="Titre objet"/>
    <w:basedOn w:val="Normal"/>
    <w:next w:val="Normal"/>
    <w:rsid w:val="00A02C07"/>
    <w:pPr>
      <w:spacing w:before="360" w:after="360" w:line="240" w:lineRule="auto"/>
      <w:jc w:val="center"/>
    </w:pPr>
    <w:rPr>
      <w:rFonts w:ascii="Times New Roman" w:eastAsia="Times New Roman" w:hAnsi="Times New Roman" w:cs="Times New Roman"/>
      <w:b/>
      <w:kern w:val="0"/>
      <w:lang w:val="en-GB"/>
      <w14:ligatures w14:val="none"/>
    </w:rPr>
  </w:style>
  <w:style w:type="paragraph" w:styleId="BalloonText">
    <w:name w:val="Balloon Text"/>
    <w:basedOn w:val="Normal"/>
    <w:link w:val="BalloonTextChar"/>
    <w:uiPriority w:val="99"/>
    <w:semiHidden/>
    <w:unhideWhenUsed/>
    <w:rsid w:val="00A02C07"/>
    <w:pPr>
      <w:spacing w:after="0" w:line="240" w:lineRule="auto"/>
    </w:pPr>
    <w:rPr>
      <w:rFonts w:ascii="Tahoma" w:eastAsia="Calibri" w:hAnsi="Tahoma" w:cs="Tahoma"/>
      <w:kern w:val="0"/>
      <w:sz w:val="16"/>
      <w:szCs w:val="16"/>
      <w:lang w:val="en-GB"/>
      <w14:ligatures w14:val="none"/>
    </w:rPr>
  </w:style>
  <w:style w:type="character" w:customStyle="1" w:styleId="BalloonTextChar">
    <w:name w:val="Balloon Text Char"/>
    <w:basedOn w:val="DefaultParagraphFont"/>
    <w:link w:val="BalloonText"/>
    <w:uiPriority w:val="99"/>
    <w:semiHidden/>
    <w:rsid w:val="00A02C07"/>
    <w:rPr>
      <w:rFonts w:ascii="Tahoma" w:eastAsia="Calibri" w:hAnsi="Tahoma" w:cs="Tahoma"/>
      <w:kern w:val="0"/>
      <w:sz w:val="16"/>
      <w:szCs w:val="16"/>
      <w:lang w:val="en-GB"/>
      <w14:ligatures w14:val="none"/>
    </w:rPr>
  </w:style>
  <w:style w:type="paragraph" w:styleId="Revision">
    <w:name w:val="Revision"/>
    <w:hidden/>
    <w:uiPriority w:val="99"/>
    <w:semiHidden/>
    <w:rsid w:val="00A02C07"/>
    <w:pPr>
      <w:spacing w:after="0" w:line="240" w:lineRule="auto"/>
    </w:pPr>
    <w:rPr>
      <w:rFonts w:ascii="Calibri" w:eastAsia="Calibri" w:hAnsi="Calibri" w:cs="Times New Roman"/>
      <w:kern w:val="0"/>
      <w:sz w:val="22"/>
      <w:szCs w:val="22"/>
      <w:lang w:val="en-GB"/>
      <w14:ligatures w14:val="none"/>
    </w:rPr>
  </w:style>
  <w:style w:type="character" w:styleId="CommentReference">
    <w:name w:val="annotation reference"/>
    <w:uiPriority w:val="99"/>
    <w:semiHidden/>
    <w:unhideWhenUsed/>
    <w:rsid w:val="00A02C07"/>
    <w:rPr>
      <w:sz w:val="16"/>
      <w:szCs w:val="16"/>
    </w:rPr>
  </w:style>
  <w:style w:type="paragraph" w:styleId="CommentText">
    <w:name w:val="annotation text"/>
    <w:basedOn w:val="Normal"/>
    <w:link w:val="CommentTextChar"/>
    <w:uiPriority w:val="99"/>
    <w:unhideWhenUsed/>
    <w:rsid w:val="00A02C07"/>
    <w:pPr>
      <w:spacing w:line="276" w:lineRule="auto"/>
    </w:pPr>
    <w:rPr>
      <w:rFonts w:ascii="Times New Roman" w:eastAsia="Calibri"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A02C07"/>
    <w:rPr>
      <w:rFonts w:ascii="Times New Roman" w:eastAsia="Calibri"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02C07"/>
    <w:rPr>
      <w:b/>
      <w:bCs/>
    </w:rPr>
  </w:style>
  <w:style w:type="character" w:customStyle="1" w:styleId="CommentSubjectChar">
    <w:name w:val="Comment Subject Char"/>
    <w:basedOn w:val="CommentTextChar"/>
    <w:link w:val="CommentSubject"/>
    <w:uiPriority w:val="99"/>
    <w:semiHidden/>
    <w:rsid w:val="00A02C07"/>
    <w:rPr>
      <w:rFonts w:ascii="Times New Roman" w:eastAsia="Calibri" w:hAnsi="Times New Roman" w:cs="Times New Roman"/>
      <w:b/>
      <w:bCs/>
      <w:kern w:val="0"/>
      <w:sz w:val="20"/>
      <w:szCs w:val="20"/>
      <w:lang w:val="en-GB"/>
      <w14:ligatures w14:val="none"/>
    </w:rPr>
  </w:style>
  <w:style w:type="character" w:styleId="FollowedHyperlink">
    <w:name w:val="FollowedHyperlink"/>
    <w:uiPriority w:val="99"/>
    <w:semiHidden/>
    <w:unhideWhenUsed/>
    <w:rsid w:val="00A02C07"/>
    <w:rPr>
      <w:color w:val="954F72"/>
      <w:u w:val="single"/>
    </w:rPr>
  </w:style>
  <w:style w:type="paragraph" w:styleId="NormalWeb">
    <w:name w:val="Normal (Web)"/>
    <w:basedOn w:val="Normal"/>
    <w:uiPriority w:val="99"/>
    <w:semiHidden/>
    <w:unhideWhenUsed/>
    <w:rsid w:val="00A02C07"/>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customStyle="1" w:styleId="Pa9">
    <w:name w:val="Pa9"/>
    <w:basedOn w:val="Normal"/>
    <w:next w:val="Normal"/>
    <w:uiPriority w:val="99"/>
    <w:rsid w:val="00A02C07"/>
    <w:pPr>
      <w:autoSpaceDE w:val="0"/>
      <w:autoSpaceDN w:val="0"/>
      <w:adjustRightInd w:val="0"/>
      <w:spacing w:after="0" w:line="241" w:lineRule="atLeast"/>
    </w:pPr>
    <w:rPr>
      <w:rFonts w:ascii="Helvetica Neue" w:eastAsia="Calibri" w:hAnsi="Helvetica Neue" w:cs="Times New Roman"/>
      <w:kern w:val="0"/>
      <w:lang w:val="en-GB" w:eastAsia="en-GB"/>
      <w14:ligatures w14:val="none"/>
    </w:rPr>
  </w:style>
  <w:style w:type="character" w:customStyle="1" w:styleId="A4">
    <w:name w:val="A4"/>
    <w:uiPriority w:val="99"/>
    <w:rsid w:val="00A02C07"/>
    <w:rPr>
      <w:rFonts w:cs="Helvetica Neue"/>
      <w:color w:val="000000"/>
      <w:sz w:val="18"/>
      <w:szCs w:val="18"/>
    </w:rPr>
  </w:style>
  <w:style w:type="paragraph" w:styleId="NoSpacing">
    <w:name w:val="No Spacing"/>
    <w:uiPriority w:val="1"/>
    <w:qFormat/>
    <w:rsid w:val="00A02C07"/>
    <w:pPr>
      <w:spacing w:after="0" w:line="240" w:lineRule="auto"/>
    </w:pPr>
    <w:rPr>
      <w:rFonts w:eastAsia="Yu Mincho"/>
      <w:kern w:val="0"/>
      <w:sz w:val="22"/>
      <w:szCs w:val="22"/>
      <w:lang w:val="fr-BE"/>
      <w14:ligatures w14:val="none"/>
    </w:rPr>
  </w:style>
  <w:style w:type="paragraph" w:styleId="TOCHeading">
    <w:name w:val="TOC Heading"/>
    <w:basedOn w:val="Heading1"/>
    <w:next w:val="Normal"/>
    <w:uiPriority w:val="39"/>
    <w:semiHidden/>
    <w:unhideWhenUsed/>
    <w:qFormat/>
    <w:rsid w:val="00A02C07"/>
    <w:pPr>
      <w:spacing w:before="400" w:after="40" w:line="240" w:lineRule="auto"/>
      <w:outlineLvl w:val="9"/>
    </w:pPr>
    <w:rPr>
      <w:color w:val="1F4E79"/>
      <w:kern w:val="0"/>
      <w:sz w:val="36"/>
      <w:szCs w:val="36"/>
      <w:lang w:val="fr-BE"/>
      <w14:ligatures w14:val="none"/>
    </w:rPr>
  </w:style>
  <w:style w:type="paragraph" w:styleId="TOC1">
    <w:name w:val="toc 1"/>
    <w:basedOn w:val="Normal"/>
    <w:next w:val="Normal"/>
    <w:autoRedefine/>
    <w:uiPriority w:val="39"/>
    <w:unhideWhenUsed/>
    <w:rsid w:val="00A02C07"/>
    <w:pPr>
      <w:tabs>
        <w:tab w:val="left" w:pos="426"/>
        <w:tab w:val="right" w:leader="dot" w:pos="9403"/>
      </w:tabs>
      <w:spacing w:line="276" w:lineRule="auto"/>
    </w:pPr>
    <w:rPr>
      <w:rFonts w:ascii="Times New Roman" w:eastAsia="Calibri" w:hAnsi="Times New Roman" w:cs="Times New Roman"/>
      <w:kern w:val="0"/>
      <w:sz w:val="22"/>
      <w:szCs w:val="22"/>
      <w:lang w:val="en-GB"/>
      <w14:ligatures w14:val="none"/>
    </w:rPr>
  </w:style>
  <w:style w:type="paragraph" w:styleId="TOC2">
    <w:name w:val="toc 2"/>
    <w:basedOn w:val="Normal"/>
    <w:next w:val="Normal"/>
    <w:autoRedefine/>
    <w:uiPriority w:val="39"/>
    <w:unhideWhenUsed/>
    <w:rsid w:val="00A02C07"/>
    <w:pPr>
      <w:spacing w:line="276" w:lineRule="auto"/>
      <w:ind w:left="220"/>
    </w:pPr>
    <w:rPr>
      <w:rFonts w:ascii="Times New Roman" w:eastAsia="Calibri" w:hAnsi="Times New Roman" w:cs="Times New Roman"/>
      <w:kern w:val="0"/>
      <w:sz w:val="22"/>
      <w:szCs w:val="22"/>
      <w:lang w:val="en-GB"/>
      <w14:ligatures w14:val="none"/>
    </w:rPr>
  </w:style>
  <w:style w:type="paragraph" w:styleId="TOC3">
    <w:name w:val="toc 3"/>
    <w:basedOn w:val="Normal"/>
    <w:next w:val="Normal"/>
    <w:autoRedefine/>
    <w:uiPriority w:val="39"/>
    <w:unhideWhenUsed/>
    <w:rsid w:val="00A02C07"/>
    <w:pPr>
      <w:spacing w:line="276" w:lineRule="auto"/>
      <w:ind w:left="440"/>
    </w:pPr>
    <w:rPr>
      <w:rFonts w:ascii="Times New Roman" w:eastAsia="Calibri" w:hAnsi="Times New Roman" w:cs="Times New Roman"/>
      <w:kern w:val="0"/>
      <w:sz w:val="22"/>
      <w:szCs w:val="22"/>
      <w:lang w:val="en-GB"/>
      <w14:ligatures w14:val="none"/>
    </w:rPr>
  </w:style>
  <w:style w:type="paragraph" w:customStyle="1" w:styleId="Default">
    <w:name w:val="Default"/>
    <w:rsid w:val="00A02C07"/>
    <w:pPr>
      <w:autoSpaceDE w:val="0"/>
      <w:autoSpaceDN w:val="0"/>
      <w:adjustRightInd w:val="0"/>
      <w:spacing w:after="0" w:line="240" w:lineRule="auto"/>
    </w:pPr>
    <w:rPr>
      <w:rFonts w:ascii="Arial" w:eastAsia="Calibri" w:hAnsi="Arial" w:cs="Arial"/>
      <w:color w:val="000000"/>
      <w:kern w:val="0"/>
      <w:lang w:val="en-GB" w:eastAsia="en-GB"/>
      <w14:ligatures w14:val="none"/>
    </w:rPr>
  </w:style>
  <w:style w:type="paragraph" w:customStyle="1" w:styleId="Text0">
    <w:name w:val="Text 0"/>
    <w:basedOn w:val="Text1"/>
    <w:rsid w:val="00A02C07"/>
    <w:pPr>
      <w:ind w:left="0"/>
    </w:pPr>
  </w:style>
  <w:style w:type="paragraph" w:styleId="EndnoteText">
    <w:name w:val="endnote text"/>
    <w:basedOn w:val="Normal"/>
    <w:link w:val="EndnoteTextChar"/>
    <w:uiPriority w:val="99"/>
    <w:semiHidden/>
    <w:unhideWhenUsed/>
    <w:rsid w:val="00A02C07"/>
    <w:pPr>
      <w:spacing w:after="0" w:line="240" w:lineRule="auto"/>
    </w:pPr>
    <w:rPr>
      <w:rFonts w:ascii="Times New Roman" w:eastAsia="Calibri" w:hAnsi="Times New Roman" w:cs="Times New Roman"/>
      <w:kern w:val="0"/>
      <w:sz w:val="20"/>
      <w:szCs w:val="20"/>
      <w:lang w:val="en-GB"/>
      <w14:ligatures w14:val="none"/>
    </w:rPr>
  </w:style>
  <w:style w:type="character" w:customStyle="1" w:styleId="EndnoteTextChar">
    <w:name w:val="Endnote Text Char"/>
    <w:basedOn w:val="DefaultParagraphFont"/>
    <w:link w:val="EndnoteText"/>
    <w:uiPriority w:val="99"/>
    <w:semiHidden/>
    <w:rsid w:val="00A02C07"/>
    <w:rPr>
      <w:rFonts w:ascii="Times New Roman" w:eastAsia="Calibri"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A02C07"/>
    <w:rPr>
      <w:vertAlign w:val="superscript"/>
    </w:rPr>
  </w:style>
  <w:style w:type="paragraph" w:customStyle="1" w:styleId="Declassification">
    <w:name w:val="Declassification"/>
    <w:basedOn w:val="Normal"/>
    <w:next w:val="Normal"/>
    <w:rsid w:val="00A02C07"/>
    <w:pPr>
      <w:spacing w:after="0" w:line="240" w:lineRule="auto"/>
      <w:jc w:val="both"/>
    </w:pPr>
    <w:rPr>
      <w:rFonts w:ascii="Times New Roman" w:eastAsia="Yu Mincho" w:hAnsi="Times New Roman" w:cs="Times New Roman"/>
      <w:kern w:val="0"/>
      <w:szCs w:val="22"/>
      <w:lang w:val="en-GB"/>
      <w14:ligatures w14:val="none"/>
    </w:rPr>
  </w:style>
  <w:style w:type="paragraph" w:customStyle="1" w:styleId="HeaderLandscape">
    <w:name w:val="HeaderLandscape"/>
    <w:basedOn w:val="Normal"/>
    <w:rsid w:val="00A02C07"/>
    <w:pPr>
      <w:tabs>
        <w:tab w:val="center" w:pos="7285"/>
        <w:tab w:val="right" w:pos="14003"/>
      </w:tabs>
      <w:spacing w:after="120" w:line="240" w:lineRule="auto"/>
      <w:jc w:val="both"/>
    </w:pPr>
    <w:rPr>
      <w:rFonts w:ascii="Times New Roman" w:eastAsia="Yu Mincho" w:hAnsi="Times New Roman" w:cs="Times New Roman"/>
      <w:kern w:val="0"/>
      <w:szCs w:val="22"/>
      <w:lang w:val="en-GB"/>
      <w14:ligatures w14:val="none"/>
    </w:rPr>
  </w:style>
  <w:style w:type="paragraph" w:customStyle="1" w:styleId="FooterLandscape">
    <w:name w:val="FooterLandscape"/>
    <w:basedOn w:val="Normal"/>
    <w:rsid w:val="00A02C07"/>
    <w:pPr>
      <w:tabs>
        <w:tab w:val="center" w:pos="7285"/>
        <w:tab w:val="center" w:pos="10913"/>
        <w:tab w:val="right" w:pos="15137"/>
      </w:tabs>
      <w:spacing w:before="360" w:after="0" w:line="240" w:lineRule="auto"/>
      <w:ind w:left="-567" w:right="-567"/>
    </w:pPr>
    <w:rPr>
      <w:rFonts w:ascii="Times New Roman" w:eastAsia="Yu Mincho" w:hAnsi="Times New Roman" w:cs="Times New Roman"/>
      <w:kern w:val="0"/>
      <w:szCs w:val="22"/>
      <w:lang w:val="en-GB"/>
      <w14:ligatures w14:val="none"/>
    </w:rPr>
  </w:style>
  <w:style w:type="paragraph" w:customStyle="1" w:styleId="SecurityMarking">
    <w:name w:val="SecurityMarking"/>
    <w:basedOn w:val="Normal"/>
    <w:rsid w:val="00A02C07"/>
    <w:pPr>
      <w:spacing w:after="0" w:line="276" w:lineRule="auto"/>
      <w:ind w:left="5103"/>
    </w:pPr>
    <w:rPr>
      <w:rFonts w:ascii="Times New Roman" w:eastAsia="Yu Mincho" w:hAnsi="Times New Roman" w:cs="Times New Roman"/>
      <w:kern w:val="0"/>
      <w:sz w:val="28"/>
      <w:szCs w:val="22"/>
      <w:lang w:val="en-GB"/>
      <w14:ligatures w14:val="none"/>
    </w:rPr>
  </w:style>
  <w:style w:type="paragraph" w:customStyle="1" w:styleId="DateMarking">
    <w:name w:val="DateMarking"/>
    <w:basedOn w:val="Normal"/>
    <w:rsid w:val="00A02C07"/>
    <w:pPr>
      <w:spacing w:after="0" w:line="276" w:lineRule="auto"/>
      <w:ind w:left="5103"/>
    </w:pPr>
    <w:rPr>
      <w:rFonts w:ascii="Times New Roman" w:eastAsia="Yu Mincho" w:hAnsi="Times New Roman" w:cs="Times New Roman"/>
      <w:i/>
      <w:kern w:val="0"/>
      <w:sz w:val="28"/>
      <w:szCs w:val="22"/>
      <w:lang w:val="en-GB"/>
      <w14:ligatures w14:val="none"/>
    </w:rPr>
  </w:style>
  <w:style w:type="paragraph" w:customStyle="1" w:styleId="ReleasableTo">
    <w:name w:val="ReleasableTo"/>
    <w:basedOn w:val="Normal"/>
    <w:rsid w:val="00A02C07"/>
    <w:pPr>
      <w:spacing w:after="0" w:line="276" w:lineRule="auto"/>
      <w:ind w:left="5103"/>
    </w:pPr>
    <w:rPr>
      <w:rFonts w:ascii="Times New Roman" w:eastAsia="Yu Mincho" w:hAnsi="Times New Roman" w:cs="Times New Roman"/>
      <w:i/>
      <w:kern w:val="0"/>
      <w:sz w:val="28"/>
      <w:szCs w:val="22"/>
      <w:lang w:val="en-GB"/>
      <w14:ligatures w14:val="none"/>
    </w:rPr>
  </w:style>
  <w:style w:type="paragraph" w:customStyle="1" w:styleId="LegalNumPar">
    <w:name w:val="LegalNumPar"/>
    <w:basedOn w:val="Normal"/>
    <w:rsid w:val="00A02C07"/>
    <w:pPr>
      <w:spacing w:line="360" w:lineRule="auto"/>
      <w:ind w:left="476" w:hanging="476"/>
    </w:pPr>
    <w:rPr>
      <w:rFonts w:eastAsia="Yu Mincho"/>
      <w:noProof/>
      <w:kern w:val="0"/>
      <w:szCs w:val="22"/>
      <w:lang w:val="en-GB"/>
      <w14:ligatures w14:val="none"/>
    </w:rPr>
  </w:style>
  <w:style w:type="paragraph" w:customStyle="1" w:styleId="LegalNumPar2">
    <w:name w:val="LegalNumPar2"/>
    <w:basedOn w:val="Normal"/>
    <w:rsid w:val="00A02C07"/>
    <w:pPr>
      <w:spacing w:line="360" w:lineRule="auto"/>
      <w:ind w:left="953" w:hanging="477"/>
    </w:pPr>
    <w:rPr>
      <w:rFonts w:eastAsia="Yu Mincho"/>
      <w:noProof/>
      <w:kern w:val="0"/>
      <w:szCs w:val="22"/>
      <w:lang w:val="en-GB"/>
      <w14:ligatures w14:val="none"/>
    </w:rPr>
  </w:style>
  <w:style w:type="paragraph" w:customStyle="1" w:styleId="LegalNumPar3">
    <w:name w:val="LegalNumPar3"/>
    <w:basedOn w:val="Normal"/>
    <w:rsid w:val="00A02C07"/>
    <w:pPr>
      <w:spacing w:line="240" w:lineRule="auto"/>
      <w:ind w:left="1429" w:hanging="476"/>
    </w:pPr>
    <w:rPr>
      <w:rFonts w:eastAsia="Yu Mincho"/>
      <w:noProof/>
      <w:kern w:val="0"/>
      <w:szCs w:val="22"/>
      <w:lang w:val="en-GB"/>
      <w14:ligatures w14:val="none"/>
    </w:rPr>
  </w:style>
  <w:style w:type="character" w:customStyle="1" w:styleId="markedcontent">
    <w:name w:val="markedcontent"/>
    <w:basedOn w:val="DefaultParagraphFont"/>
    <w:rsid w:val="00A02C07"/>
  </w:style>
  <w:style w:type="paragraph" w:customStyle="1" w:styleId="paragraph">
    <w:name w:val="paragraph"/>
    <w:basedOn w:val="Normal"/>
    <w:rsid w:val="00A02C0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02C07"/>
  </w:style>
  <w:style w:type="character" w:customStyle="1" w:styleId="eop">
    <w:name w:val="eop"/>
    <w:basedOn w:val="DefaultParagraphFont"/>
    <w:rsid w:val="00A02C07"/>
  </w:style>
  <w:style w:type="paragraph" w:customStyle="1" w:styleId="16Point">
    <w:name w:val="16 Point"/>
    <w:aliases w:val="Superscript 6 Point,Odwołanie przypisu,footnote ref,2001+ Fußnotenzeichen, Exposant 3 Point,number"/>
    <w:basedOn w:val="Normal"/>
    <w:link w:val="FootnoteReference"/>
    <w:uiPriority w:val="99"/>
    <w:rsid w:val="00A02C07"/>
    <w:pPr>
      <w:spacing w:after="0" w:line="240" w:lineRule="exact"/>
      <w:jc w:val="both"/>
    </w:pPr>
    <w:rPr>
      <w:vertAlign w:val="superscript"/>
    </w:rPr>
  </w:style>
  <w:style w:type="character" w:customStyle="1" w:styleId="UnresolvedMention1">
    <w:name w:val="Unresolved Mention1"/>
    <w:basedOn w:val="DefaultParagraphFont"/>
    <w:uiPriority w:val="99"/>
    <w:semiHidden/>
    <w:unhideWhenUsed/>
    <w:rsid w:val="00A02C07"/>
    <w:rPr>
      <w:color w:val="605E5C"/>
      <w:shd w:val="clear" w:color="auto" w:fill="E1DFDD"/>
    </w:rPr>
  </w:style>
  <w:style w:type="character" w:customStyle="1" w:styleId="UnresolvedMention2">
    <w:name w:val="Unresolved Mention2"/>
    <w:basedOn w:val="DefaultParagraphFont"/>
    <w:uiPriority w:val="99"/>
    <w:semiHidden/>
    <w:unhideWhenUsed/>
    <w:rsid w:val="00A02C07"/>
    <w:rPr>
      <w:color w:val="605E5C"/>
      <w:shd w:val="clear" w:color="auto" w:fill="E1DFDD"/>
    </w:rPr>
  </w:style>
  <w:style w:type="table" w:customStyle="1" w:styleId="GridTable5Dark-Accent61">
    <w:name w:val="Grid Table 5 Dark - Accent 61"/>
    <w:basedOn w:val="TableNormal"/>
    <w:next w:val="GridTable5Dark-Accent6"/>
    <w:uiPriority w:val="50"/>
    <w:rsid w:val="00A02C07"/>
    <w:pPr>
      <w:spacing w:after="0" w:line="240" w:lineRule="auto"/>
    </w:pPr>
    <w:rPr>
      <w:rFonts w:eastAsia="Yu Mincho"/>
      <w:kern w:val="0"/>
      <w:sz w:val="22"/>
      <w:szCs w:val="22"/>
      <w:lang w:val="en-GB"/>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5Dark-Accent62">
    <w:name w:val="Grid Table 5 Dark - Accent 62"/>
    <w:basedOn w:val="TableNormal"/>
    <w:next w:val="GridTable5Dark-Accent6"/>
    <w:uiPriority w:val="50"/>
    <w:rsid w:val="00A02C07"/>
    <w:pPr>
      <w:spacing w:after="0" w:line="240" w:lineRule="auto"/>
    </w:pPr>
    <w:rPr>
      <w:rFonts w:eastAsia="Yu Mincho"/>
      <w:kern w:val="0"/>
      <w:sz w:val="22"/>
      <w:szCs w:val="22"/>
      <w:lang w:val="fr-BE"/>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character" w:customStyle="1" w:styleId="UnresolvedMention3">
    <w:name w:val="Unresolved Mention3"/>
    <w:basedOn w:val="DefaultParagraphFont"/>
    <w:uiPriority w:val="99"/>
    <w:unhideWhenUsed/>
    <w:rsid w:val="00A02C07"/>
    <w:rPr>
      <w:color w:val="605E5C"/>
      <w:shd w:val="clear" w:color="auto" w:fill="E1DFDD"/>
    </w:rPr>
  </w:style>
  <w:style w:type="paragraph" w:customStyle="1" w:styleId="H3">
    <w:name w:val="_H3"/>
    <w:basedOn w:val="Normal"/>
    <w:next w:val="Normal"/>
    <w:link w:val="H3Char"/>
    <w:rsid w:val="00A02C07"/>
    <w:pPr>
      <w:keepNext/>
      <w:spacing w:before="120" w:after="120" w:line="240" w:lineRule="auto"/>
      <w:jc w:val="both"/>
      <w:outlineLvl w:val="2"/>
    </w:pPr>
    <w:rPr>
      <w:rFonts w:ascii="Times New Roman" w:eastAsia="Times New Roman" w:hAnsi="Times New Roman" w:cs="Times New Roman"/>
      <w:b/>
      <w:bCs/>
      <w:noProof/>
      <w:kern w:val="0"/>
      <w14:ligatures w14:val="none"/>
    </w:rPr>
  </w:style>
  <w:style w:type="character" w:customStyle="1" w:styleId="H3Char">
    <w:name w:val="_H3 Char"/>
    <w:basedOn w:val="DefaultParagraphFont"/>
    <w:link w:val="H3"/>
    <w:rsid w:val="00A02C07"/>
    <w:rPr>
      <w:rFonts w:ascii="Times New Roman" w:eastAsia="Times New Roman" w:hAnsi="Times New Roman" w:cs="Times New Roman"/>
      <w:b/>
      <w:bCs/>
      <w:noProof/>
      <w:kern w:val="0"/>
      <w:lang w:val="en-IE"/>
      <w14:ligatures w14:val="none"/>
    </w:rPr>
  </w:style>
  <w:style w:type="paragraph" w:customStyle="1" w:styleId="H4">
    <w:name w:val="_H4"/>
    <w:basedOn w:val="Normal"/>
    <w:link w:val="H4Char"/>
    <w:rsid w:val="00A02C07"/>
    <w:pPr>
      <w:keepNext/>
      <w:tabs>
        <w:tab w:val="left" w:pos="850"/>
      </w:tabs>
      <w:spacing w:before="240" w:after="120" w:line="240" w:lineRule="auto"/>
      <w:ind w:left="720" w:hanging="720"/>
      <w:jc w:val="both"/>
      <w:outlineLvl w:val="3"/>
    </w:pPr>
    <w:rPr>
      <w:rFonts w:ascii="Times New Roman" w:eastAsia="Symbol" w:hAnsi="Times New Roman" w:cs="Symbol"/>
      <w:i/>
      <w:noProof/>
      <w:kern w:val="0"/>
      <w:lang w:val="en-GB"/>
      <w14:ligatures w14:val="none"/>
    </w:rPr>
  </w:style>
  <w:style w:type="character" w:customStyle="1" w:styleId="H4Char">
    <w:name w:val="_H4 Char"/>
    <w:basedOn w:val="DefaultParagraphFont"/>
    <w:link w:val="H4"/>
    <w:rsid w:val="00A02C07"/>
    <w:rPr>
      <w:rFonts w:ascii="Times New Roman" w:eastAsia="Symbol" w:hAnsi="Times New Roman" w:cs="Symbol"/>
      <w:i/>
      <w:noProof/>
      <w:kern w:val="0"/>
      <w:lang w:val="en-GB"/>
      <w14:ligatures w14:val="none"/>
    </w:rPr>
  </w:style>
  <w:style w:type="character" w:customStyle="1" w:styleId="Mention1">
    <w:name w:val="Mention1"/>
    <w:basedOn w:val="DefaultParagraphFont"/>
    <w:uiPriority w:val="99"/>
    <w:unhideWhenUsed/>
    <w:rsid w:val="00A02C07"/>
    <w:rPr>
      <w:color w:val="2B579A"/>
      <w:shd w:val="clear" w:color="auto" w:fill="E1DFDD"/>
    </w:rPr>
  </w:style>
  <w:style w:type="character" w:customStyle="1" w:styleId="UnresolvedMention4">
    <w:name w:val="Unresolved Mention4"/>
    <w:basedOn w:val="DefaultParagraphFont"/>
    <w:uiPriority w:val="99"/>
    <w:semiHidden/>
    <w:unhideWhenUsed/>
    <w:rsid w:val="00A02C07"/>
    <w:rPr>
      <w:color w:val="605E5C"/>
      <w:shd w:val="clear" w:color="auto" w:fill="E1DFDD"/>
    </w:rPr>
  </w:style>
  <w:style w:type="character" w:customStyle="1" w:styleId="Mention2">
    <w:name w:val="Mention2"/>
    <w:basedOn w:val="DefaultParagraphFont"/>
    <w:uiPriority w:val="99"/>
    <w:unhideWhenUsed/>
    <w:rsid w:val="00A02C07"/>
    <w:rPr>
      <w:color w:val="2B579A"/>
      <w:shd w:val="clear" w:color="auto" w:fill="E1DFDD"/>
    </w:rPr>
  </w:style>
  <w:style w:type="character" w:customStyle="1" w:styleId="UnresolvedMention5">
    <w:name w:val="Unresolved Mention5"/>
    <w:basedOn w:val="DefaultParagraphFont"/>
    <w:uiPriority w:val="99"/>
    <w:semiHidden/>
    <w:unhideWhenUsed/>
    <w:rsid w:val="00A02C07"/>
    <w:rPr>
      <w:color w:val="605E5C"/>
      <w:shd w:val="clear" w:color="auto" w:fill="E1DFDD"/>
    </w:rPr>
  </w:style>
  <w:style w:type="paragraph" w:styleId="BodyText">
    <w:name w:val="Body Text"/>
    <w:basedOn w:val="Normal"/>
    <w:link w:val="BodyTextChar"/>
    <w:uiPriority w:val="99"/>
    <w:semiHidden/>
    <w:unhideWhenUsed/>
    <w:rsid w:val="00A02C07"/>
    <w:pPr>
      <w:spacing w:after="120" w:line="259" w:lineRule="auto"/>
    </w:pPr>
    <w:rPr>
      <w:rFonts w:eastAsia="Yu Mincho"/>
      <w:kern w:val="0"/>
      <w:sz w:val="22"/>
      <w:szCs w:val="22"/>
      <w:lang w:val="fr-BE"/>
      <w14:ligatures w14:val="none"/>
    </w:rPr>
  </w:style>
  <w:style w:type="character" w:customStyle="1" w:styleId="BodyTextChar">
    <w:name w:val="Body Text Char"/>
    <w:basedOn w:val="DefaultParagraphFont"/>
    <w:link w:val="BodyText"/>
    <w:uiPriority w:val="99"/>
    <w:semiHidden/>
    <w:rsid w:val="00A02C07"/>
    <w:rPr>
      <w:rFonts w:eastAsia="Yu Mincho"/>
      <w:kern w:val="0"/>
      <w:sz w:val="22"/>
      <w:szCs w:val="22"/>
      <w:lang w:val="fr-BE"/>
      <w14:ligatures w14:val="none"/>
    </w:rPr>
  </w:style>
  <w:style w:type="character" w:customStyle="1" w:styleId="Mention3">
    <w:name w:val="Mention3"/>
    <w:basedOn w:val="DefaultParagraphFont"/>
    <w:uiPriority w:val="99"/>
    <w:unhideWhenUsed/>
    <w:rsid w:val="00A02C07"/>
    <w:rPr>
      <w:color w:val="2B579A"/>
      <w:shd w:val="clear" w:color="auto" w:fill="E1DFDD"/>
    </w:rPr>
  </w:style>
  <w:style w:type="character" w:styleId="Strong">
    <w:name w:val="Strong"/>
    <w:basedOn w:val="DefaultParagraphFont"/>
    <w:uiPriority w:val="22"/>
    <w:qFormat/>
    <w:rsid w:val="00A02C07"/>
    <w:rPr>
      <w:b/>
      <w:bCs/>
    </w:rPr>
  </w:style>
  <w:style w:type="character" w:styleId="Emphasis">
    <w:name w:val="Emphasis"/>
    <w:basedOn w:val="DefaultParagraphFont"/>
    <w:uiPriority w:val="20"/>
    <w:qFormat/>
    <w:rsid w:val="00A02C07"/>
    <w:rPr>
      <w:i/>
      <w:iCs/>
    </w:rPr>
  </w:style>
  <w:style w:type="character" w:customStyle="1" w:styleId="SubtleEmphasis1">
    <w:name w:val="Subtle Emphasis1"/>
    <w:basedOn w:val="DefaultParagraphFont"/>
    <w:uiPriority w:val="19"/>
    <w:qFormat/>
    <w:rsid w:val="00A02C07"/>
    <w:rPr>
      <w:i/>
      <w:iCs/>
      <w:color w:val="595959"/>
    </w:rPr>
  </w:style>
  <w:style w:type="character" w:customStyle="1" w:styleId="SubtleReference1">
    <w:name w:val="Subtle Reference1"/>
    <w:basedOn w:val="DefaultParagraphFont"/>
    <w:uiPriority w:val="31"/>
    <w:qFormat/>
    <w:rsid w:val="00A02C07"/>
    <w:rPr>
      <w:smallCaps/>
      <w:color w:val="595959"/>
      <w:u w:val="none" w:color="7F7F7F"/>
      <w:bdr w:val="none" w:sz="0" w:space="0" w:color="auto"/>
    </w:rPr>
  </w:style>
  <w:style w:type="character" w:styleId="BookTitle">
    <w:name w:val="Book Title"/>
    <w:basedOn w:val="DefaultParagraphFont"/>
    <w:uiPriority w:val="33"/>
    <w:qFormat/>
    <w:rsid w:val="00A02C07"/>
    <w:rPr>
      <w:b/>
      <w:bCs/>
      <w:smallCaps/>
      <w:spacing w:val="10"/>
    </w:rPr>
  </w:style>
  <w:style w:type="character" w:customStyle="1" w:styleId="UnresolvedMention">
    <w:name w:val="Unresolved Mention"/>
    <w:basedOn w:val="DefaultParagraphFont"/>
    <w:uiPriority w:val="99"/>
    <w:semiHidden/>
    <w:unhideWhenUsed/>
    <w:rsid w:val="00A02C07"/>
    <w:rPr>
      <w:color w:val="605E5C"/>
      <w:shd w:val="clear" w:color="auto" w:fill="E1DFDD"/>
    </w:rPr>
  </w:style>
  <w:style w:type="paragraph" w:customStyle="1" w:styleId="Languesfaisantfoi">
    <w:name w:val="Langues faisant foi"/>
    <w:basedOn w:val="Normal"/>
    <w:next w:val="Normal"/>
    <w:rsid w:val="00A02C07"/>
    <w:pPr>
      <w:spacing w:before="360" w:after="240" w:line="240" w:lineRule="auto"/>
      <w:jc w:val="center"/>
    </w:pPr>
    <w:rPr>
      <w:rFonts w:ascii="Times New Roman" w:hAnsi="Times New Roman" w:cs="Times New Roman"/>
      <w:kern w:val="0"/>
      <w:szCs w:val="22"/>
      <w:lang w:val="fr-BE"/>
      <w14:ligatures w14:val="none"/>
    </w:rPr>
  </w:style>
  <w:style w:type="paragraph" w:customStyle="1" w:styleId="LanguesfaisantfoiPagedecouverture">
    <w:name w:val="Langues faisant foi (Page de couverture)"/>
    <w:basedOn w:val="Normal"/>
    <w:next w:val="Normal"/>
    <w:rsid w:val="00A02C07"/>
    <w:pPr>
      <w:spacing w:before="360" w:after="240" w:line="240" w:lineRule="auto"/>
      <w:jc w:val="center"/>
    </w:pPr>
    <w:rPr>
      <w:rFonts w:ascii="Times New Roman" w:hAnsi="Times New Roman" w:cs="Times New Roman"/>
      <w:kern w:val="0"/>
      <w:szCs w:val="22"/>
      <w:lang w:val="fr-BE"/>
      <w14:ligatures w14:val="none"/>
    </w:rPr>
  </w:style>
  <w:style w:type="paragraph" w:customStyle="1" w:styleId="IntrtEEE">
    <w:name w:val="Intérêt EEE"/>
    <w:basedOn w:val="Languesfaisantfoi"/>
    <w:next w:val="Normal"/>
    <w:rsid w:val="00A02C07"/>
    <w:pPr>
      <w:spacing w:after="0"/>
    </w:pPr>
  </w:style>
  <w:style w:type="paragraph" w:customStyle="1" w:styleId="IntrtEEEPagedecouverture">
    <w:name w:val="Intérêt EEE (Page de couverture)"/>
    <w:basedOn w:val="IntrtEEE"/>
    <w:next w:val="Normal"/>
    <w:rsid w:val="00A02C07"/>
  </w:style>
  <w:style w:type="character" w:customStyle="1" w:styleId="Mention">
    <w:name w:val="Mention"/>
    <w:basedOn w:val="DefaultParagraphFont"/>
    <w:uiPriority w:val="99"/>
    <w:unhideWhenUsed/>
    <w:rsid w:val="00A02C07"/>
    <w:rPr>
      <w:color w:val="2B579A"/>
      <w:shd w:val="clear" w:color="auto" w:fill="E1DFDD"/>
    </w:rPr>
  </w:style>
  <w:style w:type="table" w:styleId="GridTable5Dark-Accent6">
    <w:name w:val="Grid Table 5 Dark Accent 6"/>
    <w:basedOn w:val="TableNormal"/>
    <w:uiPriority w:val="50"/>
    <w:rsid w:val="00A02C0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character" w:styleId="SubtleEmphasis">
    <w:name w:val="Subtle Emphasis"/>
    <w:basedOn w:val="DefaultParagraphFont"/>
    <w:uiPriority w:val="19"/>
    <w:qFormat/>
    <w:rsid w:val="00A02C07"/>
    <w:rPr>
      <w:i/>
      <w:iCs/>
      <w:color w:val="404040" w:themeColor="text1" w:themeTint="BF"/>
    </w:rPr>
  </w:style>
  <w:style w:type="character" w:styleId="SubtleReference">
    <w:name w:val="Subtle Reference"/>
    <w:basedOn w:val="DefaultParagraphFont"/>
    <w:uiPriority w:val="31"/>
    <w:qFormat/>
    <w:rsid w:val="00A02C0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421858">
      <w:bodyDiv w:val="1"/>
      <w:marLeft w:val="0"/>
      <w:marRight w:val="0"/>
      <w:marTop w:val="0"/>
      <w:marBottom w:val="0"/>
      <w:divBdr>
        <w:top w:val="none" w:sz="0" w:space="0" w:color="auto"/>
        <w:left w:val="none" w:sz="0" w:space="0" w:color="auto"/>
        <w:bottom w:val="none" w:sz="0" w:space="0" w:color="auto"/>
        <w:right w:val="none" w:sz="0" w:space="0" w:color="auto"/>
      </w:divBdr>
    </w:div>
    <w:div w:id="726876111">
      <w:bodyDiv w:val="1"/>
      <w:marLeft w:val="0"/>
      <w:marRight w:val="0"/>
      <w:marTop w:val="0"/>
      <w:marBottom w:val="0"/>
      <w:divBdr>
        <w:top w:val="none" w:sz="0" w:space="0" w:color="auto"/>
        <w:left w:val="none" w:sz="0" w:space="0" w:color="auto"/>
        <w:bottom w:val="none" w:sz="0" w:space="0" w:color="auto"/>
        <w:right w:val="none" w:sz="0" w:space="0" w:color="auto"/>
      </w:divBdr>
    </w:div>
    <w:div w:id="1211648907">
      <w:bodyDiv w:val="1"/>
      <w:marLeft w:val="0"/>
      <w:marRight w:val="0"/>
      <w:marTop w:val="0"/>
      <w:marBottom w:val="0"/>
      <w:divBdr>
        <w:top w:val="none" w:sz="0" w:space="0" w:color="auto"/>
        <w:left w:val="none" w:sz="0" w:space="0" w:color="auto"/>
        <w:bottom w:val="none" w:sz="0" w:space="0" w:color="auto"/>
        <w:right w:val="none" w:sz="0" w:space="0" w:color="auto"/>
      </w:divBdr>
    </w:div>
    <w:div w:id="1445542231">
      <w:bodyDiv w:val="1"/>
      <w:marLeft w:val="0"/>
      <w:marRight w:val="0"/>
      <w:marTop w:val="0"/>
      <w:marBottom w:val="0"/>
      <w:divBdr>
        <w:top w:val="none" w:sz="0" w:space="0" w:color="auto"/>
        <w:left w:val="none" w:sz="0" w:space="0" w:color="auto"/>
        <w:bottom w:val="none" w:sz="0" w:space="0" w:color="auto"/>
        <w:right w:val="none" w:sz="0" w:space="0" w:color="auto"/>
      </w:divBdr>
    </w:div>
    <w:div w:id="1545944479">
      <w:bodyDiv w:val="1"/>
      <w:marLeft w:val="0"/>
      <w:marRight w:val="0"/>
      <w:marTop w:val="0"/>
      <w:marBottom w:val="0"/>
      <w:divBdr>
        <w:top w:val="none" w:sz="0" w:space="0" w:color="auto"/>
        <w:left w:val="none" w:sz="0" w:space="0" w:color="auto"/>
        <w:bottom w:val="none" w:sz="0" w:space="0" w:color="auto"/>
        <w:right w:val="none" w:sz="0" w:space="0" w:color="auto"/>
      </w:divBdr>
    </w:div>
    <w:div w:id="1620259574">
      <w:bodyDiv w:val="1"/>
      <w:marLeft w:val="0"/>
      <w:marRight w:val="0"/>
      <w:marTop w:val="0"/>
      <w:marBottom w:val="0"/>
      <w:divBdr>
        <w:top w:val="none" w:sz="0" w:space="0" w:color="auto"/>
        <w:left w:val="none" w:sz="0" w:space="0" w:color="auto"/>
        <w:bottom w:val="none" w:sz="0" w:space="0" w:color="auto"/>
        <w:right w:val="none" w:sz="0" w:space="0" w:color="auto"/>
      </w:divBdr>
    </w:div>
    <w:div w:id="1624651844">
      <w:bodyDiv w:val="1"/>
      <w:marLeft w:val="0"/>
      <w:marRight w:val="0"/>
      <w:marTop w:val="0"/>
      <w:marBottom w:val="0"/>
      <w:divBdr>
        <w:top w:val="none" w:sz="0" w:space="0" w:color="auto"/>
        <w:left w:val="none" w:sz="0" w:space="0" w:color="auto"/>
        <w:bottom w:val="none" w:sz="0" w:space="0" w:color="auto"/>
        <w:right w:val="none" w:sz="0" w:space="0" w:color="auto"/>
      </w:divBdr>
    </w:div>
    <w:div w:id="1834368076">
      <w:bodyDiv w:val="1"/>
      <w:marLeft w:val="0"/>
      <w:marRight w:val="0"/>
      <w:marTop w:val="0"/>
      <w:marBottom w:val="0"/>
      <w:divBdr>
        <w:top w:val="none" w:sz="0" w:space="0" w:color="auto"/>
        <w:left w:val="none" w:sz="0" w:space="0" w:color="auto"/>
        <w:bottom w:val="none" w:sz="0" w:space="0" w:color="auto"/>
        <w:right w:val="none" w:sz="0" w:space="0" w:color="auto"/>
      </w:divBdr>
    </w:div>
    <w:div w:id="1979413050">
      <w:bodyDiv w:val="1"/>
      <w:marLeft w:val="0"/>
      <w:marRight w:val="0"/>
      <w:marTop w:val="0"/>
      <w:marBottom w:val="0"/>
      <w:divBdr>
        <w:top w:val="none" w:sz="0" w:space="0" w:color="auto"/>
        <w:left w:val="none" w:sz="0" w:space="0" w:color="auto"/>
        <w:bottom w:val="none" w:sz="0" w:space="0" w:color="auto"/>
        <w:right w:val="none" w:sz="0" w:space="0" w:color="auto"/>
      </w:divBdr>
    </w:div>
    <w:div w:id="210954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hyperlink" Target="https://vvtat.lrv.lt/media/viesa/saugykla/2024/2/o2moBOazC4c.pdf" TargetMode="External"/><Relationship Id="rId50" Type="http://schemas.openxmlformats.org/officeDocument/2006/relationships/image" Target="media/image31.png"/><Relationship Id="rId55" Type="http://schemas.openxmlformats.org/officeDocument/2006/relationships/image" Target="media/image35.png"/><Relationship Id="rId63" Type="http://schemas.openxmlformats.org/officeDocument/2006/relationships/image" Target="media/image42.png"/><Relationship Id="rId68" Type="http://schemas.openxmlformats.org/officeDocument/2006/relationships/image" Target="media/image47.png"/><Relationship Id="rId76" Type="http://schemas.openxmlformats.org/officeDocument/2006/relationships/image" Target="media/image55.png"/><Relationship Id="rId84" Type="http://schemas.openxmlformats.org/officeDocument/2006/relationships/image" Target="media/image63.png"/><Relationship Id="rId89" Type="http://schemas.openxmlformats.org/officeDocument/2006/relationships/image" Target="media/image68.png"/><Relationship Id="rId97"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image" Target="media/image50.png"/><Relationship Id="rId92" Type="http://schemas.openxmlformats.org/officeDocument/2006/relationships/hyperlink" Target="https://rappresentantidiinteressi.camera.it/sito/" TargetMode="Externa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3.png"/><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4.png"/><Relationship Id="rId58" Type="http://schemas.openxmlformats.org/officeDocument/2006/relationships/image" Target="media/image37.png"/><Relationship Id="rId66" Type="http://schemas.openxmlformats.org/officeDocument/2006/relationships/image" Target="media/image45.png"/><Relationship Id="rId74" Type="http://schemas.openxmlformats.org/officeDocument/2006/relationships/image" Target="media/image53.png"/><Relationship Id="rId79" Type="http://schemas.openxmlformats.org/officeDocument/2006/relationships/image" Target="media/image58.png"/><Relationship Id="rId87" Type="http://schemas.openxmlformats.org/officeDocument/2006/relationships/image" Target="media/image66.png"/><Relationship Id="rId102"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0.png"/><Relationship Id="rId82" Type="http://schemas.openxmlformats.org/officeDocument/2006/relationships/image" Target="media/image61.png"/><Relationship Id="rId90" Type="http://schemas.openxmlformats.org/officeDocument/2006/relationships/image" Target="media/image69.png"/><Relationship Id="rId95" Type="http://schemas.openxmlformats.org/officeDocument/2006/relationships/header" Target="header4.xml"/><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hyperlink" Target="https://www.consumidor.gov.pt/consumidor_4/acoes-coletivas/informacoes-sobre-acoes-coletivas" TargetMode="External"/><Relationship Id="rId56" Type="http://schemas.openxmlformats.org/officeDocument/2006/relationships/hyperlink" Target="https://ec.europa.eu/eurostat/databrowser/view/gov_10a_exp/default/table?lang=en" TargetMode="External"/><Relationship Id="rId64" Type="http://schemas.openxmlformats.org/officeDocument/2006/relationships/image" Target="media/image43.png"/><Relationship Id="rId69" Type="http://schemas.openxmlformats.org/officeDocument/2006/relationships/image" Target="media/image48.png"/><Relationship Id="rId77" Type="http://schemas.openxmlformats.org/officeDocument/2006/relationships/image" Target="media/image56.png"/><Relationship Id="rId100"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image" Target="media/image64.png"/><Relationship Id="rId93" Type="http://schemas.openxmlformats.org/officeDocument/2006/relationships/hyperlink" Target="https://data.gov.lv/dati/lv/dataset/interest-representatives/resource/f0226f3a-b8fb-444a-b239-65c440901a47" TargetMode="External"/><Relationship Id="rId98"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image" Target="media/image4.png"/><Relationship Id="rId41" Type="http://schemas.openxmlformats.org/officeDocument/2006/relationships/image" Target="media/image25.png"/><Relationship Id="rId54" Type="http://schemas.openxmlformats.org/officeDocument/2006/relationships/hyperlink" Target="https://ec.europa.eu/eurostat/databrowser/view/gov_10a_exp/default/table?lang=en" TargetMode="External"/><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hyperlink" Target="https://trasparenza-new.mimit.gov.it/registro-trasparenza"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hyperlink" Target="https://static.slov-lex.sk/pdf/prilohy/SK/ZZ/2023/289/20230725_5563264-2.pdf" TargetMode="External"/><Relationship Id="rId57" Type="http://schemas.openxmlformats.org/officeDocument/2006/relationships/image" Target="media/image36.pn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3.jpe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0.png"/><Relationship Id="rId99" Type="http://schemas.openxmlformats.org/officeDocument/2006/relationships/header" Target="header6.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2.png"/><Relationship Id="rId39" Type="http://schemas.openxmlformats.org/officeDocument/2006/relationships/image" Target="media/image23.png"/></Relationships>
</file>

<file path=word/_rels/footnotes.xml.rels><?xml version="1.0" encoding="UTF-8" standalone="yes"?>
<Relationships xmlns="http://schemas.openxmlformats.org/package/2006/relationships"><Relationship Id="rId8" Type="http://schemas.openxmlformats.org/officeDocument/2006/relationships/hyperlink" Target="http://ec.europa.eu/competition/ecn/index_en.html" TargetMode="External"/><Relationship Id="rId13" Type="http://schemas.openxmlformats.org/officeDocument/2006/relationships/hyperlink" Target="https://ec.europa.eu/transparency/expert-groups-register/screen/expert-groups/consult?lang=en&amp;do=groupDetail.groupDetail&amp;groupID=2914" TargetMode="External"/><Relationship Id="rId18" Type="http://schemas.openxmlformats.org/officeDocument/2006/relationships/hyperlink" Target="https://www.notariesofeurope.eu/fr/" TargetMode="External"/><Relationship Id="rId26" Type="http://schemas.openxmlformats.org/officeDocument/2006/relationships/hyperlink" Target="https://www.weforum.org/reports/global-competitiveness-report-2019" TargetMode="External"/><Relationship Id="rId39" Type="http://schemas.openxmlformats.org/officeDocument/2006/relationships/hyperlink" Target="https://commission.europa.eu/law/law-topic/consumer-protection-law/representative-actions-directive_en" TargetMode="External"/><Relationship Id="rId3" Type="http://schemas.openxmlformats.org/officeDocument/2006/relationships/hyperlink" Target="https://commission.europa.eu/strategy-and-policy/policies/justice-and-fundamental-rights/democracy-eu-citizenship-anti-corruption/anti-corruption/eu-network-against-corruption_en" TargetMode="External"/><Relationship Id="rId21" Type="http://schemas.openxmlformats.org/officeDocument/2006/relationships/hyperlink" Target="https://direct.mit.edu/rest/article/102/1/49/58536/Judicial-Efficiency-and-Firm-Productivity-Evidence" TargetMode="External"/><Relationship Id="rId34" Type="http://schemas.openxmlformats.org/officeDocument/2006/relationships/hyperlink" Target="https://commission.europa.eu/strategy-and-policy/policies/justice-and-fundamental-rights/upholding-rule-law/eu-justice-scoreboard_en" TargetMode="External"/><Relationship Id="rId42" Type="http://schemas.openxmlformats.org/officeDocument/2006/relationships/hyperlink" Target="http://eur-lex.europa.eu/legal-content/EN/TXT/PDF/?uri=CELEX:12012P/TXT&amp;from=EN" TargetMode="External"/><Relationship Id="rId47" Type="http://schemas.openxmlformats.org/officeDocument/2006/relationships/hyperlink" Target="https://commission.europa.eu/strategy-and-policy/policies/justice-and-fundamental-rights/upholding-rule-law/eu-justice-scoreboard_en" TargetMode="External"/><Relationship Id="rId7" Type="http://schemas.openxmlformats.org/officeDocument/2006/relationships/hyperlink" Target="https://www.ccbe.eu/" TargetMode="External"/><Relationship Id="rId12" Type="http://schemas.openxmlformats.org/officeDocument/2006/relationships/hyperlink" Target="https://commission.europa.eu/live-work-travel-eu/consumer-rights-and-complaints/enforcement-consumer-protection/consumer-protection-cooperation-network_en" TargetMode="External"/><Relationship Id="rId17" Type="http://schemas.openxmlformats.org/officeDocument/2006/relationships/hyperlink" Target="https://www.eca.europa.eu/sites/CC/en/pages/about.aspx" TargetMode="External"/><Relationship Id="rId25" Type="http://schemas.openxmlformats.org/officeDocument/2006/relationships/hyperlink" Target="https://pgwrk-websitemedia.s3.eu-west-1.amazonaws.com/production/pwk-web-encj2017-p/Reports/Economic%20value%20of%20te%20judiciary%20-%20pilot%20study.pdf" TargetMode="External"/><Relationship Id="rId33" Type="http://schemas.openxmlformats.org/officeDocument/2006/relationships/hyperlink" Target="https://eur-lex.europa.eu/legal-content/EN/TXT/?uri=COM%3A2025%3A802%3AFIN&amp;qid=1763638848898" TargetMode="External"/><Relationship Id="rId38" Type="http://schemas.openxmlformats.org/officeDocument/2006/relationships/hyperlink" Target="https://ec.europa.eu/eurostat/databrowser/view/ilc_li01/default/table?lang=en" TargetMode="External"/><Relationship Id="rId46" Type="http://schemas.openxmlformats.org/officeDocument/2006/relationships/hyperlink" Target="https://commission.europa.eu/strategy-and-policy/policies/justice-and-fundamental-rights/upholding-rule-law/eu-justice-scoreboard_en" TargetMode="External"/><Relationship Id="rId2" Type="http://schemas.openxmlformats.org/officeDocument/2006/relationships/hyperlink" Target="https://commission.europa.eu/strategy-and-policy/policies/justice-and-fundamental-rights/upholding-rule-law/eu-justice-scoreboard_en" TargetMode="External"/><Relationship Id="rId16" Type="http://schemas.openxmlformats.org/officeDocument/2006/relationships/hyperlink" Target="https://www.npg-nadal.eu/" TargetMode="External"/><Relationship Id="rId20" Type="http://schemas.openxmlformats.org/officeDocument/2006/relationships/hyperlink" Target="https://www.sciencedirect.com/science/article/pii/S2214845023001709" TargetMode="External"/><Relationship Id="rId29" Type="http://schemas.openxmlformats.org/officeDocument/2006/relationships/hyperlink" Target="http://publications.jrc.ec.europa.eu/repository/bitstream/JRC104594/jrc104594__2017_the_judicial_system_and_economic_development_across_eu_member_states.pdf" TargetMode="External"/><Relationship Id="rId41" Type="http://schemas.openxmlformats.org/officeDocument/2006/relationships/hyperlink" Target="https://eige.europa.eu/gender-statistics/dgs/indicator/wmidm_jud_natcrt__wmid_natcrt_supcrt/datatable" TargetMode="External"/><Relationship Id="rId1" Type="http://schemas.openxmlformats.org/officeDocument/2006/relationships/hyperlink" Target="https://commission.europa.eu/publications/2025-rule-law-report-communication-and-country-chapters_en" TargetMode="External"/><Relationship Id="rId6" Type="http://schemas.openxmlformats.org/officeDocument/2006/relationships/hyperlink" Target="https://www.aca-europe.eu/index.php/en/" TargetMode="External"/><Relationship Id="rId11" Type="http://schemas.openxmlformats.org/officeDocument/2006/relationships/hyperlink" Target="https://euipo.europa.eu/ohimportal/en/web/observatory/home" TargetMode="External"/><Relationship Id="rId24" Type="http://schemas.openxmlformats.org/officeDocument/2006/relationships/hyperlink" Target="https://www.ecb.europa.eu/pub/pdf/scpops/ecb.op210.en.pdf?3db9355b1d1599799aa0e475e5624651" TargetMode="External"/><Relationship Id="rId32" Type="http://schemas.openxmlformats.org/officeDocument/2006/relationships/hyperlink" Target="https://euipo.europa.eu/tunnel-web/secure/webdav/guest/document_library/observatory/documents/sme_scoreboard_study_2016/Executive-summary_en.pdf" TargetMode="External"/><Relationship Id="rId37" Type="http://schemas.openxmlformats.org/officeDocument/2006/relationships/hyperlink" Target="https://www.imf.org/en/About/Factsheets/Sheets/2016/08/01/16/31/Fight-Against-Money-Laundering-the-Financing-of-Terrorism" TargetMode="External"/><Relationship Id="rId40" Type="http://schemas.openxmlformats.org/officeDocument/2006/relationships/hyperlink" Target="https://commission.europa.eu/strategy-and-policy/policies/justice-and-fundamental-rights/upholding-rule-law/eu-justice-scoreboard_en" TargetMode="External"/><Relationship Id="rId45" Type="http://schemas.openxmlformats.org/officeDocument/2006/relationships/hyperlink" Target="https://data.consilium.europa.eu/doc/document/ST-6319-2022-INIT/en/pdf" TargetMode="External"/><Relationship Id="rId5" Type="http://schemas.openxmlformats.org/officeDocument/2006/relationships/hyperlink" Target="http://network-presidents.eu/" TargetMode="External"/><Relationship Id="rId15" Type="http://schemas.openxmlformats.org/officeDocument/2006/relationships/hyperlink" Target="https://commission.europa.eu/strategy-and-policy/policies/justice-and-fundamental-rights/democracy-eu-citizenship-anti-corruption/anti-corruption/eu-network-against-corruption_en" TargetMode="External"/><Relationship Id="rId23" Type="http://schemas.openxmlformats.org/officeDocument/2006/relationships/hyperlink" Target="https://www.imf.org/~/media/Files/Publications/REO/EUR/2017/November/eur-booked-print.ashx?la=en" TargetMode="External"/><Relationship Id="rId28" Type="http://schemas.openxmlformats.org/officeDocument/2006/relationships/hyperlink" Target="http://www.coe.int/t/dghl/cooperation/cepej/evaluation/default_en.asp" TargetMode="External"/><Relationship Id="rId36" Type="http://schemas.openxmlformats.org/officeDocument/2006/relationships/hyperlink" Target="http://www.coe.int/t/dghl/cooperation/cepej/evaluation/default_en.asp" TargetMode="External"/><Relationship Id="rId10" Type="http://schemas.openxmlformats.org/officeDocument/2006/relationships/hyperlink" Target="https://ec.europa.eu/transparency/comitology-register/screen/committees" TargetMode="External"/><Relationship Id="rId19" Type="http://schemas.openxmlformats.org/officeDocument/2006/relationships/hyperlink" Target="https://ec.europa.eu/economy_finance/recovery-and-resilience-scoreboard/index.html" TargetMode="External"/><Relationship Id="rId31" Type="http://schemas.openxmlformats.org/officeDocument/2006/relationships/hyperlink" Target="http://www.biicl.org/documents/625_d4_fdi_main_report.pdf" TargetMode="External"/><Relationship Id="rId44" Type="http://schemas.openxmlformats.org/officeDocument/2006/relationships/hyperlink" Target="https://commission.europa.eu/strategy-and-policy/policies/justice-and-fundamental-rights/upholding-rule-law/eu-justice-scoreboard_en" TargetMode="External"/><Relationship Id="rId4" Type="http://schemas.openxmlformats.org/officeDocument/2006/relationships/hyperlink" Target="https://www.encj.eu/" TargetMode="External"/><Relationship Id="rId9" Type="http://schemas.openxmlformats.org/officeDocument/2006/relationships/hyperlink" Target="https://eur-lex.europa.eu/legal-content/EN/TXT/?uri=CELEX:52017DC0028" TargetMode="External"/><Relationship Id="rId14" Type="http://schemas.openxmlformats.org/officeDocument/2006/relationships/hyperlink" Target="https://ec.europa.eu/eurostat/" TargetMode="External"/><Relationship Id="rId22" Type="http://schemas.openxmlformats.org/officeDocument/2006/relationships/hyperlink" Target="https://onlinelibrary.wiley.com/doi/10.1111/sjpe.12357?msockid=1a8244b340af65701f02511641c36474" TargetMode="External"/><Relationship Id="rId27" Type="http://schemas.openxmlformats.org/officeDocument/2006/relationships/hyperlink" Target="http://www.worldbank.org/en/publication/wdr2017" TargetMode="External"/><Relationship Id="rId30" Type="http://schemas.openxmlformats.org/officeDocument/2006/relationships/hyperlink" Target="https://doi.org/10.1016/j.euroecorev.2024.104947" TargetMode="External"/><Relationship Id="rId35" Type="http://schemas.openxmlformats.org/officeDocument/2006/relationships/hyperlink" Target="https://commission.europa.eu/strategy-and-policy/policies/justice-and-fundamental-rights/upholding-rule-law/eu-justice-scoreboard_en" TargetMode="External"/><Relationship Id="rId43" Type="http://schemas.openxmlformats.org/officeDocument/2006/relationships/hyperlink" Target="https://commission.europa.eu/strategy-and-policy/policies/justice-and-fundamental-rights/upholding-rule-law/eu-justice-scoreboar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17" ma:contentTypeDescription="Create a new document." ma:contentTypeScope="" ma:versionID="1561b535721e9f71650e752ff912b59a">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13d58086dc905aa974228bfd648b51e9"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o_x002e_" ma:index="23" nillable="true" ma:displayName="No." ma:format="Dropdown" ma:internalName="No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4a52d71-9f02-490e-8aa3-c381bd22266c}"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lcf76f155ced4ddcb4097134ff3c332f xmlns="d47e9b79-a238-4c23-8f8d-deb36af73bea">
      <Terms xmlns="http://schemas.microsoft.com/office/infopath/2007/PartnerControls"/>
    </lcf76f155ced4ddcb4097134ff3c332f>
    <No_x002e_ xmlns="d47e9b79-a238-4c23-8f8d-deb36af73b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65DD3-A9CC-4883-9096-E187CC534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DC79D9-9657-4FE2-ABD3-5762AE45C546}">
  <ds:schemaRefs>
    <ds:schemaRef ds:uri="http://schemas.microsoft.com/office/2006/metadata/properties"/>
    <ds:schemaRef ds:uri="http://schemas.microsoft.com/office/infopath/2007/PartnerControls"/>
    <ds:schemaRef ds:uri="827efdc9-378e-418a-934d-4e27c154476b"/>
    <ds:schemaRef ds:uri="d47e9b79-a238-4c23-8f8d-deb36af73bea"/>
  </ds:schemaRefs>
</ds:datastoreItem>
</file>

<file path=customXml/itemProps3.xml><?xml version="1.0" encoding="utf-8"?>
<ds:datastoreItem xmlns:ds="http://schemas.openxmlformats.org/officeDocument/2006/customXml" ds:itemID="{50D2847D-54EB-4F1B-9D31-96A86E0C64D3}">
  <ds:schemaRefs>
    <ds:schemaRef ds:uri="http://schemas.microsoft.com/sharepoint/v3/contenttype/forms"/>
  </ds:schemaRefs>
</ds:datastoreItem>
</file>

<file path=customXml/itemProps4.xml><?xml version="1.0" encoding="utf-8"?>
<ds:datastoreItem xmlns:ds="http://schemas.openxmlformats.org/officeDocument/2006/customXml" ds:itemID="{822F8BD6-3398-4A6E-8845-CAEEB9470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28569</Words>
  <Characters>162849</Characters>
  <Application>Microsoft Office Word</Application>
  <DocSecurity>0</DocSecurity>
  <Lines>1357</Lines>
  <Paragraphs>382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191036</CharactersWithSpaces>
  <SharedDoc>false</SharedDoc>
  <HLinks>
    <vt:vector size="330" baseType="variant">
      <vt:variant>
        <vt:i4>3473454</vt:i4>
      </vt:variant>
      <vt:variant>
        <vt:i4>157</vt:i4>
      </vt:variant>
      <vt:variant>
        <vt:i4>0</vt:i4>
      </vt:variant>
      <vt:variant>
        <vt:i4>5</vt:i4>
      </vt:variant>
      <vt:variant>
        <vt:lpwstr>https://data.gov.lv/dati/lv/dataset/interest-representatives/resource/f0226f3a-b8fb-444a-b239-65c440901a47</vt:lpwstr>
      </vt:variant>
      <vt:variant>
        <vt:lpwstr/>
      </vt:variant>
      <vt:variant>
        <vt:i4>786440</vt:i4>
      </vt:variant>
      <vt:variant>
        <vt:i4>154</vt:i4>
      </vt:variant>
      <vt:variant>
        <vt:i4>0</vt:i4>
      </vt:variant>
      <vt:variant>
        <vt:i4>5</vt:i4>
      </vt:variant>
      <vt:variant>
        <vt:lpwstr>https://rappresentantidiinteressi.camera.it/sito/</vt:lpwstr>
      </vt:variant>
      <vt:variant>
        <vt:lpwstr/>
      </vt:variant>
      <vt:variant>
        <vt:i4>5570572</vt:i4>
      </vt:variant>
      <vt:variant>
        <vt:i4>151</vt:i4>
      </vt:variant>
      <vt:variant>
        <vt:i4>0</vt:i4>
      </vt:variant>
      <vt:variant>
        <vt:i4>5</vt:i4>
      </vt:variant>
      <vt:variant>
        <vt:lpwstr>https://trasparenza-new.mimit.gov.it/registro-trasparenza</vt:lpwstr>
      </vt:variant>
      <vt:variant>
        <vt:lpwstr/>
      </vt:variant>
      <vt:variant>
        <vt:i4>4194334</vt:i4>
      </vt:variant>
      <vt:variant>
        <vt:i4>80</vt:i4>
      </vt:variant>
      <vt:variant>
        <vt:i4>0</vt:i4>
      </vt:variant>
      <vt:variant>
        <vt:i4>5</vt:i4>
      </vt:variant>
      <vt:variant>
        <vt:lpwstr>https://ec.europa.eu/eurostat/databrowser/view/gov_10a_exp/default/table?lang=en</vt:lpwstr>
      </vt:variant>
      <vt:variant>
        <vt:lpwstr/>
      </vt:variant>
      <vt:variant>
        <vt:i4>4194334</vt:i4>
      </vt:variant>
      <vt:variant>
        <vt:i4>77</vt:i4>
      </vt:variant>
      <vt:variant>
        <vt:i4>0</vt:i4>
      </vt:variant>
      <vt:variant>
        <vt:i4>5</vt:i4>
      </vt:variant>
      <vt:variant>
        <vt:lpwstr>https://ec.europa.eu/eurostat/databrowser/view/gov_10a_exp/default/table?lang=en</vt:lpwstr>
      </vt:variant>
      <vt:variant>
        <vt:lpwstr/>
      </vt:variant>
      <vt:variant>
        <vt:i4>4456553</vt:i4>
      </vt:variant>
      <vt:variant>
        <vt:i4>64</vt:i4>
      </vt:variant>
      <vt:variant>
        <vt:i4>0</vt:i4>
      </vt:variant>
      <vt:variant>
        <vt:i4>5</vt:i4>
      </vt:variant>
      <vt:variant>
        <vt:lpwstr>https://static.slov-lex.sk/pdf/prilohy/SK/ZZ/2023/289/20230725_5563264-2.pdf</vt:lpwstr>
      </vt:variant>
      <vt:variant>
        <vt:lpwstr/>
      </vt:variant>
      <vt:variant>
        <vt:i4>4587635</vt:i4>
      </vt:variant>
      <vt:variant>
        <vt:i4>61</vt:i4>
      </vt:variant>
      <vt:variant>
        <vt:i4>0</vt:i4>
      </vt:variant>
      <vt:variant>
        <vt:i4>5</vt:i4>
      </vt:variant>
      <vt:variant>
        <vt:lpwstr>https://www.consumidor.gov.pt/consumidor_4/acoes-coletivas/informacoes-sobre-acoes-coletivas</vt:lpwstr>
      </vt:variant>
      <vt:variant>
        <vt:lpwstr/>
      </vt:variant>
      <vt:variant>
        <vt:i4>458819</vt:i4>
      </vt:variant>
      <vt:variant>
        <vt:i4>58</vt:i4>
      </vt:variant>
      <vt:variant>
        <vt:i4>0</vt:i4>
      </vt:variant>
      <vt:variant>
        <vt:i4>5</vt:i4>
      </vt:variant>
      <vt:variant>
        <vt:lpwstr>https://vvtat.lrv.lt/media/viesa/saugykla/2024/2/o2moBOazC4c.pdf</vt:lpwstr>
      </vt:variant>
      <vt:variant>
        <vt:lpwstr/>
      </vt:variant>
      <vt:variant>
        <vt:i4>109</vt:i4>
      </vt:variant>
      <vt:variant>
        <vt:i4>138</vt:i4>
      </vt:variant>
      <vt:variant>
        <vt:i4>0</vt:i4>
      </vt:variant>
      <vt:variant>
        <vt:i4>5</vt:i4>
      </vt:variant>
      <vt:variant>
        <vt:lpwstr>https://commission.europa.eu/strategy-and-policy/policies/justice-and-fundamental-rights/upholding-rule-law/eu-justice-scoreboard_en</vt:lpwstr>
      </vt:variant>
      <vt:variant>
        <vt:lpwstr>surveys</vt:lpwstr>
      </vt:variant>
      <vt:variant>
        <vt:i4>109</vt:i4>
      </vt:variant>
      <vt:variant>
        <vt:i4>135</vt:i4>
      </vt:variant>
      <vt:variant>
        <vt:i4>0</vt:i4>
      </vt:variant>
      <vt:variant>
        <vt:i4>5</vt:i4>
      </vt:variant>
      <vt:variant>
        <vt:lpwstr>https://commission.europa.eu/strategy-and-policy/policies/justice-and-fundamental-rights/upholding-rule-law/eu-justice-scoreboard_en</vt:lpwstr>
      </vt:variant>
      <vt:variant>
        <vt:lpwstr>surveys</vt:lpwstr>
      </vt:variant>
      <vt:variant>
        <vt:i4>6946914</vt:i4>
      </vt:variant>
      <vt:variant>
        <vt:i4>132</vt:i4>
      </vt:variant>
      <vt:variant>
        <vt:i4>0</vt:i4>
      </vt:variant>
      <vt:variant>
        <vt:i4>5</vt:i4>
      </vt:variant>
      <vt:variant>
        <vt:lpwstr>https://data.consilium.europa.eu/doc/document/ST-6319-2022-INIT/en/pdf</vt:lpwstr>
      </vt:variant>
      <vt:variant>
        <vt:lpwstr/>
      </vt:variant>
      <vt:variant>
        <vt:i4>109</vt:i4>
      </vt:variant>
      <vt:variant>
        <vt:i4>129</vt:i4>
      </vt:variant>
      <vt:variant>
        <vt:i4>0</vt:i4>
      </vt:variant>
      <vt:variant>
        <vt:i4>5</vt:i4>
      </vt:variant>
      <vt:variant>
        <vt:lpwstr>https://commission.europa.eu/strategy-and-policy/policies/justice-and-fundamental-rights/upholding-rule-law/eu-justice-scoreboard_en</vt:lpwstr>
      </vt:variant>
      <vt:variant>
        <vt:lpwstr>surveys</vt:lpwstr>
      </vt:variant>
      <vt:variant>
        <vt:i4>109</vt:i4>
      </vt:variant>
      <vt:variant>
        <vt:i4>126</vt:i4>
      </vt:variant>
      <vt:variant>
        <vt:i4>0</vt:i4>
      </vt:variant>
      <vt:variant>
        <vt:i4>5</vt:i4>
      </vt:variant>
      <vt:variant>
        <vt:lpwstr>https://commission.europa.eu/strategy-and-policy/policies/justice-and-fundamental-rights/upholding-rule-law/eu-justice-scoreboard_en</vt:lpwstr>
      </vt:variant>
      <vt:variant>
        <vt:lpwstr>surveys</vt:lpwstr>
      </vt:variant>
      <vt:variant>
        <vt:i4>6946861</vt:i4>
      </vt:variant>
      <vt:variant>
        <vt:i4>123</vt:i4>
      </vt:variant>
      <vt:variant>
        <vt:i4>0</vt:i4>
      </vt:variant>
      <vt:variant>
        <vt:i4>5</vt:i4>
      </vt:variant>
      <vt:variant>
        <vt:lpwstr>http://eur-lex.europa.eu/legal-content/EN/TXT/PDF/?uri=CELEX:12012P/TXT&amp;from=EN</vt:lpwstr>
      </vt:variant>
      <vt:variant>
        <vt:lpwstr/>
      </vt:variant>
      <vt:variant>
        <vt:i4>5767180</vt:i4>
      </vt:variant>
      <vt:variant>
        <vt:i4>120</vt:i4>
      </vt:variant>
      <vt:variant>
        <vt:i4>0</vt:i4>
      </vt:variant>
      <vt:variant>
        <vt:i4>5</vt:i4>
      </vt:variant>
      <vt:variant>
        <vt:lpwstr>https://eige.europa.eu/gender-statistics/dgs/indicator/wmidm_jud_natcrt__wmid_natcrt_supcrt/datatable</vt:lpwstr>
      </vt:variant>
      <vt:variant>
        <vt:lpwstr/>
      </vt:variant>
      <vt:variant>
        <vt:i4>7405581</vt:i4>
      </vt:variant>
      <vt:variant>
        <vt:i4>117</vt:i4>
      </vt:variant>
      <vt:variant>
        <vt:i4>0</vt:i4>
      </vt:variant>
      <vt:variant>
        <vt:i4>5</vt:i4>
      </vt:variant>
      <vt:variant>
        <vt:lpwstr>https://commission.europa.eu/strategy-and-policy/policies/justice-and-fundamental-rights/upholding-rule-law/eu-justice-scoreboard_en</vt:lpwstr>
      </vt:variant>
      <vt:variant>
        <vt:lpwstr>documents</vt:lpwstr>
      </vt:variant>
      <vt:variant>
        <vt:i4>5898364</vt:i4>
      </vt:variant>
      <vt:variant>
        <vt:i4>114</vt:i4>
      </vt:variant>
      <vt:variant>
        <vt:i4>0</vt:i4>
      </vt:variant>
      <vt:variant>
        <vt:i4>5</vt:i4>
      </vt:variant>
      <vt:variant>
        <vt:lpwstr>https://commission.europa.eu/law/law-topic/consumer-protection-law/representative-actions-directive_en</vt:lpwstr>
      </vt:variant>
      <vt:variant>
        <vt:lpwstr/>
      </vt:variant>
      <vt:variant>
        <vt:i4>5898276</vt:i4>
      </vt:variant>
      <vt:variant>
        <vt:i4>111</vt:i4>
      </vt:variant>
      <vt:variant>
        <vt:i4>0</vt:i4>
      </vt:variant>
      <vt:variant>
        <vt:i4>5</vt:i4>
      </vt:variant>
      <vt:variant>
        <vt:lpwstr>https://ec.europa.eu/eurostat/databrowser/view/ilc_li01/default/table?lang=en</vt:lpwstr>
      </vt:variant>
      <vt:variant>
        <vt:lpwstr/>
      </vt:variant>
      <vt:variant>
        <vt:i4>4653126</vt:i4>
      </vt:variant>
      <vt:variant>
        <vt:i4>108</vt:i4>
      </vt:variant>
      <vt:variant>
        <vt:i4>0</vt:i4>
      </vt:variant>
      <vt:variant>
        <vt:i4>5</vt:i4>
      </vt:variant>
      <vt:variant>
        <vt:lpwstr>https://www.imf.org/en/About/Factsheets/Sheets/2016/08/01/16/31/Fight-Against-Money-Laundering-the-Financing-of-Terrorism</vt:lpwstr>
      </vt:variant>
      <vt:variant>
        <vt:lpwstr/>
      </vt:variant>
      <vt:variant>
        <vt:i4>5636223</vt:i4>
      </vt:variant>
      <vt:variant>
        <vt:i4>105</vt:i4>
      </vt:variant>
      <vt:variant>
        <vt:i4>0</vt:i4>
      </vt:variant>
      <vt:variant>
        <vt:i4>5</vt:i4>
      </vt:variant>
      <vt:variant>
        <vt:lpwstr>http://www.coe.int/t/dghl/cooperation/cepej/evaluation/default_en.asp</vt:lpwstr>
      </vt:variant>
      <vt:variant>
        <vt:lpwstr/>
      </vt:variant>
      <vt:variant>
        <vt:i4>7405581</vt:i4>
      </vt:variant>
      <vt:variant>
        <vt:i4>102</vt:i4>
      </vt:variant>
      <vt:variant>
        <vt:i4>0</vt:i4>
      </vt:variant>
      <vt:variant>
        <vt:i4>5</vt:i4>
      </vt:variant>
      <vt:variant>
        <vt:lpwstr>https://commission.europa.eu/strategy-and-policy/policies/justice-and-fundamental-rights/upholding-rule-law/eu-justice-scoreboard_en</vt:lpwstr>
      </vt:variant>
      <vt:variant>
        <vt:lpwstr>documents</vt:lpwstr>
      </vt:variant>
      <vt:variant>
        <vt:i4>7995401</vt:i4>
      </vt:variant>
      <vt:variant>
        <vt:i4>99</vt:i4>
      </vt:variant>
      <vt:variant>
        <vt:i4>0</vt:i4>
      </vt:variant>
      <vt:variant>
        <vt:i4>5</vt:i4>
      </vt:variant>
      <vt:variant>
        <vt:lpwstr>https://commission.europa.eu/strategy-and-policy/policies/justice-and-fundamental-rights/upholding-rule-law/eu-justice-scoreboard_en</vt:lpwstr>
      </vt:variant>
      <vt:variant>
        <vt:lpwstr/>
      </vt:variant>
      <vt:variant>
        <vt:i4>5898269</vt:i4>
      </vt:variant>
      <vt:variant>
        <vt:i4>96</vt:i4>
      </vt:variant>
      <vt:variant>
        <vt:i4>0</vt:i4>
      </vt:variant>
      <vt:variant>
        <vt:i4>5</vt:i4>
      </vt:variant>
      <vt:variant>
        <vt:lpwstr>https://eur-lex.europa.eu/legal-content/EN/TXT/?uri=COM%3A2025%3A802%3AFIN&amp;qid=1763638848898</vt:lpwstr>
      </vt:variant>
      <vt:variant>
        <vt:lpwstr/>
      </vt:variant>
      <vt:variant>
        <vt:i4>2752583</vt:i4>
      </vt:variant>
      <vt:variant>
        <vt:i4>93</vt:i4>
      </vt:variant>
      <vt:variant>
        <vt:i4>0</vt:i4>
      </vt:variant>
      <vt:variant>
        <vt:i4>5</vt:i4>
      </vt:variant>
      <vt:variant>
        <vt:lpwstr>https://euipo.europa.eu/tunnel-web/secure/webdav/guest/document_library/observatory/documents/sme_scoreboard_study_2016/Executive-summary_en.pdf</vt:lpwstr>
      </vt:variant>
      <vt:variant>
        <vt:lpwstr/>
      </vt:variant>
      <vt:variant>
        <vt:i4>327694</vt:i4>
      </vt:variant>
      <vt:variant>
        <vt:i4>90</vt:i4>
      </vt:variant>
      <vt:variant>
        <vt:i4>0</vt:i4>
      </vt:variant>
      <vt:variant>
        <vt:i4>5</vt:i4>
      </vt:variant>
      <vt:variant>
        <vt:lpwstr>http://www.biicl.org/documents/625_d4_fdi_main_report.pdf</vt:lpwstr>
      </vt:variant>
      <vt:variant>
        <vt:lpwstr/>
      </vt:variant>
      <vt:variant>
        <vt:i4>5308501</vt:i4>
      </vt:variant>
      <vt:variant>
        <vt:i4>87</vt:i4>
      </vt:variant>
      <vt:variant>
        <vt:i4>0</vt:i4>
      </vt:variant>
      <vt:variant>
        <vt:i4>5</vt:i4>
      </vt:variant>
      <vt:variant>
        <vt:lpwstr>https://doi.org/10.1016/j.euroecorev.2024.104947</vt:lpwstr>
      </vt:variant>
      <vt:variant>
        <vt:lpwstr/>
      </vt:variant>
      <vt:variant>
        <vt:i4>6619237</vt:i4>
      </vt:variant>
      <vt:variant>
        <vt:i4>84</vt:i4>
      </vt:variant>
      <vt:variant>
        <vt:i4>0</vt:i4>
      </vt:variant>
      <vt:variant>
        <vt:i4>5</vt:i4>
      </vt:variant>
      <vt:variant>
        <vt:lpwstr>http://publications.jrc.ec.europa.eu/repository/bitstream/JRC104594/jrc104594__2017_the_judicial_system_and_economic_development_across_eu_member_states.pdf</vt:lpwstr>
      </vt:variant>
      <vt:variant>
        <vt:lpwstr/>
      </vt:variant>
      <vt:variant>
        <vt:i4>5636223</vt:i4>
      </vt:variant>
      <vt:variant>
        <vt:i4>81</vt:i4>
      </vt:variant>
      <vt:variant>
        <vt:i4>0</vt:i4>
      </vt:variant>
      <vt:variant>
        <vt:i4>5</vt:i4>
      </vt:variant>
      <vt:variant>
        <vt:lpwstr>http://www.coe.int/t/dghl/cooperation/cepej/evaluation/default_en.asp</vt:lpwstr>
      </vt:variant>
      <vt:variant>
        <vt:lpwstr/>
      </vt:variant>
      <vt:variant>
        <vt:i4>2818154</vt:i4>
      </vt:variant>
      <vt:variant>
        <vt:i4>78</vt:i4>
      </vt:variant>
      <vt:variant>
        <vt:i4>0</vt:i4>
      </vt:variant>
      <vt:variant>
        <vt:i4>5</vt:i4>
      </vt:variant>
      <vt:variant>
        <vt:lpwstr>http://www.worldbank.org/en/publication/wdr2017</vt:lpwstr>
      </vt:variant>
      <vt:variant>
        <vt:lpwstr/>
      </vt:variant>
      <vt:variant>
        <vt:i4>3866661</vt:i4>
      </vt:variant>
      <vt:variant>
        <vt:i4>75</vt:i4>
      </vt:variant>
      <vt:variant>
        <vt:i4>0</vt:i4>
      </vt:variant>
      <vt:variant>
        <vt:i4>5</vt:i4>
      </vt:variant>
      <vt:variant>
        <vt:lpwstr>https://www.weforum.org/reports/global-competitiveness-report-2019</vt:lpwstr>
      </vt:variant>
      <vt:variant>
        <vt:lpwstr/>
      </vt:variant>
      <vt:variant>
        <vt:i4>4784210</vt:i4>
      </vt:variant>
      <vt:variant>
        <vt:i4>72</vt:i4>
      </vt:variant>
      <vt:variant>
        <vt:i4>0</vt:i4>
      </vt:variant>
      <vt:variant>
        <vt:i4>5</vt:i4>
      </vt:variant>
      <vt:variant>
        <vt:lpwstr>https://pgwrk-websitemedia.s3.eu-west-1.amazonaws.com/production/pwk-web-encj2017-p/Reports/Economic value of te judiciary - pilot study.pdf</vt:lpwstr>
      </vt:variant>
      <vt:variant>
        <vt:lpwstr/>
      </vt:variant>
      <vt:variant>
        <vt:i4>2818168</vt:i4>
      </vt:variant>
      <vt:variant>
        <vt:i4>69</vt:i4>
      </vt:variant>
      <vt:variant>
        <vt:i4>0</vt:i4>
      </vt:variant>
      <vt:variant>
        <vt:i4>5</vt:i4>
      </vt:variant>
      <vt:variant>
        <vt:lpwstr>https://www.ecb.europa.eu/pub/pdf/scpops/ecb.op210.en.pdf?3db9355b1d1599799aa0e475e5624651</vt:lpwstr>
      </vt:variant>
      <vt:variant>
        <vt:lpwstr/>
      </vt:variant>
      <vt:variant>
        <vt:i4>196693</vt:i4>
      </vt:variant>
      <vt:variant>
        <vt:i4>66</vt:i4>
      </vt:variant>
      <vt:variant>
        <vt:i4>0</vt:i4>
      </vt:variant>
      <vt:variant>
        <vt:i4>5</vt:i4>
      </vt:variant>
      <vt:variant>
        <vt:lpwstr>https://www.imf.org/~/media/Files/Publications/REO/EUR/2017/November/eur-booked-print.ashx?la=en</vt:lpwstr>
      </vt:variant>
      <vt:variant>
        <vt:lpwstr/>
      </vt:variant>
      <vt:variant>
        <vt:i4>6684790</vt:i4>
      </vt:variant>
      <vt:variant>
        <vt:i4>63</vt:i4>
      </vt:variant>
      <vt:variant>
        <vt:i4>0</vt:i4>
      </vt:variant>
      <vt:variant>
        <vt:i4>5</vt:i4>
      </vt:variant>
      <vt:variant>
        <vt:lpwstr>https://onlinelibrary.wiley.com/doi/10.1111/sjpe.12357?msockid=1a8244b340af65701f02511641c36474</vt:lpwstr>
      </vt:variant>
      <vt:variant>
        <vt:lpwstr/>
      </vt:variant>
      <vt:variant>
        <vt:i4>4390976</vt:i4>
      </vt:variant>
      <vt:variant>
        <vt:i4>60</vt:i4>
      </vt:variant>
      <vt:variant>
        <vt:i4>0</vt:i4>
      </vt:variant>
      <vt:variant>
        <vt:i4>5</vt:i4>
      </vt:variant>
      <vt:variant>
        <vt:lpwstr>https://direct.mit.edu/rest/article/102/1/49/58536/Judicial-Efficiency-and-Firm-Productivity-Evidence</vt:lpwstr>
      </vt:variant>
      <vt:variant>
        <vt:lpwstr/>
      </vt:variant>
      <vt:variant>
        <vt:i4>7274617</vt:i4>
      </vt:variant>
      <vt:variant>
        <vt:i4>57</vt:i4>
      </vt:variant>
      <vt:variant>
        <vt:i4>0</vt:i4>
      </vt:variant>
      <vt:variant>
        <vt:i4>5</vt:i4>
      </vt:variant>
      <vt:variant>
        <vt:lpwstr>https://www.sciencedirect.com/science/article/pii/S2214845023001709</vt:lpwstr>
      </vt:variant>
      <vt:variant>
        <vt:lpwstr/>
      </vt:variant>
      <vt:variant>
        <vt:i4>3276818</vt:i4>
      </vt:variant>
      <vt:variant>
        <vt:i4>54</vt:i4>
      </vt:variant>
      <vt:variant>
        <vt:i4>0</vt:i4>
      </vt:variant>
      <vt:variant>
        <vt:i4>5</vt:i4>
      </vt:variant>
      <vt:variant>
        <vt:lpwstr>https://ec.europa.eu/economy_finance/recovery-and-resilience-scoreboard/index.html</vt:lpwstr>
      </vt:variant>
      <vt:variant>
        <vt:lpwstr/>
      </vt:variant>
      <vt:variant>
        <vt:i4>8192120</vt:i4>
      </vt:variant>
      <vt:variant>
        <vt:i4>51</vt:i4>
      </vt:variant>
      <vt:variant>
        <vt:i4>0</vt:i4>
      </vt:variant>
      <vt:variant>
        <vt:i4>5</vt:i4>
      </vt:variant>
      <vt:variant>
        <vt:lpwstr>https://www.notariesofeurope.eu/fr/</vt:lpwstr>
      </vt:variant>
      <vt:variant>
        <vt:lpwstr/>
      </vt:variant>
      <vt:variant>
        <vt:i4>2555937</vt:i4>
      </vt:variant>
      <vt:variant>
        <vt:i4>48</vt:i4>
      </vt:variant>
      <vt:variant>
        <vt:i4>0</vt:i4>
      </vt:variant>
      <vt:variant>
        <vt:i4>5</vt:i4>
      </vt:variant>
      <vt:variant>
        <vt:lpwstr>https://www.eca.europa.eu/sites/CC/en/pages/about.aspx</vt:lpwstr>
      </vt:variant>
      <vt:variant>
        <vt:lpwstr/>
      </vt:variant>
      <vt:variant>
        <vt:i4>5111882</vt:i4>
      </vt:variant>
      <vt:variant>
        <vt:i4>45</vt:i4>
      </vt:variant>
      <vt:variant>
        <vt:i4>0</vt:i4>
      </vt:variant>
      <vt:variant>
        <vt:i4>5</vt:i4>
      </vt:variant>
      <vt:variant>
        <vt:lpwstr>https://www.npg-nadal.eu/</vt:lpwstr>
      </vt:variant>
      <vt:variant>
        <vt:lpwstr/>
      </vt:variant>
      <vt:variant>
        <vt:i4>1703980</vt:i4>
      </vt:variant>
      <vt:variant>
        <vt:i4>42</vt:i4>
      </vt:variant>
      <vt:variant>
        <vt:i4>0</vt:i4>
      </vt:variant>
      <vt:variant>
        <vt:i4>5</vt:i4>
      </vt:variant>
      <vt:variant>
        <vt:lpwstr>https://commission.europa.eu/strategy-and-policy/policies/justice-and-fundamental-rights/democracy-eu-citizenship-anti-corruption/anti-corruption/eu-network-against-corruption_en</vt:lpwstr>
      </vt:variant>
      <vt:variant>
        <vt:lpwstr/>
      </vt:variant>
      <vt:variant>
        <vt:i4>6553632</vt:i4>
      </vt:variant>
      <vt:variant>
        <vt:i4>39</vt:i4>
      </vt:variant>
      <vt:variant>
        <vt:i4>0</vt:i4>
      </vt:variant>
      <vt:variant>
        <vt:i4>5</vt:i4>
      </vt:variant>
      <vt:variant>
        <vt:lpwstr>https://ec.europa.eu/eurostat/</vt:lpwstr>
      </vt:variant>
      <vt:variant>
        <vt:lpwstr/>
      </vt:variant>
      <vt:variant>
        <vt:i4>5832721</vt:i4>
      </vt:variant>
      <vt:variant>
        <vt:i4>36</vt:i4>
      </vt:variant>
      <vt:variant>
        <vt:i4>0</vt:i4>
      </vt:variant>
      <vt:variant>
        <vt:i4>5</vt:i4>
      </vt:variant>
      <vt:variant>
        <vt:lpwstr>https://ec.europa.eu/transparency/expert-groups-register/screen/expert-groups/consult?lang=en&amp;do=groupDetail.groupDetail&amp;groupID=2914</vt:lpwstr>
      </vt:variant>
      <vt:variant>
        <vt:lpwstr/>
      </vt:variant>
      <vt:variant>
        <vt:i4>1245244</vt:i4>
      </vt:variant>
      <vt:variant>
        <vt:i4>33</vt:i4>
      </vt:variant>
      <vt:variant>
        <vt:i4>0</vt:i4>
      </vt:variant>
      <vt:variant>
        <vt:i4>5</vt:i4>
      </vt:variant>
      <vt:variant>
        <vt:lpwstr>https://commission.europa.eu/live-work-travel-eu/consumer-rights-and-complaints/enforcement-consumer-protection/consumer-protection-cooperation-network_en</vt:lpwstr>
      </vt:variant>
      <vt:variant>
        <vt:lpwstr/>
      </vt:variant>
      <vt:variant>
        <vt:i4>2818098</vt:i4>
      </vt:variant>
      <vt:variant>
        <vt:i4>30</vt:i4>
      </vt:variant>
      <vt:variant>
        <vt:i4>0</vt:i4>
      </vt:variant>
      <vt:variant>
        <vt:i4>5</vt:i4>
      </vt:variant>
      <vt:variant>
        <vt:lpwstr>https://euipo.europa.eu/ohimportal/en/web/observatory/home</vt:lpwstr>
      </vt:variant>
      <vt:variant>
        <vt:lpwstr/>
      </vt:variant>
      <vt:variant>
        <vt:i4>2949181</vt:i4>
      </vt:variant>
      <vt:variant>
        <vt:i4>27</vt:i4>
      </vt:variant>
      <vt:variant>
        <vt:i4>0</vt:i4>
      </vt:variant>
      <vt:variant>
        <vt:i4>5</vt:i4>
      </vt:variant>
      <vt:variant>
        <vt:lpwstr>https://ec.europa.eu/transparency/comitology-register/screen/committees</vt:lpwstr>
      </vt:variant>
      <vt:variant>
        <vt:lpwstr/>
      </vt:variant>
      <vt:variant>
        <vt:i4>65555</vt:i4>
      </vt:variant>
      <vt:variant>
        <vt:i4>24</vt:i4>
      </vt:variant>
      <vt:variant>
        <vt:i4>0</vt:i4>
      </vt:variant>
      <vt:variant>
        <vt:i4>5</vt:i4>
      </vt:variant>
      <vt:variant>
        <vt:lpwstr>https://eur-lex.europa.eu/legal-content/EN/TXT/?uri=CELEX:52017DC0028</vt:lpwstr>
      </vt:variant>
      <vt:variant>
        <vt:lpwstr/>
      </vt:variant>
      <vt:variant>
        <vt:i4>8192018</vt:i4>
      </vt:variant>
      <vt:variant>
        <vt:i4>21</vt:i4>
      </vt:variant>
      <vt:variant>
        <vt:i4>0</vt:i4>
      </vt:variant>
      <vt:variant>
        <vt:i4>5</vt:i4>
      </vt:variant>
      <vt:variant>
        <vt:lpwstr>http://ec.europa.eu/competition/ecn/index_en.html</vt:lpwstr>
      </vt:variant>
      <vt:variant>
        <vt:lpwstr/>
      </vt:variant>
      <vt:variant>
        <vt:i4>262170</vt:i4>
      </vt:variant>
      <vt:variant>
        <vt:i4>18</vt:i4>
      </vt:variant>
      <vt:variant>
        <vt:i4>0</vt:i4>
      </vt:variant>
      <vt:variant>
        <vt:i4>5</vt:i4>
      </vt:variant>
      <vt:variant>
        <vt:lpwstr>https://www.ccbe.eu/</vt:lpwstr>
      </vt:variant>
      <vt:variant>
        <vt:lpwstr/>
      </vt:variant>
      <vt:variant>
        <vt:i4>4128876</vt:i4>
      </vt:variant>
      <vt:variant>
        <vt:i4>15</vt:i4>
      </vt:variant>
      <vt:variant>
        <vt:i4>0</vt:i4>
      </vt:variant>
      <vt:variant>
        <vt:i4>5</vt:i4>
      </vt:variant>
      <vt:variant>
        <vt:lpwstr>https://www.aca-europe.eu/index.php/en/</vt:lpwstr>
      </vt:variant>
      <vt:variant>
        <vt:lpwstr/>
      </vt:variant>
      <vt:variant>
        <vt:i4>196697</vt:i4>
      </vt:variant>
      <vt:variant>
        <vt:i4>12</vt:i4>
      </vt:variant>
      <vt:variant>
        <vt:i4>0</vt:i4>
      </vt:variant>
      <vt:variant>
        <vt:i4>5</vt:i4>
      </vt:variant>
      <vt:variant>
        <vt:lpwstr>http://network-presidents.eu/</vt:lpwstr>
      </vt:variant>
      <vt:variant>
        <vt:lpwstr/>
      </vt:variant>
      <vt:variant>
        <vt:i4>393245</vt:i4>
      </vt:variant>
      <vt:variant>
        <vt:i4>9</vt:i4>
      </vt:variant>
      <vt:variant>
        <vt:i4>0</vt:i4>
      </vt:variant>
      <vt:variant>
        <vt:i4>5</vt:i4>
      </vt:variant>
      <vt:variant>
        <vt:lpwstr>https://www.encj.eu/</vt:lpwstr>
      </vt:variant>
      <vt:variant>
        <vt:lpwstr/>
      </vt:variant>
      <vt:variant>
        <vt:i4>1703980</vt:i4>
      </vt:variant>
      <vt:variant>
        <vt:i4>6</vt:i4>
      </vt:variant>
      <vt:variant>
        <vt:i4>0</vt:i4>
      </vt:variant>
      <vt:variant>
        <vt:i4>5</vt:i4>
      </vt:variant>
      <vt:variant>
        <vt:lpwstr>https://commission.europa.eu/strategy-and-policy/policies/justice-and-fundamental-rights/democracy-eu-citizenship-anti-corruption/anti-corruption/eu-network-against-corruption_en</vt:lpwstr>
      </vt:variant>
      <vt:variant>
        <vt:lpwstr/>
      </vt:variant>
      <vt:variant>
        <vt:i4>7995401</vt:i4>
      </vt:variant>
      <vt:variant>
        <vt:i4>3</vt:i4>
      </vt:variant>
      <vt:variant>
        <vt:i4>0</vt:i4>
      </vt:variant>
      <vt:variant>
        <vt:i4>5</vt:i4>
      </vt:variant>
      <vt:variant>
        <vt:lpwstr>https://commission.europa.eu/strategy-and-policy/policies/justice-and-fundamental-rights/upholding-rule-law/eu-justice-scoreboard_en</vt:lpwstr>
      </vt:variant>
      <vt:variant>
        <vt:lpwstr/>
      </vt:variant>
      <vt:variant>
        <vt:i4>3276802</vt:i4>
      </vt:variant>
      <vt:variant>
        <vt:i4>0</vt:i4>
      </vt:variant>
      <vt:variant>
        <vt:i4>0</vt:i4>
      </vt:variant>
      <vt:variant>
        <vt:i4>5</vt:i4>
      </vt:variant>
      <vt:variant>
        <vt:lpwstr>https://commission.europa.eu/publications/2025-rule-law-report-communication-and-country-chapters_en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2026-06-03T06:55:00Z</dcterms:created>
  <dcterms:modified xsi:type="dcterms:W3CDTF">2026-06-03T23:31:00Z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CP-035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2026-04-17T14:15:52Z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d83f0ca5-cba9-4a14-812a-496a4ab4a32b</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0x0101008CF1E423E1053143A72AC4DF303AC6F5</vt:lpwstr>
  </property>
  <property fmtid="{D5CDD505-2E9C-101B-9397-08002B2CF9AE}" pid="18" name="MediaServiceImageTags">
    <vt:lpwstr/>
  </property>
</Properties>
</file>