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56515D" w14:textId="263D57E7" w:rsidR="00B9074F" w:rsidRDefault="00167B6C" w:rsidP="00167B6C">
      <w:pPr>
        <w:pStyle w:val="Pagedecouverture"/>
        <w:rPr>
          <w:noProof/>
        </w:rPr>
      </w:pPr>
      <w:bookmarkStart w:id="0" w:name="LW_BM_COVERPAGE"/>
      <w:r>
        <w:rPr>
          <w:noProof/>
        </w:rPr>
        <w:pict w14:anchorId="56E69F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F686BBB7-4C7B-4C3E-AA53-D219E978A901" style="width:455.25pt;height:286.5pt">
            <v:imagedata r:id="rId8" o:title=""/>
          </v:shape>
        </w:pict>
      </w:r>
    </w:p>
    <w:bookmarkEnd w:id="0"/>
    <w:p w14:paraId="227C4C35" w14:textId="77777777" w:rsidR="00B9074F" w:rsidRDefault="00B9074F" w:rsidP="00B9074F">
      <w:pPr>
        <w:rPr>
          <w:noProof/>
        </w:rPr>
        <w:sectPr w:rsidR="00B9074F" w:rsidSect="00167B6C">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heme="minorHAnsi" w:eastAsiaTheme="minorHAnsi" w:hAnsiTheme="minorHAnsi" w:cstheme="minorBidi"/>
          <w:b w:val="0"/>
          <w:noProof/>
          <w:sz w:val="22"/>
          <w:szCs w:val="22"/>
          <w:lang w:val="en-IE"/>
        </w:rPr>
        <w:id w:val="-2145805868"/>
        <w:docPartObj>
          <w:docPartGallery w:val="Table of Contents"/>
          <w:docPartUnique/>
        </w:docPartObj>
      </w:sdtPr>
      <w:sdtEndPr>
        <w:rPr>
          <w:bCs/>
        </w:rPr>
      </w:sdtEndPr>
      <w:sdtContent>
        <w:p w14:paraId="158444A1" w14:textId="77777777" w:rsidR="005E2753" w:rsidRPr="00746C2C" w:rsidRDefault="005E2753" w:rsidP="005E2753">
          <w:pPr>
            <w:pStyle w:val="TOCHeading"/>
            <w:rPr>
              <w:noProof/>
              <w:lang w:val="en-IE"/>
            </w:rPr>
          </w:pPr>
          <w:r w:rsidRPr="00746C2C">
            <w:rPr>
              <w:noProof/>
              <w:lang w:val="en-IE"/>
            </w:rPr>
            <w:t>Table of Contents</w:t>
          </w:r>
        </w:p>
        <w:p w14:paraId="36B33ABA" w14:textId="7B7F5BBB" w:rsidR="0087030B" w:rsidRDefault="005E2753">
          <w:pPr>
            <w:pStyle w:val="TOC1"/>
            <w:rPr>
              <w:rFonts w:asciiTheme="minorHAnsi" w:eastAsiaTheme="minorEastAsia" w:hAnsiTheme="minorHAnsi" w:cstheme="minorBidi"/>
              <w:noProof/>
              <w:kern w:val="2"/>
              <w:lang w:val="en-IE" w:eastAsia="en-IE"/>
              <w14:ligatures w14:val="standardContextual"/>
            </w:rPr>
          </w:pPr>
          <w:r w:rsidRPr="00746C2C">
            <w:rPr>
              <w:noProof/>
              <w:lang w:val="en-IE"/>
            </w:rPr>
            <w:fldChar w:fldCharType="begin"/>
          </w:r>
          <w:r w:rsidRPr="00746C2C">
            <w:rPr>
              <w:noProof/>
              <w:lang w:val="en-IE"/>
            </w:rPr>
            <w:instrText xml:space="preserve"> TOC \o "1-3" \h \z \u </w:instrText>
          </w:r>
          <w:r w:rsidRPr="00746C2C">
            <w:rPr>
              <w:noProof/>
              <w:lang w:val="en-IE"/>
            </w:rPr>
            <w:fldChar w:fldCharType="separate"/>
          </w:r>
          <w:hyperlink w:anchor="_Toc223714983" w:history="1">
            <w:r w:rsidR="0087030B" w:rsidRPr="00FB39BE">
              <w:rPr>
                <w:rStyle w:val="Hyperlink"/>
                <w:noProof/>
                <w:lang w:val="en-IE"/>
              </w:rPr>
              <w:t>1.</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Introduction</w:t>
            </w:r>
            <w:r w:rsidR="0087030B">
              <w:rPr>
                <w:noProof/>
                <w:webHidden/>
              </w:rPr>
              <w:tab/>
            </w:r>
            <w:r w:rsidR="0087030B">
              <w:rPr>
                <w:noProof/>
                <w:webHidden/>
              </w:rPr>
              <w:fldChar w:fldCharType="begin"/>
            </w:r>
            <w:r w:rsidR="0087030B">
              <w:rPr>
                <w:noProof/>
                <w:webHidden/>
              </w:rPr>
              <w:instrText xml:space="preserve"> PAGEREF _Toc223714983 \h </w:instrText>
            </w:r>
            <w:r w:rsidR="0087030B">
              <w:rPr>
                <w:noProof/>
                <w:webHidden/>
              </w:rPr>
            </w:r>
            <w:r w:rsidR="0087030B">
              <w:rPr>
                <w:noProof/>
                <w:webHidden/>
              </w:rPr>
              <w:fldChar w:fldCharType="separate"/>
            </w:r>
            <w:r w:rsidR="00C61612">
              <w:rPr>
                <w:noProof/>
                <w:webHidden/>
              </w:rPr>
              <w:t>2</w:t>
            </w:r>
            <w:r w:rsidR="0087030B">
              <w:rPr>
                <w:noProof/>
                <w:webHidden/>
              </w:rPr>
              <w:fldChar w:fldCharType="end"/>
            </w:r>
          </w:hyperlink>
        </w:p>
        <w:p w14:paraId="14E0BB28" w14:textId="5BAB7DF5" w:rsidR="0087030B" w:rsidRDefault="00167B6C">
          <w:pPr>
            <w:pStyle w:val="TOC1"/>
            <w:rPr>
              <w:rFonts w:asciiTheme="minorHAnsi" w:eastAsiaTheme="minorEastAsia" w:hAnsiTheme="minorHAnsi" w:cstheme="minorBidi"/>
              <w:noProof/>
              <w:kern w:val="2"/>
              <w:lang w:val="en-IE" w:eastAsia="en-IE"/>
              <w14:ligatures w14:val="standardContextual"/>
            </w:rPr>
          </w:pPr>
          <w:hyperlink w:anchor="_Toc223714984" w:history="1">
            <w:r w:rsidR="0087030B" w:rsidRPr="00FB39BE">
              <w:rPr>
                <w:rStyle w:val="Hyperlink"/>
                <w:noProof/>
                <w:lang w:val="en-IE"/>
              </w:rPr>
              <w:t>2.</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Making information and documents available online and in registers</w:t>
            </w:r>
            <w:r w:rsidR="0087030B">
              <w:rPr>
                <w:noProof/>
                <w:webHidden/>
              </w:rPr>
              <w:tab/>
            </w:r>
            <w:r w:rsidR="0087030B">
              <w:rPr>
                <w:noProof/>
                <w:webHidden/>
              </w:rPr>
              <w:fldChar w:fldCharType="begin"/>
            </w:r>
            <w:r w:rsidR="0087030B">
              <w:rPr>
                <w:noProof/>
                <w:webHidden/>
              </w:rPr>
              <w:instrText xml:space="preserve"> PAGEREF _Toc223714984 \h </w:instrText>
            </w:r>
            <w:r w:rsidR="0087030B">
              <w:rPr>
                <w:noProof/>
                <w:webHidden/>
              </w:rPr>
            </w:r>
            <w:r w:rsidR="0087030B">
              <w:rPr>
                <w:noProof/>
                <w:webHidden/>
              </w:rPr>
              <w:fldChar w:fldCharType="separate"/>
            </w:r>
            <w:r w:rsidR="00C61612">
              <w:rPr>
                <w:noProof/>
                <w:webHidden/>
              </w:rPr>
              <w:t>3</w:t>
            </w:r>
            <w:r w:rsidR="0087030B">
              <w:rPr>
                <w:noProof/>
                <w:webHidden/>
              </w:rPr>
              <w:fldChar w:fldCharType="end"/>
            </w:r>
          </w:hyperlink>
        </w:p>
        <w:p w14:paraId="0C789FE3" w14:textId="646B58DB" w:rsidR="0087030B" w:rsidRDefault="00167B6C">
          <w:pPr>
            <w:pStyle w:val="TOC1"/>
            <w:rPr>
              <w:rFonts w:asciiTheme="minorHAnsi" w:eastAsiaTheme="minorEastAsia" w:hAnsiTheme="minorHAnsi" w:cstheme="minorBidi"/>
              <w:noProof/>
              <w:kern w:val="2"/>
              <w:lang w:val="en-IE" w:eastAsia="en-IE"/>
              <w14:ligatures w14:val="standardContextual"/>
            </w:rPr>
          </w:pPr>
          <w:hyperlink w:anchor="_Toc223714985" w:history="1">
            <w:r w:rsidR="0087030B" w:rsidRPr="00FB39BE">
              <w:rPr>
                <w:rStyle w:val="Hyperlink"/>
                <w:noProof/>
                <w:lang w:val="en-IE"/>
              </w:rPr>
              <w:t>3.</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Analysis of applications for access to documents</w:t>
            </w:r>
            <w:r w:rsidR="0087030B">
              <w:rPr>
                <w:noProof/>
                <w:webHidden/>
              </w:rPr>
              <w:tab/>
            </w:r>
            <w:r w:rsidR="0087030B">
              <w:rPr>
                <w:noProof/>
                <w:webHidden/>
              </w:rPr>
              <w:fldChar w:fldCharType="begin"/>
            </w:r>
            <w:r w:rsidR="0087030B">
              <w:rPr>
                <w:noProof/>
                <w:webHidden/>
              </w:rPr>
              <w:instrText xml:space="preserve"> PAGEREF _Toc223714985 \h </w:instrText>
            </w:r>
            <w:r w:rsidR="0087030B">
              <w:rPr>
                <w:noProof/>
                <w:webHidden/>
              </w:rPr>
            </w:r>
            <w:r w:rsidR="0087030B">
              <w:rPr>
                <w:noProof/>
                <w:webHidden/>
              </w:rPr>
              <w:fldChar w:fldCharType="separate"/>
            </w:r>
            <w:r w:rsidR="00C61612">
              <w:rPr>
                <w:noProof/>
                <w:webHidden/>
              </w:rPr>
              <w:t>3</w:t>
            </w:r>
            <w:r w:rsidR="0087030B">
              <w:rPr>
                <w:noProof/>
                <w:webHidden/>
              </w:rPr>
              <w:fldChar w:fldCharType="end"/>
            </w:r>
          </w:hyperlink>
        </w:p>
        <w:p w14:paraId="0A9A7D58" w14:textId="25FBA24A" w:rsidR="0087030B" w:rsidRDefault="00167B6C" w:rsidP="0087030B">
          <w:pPr>
            <w:pStyle w:val="TOC2"/>
            <w:ind w:left="1570"/>
            <w:rPr>
              <w:rFonts w:asciiTheme="minorHAnsi" w:eastAsiaTheme="minorEastAsia" w:hAnsiTheme="minorHAnsi" w:cstheme="minorBidi"/>
              <w:noProof/>
              <w:kern w:val="2"/>
              <w:lang w:val="en-IE" w:eastAsia="en-IE"/>
              <w14:ligatures w14:val="standardContextual"/>
            </w:rPr>
          </w:pPr>
          <w:hyperlink w:anchor="_Toc223714986" w:history="1">
            <w:r w:rsidR="0087030B" w:rsidRPr="00FB39BE">
              <w:rPr>
                <w:rStyle w:val="Hyperlink"/>
                <w:noProof/>
                <w:lang w:val="en-IE"/>
              </w:rPr>
              <w:t>3.1.</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Number of applications (Annex – Tables 3 and 4)</w:t>
            </w:r>
            <w:r w:rsidR="0087030B">
              <w:rPr>
                <w:noProof/>
                <w:webHidden/>
              </w:rPr>
              <w:tab/>
            </w:r>
            <w:r w:rsidR="0087030B">
              <w:rPr>
                <w:noProof/>
                <w:webHidden/>
              </w:rPr>
              <w:fldChar w:fldCharType="begin"/>
            </w:r>
            <w:r w:rsidR="0087030B">
              <w:rPr>
                <w:noProof/>
                <w:webHidden/>
              </w:rPr>
              <w:instrText xml:space="preserve"> PAGEREF _Toc223714986 \h </w:instrText>
            </w:r>
            <w:r w:rsidR="0087030B">
              <w:rPr>
                <w:noProof/>
                <w:webHidden/>
              </w:rPr>
            </w:r>
            <w:r w:rsidR="0087030B">
              <w:rPr>
                <w:noProof/>
                <w:webHidden/>
              </w:rPr>
              <w:fldChar w:fldCharType="separate"/>
            </w:r>
            <w:r w:rsidR="00C61612">
              <w:rPr>
                <w:noProof/>
                <w:webHidden/>
              </w:rPr>
              <w:t>3</w:t>
            </w:r>
            <w:r w:rsidR="0087030B">
              <w:rPr>
                <w:noProof/>
                <w:webHidden/>
              </w:rPr>
              <w:fldChar w:fldCharType="end"/>
            </w:r>
          </w:hyperlink>
        </w:p>
        <w:p w14:paraId="63C73D15" w14:textId="66E3558B" w:rsidR="0087030B" w:rsidRDefault="00167B6C" w:rsidP="0087030B">
          <w:pPr>
            <w:pStyle w:val="TOC2"/>
            <w:ind w:left="1570"/>
            <w:rPr>
              <w:rFonts w:asciiTheme="minorHAnsi" w:eastAsiaTheme="minorEastAsia" w:hAnsiTheme="minorHAnsi" w:cstheme="minorBidi"/>
              <w:noProof/>
              <w:kern w:val="2"/>
              <w:lang w:val="en-IE" w:eastAsia="en-IE"/>
              <w14:ligatures w14:val="standardContextual"/>
            </w:rPr>
          </w:pPr>
          <w:hyperlink w:anchor="_Toc223714987" w:history="1">
            <w:r w:rsidR="0087030B" w:rsidRPr="00FB39BE">
              <w:rPr>
                <w:rStyle w:val="Hyperlink"/>
                <w:noProof/>
                <w:lang w:val="en-IE" w:eastAsia="en-GB"/>
              </w:rPr>
              <w:t>3.2.</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Applications received by Directorate-General or Service (Annex – Table 5)</w:t>
            </w:r>
            <w:r w:rsidR="0087030B">
              <w:rPr>
                <w:noProof/>
                <w:webHidden/>
              </w:rPr>
              <w:tab/>
            </w:r>
            <w:r w:rsidR="0087030B">
              <w:rPr>
                <w:noProof/>
                <w:webHidden/>
              </w:rPr>
              <w:fldChar w:fldCharType="begin"/>
            </w:r>
            <w:r w:rsidR="0087030B">
              <w:rPr>
                <w:noProof/>
                <w:webHidden/>
              </w:rPr>
              <w:instrText xml:space="preserve"> PAGEREF _Toc223714987 \h </w:instrText>
            </w:r>
            <w:r w:rsidR="0087030B">
              <w:rPr>
                <w:noProof/>
                <w:webHidden/>
              </w:rPr>
            </w:r>
            <w:r w:rsidR="0087030B">
              <w:rPr>
                <w:noProof/>
                <w:webHidden/>
              </w:rPr>
              <w:fldChar w:fldCharType="separate"/>
            </w:r>
            <w:r w:rsidR="00C61612">
              <w:rPr>
                <w:noProof/>
                <w:webHidden/>
              </w:rPr>
              <w:t>5</w:t>
            </w:r>
            <w:r w:rsidR="0087030B">
              <w:rPr>
                <w:noProof/>
                <w:webHidden/>
              </w:rPr>
              <w:fldChar w:fldCharType="end"/>
            </w:r>
          </w:hyperlink>
        </w:p>
        <w:p w14:paraId="6D7F3D98" w14:textId="08B0600C" w:rsidR="0087030B" w:rsidRDefault="00167B6C">
          <w:pPr>
            <w:pStyle w:val="TOC1"/>
            <w:rPr>
              <w:rFonts w:asciiTheme="minorHAnsi" w:eastAsiaTheme="minorEastAsia" w:hAnsiTheme="minorHAnsi" w:cstheme="minorBidi"/>
              <w:noProof/>
              <w:kern w:val="2"/>
              <w:lang w:val="en-IE" w:eastAsia="en-IE"/>
              <w14:ligatures w14:val="standardContextual"/>
            </w:rPr>
          </w:pPr>
          <w:hyperlink w:anchor="_Toc223714988" w:history="1">
            <w:r w:rsidR="0087030B" w:rsidRPr="00FB39BE">
              <w:rPr>
                <w:rStyle w:val="Hyperlink"/>
                <w:noProof/>
                <w:lang w:val="en-IE"/>
              </w:rPr>
              <w:t>4.</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Exceptions to the right of access</w:t>
            </w:r>
            <w:r w:rsidR="0087030B">
              <w:rPr>
                <w:noProof/>
                <w:webHidden/>
              </w:rPr>
              <w:tab/>
            </w:r>
            <w:r w:rsidR="0087030B">
              <w:rPr>
                <w:noProof/>
                <w:webHidden/>
              </w:rPr>
              <w:fldChar w:fldCharType="begin"/>
            </w:r>
            <w:r w:rsidR="0087030B">
              <w:rPr>
                <w:noProof/>
                <w:webHidden/>
              </w:rPr>
              <w:instrText xml:space="preserve"> PAGEREF _Toc223714988 \h </w:instrText>
            </w:r>
            <w:r w:rsidR="0087030B">
              <w:rPr>
                <w:noProof/>
                <w:webHidden/>
              </w:rPr>
            </w:r>
            <w:r w:rsidR="0087030B">
              <w:rPr>
                <w:noProof/>
                <w:webHidden/>
              </w:rPr>
              <w:fldChar w:fldCharType="separate"/>
            </w:r>
            <w:r w:rsidR="00C61612">
              <w:rPr>
                <w:noProof/>
                <w:webHidden/>
              </w:rPr>
              <w:t>6</w:t>
            </w:r>
            <w:r w:rsidR="0087030B">
              <w:rPr>
                <w:noProof/>
                <w:webHidden/>
              </w:rPr>
              <w:fldChar w:fldCharType="end"/>
            </w:r>
          </w:hyperlink>
        </w:p>
        <w:p w14:paraId="456AF0CC" w14:textId="118B6991" w:rsidR="0087030B" w:rsidRDefault="00167B6C" w:rsidP="0087030B">
          <w:pPr>
            <w:pStyle w:val="TOC2"/>
            <w:ind w:left="1570"/>
            <w:rPr>
              <w:rFonts w:asciiTheme="minorHAnsi" w:eastAsiaTheme="minorEastAsia" w:hAnsiTheme="minorHAnsi" w:cstheme="minorBidi"/>
              <w:noProof/>
              <w:kern w:val="2"/>
              <w:lang w:val="en-IE" w:eastAsia="en-IE"/>
              <w14:ligatures w14:val="standardContextual"/>
            </w:rPr>
          </w:pPr>
          <w:hyperlink w:anchor="_Toc223714989" w:history="1">
            <w:r w:rsidR="0087030B" w:rsidRPr="00FB39BE">
              <w:rPr>
                <w:rStyle w:val="Hyperlink"/>
                <w:noProof/>
                <w:lang w:val="en-IE"/>
              </w:rPr>
              <w:t>4.1.</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Level of access granted to the documents requested (Annex – Tables 8 and 9)</w:t>
            </w:r>
            <w:r w:rsidR="0087030B">
              <w:rPr>
                <w:noProof/>
                <w:webHidden/>
              </w:rPr>
              <w:tab/>
            </w:r>
            <w:r w:rsidR="0087030B">
              <w:rPr>
                <w:noProof/>
                <w:webHidden/>
              </w:rPr>
              <w:fldChar w:fldCharType="begin"/>
            </w:r>
            <w:r w:rsidR="0087030B">
              <w:rPr>
                <w:noProof/>
                <w:webHidden/>
              </w:rPr>
              <w:instrText xml:space="preserve"> PAGEREF _Toc223714989 \h </w:instrText>
            </w:r>
            <w:r w:rsidR="0087030B">
              <w:rPr>
                <w:noProof/>
                <w:webHidden/>
              </w:rPr>
            </w:r>
            <w:r w:rsidR="0087030B">
              <w:rPr>
                <w:noProof/>
                <w:webHidden/>
              </w:rPr>
              <w:fldChar w:fldCharType="separate"/>
            </w:r>
            <w:r w:rsidR="00C61612">
              <w:rPr>
                <w:noProof/>
                <w:webHidden/>
              </w:rPr>
              <w:t>6</w:t>
            </w:r>
            <w:r w:rsidR="0087030B">
              <w:rPr>
                <w:noProof/>
                <w:webHidden/>
              </w:rPr>
              <w:fldChar w:fldCharType="end"/>
            </w:r>
          </w:hyperlink>
        </w:p>
        <w:p w14:paraId="32A49043" w14:textId="2222066D" w:rsidR="0087030B" w:rsidRDefault="00167B6C" w:rsidP="0087030B">
          <w:pPr>
            <w:pStyle w:val="TOC2"/>
            <w:ind w:left="1570"/>
            <w:rPr>
              <w:rFonts w:asciiTheme="minorHAnsi" w:eastAsiaTheme="minorEastAsia" w:hAnsiTheme="minorHAnsi" w:cstheme="minorBidi"/>
              <w:noProof/>
              <w:kern w:val="2"/>
              <w:lang w:val="en-IE" w:eastAsia="en-IE"/>
              <w14:ligatures w14:val="standardContextual"/>
            </w:rPr>
          </w:pPr>
          <w:hyperlink w:anchor="_Toc223714990" w:history="1">
            <w:r w:rsidR="0087030B" w:rsidRPr="00FB39BE">
              <w:rPr>
                <w:rStyle w:val="Hyperlink"/>
                <w:noProof/>
                <w:lang w:val="en-IE"/>
              </w:rPr>
              <w:t>4.2.</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Exceptions applied to the documents requested (Annex – Table 10)</w:t>
            </w:r>
            <w:r w:rsidR="0087030B">
              <w:rPr>
                <w:noProof/>
                <w:webHidden/>
              </w:rPr>
              <w:tab/>
            </w:r>
            <w:r w:rsidR="0087030B">
              <w:rPr>
                <w:noProof/>
                <w:webHidden/>
              </w:rPr>
              <w:fldChar w:fldCharType="begin"/>
            </w:r>
            <w:r w:rsidR="0087030B">
              <w:rPr>
                <w:noProof/>
                <w:webHidden/>
              </w:rPr>
              <w:instrText xml:space="preserve"> PAGEREF _Toc223714990 \h </w:instrText>
            </w:r>
            <w:r w:rsidR="0087030B">
              <w:rPr>
                <w:noProof/>
                <w:webHidden/>
              </w:rPr>
            </w:r>
            <w:r w:rsidR="0087030B">
              <w:rPr>
                <w:noProof/>
                <w:webHidden/>
              </w:rPr>
              <w:fldChar w:fldCharType="separate"/>
            </w:r>
            <w:r w:rsidR="00C61612">
              <w:rPr>
                <w:noProof/>
                <w:webHidden/>
              </w:rPr>
              <w:t>7</w:t>
            </w:r>
            <w:r w:rsidR="0087030B">
              <w:rPr>
                <w:noProof/>
                <w:webHidden/>
              </w:rPr>
              <w:fldChar w:fldCharType="end"/>
            </w:r>
          </w:hyperlink>
        </w:p>
        <w:p w14:paraId="6E3F1F1F" w14:textId="4047C761" w:rsidR="0087030B" w:rsidRDefault="00167B6C">
          <w:pPr>
            <w:pStyle w:val="TOC1"/>
            <w:rPr>
              <w:rFonts w:asciiTheme="minorHAnsi" w:eastAsiaTheme="minorEastAsia" w:hAnsiTheme="minorHAnsi" w:cstheme="minorBidi"/>
              <w:noProof/>
              <w:kern w:val="2"/>
              <w:lang w:val="en-IE" w:eastAsia="en-IE"/>
              <w14:ligatures w14:val="standardContextual"/>
            </w:rPr>
          </w:pPr>
          <w:hyperlink w:anchor="_Toc223714991" w:history="1">
            <w:r w:rsidR="0087030B" w:rsidRPr="00FB39BE">
              <w:rPr>
                <w:rStyle w:val="Hyperlink"/>
                <w:noProof/>
                <w:lang w:val="en-IE"/>
              </w:rPr>
              <w:t>5.</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Complaints to the European Ombudsman</w:t>
            </w:r>
            <w:r w:rsidR="0087030B">
              <w:rPr>
                <w:noProof/>
                <w:webHidden/>
              </w:rPr>
              <w:tab/>
            </w:r>
            <w:r w:rsidR="0087030B">
              <w:rPr>
                <w:noProof/>
                <w:webHidden/>
              </w:rPr>
              <w:fldChar w:fldCharType="begin"/>
            </w:r>
            <w:r w:rsidR="0087030B">
              <w:rPr>
                <w:noProof/>
                <w:webHidden/>
              </w:rPr>
              <w:instrText xml:space="preserve"> PAGEREF _Toc223714991 \h </w:instrText>
            </w:r>
            <w:r w:rsidR="0087030B">
              <w:rPr>
                <w:noProof/>
                <w:webHidden/>
              </w:rPr>
            </w:r>
            <w:r w:rsidR="0087030B">
              <w:rPr>
                <w:noProof/>
                <w:webHidden/>
              </w:rPr>
              <w:fldChar w:fldCharType="separate"/>
            </w:r>
            <w:r w:rsidR="00C61612">
              <w:rPr>
                <w:noProof/>
                <w:webHidden/>
              </w:rPr>
              <w:t>8</w:t>
            </w:r>
            <w:r w:rsidR="0087030B">
              <w:rPr>
                <w:noProof/>
                <w:webHidden/>
              </w:rPr>
              <w:fldChar w:fldCharType="end"/>
            </w:r>
          </w:hyperlink>
        </w:p>
        <w:p w14:paraId="0699DEBA" w14:textId="7633E8E2" w:rsidR="0087030B" w:rsidRDefault="00167B6C">
          <w:pPr>
            <w:pStyle w:val="TOC1"/>
            <w:rPr>
              <w:rFonts w:asciiTheme="minorHAnsi" w:eastAsiaTheme="minorEastAsia" w:hAnsiTheme="minorHAnsi" w:cstheme="minorBidi"/>
              <w:noProof/>
              <w:kern w:val="2"/>
              <w:lang w:val="en-IE" w:eastAsia="en-IE"/>
              <w14:ligatures w14:val="standardContextual"/>
            </w:rPr>
          </w:pPr>
          <w:hyperlink w:anchor="_Toc223714992" w:history="1">
            <w:r w:rsidR="0087030B" w:rsidRPr="00FB39BE">
              <w:rPr>
                <w:rStyle w:val="Hyperlink"/>
                <w:noProof/>
                <w:lang w:val="en-IE"/>
              </w:rPr>
              <w:t>6.</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New case-law on access to documents</w:t>
            </w:r>
            <w:r w:rsidR="0087030B">
              <w:rPr>
                <w:noProof/>
                <w:webHidden/>
              </w:rPr>
              <w:tab/>
            </w:r>
            <w:r w:rsidR="0087030B">
              <w:rPr>
                <w:noProof/>
                <w:webHidden/>
              </w:rPr>
              <w:fldChar w:fldCharType="begin"/>
            </w:r>
            <w:r w:rsidR="0087030B">
              <w:rPr>
                <w:noProof/>
                <w:webHidden/>
              </w:rPr>
              <w:instrText xml:space="preserve"> PAGEREF _Toc223714992 \h </w:instrText>
            </w:r>
            <w:r w:rsidR="0087030B">
              <w:rPr>
                <w:noProof/>
                <w:webHidden/>
              </w:rPr>
            </w:r>
            <w:r w:rsidR="0087030B">
              <w:rPr>
                <w:noProof/>
                <w:webHidden/>
              </w:rPr>
              <w:fldChar w:fldCharType="separate"/>
            </w:r>
            <w:r w:rsidR="00C61612">
              <w:rPr>
                <w:noProof/>
                <w:webHidden/>
              </w:rPr>
              <w:t>8</w:t>
            </w:r>
            <w:r w:rsidR="0087030B">
              <w:rPr>
                <w:noProof/>
                <w:webHidden/>
              </w:rPr>
              <w:fldChar w:fldCharType="end"/>
            </w:r>
          </w:hyperlink>
        </w:p>
        <w:p w14:paraId="58023FCA" w14:textId="24B7CFE2" w:rsidR="0087030B" w:rsidRDefault="00167B6C" w:rsidP="0087030B">
          <w:pPr>
            <w:pStyle w:val="TOC2"/>
            <w:ind w:left="1570"/>
            <w:rPr>
              <w:rFonts w:asciiTheme="minorHAnsi" w:eastAsiaTheme="minorEastAsia" w:hAnsiTheme="minorHAnsi" w:cstheme="minorBidi"/>
              <w:noProof/>
              <w:kern w:val="2"/>
              <w:lang w:val="en-IE" w:eastAsia="en-IE"/>
              <w14:ligatures w14:val="standardContextual"/>
            </w:rPr>
          </w:pPr>
          <w:hyperlink w:anchor="_Toc223714993" w:history="1">
            <w:r w:rsidR="0087030B" w:rsidRPr="00FB39BE">
              <w:rPr>
                <w:rStyle w:val="Hyperlink"/>
                <w:noProof/>
                <w:lang w:val="en-IE"/>
              </w:rPr>
              <w:t>6.1.</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The Court of Justice</w:t>
            </w:r>
            <w:r w:rsidR="0087030B">
              <w:rPr>
                <w:noProof/>
                <w:webHidden/>
              </w:rPr>
              <w:tab/>
            </w:r>
            <w:r w:rsidR="0087030B">
              <w:rPr>
                <w:noProof/>
                <w:webHidden/>
              </w:rPr>
              <w:fldChar w:fldCharType="begin"/>
            </w:r>
            <w:r w:rsidR="0087030B">
              <w:rPr>
                <w:noProof/>
                <w:webHidden/>
              </w:rPr>
              <w:instrText xml:space="preserve"> PAGEREF _Toc223714993 \h </w:instrText>
            </w:r>
            <w:r w:rsidR="0087030B">
              <w:rPr>
                <w:noProof/>
                <w:webHidden/>
              </w:rPr>
            </w:r>
            <w:r w:rsidR="0087030B">
              <w:rPr>
                <w:noProof/>
                <w:webHidden/>
              </w:rPr>
              <w:fldChar w:fldCharType="separate"/>
            </w:r>
            <w:r w:rsidR="00C61612">
              <w:rPr>
                <w:noProof/>
                <w:webHidden/>
              </w:rPr>
              <w:t>8</w:t>
            </w:r>
            <w:r w:rsidR="0087030B">
              <w:rPr>
                <w:noProof/>
                <w:webHidden/>
              </w:rPr>
              <w:fldChar w:fldCharType="end"/>
            </w:r>
          </w:hyperlink>
        </w:p>
        <w:p w14:paraId="69560764" w14:textId="14928AE2" w:rsidR="0087030B" w:rsidRDefault="00167B6C" w:rsidP="0087030B">
          <w:pPr>
            <w:pStyle w:val="TOC3"/>
            <w:ind w:left="1700"/>
            <w:rPr>
              <w:rFonts w:asciiTheme="minorHAnsi" w:eastAsiaTheme="minorEastAsia" w:hAnsiTheme="minorHAnsi" w:cstheme="minorBidi"/>
              <w:noProof/>
              <w:kern w:val="2"/>
              <w:lang w:val="en-IE" w:eastAsia="en-IE"/>
              <w14:ligatures w14:val="standardContextual"/>
            </w:rPr>
          </w:pPr>
          <w:hyperlink w:anchor="_Toc223714994" w:history="1">
            <w:r w:rsidR="0087030B" w:rsidRPr="00FB39BE">
              <w:rPr>
                <w:rStyle w:val="Hyperlink"/>
                <w:noProof/>
                <w:lang w:val="en-IE"/>
              </w:rPr>
              <w:t>6.1.1.</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Clarifications of substantive rules</w:t>
            </w:r>
            <w:r w:rsidR="0087030B">
              <w:rPr>
                <w:noProof/>
                <w:webHidden/>
              </w:rPr>
              <w:tab/>
            </w:r>
            <w:r w:rsidR="0087030B">
              <w:rPr>
                <w:noProof/>
                <w:webHidden/>
              </w:rPr>
              <w:fldChar w:fldCharType="begin"/>
            </w:r>
            <w:r w:rsidR="0087030B">
              <w:rPr>
                <w:noProof/>
                <w:webHidden/>
              </w:rPr>
              <w:instrText xml:space="preserve"> PAGEREF _Toc223714994 \h </w:instrText>
            </w:r>
            <w:r w:rsidR="0087030B">
              <w:rPr>
                <w:noProof/>
                <w:webHidden/>
              </w:rPr>
            </w:r>
            <w:r w:rsidR="0087030B">
              <w:rPr>
                <w:noProof/>
                <w:webHidden/>
              </w:rPr>
              <w:fldChar w:fldCharType="separate"/>
            </w:r>
            <w:r w:rsidR="00C61612">
              <w:rPr>
                <w:noProof/>
                <w:webHidden/>
              </w:rPr>
              <w:t>9</w:t>
            </w:r>
            <w:r w:rsidR="0087030B">
              <w:rPr>
                <w:noProof/>
                <w:webHidden/>
              </w:rPr>
              <w:fldChar w:fldCharType="end"/>
            </w:r>
          </w:hyperlink>
        </w:p>
        <w:p w14:paraId="24666D75" w14:textId="43CC1F18" w:rsidR="0087030B" w:rsidRDefault="00167B6C" w:rsidP="0087030B">
          <w:pPr>
            <w:pStyle w:val="TOC2"/>
            <w:ind w:left="1570"/>
            <w:rPr>
              <w:rFonts w:asciiTheme="minorHAnsi" w:eastAsiaTheme="minorEastAsia" w:hAnsiTheme="minorHAnsi" w:cstheme="minorBidi"/>
              <w:noProof/>
              <w:kern w:val="2"/>
              <w:lang w:val="en-IE" w:eastAsia="en-IE"/>
              <w14:ligatures w14:val="standardContextual"/>
            </w:rPr>
          </w:pPr>
          <w:hyperlink w:anchor="_Toc223714995" w:history="1">
            <w:r w:rsidR="0087030B" w:rsidRPr="00FB39BE">
              <w:rPr>
                <w:rStyle w:val="Hyperlink"/>
                <w:noProof/>
                <w:lang w:val="en-IE"/>
              </w:rPr>
              <w:t>6.2.</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The General Court</w:t>
            </w:r>
            <w:r w:rsidR="0087030B">
              <w:rPr>
                <w:noProof/>
                <w:webHidden/>
              </w:rPr>
              <w:tab/>
            </w:r>
            <w:r w:rsidR="0087030B">
              <w:rPr>
                <w:noProof/>
                <w:webHidden/>
              </w:rPr>
              <w:fldChar w:fldCharType="begin"/>
            </w:r>
            <w:r w:rsidR="0087030B">
              <w:rPr>
                <w:noProof/>
                <w:webHidden/>
              </w:rPr>
              <w:instrText xml:space="preserve"> PAGEREF _Toc223714995 \h </w:instrText>
            </w:r>
            <w:r w:rsidR="0087030B">
              <w:rPr>
                <w:noProof/>
                <w:webHidden/>
              </w:rPr>
            </w:r>
            <w:r w:rsidR="0087030B">
              <w:rPr>
                <w:noProof/>
                <w:webHidden/>
              </w:rPr>
              <w:fldChar w:fldCharType="separate"/>
            </w:r>
            <w:r w:rsidR="00C61612">
              <w:rPr>
                <w:noProof/>
                <w:webHidden/>
              </w:rPr>
              <w:t>9</w:t>
            </w:r>
            <w:r w:rsidR="0087030B">
              <w:rPr>
                <w:noProof/>
                <w:webHidden/>
              </w:rPr>
              <w:fldChar w:fldCharType="end"/>
            </w:r>
          </w:hyperlink>
        </w:p>
        <w:p w14:paraId="0881EB16" w14:textId="2EEE9F28" w:rsidR="0087030B" w:rsidRDefault="00167B6C" w:rsidP="0087030B">
          <w:pPr>
            <w:pStyle w:val="TOC3"/>
            <w:ind w:left="1700"/>
            <w:rPr>
              <w:rFonts w:asciiTheme="minorHAnsi" w:eastAsiaTheme="minorEastAsia" w:hAnsiTheme="minorHAnsi" w:cstheme="minorBidi"/>
              <w:noProof/>
              <w:kern w:val="2"/>
              <w:lang w:val="en-IE" w:eastAsia="en-IE"/>
              <w14:ligatures w14:val="standardContextual"/>
            </w:rPr>
          </w:pPr>
          <w:hyperlink w:anchor="_Toc223714996" w:history="1">
            <w:r w:rsidR="0087030B" w:rsidRPr="00FB39BE">
              <w:rPr>
                <w:rStyle w:val="Hyperlink"/>
                <w:noProof/>
                <w:lang w:val="en-IE"/>
              </w:rPr>
              <w:t>6.2.1.</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Clarifications of substantive rules</w:t>
            </w:r>
            <w:r w:rsidR="0087030B">
              <w:rPr>
                <w:noProof/>
                <w:webHidden/>
              </w:rPr>
              <w:tab/>
            </w:r>
            <w:r w:rsidR="0087030B">
              <w:rPr>
                <w:noProof/>
                <w:webHidden/>
              </w:rPr>
              <w:fldChar w:fldCharType="begin"/>
            </w:r>
            <w:r w:rsidR="0087030B">
              <w:rPr>
                <w:noProof/>
                <w:webHidden/>
              </w:rPr>
              <w:instrText xml:space="preserve"> PAGEREF _Toc223714996 \h </w:instrText>
            </w:r>
            <w:r w:rsidR="0087030B">
              <w:rPr>
                <w:noProof/>
                <w:webHidden/>
              </w:rPr>
            </w:r>
            <w:r w:rsidR="0087030B">
              <w:rPr>
                <w:noProof/>
                <w:webHidden/>
              </w:rPr>
              <w:fldChar w:fldCharType="separate"/>
            </w:r>
            <w:r w:rsidR="00C61612">
              <w:rPr>
                <w:noProof/>
                <w:webHidden/>
              </w:rPr>
              <w:t>10</w:t>
            </w:r>
            <w:r w:rsidR="0087030B">
              <w:rPr>
                <w:noProof/>
                <w:webHidden/>
              </w:rPr>
              <w:fldChar w:fldCharType="end"/>
            </w:r>
          </w:hyperlink>
        </w:p>
        <w:p w14:paraId="7B246CB3" w14:textId="38DC6322" w:rsidR="0087030B" w:rsidRDefault="00167B6C" w:rsidP="0087030B">
          <w:pPr>
            <w:pStyle w:val="TOC3"/>
            <w:ind w:left="1700"/>
            <w:rPr>
              <w:rFonts w:asciiTheme="minorHAnsi" w:eastAsiaTheme="minorEastAsia" w:hAnsiTheme="minorHAnsi" w:cstheme="minorBidi"/>
              <w:noProof/>
              <w:kern w:val="2"/>
              <w:lang w:val="en-IE" w:eastAsia="en-IE"/>
              <w14:ligatures w14:val="standardContextual"/>
            </w:rPr>
          </w:pPr>
          <w:hyperlink w:anchor="_Toc223714997" w:history="1">
            <w:r w:rsidR="0087030B" w:rsidRPr="00FB39BE">
              <w:rPr>
                <w:rStyle w:val="Hyperlink"/>
                <w:noProof/>
                <w:lang w:val="en-IE"/>
              </w:rPr>
              <w:t>6.2.2.</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Clarifications of procedural rules</w:t>
            </w:r>
            <w:r w:rsidR="0087030B">
              <w:rPr>
                <w:noProof/>
                <w:webHidden/>
              </w:rPr>
              <w:tab/>
            </w:r>
            <w:r w:rsidR="0087030B">
              <w:rPr>
                <w:noProof/>
                <w:webHidden/>
              </w:rPr>
              <w:fldChar w:fldCharType="begin"/>
            </w:r>
            <w:r w:rsidR="0087030B">
              <w:rPr>
                <w:noProof/>
                <w:webHidden/>
              </w:rPr>
              <w:instrText xml:space="preserve"> PAGEREF _Toc223714997 \h </w:instrText>
            </w:r>
            <w:r w:rsidR="0087030B">
              <w:rPr>
                <w:noProof/>
                <w:webHidden/>
              </w:rPr>
            </w:r>
            <w:r w:rsidR="0087030B">
              <w:rPr>
                <w:noProof/>
                <w:webHidden/>
              </w:rPr>
              <w:fldChar w:fldCharType="separate"/>
            </w:r>
            <w:r w:rsidR="00C61612">
              <w:rPr>
                <w:noProof/>
                <w:webHidden/>
              </w:rPr>
              <w:t>10</w:t>
            </w:r>
            <w:r w:rsidR="0087030B">
              <w:rPr>
                <w:noProof/>
                <w:webHidden/>
              </w:rPr>
              <w:fldChar w:fldCharType="end"/>
            </w:r>
          </w:hyperlink>
        </w:p>
        <w:p w14:paraId="3F6B1AB2" w14:textId="5B5DCACF" w:rsidR="0087030B" w:rsidRDefault="00167B6C" w:rsidP="0087030B">
          <w:pPr>
            <w:pStyle w:val="TOC2"/>
            <w:ind w:left="1570"/>
            <w:rPr>
              <w:rFonts w:asciiTheme="minorHAnsi" w:eastAsiaTheme="minorEastAsia" w:hAnsiTheme="minorHAnsi" w:cstheme="minorBidi"/>
              <w:noProof/>
              <w:kern w:val="2"/>
              <w:lang w:val="en-IE" w:eastAsia="en-IE"/>
              <w14:ligatures w14:val="standardContextual"/>
            </w:rPr>
          </w:pPr>
          <w:hyperlink w:anchor="_Toc223714998" w:history="1">
            <w:r w:rsidR="0087030B" w:rsidRPr="00FB39BE">
              <w:rPr>
                <w:rStyle w:val="Hyperlink"/>
                <w:noProof/>
                <w:lang w:val="en-IE"/>
              </w:rPr>
              <w:t>6.3.</w:t>
            </w:r>
            <w:r w:rsidR="0087030B">
              <w:rPr>
                <w:rFonts w:asciiTheme="minorHAnsi" w:eastAsiaTheme="minorEastAsia" w:hAnsiTheme="minorHAnsi" w:cstheme="minorBidi"/>
                <w:noProof/>
                <w:kern w:val="2"/>
                <w:lang w:val="en-IE" w:eastAsia="en-IE"/>
                <w14:ligatures w14:val="standardContextual"/>
              </w:rPr>
              <w:tab/>
            </w:r>
            <w:r w:rsidR="0087030B" w:rsidRPr="00FB39BE">
              <w:rPr>
                <w:rStyle w:val="Hyperlink"/>
                <w:noProof/>
                <w:lang w:val="en-IE"/>
              </w:rPr>
              <w:t>New Court cases introduced against the European Commission</w:t>
            </w:r>
            <w:r w:rsidR="0087030B">
              <w:rPr>
                <w:noProof/>
                <w:webHidden/>
              </w:rPr>
              <w:tab/>
            </w:r>
            <w:r w:rsidR="0087030B">
              <w:rPr>
                <w:noProof/>
                <w:webHidden/>
              </w:rPr>
              <w:fldChar w:fldCharType="begin"/>
            </w:r>
            <w:r w:rsidR="0087030B">
              <w:rPr>
                <w:noProof/>
                <w:webHidden/>
              </w:rPr>
              <w:instrText xml:space="preserve"> PAGEREF _Toc223714998 \h </w:instrText>
            </w:r>
            <w:r w:rsidR="0087030B">
              <w:rPr>
                <w:noProof/>
                <w:webHidden/>
              </w:rPr>
            </w:r>
            <w:r w:rsidR="0087030B">
              <w:rPr>
                <w:noProof/>
                <w:webHidden/>
              </w:rPr>
              <w:fldChar w:fldCharType="separate"/>
            </w:r>
            <w:r w:rsidR="00C61612">
              <w:rPr>
                <w:noProof/>
                <w:webHidden/>
              </w:rPr>
              <w:t>10</w:t>
            </w:r>
            <w:r w:rsidR="0087030B">
              <w:rPr>
                <w:noProof/>
                <w:webHidden/>
              </w:rPr>
              <w:fldChar w:fldCharType="end"/>
            </w:r>
          </w:hyperlink>
        </w:p>
        <w:p w14:paraId="61478F85" w14:textId="0AEBE852" w:rsidR="005E2753" w:rsidRPr="00746C2C" w:rsidRDefault="005E2753" w:rsidP="005E2753">
          <w:pPr>
            <w:rPr>
              <w:noProof/>
              <w:lang w:val="en-IE"/>
            </w:rPr>
          </w:pPr>
          <w:r w:rsidRPr="00746C2C">
            <w:rPr>
              <w:b/>
              <w:bCs/>
              <w:noProof/>
              <w:lang w:val="en-IE"/>
            </w:rPr>
            <w:fldChar w:fldCharType="end"/>
          </w:r>
        </w:p>
      </w:sdtContent>
    </w:sdt>
    <w:p w14:paraId="1159CFFD" w14:textId="77777777" w:rsidR="005E2753" w:rsidRPr="00746C2C" w:rsidRDefault="005E2753" w:rsidP="005E2753">
      <w:pPr>
        <w:rPr>
          <w:rFonts w:ascii="Times New Roman" w:hAnsi="Times New Roman" w:cs="Times New Roman"/>
          <w:noProof/>
          <w:sz w:val="24"/>
          <w:szCs w:val="24"/>
          <w:lang w:val="en-IE"/>
        </w:rPr>
      </w:pPr>
      <w:r w:rsidRPr="00746C2C">
        <w:rPr>
          <w:rFonts w:ascii="Times New Roman" w:hAnsi="Times New Roman" w:cs="Times New Roman"/>
          <w:noProof/>
          <w:sz w:val="24"/>
          <w:szCs w:val="24"/>
          <w:lang w:val="en-IE"/>
        </w:rPr>
        <w:br w:type="page"/>
      </w:r>
    </w:p>
    <w:p w14:paraId="3D8CDB40" w14:textId="77777777" w:rsidR="005E2753" w:rsidRPr="00746C2C" w:rsidRDefault="005E2753" w:rsidP="005E2753">
      <w:pPr>
        <w:pStyle w:val="Heading1"/>
        <w:spacing w:after="360"/>
        <w:ind w:left="851" w:hanging="851"/>
        <w:rPr>
          <w:noProof/>
          <w:lang w:val="en-IE"/>
        </w:rPr>
      </w:pPr>
      <w:bookmarkStart w:id="2" w:name="_Toc223714983"/>
      <w:r w:rsidRPr="00746C2C">
        <w:rPr>
          <w:noProof/>
          <w:lang w:val="en-IE"/>
        </w:rPr>
        <w:t>Introduction</w:t>
      </w:r>
      <w:bookmarkEnd w:id="2"/>
    </w:p>
    <w:p w14:paraId="11D8E7E4" w14:textId="38228AE9" w:rsidR="00142CBD" w:rsidRDefault="005E2753" w:rsidP="005E2753">
      <w:pPr>
        <w:spacing w:before="240" w:after="0"/>
        <w:jc w:val="both"/>
        <w:rPr>
          <w:rFonts w:ascii="Times New Roman" w:eastAsia="Times New Roman" w:hAnsi="Times New Roman" w:cs="Times New Roman"/>
          <w:noProof/>
          <w:sz w:val="24"/>
          <w:szCs w:val="24"/>
          <w:lang w:val="en-IE" w:eastAsia="en-GB"/>
        </w:rPr>
      </w:pPr>
      <w:r w:rsidRPr="00746C2C">
        <w:rPr>
          <w:rFonts w:ascii="Times New Roman" w:eastAsia="Times New Roman" w:hAnsi="Times New Roman" w:cs="Times New Roman"/>
          <w:noProof/>
          <w:sz w:val="24"/>
          <w:szCs w:val="24"/>
          <w:lang w:val="en-IE" w:eastAsia="en-GB"/>
        </w:rPr>
        <w:t>Th</w:t>
      </w:r>
      <w:r w:rsidR="003F62A3" w:rsidRPr="00746C2C">
        <w:rPr>
          <w:rFonts w:ascii="Times New Roman" w:eastAsia="Times New Roman" w:hAnsi="Times New Roman" w:cs="Times New Roman"/>
          <w:noProof/>
          <w:sz w:val="24"/>
          <w:szCs w:val="24"/>
          <w:lang w:val="en-IE" w:eastAsia="en-GB"/>
        </w:rPr>
        <w:t>is</w:t>
      </w:r>
      <w:r w:rsidRPr="00746C2C">
        <w:rPr>
          <w:rFonts w:ascii="Times New Roman" w:eastAsia="Times New Roman" w:hAnsi="Times New Roman" w:cs="Times New Roman"/>
          <w:noProof/>
          <w:sz w:val="24"/>
          <w:szCs w:val="24"/>
          <w:lang w:val="en-IE" w:eastAsia="en-GB"/>
        </w:rPr>
        <w:t xml:space="preserve"> annual report</w:t>
      </w:r>
      <w:r w:rsidR="003B5BB4" w:rsidRPr="00746C2C">
        <w:rPr>
          <w:rFonts w:ascii="Times New Roman" w:eastAsia="Times New Roman" w:hAnsi="Times New Roman" w:cs="Times New Roman"/>
          <w:noProof/>
          <w:sz w:val="24"/>
          <w:szCs w:val="24"/>
          <w:lang w:val="en-IE" w:eastAsia="en-GB"/>
        </w:rPr>
        <w:t xml:space="preserve"> is</w:t>
      </w:r>
      <w:r w:rsidRPr="00746C2C">
        <w:rPr>
          <w:rFonts w:ascii="Times New Roman" w:eastAsia="Times New Roman" w:hAnsi="Times New Roman" w:cs="Times New Roman"/>
          <w:noProof/>
          <w:sz w:val="24"/>
          <w:szCs w:val="24"/>
          <w:lang w:val="en-IE" w:eastAsia="en-GB"/>
        </w:rPr>
        <w:t xml:space="preserve"> drafted in accordance with Article 17(1) of Regulation (EC) No</w:t>
      </w:r>
      <w:r w:rsidR="00627A63">
        <w:rPr>
          <w:rFonts w:ascii="Times New Roman" w:eastAsia="Times New Roman" w:hAnsi="Times New Roman" w:cs="Times New Roman"/>
          <w:noProof/>
          <w:sz w:val="24"/>
          <w:szCs w:val="24"/>
          <w:lang w:val="en-IE" w:eastAsia="en-GB"/>
        </w:rPr>
        <w:t> </w:t>
      </w:r>
      <w:r w:rsidRPr="00746C2C">
        <w:rPr>
          <w:rFonts w:ascii="Times New Roman" w:eastAsia="Times New Roman" w:hAnsi="Times New Roman" w:cs="Times New Roman"/>
          <w:noProof/>
          <w:sz w:val="24"/>
          <w:szCs w:val="24"/>
          <w:lang w:val="en-IE" w:eastAsia="en-GB"/>
        </w:rPr>
        <w:t>1049/2001</w:t>
      </w:r>
      <w:r w:rsidR="00BC433A">
        <w:rPr>
          <w:rFonts w:ascii="Times New Roman" w:eastAsia="Times New Roman" w:hAnsi="Times New Roman" w:cs="Times New Roman"/>
          <w:noProof/>
          <w:sz w:val="24"/>
          <w:szCs w:val="24"/>
          <w:lang w:val="en-IE" w:eastAsia="en-GB"/>
        </w:rPr>
        <w:t xml:space="preserve"> </w:t>
      </w:r>
      <w:r w:rsidRPr="00746C2C">
        <w:rPr>
          <w:rFonts w:ascii="Times New Roman" w:eastAsia="Times New Roman" w:hAnsi="Times New Roman" w:cs="Times New Roman"/>
          <w:noProof/>
          <w:sz w:val="24"/>
          <w:szCs w:val="24"/>
          <w:lang w:val="en-IE" w:eastAsia="en-GB"/>
        </w:rPr>
        <w:t>regarding public access to European Parliament, Council and Commission documents</w:t>
      </w:r>
      <w:r w:rsidR="00BC433A" w:rsidRPr="00746C2C">
        <w:rPr>
          <w:rStyle w:val="FootnoteReference"/>
          <w:rFonts w:ascii="Times New Roman" w:eastAsia="Times New Roman" w:hAnsi="Times New Roman" w:cs="Times New Roman"/>
          <w:noProof/>
          <w:sz w:val="24"/>
          <w:szCs w:val="24"/>
          <w:lang w:val="en-IE" w:eastAsia="en-GB"/>
        </w:rPr>
        <w:footnoteReference w:id="2"/>
      </w:r>
      <w:r w:rsidRPr="00746C2C">
        <w:rPr>
          <w:rFonts w:ascii="Times New Roman" w:eastAsia="Times New Roman" w:hAnsi="Times New Roman" w:cs="Times New Roman"/>
          <w:noProof/>
          <w:sz w:val="24"/>
          <w:szCs w:val="24"/>
          <w:lang w:val="en-IE" w:eastAsia="en-GB"/>
        </w:rPr>
        <w:t xml:space="preserve"> (hereafter ‘Regulation (EC) No 1049/2001’)</w:t>
      </w:r>
      <w:r w:rsidR="003B5BB4" w:rsidRPr="00746C2C">
        <w:rPr>
          <w:rFonts w:ascii="Times New Roman" w:eastAsia="Times New Roman" w:hAnsi="Times New Roman" w:cs="Times New Roman"/>
          <w:noProof/>
          <w:sz w:val="24"/>
          <w:szCs w:val="24"/>
          <w:lang w:val="en-IE" w:eastAsia="en-GB"/>
        </w:rPr>
        <w:t>.</w:t>
      </w:r>
      <w:r w:rsidRPr="00746C2C">
        <w:rPr>
          <w:rFonts w:ascii="Times New Roman" w:eastAsia="Times New Roman" w:hAnsi="Times New Roman" w:cs="Times New Roman"/>
          <w:noProof/>
          <w:sz w:val="24"/>
          <w:szCs w:val="24"/>
          <w:lang w:val="en-IE" w:eastAsia="en-GB"/>
        </w:rPr>
        <w:t xml:space="preserve"> </w:t>
      </w:r>
      <w:r w:rsidR="00E01F23" w:rsidRPr="00746C2C">
        <w:rPr>
          <w:rFonts w:ascii="Times New Roman" w:eastAsia="Times New Roman" w:hAnsi="Times New Roman" w:cs="Times New Roman"/>
          <w:noProof/>
          <w:sz w:val="24"/>
          <w:szCs w:val="24"/>
          <w:lang w:val="en-IE" w:eastAsia="en-GB"/>
        </w:rPr>
        <w:t xml:space="preserve">It </w:t>
      </w:r>
      <w:r w:rsidR="005838EC">
        <w:rPr>
          <w:rFonts w:ascii="Times New Roman" w:eastAsia="Times New Roman" w:hAnsi="Times New Roman" w:cs="Times New Roman"/>
          <w:noProof/>
          <w:sz w:val="24"/>
          <w:szCs w:val="24"/>
          <w:lang w:val="en-IE" w:eastAsia="en-GB"/>
        </w:rPr>
        <w:t>explains how</w:t>
      </w:r>
      <w:r w:rsidR="00E01F23" w:rsidRPr="00746C2C">
        <w:rPr>
          <w:rFonts w:ascii="Times New Roman" w:eastAsia="Times New Roman" w:hAnsi="Times New Roman" w:cs="Times New Roman"/>
          <w:noProof/>
          <w:sz w:val="24"/>
          <w:szCs w:val="24"/>
          <w:lang w:val="en-IE" w:eastAsia="en-GB"/>
        </w:rPr>
        <w:t xml:space="preserve"> the </w:t>
      </w:r>
      <w:r w:rsidR="005838EC">
        <w:rPr>
          <w:rFonts w:ascii="Times New Roman" w:eastAsia="Times New Roman" w:hAnsi="Times New Roman" w:cs="Times New Roman"/>
          <w:noProof/>
          <w:sz w:val="24"/>
          <w:szCs w:val="24"/>
          <w:lang w:val="en-IE" w:eastAsia="en-GB"/>
        </w:rPr>
        <w:t xml:space="preserve">European Commission </w:t>
      </w:r>
      <w:r w:rsidR="00E01F23" w:rsidRPr="00746C2C">
        <w:rPr>
          <w:rFonts w:ascii="Times New Roman" w:eastAsia="Times New Roman" w:hAnsi="Times New Roman" w:cs="Times New Roman"/>
          <w:noProof/>
          <w:sz w:val="24"/>
          <w:szCs w:val="24"/>
          <w:lang w:val="en-IE" w:eastAsia="en-GB"/>
        </w:rPr>
        <w:t>implement</w:t>
      </w:r>
      <w:r w:rsidR="005838EC">
        <w:rPr>
          <w:rFonts w:ascii="Times New Roman" w:eastAsia="Times New Roman" w:hAnsi="Times New Roman" w:cs="Times New Roman"/>
          <w:noProof/>
          <w:sz w:val="24"/>
          <w:szCs w:val="24"/>
          <w:lang w:val="en-IE" w:eastAsia="en-GB"/>
        </w:rPr>
        <w:t>ed</w:t>
      </w:r>
      <w:r w:rsidR="00E01F23" w:rsidRPr="00746C2C">
        <w:rPr>
          <w:rFonts w:ascii="Times New Roman" w:eastAsia="Times New Roman" w:hAnsi="Times New Roman" w:cs="Times New Roman"/>
          <w:noProof/>
          <w:sz w:val="24"/>
          <w:szCs w:val="24"/>
          <w:lang w:val="en-IE" w:eastAsia="en-GB"/>
        </w:rPr>
        <w:t xml:space="preserve"> Regulation (EC) No 1049/2001 in 202</w:t>
      </w:r>
      <w:r w:rsidR="00BC433A">
        <w:rPr>
          <w:rFonts w:ascii="Times New Roman" w:eastAsia="Times New Roman" w:hAnsi="Times New Roman" w:cs="Times New Roman"/>
          <w:noProof/>
          <w:sz w:val="24"/>
          <w:szCs w:val="24"/>
          <w:lang w:val="en-IE" w:eastAsia="en-GB"/>
        </w:rPr>
        <w:t>5</w:t>
      </w:r>
      <w:r w:rsidR="00627A63">
        <w:rPr>
          <w:rFonts w:ascii="Times New Roman" w:eastAsia="Times New Roman" w:hAnsi="Times New Roman" w:cs="Times New Roman"/>
          <w:noProof/>
          <w:sz w:val="24"/>
          <w:szCs w:val="24"/>
          <w:lang w:val="en-IE" w:eastAsia="en-GB"/>
        </w:rPr>
        <w:t>,</w:t>
      </w:r>
      <w:r w:rsidR="00E01F23" w:rsidRPr="00746C2C">
        <w:rPr>
          <w:rFonts w:ascii="Times New Roman" w:eastAsia="Times New Roman" w:hAnsi="Times New Roman" w:cs="Times New Roman"/>
          <w:noProof/>
          <w:sz w:val="24"/>
          <w:szCs w:val="24"/>
          <w:lang w:val="en-IE" w:eastAsia="en-GB"/>
        </w:rPr>
        <w:t xml:space="preserve"> based on statistical data</w:t>
      </w:r>
      <w:r w:rsidR="00E01F23" w:rsidRPr="00746C2C">
        <w:rPr>
          <w:rFonts w:ascii="Times New Roman" w:eastAsia="Times New Roman" w:hAnsi="Times New Roman" w:cs="Times New Roman"/>
          <w:noProof/>
          <w:sz w:val="24"/>
          <w:szCs w:val="24"/>
          <w:vertAlign w:val="superscript"/>
          <w:lang w:val="en-IE"/>
        </w:rPr>
        <w:footnoteReference w:id="3"/>
      </w:r>
      <w:r w:rsidR="00E01F23" w:rsidRPr="00746C2C">
        <w:rPr>
          <w:rFonts w:ascii="Times New Roman" w:eastAsia="Times New Roman" w:hAnsi="Times New Roman" w:cs="Times New Roman"/>
          <w:noProof/>
          <w:sz w:val="24"/>
          <w:szCs w:val="24"/>
          <w:lang w:val="en-IE" w:eastAsia="en-GB"/>
        </w:rPr>
        <w:t xml:space="preserve"> summarised in the Annex. </w:t>
      </w:r>
      <w:r w:rsidRPr="00746C2C">
        <w:rPr>
          <w:rFonts w:ascii="Times New Roman" w:eastAsia="Times New Roman" w:hAnsi="Times New Roman" w:cs="Times New Roman"/>
          <w:noProof/>
          <w:sz w:val="24"/>
          <w:szCs w:val="24"/>
          <w:lang w:val="en-IE" w:eastAsia="en-GB"/>
        </w:rPr>
        <w:t xml:space="preserve">It also </w:t>
      </w:r>
      <w:r w:rsidR="005838EC">
        <w:rPr>
          <w:rFonts w:ascii="Times New Roman" w:eastAsia="Times New Roman" w:hAnsi="Times New Roman" w:cs="Times New Roman"/>
          <w:noProof/>
          <w:sz w:val="24"/>
          <w:szCs w:val="24"/>
          <w:lang w:val="en-IE" w:eastAsia="en-GB"/>
        </w:rPr>
        <w:t>draws on</w:t>
      </w:r>
      <w:r w:rsidR="000E7B5B" w:rsidRPr="00746C2C">
        <w:rPr>
          <w:rFonts w:ascii="Times New Roman" w:eastAsia="Times New Roman" w:hAnsi="Times New Roman" w:cs="Times New Roman"/>
          <w:noProof/>
          <w:sz w:val="24"/>
          <w:szCs w:val="24"/>
          <w:lang w:val="en-IE" w:eastAsia="en-GB"/>
        </w:rPr>
        <w:t xml:space="preserve"> the</w:t>
      </w:r>
      <w:r w:rsidR="000C5B2A" w:rsidRPr="00746C2C">
        <w:rPr>
          <w:rFonts w:ascii="Times New Roman" w:eastAsia="Times New Roman" w:hAnsi="Times New Roman" w:cs="Times New Roman"/>
          <w:noProof/>
          <w:sz w:val="24"/>
          <w:szCs w:val="24"/>
          <w:lang w:val="en-IE" w:eastAsia="en-GB"/>
        </w:rPr>
        <w:t xml:space="preserve"> </w:t>
      </w:r>
      <w:r w:rsidRPr="00746C2C">
        <w:rPr>
          <w:rFonts w:ascii="Times New Roman" w:eastAsia="Times New Roman" w:hAnsi="Times New Roman" w:cs="Times New Roman"/>
          <w:noProof/>
          <w:sz w:val="24"/>
          <w:szCs w:val="24"/>
          <w:lang w:val="en-IE" w:eastAsia="en-GB"/>
        </w:rPr>
        <w:t>findings of the European Ombudsman on the European Commission</w:t>
      </w:r>
      <w:r w:rsidR="00E01F23" w:rsidRPr="00746C2C">
        <w:rPr>
          <w:rFonts w:ascii="Times New Roman" w:eastAsia="Times New Roman" w:hAnsi="Times New Roman" w:cs="Times New Roman"/>
          <w:noProof/>
          <w:sz w:val="24"/>
          <w:szCs w:val="24"/>
          <w:lang w:val="en-IE" w:eastAsia="en-GB"/>
        </w:rPr>
        <w:t>’</w:t>
      </w:r>
      <w:r w:rsidRPr="00746C2C">
        <w:rPr>
          <w:rFonts w:ascii="Times New Roman" w:eastAsia="Times New Roman" w:hAnsi="Times New Roman" w:cs="Times New Roman"/>
          <w:noProof/>
          <w:sz w:val="24"/>
          <w:szCs w:val="24"/>
          <w:lang w:val="en-IE" w:eastAsia="en-GB"/>
        </w:rPr>
        <w:t xml:space="preserve">s implementation of </w:t>
      </w:r>
      <w:r w:rsidR="005300CF" w:rsidRPr="00746C2C">
        <w:rPr>
          <w:rFonts w:ascii="Times New Roman" w:eastAsia="Times New Roman" w:hAnsi="Times New Roman" w:cs="Times New Roman"/>
          <w:noProof/>
          <w:sz w:val="24"/>
          <w:szCs w:val="24"/>
          <w:lang w:val="en-IE" w:eastAsia="en-GB"/>
        </w:rPr>
        <w:t>Regulation (EC) No 1049/2001</w:t>
      </w:r>
      <w:r w:rsidRPr="00746C2C">
        <w:rPr>
          <w:rFonts w:ascii="Times New Roman" w:eastAsia="Times New Roman" w:hAnsi="Times New Roman" w:cs="Times New Roman"/>
          <w:noProof/>
          <w:sz w:val="24"/>
          <w:szCs w:val="24"/>
          <w:lang w:val="en-IE" w:eastAsia="en-GB"/>
        </w:rPr>
        <w:t xml:space="preserve"> and the rulings handed down by the EU </w:t>
      </w:r>
      <w:r w:rsidR="000830EA">
        <w:rPr>
          <w:rFonts w:ascii="Times New Roman" w:eastAsia="Times New Roman" w:hAnsi="Times New Roman" w:cs="Times New Roman"/>
          <w:noProof/>
          <w:sz w:val="24"/>
          <w:szCs w:val="24"/>
          <w:lang w:val="en-IE" w:eastAsia="en-GB"/>
        </w:rPr>
        <w:t>c</w:t>
      </w:r>
      <w:r w:rsidRPr="00746C2C">
        <w:rPr>
          <w:rFonts w:ascii="Times New Roman" w:eastAsia="Times New Roman" w:hAnsi="Times New Roman" w:cs="Times New Roman"/>
          <w:noProof/>
          <w:sz w:val="24"/>
          <w:szCs w:val="24"/>
          <w:lang w:val="en-IE" w:eastAsia="en-GB"/>
        </w:rPr>
        <w:t>ourts.</w:t>
      </w:r>
    </w:p>
    <w:p w14:paraId="4F1C411A" w14:textId="0C1A232F" w:rsidR="005E2753" w:rsidRPr="00746C2C" w:rsidRDefault="004E23C5" w:rsidP="005E2753">
      <w:pPr>
        <w:spacing w:before="240" w:after="0"/>
        <w:jc w:val="both"/>
        <w:rPr>
          <w:rFonts w:ascii="Times New Roman" w:eastAsia="Times New Roman" w:hAnsi="Times New Roman" w:cs="Times New Roman"/>
          <w:b/>
          <w:i/>
          <w:noProof/>
          <w:sz w:val="24"/>
          <w:szCs w:val="24"/>
          <w:lang w:val="en-IE"/>
        </w:rPr>
      </w:pPr>
      <w:r w:rsidRPr="00746C2C">
        <w:rPr>
          <w:rFonts w:ascii="Times New Roman" w:eastAsia="Times New Roman" w:hAnsi="Times New Roman" w:cs="Times New Roman"/>
          <w:noProof/>
          <w:sz w:val="24"/>
          <w:szCs w:val="24"/>
          <w:lang w:val="en-IE" w:eastAsia="en-GB"/>
        </w:rPr>
        <w:t>Transparency, integrity</w:t>
      </w:r>
      <w:r w:rsidR="00627A63">
        <w:rPr>
          <w:rFonts w:ascii="Times New Roman" w:eastAsia="Times New Roman" w:hAnsi="Times New Roman" w:cs="Times New Roman"/>
          <w:noProof/>
          <w:sz w:val="24"/>
          <w:szCs w:val="24"/>
          <w:lang w:val="en-IE" w:eastAsia="en-GB"/>
        </w:rPr>
        <w:t>,</w:t>
      </w:r>
      <w:r w:rsidRPr="00746C2C">
        <w:rPr>
          <w:rFonts w:ascii="Times New Roman" w:eastAsia="Times New Roman" w:hAnsi="Times New Roman" w:cs="Times New Roman"/>
          <w:noProof/>
          <w:sz w:val="24"/>
          <w:szCs w:val="24"/>
          <w:lang w:val="en-IE" w:eastAsia="en-GB"/>
        </w:rPr>
        <w:t xml:space="preserve"> and accountability are the essential prerequisites of democracy based on the rule of law. They are key principles </w:t>
      </w:r>
      <w:r w:rsidR="000830EA">
        <w:rPr>
          <w:rFonts w:ascii="Times New Roman" w:eastAsia="Times New Roman" w:hAnsi="Times New Roman" w:cs="Times New Roman"/>
          <w:noProof/>
          <w:sz w:val="24"/>
          <w:szCs w:val="24"/>
          <w:lang w:val="en-IE" w:eastAsia="en-GB"/>
        </w:rPr>
        <w:t>for</w:t>
      </w:r>
      <w:r w:rsidRPr="00746C2C">
        <w:rPr>
          <w:rFonts w:ascii="Times New Roman" w:eastAsia="Times New Roman" w:hAnsi="Times New Roman" w:cs="Times New Roman"/>
          <w:noProof/>
          <w:sz w:val="24"/>
          <w:szCs w:val="24"/>
          <w:lang w:val="en-IE" w:eastAsia="en-GB"/>
        </w:rPr>
        <w:t xml:space="preserve"> promot</w:t>
      </w:r>
      <w:r w:rsidR="000830EA">
        <w:rPr>
          <w:rFonts w:ascii="Times New Roman" w:eastAsia="Times New Roman" w:hAnsi="Times New Roman" w:cs="Times New Roman"/>
          <w:noProof/>
          <w:sz w:val="24"/>
          <w:szCs w:val="24"/>
          <w:lang w:val="en-IE" w:eastAsia="en-GB"/>
        </w:rPr>
        <w:t xml:space="preserve">ing </w:t>
      </w:r>
      <w:r w:rsidRPr="00746C2C">
        <w:rPr>
          <w:rFonts w:ascii="Times New Roman" w:eastAsia="Times New Roman" w:hAnsi="Times New Roman" w:cs="Times New Roman"/>
          <w:noProof/>
          <w:sz w:val="24"/>
          <w:szCs w:val="24"/>
          <w:lang w:val="en-IE" w:eastAsia="en-GB"/>
        </w:rPr>
        <w:t>good governance and build</w:t>
      </w:r>
      <w:r w:rsidR="000830EA">
        <w:rPr>
          <w:rFonts w:ascii="Times New Roman" w:eastAsia="Times New Roman" w:hAnsi="Times New Roman" w:cs="Times New Roman"/>
          <w:noProof/>
          <w:sz w:val="24"/>
          <w:szCs w:val="24"/>
          <w:lang w:val="en-IE" w:eastAsia="en-GB"/>
        </w:rPr>
        <w:t>ing</w:t>
      </w:r>
      <w:r w:rsidRPr="00746C2C">
        <w:rPr>
          <w:rFonts w:ascii="Times New Roman" w:eastAsia="Times New Roman" w:hAnsi="Times New Roman" w:cs="Times New Roman"/>
          <w:noProof/>
          <w:sz w:val="24"/>
          <w:szCs w:val="24"/>
          <w:lang w:val="en-IE" w:eastAsia="en-GB"/>
        </w:rPr>
        <w:t xml:space="preserve"> trust in the </w:t>
      </w:r>
      <w:r w:rsidR="005838EC">
        <w:rPr>
          <w:rFonts w:ascii="Times New Roman" w:eastAsia="Times New Roman" w:hAnsi="Times New Roman" w:cs="Times New Roman"/>
          <w:noProof/>
          <w:sz w:val="24"/>
          <w:szCs w:val="24"/>
          <w:lang w:val="en-IE" w:eastAsia="en-GB"/>
        </w:rPr>
        <w:t>decision</w:t>
      </w:r>
      <w:r w:rsidRPr="00746C2C">
        <w:rPr>
          <w:rFonts w:ascii="Times New Roman" w:eastAsia="Times New Roman" w:hAnsi="Times New Roman" w:cs="Times New Roman"/>
          <w:noProof/>
          <w:sz w:val="24"/>
          <w:szCs w:val="24"/>
          <w:lang w:val="en-IE" w:eastAsia="en-GB"/>
        </w:rPr>
        <w:t xml:space="preserve">-making process, </w:t>
      </w:r>
      <w:r w:rsidR="000830EA">
        <w:rPr>
          <w:rFonts w:ascii="Times New Roman" w:eastAsia="Times New Roman" w:hAnsi="Times New Roman" w:cs="Times New Roman"/>
          <w:noProof/>
          <w:sz w:val="24"/>
          <w:szCs w:val="24"/>
          <w:lang w:val="en-IE" w:eastAsia="en-GB"/>
        </w:rPr>
        <w:t xml:space="preserve">thereby </w:t>
      </w:r>
      <w:r w:rsidRPr="00746C2C">
        <w:rPr>
          <w:rFonts w:ascii="Times New Roman" w:eastAsia="Times New Roman" w:hAnsi="Times New Roman" w:cs="Times New Roman"/>
          <w:noProof/>
          <w:sz w:val="24"/>
          <w:szCs w:val="24"/>
          <w:lang w:val="en-IE" w:eastAsia="en-GB"/>
        </w:rPr>
        <w:t>enhancing the legitimacy and credibility of public</w:t>
      </w:r>
      <w:r w:rsidR="007C3238" w:rsidRPr="00746C2C">
        <w:rPr>
          <w:rFonts w:ascii="Times New Roman" w:eastAsia="Times New Roman" w:hAnsi="Times New Roman" w:cs="Times New Roman"/>
          <w:noProof/>
          <w:sz w:val="24"/>
          <w:szCs w:val="24"/>
          <w:lang w:val="en-IE" w:eastAsia="en-GB"/>
        </w:rPr>
        <w:t xml:space="preserve"> </w:t>
      </w:r>
      <w:r w:rsidRPr="00746C2C">
        <w:rPr>
          <w:rFonts w:ascii="Times New Roman" w:eastAsia="Times New Roman" w:hAnsi="Times New Roman" w:cs="Times New Roman"/>
          <w:noProof/>
          <w:sz w:val="24"/>
          <w:szCs w:val="24"/>
          <w:lang w:val="en-IE" w:eastAsia="en-GB"/>
        </w:rPr>
        <w:t xml:space="preserve">institutions. </w:t>
      </w:r>
      <w:r w:rsidR="00127596">
        <w:rPr>
          <w:rFonts w:ascii="Times New Roman" w:eastAsia="Times New Roman" w:hAnsi="Times New Roman" w:cs="Times New Roman"/>
          <w:noProof/>
          <w:sz w:val="24"/>
          <w:szCs w:val="24"/>
          <w:lang w:val="en-IE" w:eastAsia="en-GB"/>
        </w:rPr>
        <w:t>Further to the</w:t>
      </w:r>
      <w:r w:rsidR="00127596" w:rsidRPr="00127596">
        <w:rPr>
          <w:rFonts w:ascii="Times New Roman" w:eastAsia="Times New Roman" w:hAnsi="Times New Roman" w:cs="Times New Roman"/>
          <w:noProof/>
          <w:sz w:val="24"/>
          <w:szCs w:val="24"/>
          <w:lang w:val="en-IE" w:eastAsia="en-GB"/>
        </w:rPr>
        <w:t xml:space="preserve"> Political Guidelines</w:t>
      </w:r>
      <w:r w:rsidR="00A54D66" w:rsidRPr="00A54D66">
        <w:rPr>
          <w:rFonts w:ascii="Times New Roman" w:eastAsia="Times New Roman" w:hAnsi="Times New Roman" w:cs="Times New Roman"/>
          <w:noProof/>
          <w:sz w:val="24"/>
          <w:szCs w:val="24"/>
          <w:lang w:eastAsia="en-GB"/>
        </w:rPr>
        <w:t xml:space="preserve"> for the next European Commission 2024</w:t>
      </w:r>
      <w:r w:rsidR="00A54D66">
        <w:rPr>
          <w:rFonts w:ascii="Times New Roman" w:eastAsia="Times New Roman" w:hAnsi="Times New Roman" w:cs="Times New Roman"/>
          <w:noProof/>
          <w:sz w:val="24"/>
          <w:szCs w:val="24"/>
          <w:lang w:eastAsia="en-GB"/>
        </w:rPr>
        <w:t>-</w:t>
      </w:r>
      <w:r w:rsidR="00A54D66" w:rsidRPr="00A54D66">
        <w:rPr>
          <w:rFonts w:ascii="Times New Roman" w:eastAsia="Times New Roman" w:hAnsi="Times New Roman" w:cs="Times New Roman"/>
          <w:noProof/>
          <w:sz w:val="24"/>
          <w:szCs w:val="24"/>
          <w:lang w:eastAsia="en-GB"/>
        </w:rPr>
        <w:t>2029 of President Ursula von der Leyen</w:t>
      </w:r>
      <w:r w:rsidR="00127596">
        <w:rPr>
          <w:rStyle w:val="FootnoteReference"/>
          <w:rFonts w:ascii="Times New Roman" w:eastAsia="Times New Roman" w:hAnsi="Times New Roman" w:cs="Times New Roman"/>
          <w:noProof/>
          <w:sz w:val="24"/>
          <w:szCs w:val="24"/>
          <w:lang w:val="en-IE" w:eastAsia="en-GB"/>
        </w:rPr>
        <w:footnoteReference w:id="4"/>
      </w:r>
      <w:r w:rsidR="00127596">
        <w:rPr>
          <w:rFonts w:ascii="Times New Roman" w:eastAsia="Times New Roman" w:hAnsi="Times New Roman" w:cs="Times New Roman"/>
          <w:noProof/>
          <w:sz w:val="24"/>
          <w:szCs w:val="24"/>
          <w:lang w:val="en-IE" w:eastAsia="en-GB"/>
        </w:rPr>
        <w:t xml:space="preserve">, </w:t>
      </w:r>
      <w:r w:rsidR="00127596" w:rsidRPr="00127596">
        <w:rPr>
          <w:rFonts w:ascii="Times New Roman" w:eastAsia="Times New Roman" w:hAnsi="Times New Roman" w:cs="Times New Roman"/>
          <w:noProof/>
          <w:sz w:val="24"/>
          <w:szCs w:val="24"/>
          <w:lang w:val="en-IE" w:eastAsia="en-GB"/>
        </w:rPr>
        <w:t xml:space="preserve">the general part of the mission letters </w:t>
      </w:r>
      <w:r w:rsidR="00127596">
        <w:rPr>
          <w:rFonts w:ascii="Times New Roman" w:eastAsia="Times New Roman" w:hAnsi="Times New Roman" w:cs="Times New Roman"/>
          <w:noProof/>
          <w:sz w:val="24"/>
          <w:szCs w:val="24"/>
          <w:lang w:val="en-IE" w:eastAsia="en-GB"/>
        </w:rPr>
        <w:t>to Commissioners</w:t>
      </w:r>
      <w:r w:rsidR="00127596">
        <w:rPr>
          <w:rStyle w:val="FootnoteReference"/>
          <w:rFonts w:ascii="Times New Roman" w:eastAsia="Times New Roman" w:hAnsi="Times New Roman" w:cs="Times New Roman"/>
          <w:noProof/>
          <w:sz w:val="24"/>
          <w:szCs w:val="24"/>
          <w:lang w:val="en-IE" w:eastAsia="en-GB"/>
        </w:rPr>
        <w:footnoteReference w:id="5"/>
      </w:r>
      <w:r w:rsidR="00127596" w:rsidRPr="00127596">
        <w:rPr>
          <w:rFonts w:ascii="Times New Roman" w:eastAsia="Times New Roman" w:hAnsi="Times New Roman" w:cs="Times New Roman"/>
          <w:noProof/>
          <w:sz w:val="24"/>
          <w:szCs w:val="24"/>
          <w:lang w:val="en-IE" w:eastAsia="en-GB"/>
        </w:rPr>
        <w:t xml:space="preserve"> </w:t>
      </w:r>
      <w:r w:rsidR="00127596">
        <w:rPr>
          <w:rFonts w:ascii="Times New Roman" w:eastAsia="Times New Roman" w:hAnsi="Times New Roman" w:cs="Times New Roman"/>
          <w:noProof/>
          <w:sz w:val="24"/>
          <w:szCs w:val="24"/>
          <w:lang w:val="en-IE" w:eastAsia="en-GB"/>
        </w:rPr>
        <w:t>commits the Co</w:t>
      </w:r>
      <w:r w:rsidR="00B60669">
        <w:rPr>
          <w:rFonts w:ascii="Times New Roman" w:eastAsia="Times New Roman" w:hAnsi="Times New Roman" w:cs="Times New Roman"/>
          <w:noProof/>
          <w:sz w:val="24"/>
          <w:szCs w:val="24"/>
          <w:lang w:val="en-IE" w:eastAsia="en-GB"/>
        </w:rPr>
        <w:t xml:space="preserve">llege </w:t>
      </w:r>
      <w:r w:rsidR="00127596">
        <w:rPr>
          <w:rFonts w:ascii="Times New Roman" w:eastAsia="Times New Roman" w:hAnsi="Times New Roman" w:cs="Times New Roman"/>
          <w:noProof/>
          <w:sz w:val="24"/>
          <w:szCs w:val="24"/>
          <w:lang w:val="en-IE" w:eastAsia="en-GB"/>
        </w:rPr>
        <w:t>to</w:t>
      </w:r>
      <w:r w:rsidR="000830EA">
        <w:rPr>
          <w:rFonts w:ascii="Times New Roman" w:eastAsia="Times New Roman" w:hAnsi="Times New Roman" w:cs="Times New Roman"/>
          <w:noProof/>
          <w:sz w:val="24"/>
          <w:szCs w:val="24"/>
          <w:lang w:val="en-IE" w:eastAsia="en-GB"/>
        </w:rPr>
        <w:t xml:space="preserve"> </w:t>
      </w:r>
      <w:r w:rsidR="000830EA" w:rsidRPr="000830EA">
        <w:rPr>
          <w:rFonts w:ascii="Times New Roman" w:eastAsia="Times New Roman" w:hAnsi="Times New Roman" w:cs="Times New Roman"/>
          <w:noProof/>
          <w:sz w:val="24"/>
          <w:szCs w:val="24"/>
          <w:lang w:val="en-IE" w:eastAsia="en-GB"/>
        </w:rPr>
        <w:t>putting into practice</w:t>
      </w:r>
      <w:r w:rsidR="00127596">
        <w:rPr>
          <w:rFonts w:ascii="Times New Roman" w:eastAsia="Times New Roman" w:hAnsi="Times New Roman" w:cs="Times New Roman"/>
          <w:noProof/>
          <w:sz w:val="24"/>
          <w:szCs w:val="24"/>
          <w:lang w:val="en-IE" w:eastAsia="en-GB"/>
        </w:rPr>
        <w:t xml:space="preserve"> the principles of</w:t>
      </w:r>
      <w:r w:rsidR="00127596" w:rsidRPr="00127596">
        <w:rPr>
          <w:rFonts w:ascii="Times New Roman" w:eastAsia="Times New Roman" w:hAnsi="Times New Roman" w:cs="Times New Roman"/>
          <w:noProof/>
          <w:sz w:val="24"/>
          <w:szCs w:val="24"/>
          <w:lang w:val="en-IE" w:eastAsia="en-GB"/>
        </w:rPr>
        <w:t xml:space="preserve"> openness</w:t>
      </w:r>
      <w:r w:rsidR="00B60669">
        <w:rPr>
          <w:rFonts w:ascii="Times New Roman" w:eastAsia="Times New Roman" w:hAnsi="Times New Roman" w:cs="Times New Roman"/>
          <w:noProof/>
          <w:sz w:val="24"/>
          <w:szCs w:val="24"/>
          <w:lang w:val="en-IE" w:eastAsia="en-GB"/>
        </w:rPr>
        <w:t xml:space="preserve"> and</w:t>
      </w:r>
      <w:r w:rsidR="00127596" w:rsidRPr="00127596">
        <w:rPr>
          <w:rFonts w:ascii="Times New Roman" w:eastAsia="Times New Roman" w:hAnsi="Times New Roman" w:cs="Times New Roman"/>
          <w:noProof/>
          <w:sz w:val="24"/>
          <w:szCs w:val="24"/>
          <w:lang w:val="en-IE" w:eastAsia="en-GB"/>
        </w:rPr>
        <w:t xml:space="preserve"> transparency </w:t>
      </w:r>
      <w:r w:rsidR="00B60669">
        <w:rPr>
          <w:rFonts w:ascii="Times New Roman" w:eastAsia="Times New Roman" w:hAnsi="Times New Roman" w:cs="Times New Roman"/>
          <w:noProof/>
          <w:sz w:val="24"/>
          <w:szCs w:val="24"/>
          <w:lang w:val="en-IE" w:eastAsia="en-GB"/>
        </w:rPr>
        <w:t>in its relations with the co-legislators, interest representatives</w:t>
      </w:r>
      <w:r w:rsidR="00627A63">
        <w:rPr>
          <w:rFonts w:ascii="Times New Roman" w:eastAsia="Times New Roman" w:hAnsi="Times New Roman" w:cs="Times New Roman"/>
          <w:noProof/>
          <w:sz w:val="24"/>
          <w:szCs w:val="24"/>
          <w:lang w:val="en-IE" w:eastAsia="en-GB"/>
        </w:rPr>
        <w:t>,</w:t>
      </w:r>
      <w:r w:rsidR="00B60669">
        <w:rPr>
          <w:rFonts w:ascii="Times New Roman" w:eastAsia="Times New Roman" w:hAnsi="Times New Roman" w:cs="Times New Roman"/>
          <w:noProof/>
          <w:sz w:val="24"/>
          <w:szCs w:val="24"/>
          <w:lang w:val="en-IE" w:eastAsia="en-GB"/>
        </w:rPr>
        <w:t xml:space="preserve"> and the public</w:t>
      </w:r>
      <w:r w:rsidR="00127596">
        <w:rPr>
          <w:rFonts w:ascii="Times New Roman" w:eastAsia="Times New Roman" w:hAnsi="Times New Roman" w:cs="Times New Roman"/>
          <w:noProof/>
          <w:sz w:val="24"/>
          <w:szCs w:val="24"/>
          <w:lang w:val="en-IE" w:eastAsia="en-GB"/>
        </w:rPr>
        <w:t xml:space="preserve">. </w:t>
      </w:r>
      <w:r w:rsidR="00EB5F17" w:rsidRPr="00746C2C">
        <w:rPr>
          <w:rFonts w:ascii="Times New Roman" w:eastAsia="Times New Roman" w:hAnsi="Times New Roman" w:cs="Times New Roman"/>
          <w:noProof/>
          <w:sz w:val="24"/>
          <w:szCs w:val="24"/>
          <w:lang w:val="en-IE" w:eastAsia="en-GB"/>
        </w:rPr>
        <w:t>S</w:t>
      </w:r>
      <w:r w:rsidRPr="00746C2C">
        <w:rPr>
          <w:rFonts w:ascii="Times New Roman" w:eastAsia="Times New Roman" w:hAnsi="Times New Roman" w:cs="Times New Roman"/>
          <w:noProof/>
          <w:sz w:val="24"/>
          <w:szCs w:val="24"/>
          <w:lang w:val="en-IE" w:eastAsia="en-GB"/>
        </w:rPr>
        <w:t>afeguarding citizens’ right of access to documents</w:t>
      </w:r>
      <w:r w:rsidR="00042707">
        <w:rPr>
          <w:rFonts w:ascii="Times New Roman" w:eastAsia="Times New Roman" w:hAnsi="Times New Roman" w:cs="Times New Roman"/>
          <w:noProof/>
          <w:sz w:val="24"/>
          <w:szCs w:val="24"/>
          <w:lang w:val="en-IE" w:eastAsia="en-GB"/>
        </w:rPr>
        <w:t xml:space="preserve"> </w:t>
      </w:r>
      <w:r w:rsidR="00154805">
        <w:rPr>
          <w:rFonts w:ascii="Times New Roman" w:eastAsia="Times New Roman" w:hAnsi="Times New Roman" w:cs="Times New Roman"/>
          <w:noProof/>
          <w:sz w:val="24"/>
          <w:szCs w:val="24"/>
          <w:lang w:val="en-IE" w:eastAsia="en-GB"/>
        </w:rPr>
        <w:t xml:space="preserve">remains an integral part of </w:t>
      </w:r>
      <w:r w:rsidR="00610819">
        <w:rPr>
          <w:rFonts w:ascii="Times New Roman" w:eastAsia="Times New Roman" w:hAnsi="Times New Roman" w:cs="Times New Roman"/>
          <w:noProof/>
          <w:sz w:val="24"/>
          <w:szCs w:val="24"/>
          <w:lang w:val="en-IE" w:eastAsia="en-GB"/>
        </w:rPr>
        <w:t xml:space="preserve">the </w:t>
      </w:r>
      <w:r w:rsidR="000830EA">
        <w:rPr>
          <w:rFonts w:ascii="Times New Roman" w:eastAsia="Times New Roman" w:hAnsi="Times New Roman" w:cs="Times New Roman"/>
          <w:noProof/>
          <w:sz w:val="24"/>
          <w:szCs w:val="24"/>
          <w:lang w:val="en-IE" w:eastAsia="en-GB"/>
        </w:rPr>
        <w:t xml:space="preserve">European Commission’s </w:t>
      </w:r>
      <w:r w:rsidR="00154805">
        <w:rPr>
          <w:rFonts w:ascii="Times New Roman" w:eastAsia="Times New Roman" w:hAnsi="Times New Roman" w:cs="Times New Roman"/>
          <w:noProof/>
          <w:sz w:val="24"/>
          <w:szCs w:val="24"/>
          <w:lang w:val="en-IE" w:eastAsia="en-GB"/>
        </w:rPr>
        <w:t>2024-2029 priorities</w:t>
      </w:r>
      <w:r w:rsidR="00610819" w:rsidRPr="00746C2C">
        <w:rPr>
          <w:rStyle w:val="FootnoteReference"/>
          <w:rFonts w:ascii="Times New Roman" w:eastAsia="Times New Roman" w:hAnsi="Times New Roman" w:cs="Times New Roman"/>
          <w:noProof/>
          <w:sz w:val="24"/>
          <w:szCs w:val="24"/>
          <w:lang w:val="en-IE" w:eastAsia="en-GB"/>
        </w:rPr>
        <w:footnoteReference w:id="6"/>
      </w:r>
      <w:r w:rsidRPr="00746C2C">
        <w:rPr>
          <w:rFonts w:ascii="Times New Roman" w:eastAsia="Times New Roman" w:hAnsi="Times New Roman" w:cs="Times New Roman"/>
          <w:noProof/>
          <w:sz w:val="24"/>
          <w:szCs w:val="24"/>
          <w:lang w:val="en-IE" w:eastAsia="en-GB"/>
        </w:rPr>
        <w:t>.</w:t>
      </w:r>
      <w:r w:rsidR="0025329E" w:rsidRPr="00746C2C">
        <w:rPr>
          <w:rFonts w:ascii="Times New Roman" w:eastAsia="Times New Roman" w:hAnsi="Times New Roman" w:cs="Times New Roman"/>
          <w:noProof/>
          <w:sz w:val="24"/>
          <w:szCs w:val="24"/>
          <w:lang w:val="en-IE" w:eastAsia="en-GB"/>
        </w:rPr>
        <w:t xml:space="preserve"> </w:t>
      </w:r>
      <w:r w:rsidR="0025329E" w:rsidRPr="00746C2C">
        <w:rPr>
          <w:rFonts w:ascii="Times New Roman" w:eastAsia="Times New Roman" w:hAnsi="Times New Roman" w:cs="Times New Roman"/>
          <w:noProof/>
          <w:sz w:val="24"/>
          <w:szCs w:val="24"/>
          <w:lang w:val="en-IE"/>
        </w:rPr>
        <w:t xml:space="preserve">The </w:t>
      </w:r>
      <w:r w:rsidR="00042707">
        <w:rPr>
          <w:rFonts w:ascii="Times New Roman" w:eastAsia="Times New Roman" w:hAnsi="Times New Roman" w:cs="Times New Roman"/>
          <w:noProof/>
          <w:sz w:val="24"/>
          <w:szCs w:val="24"/>
          <w:lang w:val="en-IE"/>
        </w:rPr>
        <w:t>statistics</w:t>
      </w:r>
      <w:r w:rsidR="0025329E" w:rsidRPr="00746C2C">
        <w:rPr>
          <w:rFonts w:ascii="Times New Roman" w:eastAsia="Times New Roman" w:hAnsi="Times New Roman" w:cs="Times New Roman"/>
          <w:noProof/>
          <w:sz w:val="24"/>
          <w:szCs w:val="24"/>
          <w:lang w:val="en-IE"/>
        </w:rPr>
        <w:t xml:space="preserve"> </w:t>
      </w:r>
      <w:r w:rsidR="000830EA">
        <w:rPr>
          <w:rFonts w:ascii="Times New Roman" w:eastAsia="Times New Roman" w:hAnsi="Times New Roman" w:cs="Times New Roman"/>
          <w:noProof/>
          <w:sz w:val="24"/>
          <w:szCs w:val="24"/>
          <w:lang w:val="en-IE"/>
        </w:rPr>
        <w:t xml:space="preserve">in Chapter 4 </w:t>
      </w:r>
      <w:r w:rsidR="0025329E" w:rsidRPr="00746C2C">
        <w:rPr>
          <w:rFonts w:ascii="Times New Roman" w:eastAsia="Times New Roman" w:hAnsi="Times New Roman" w:cs="Times New Roman"/>
          <w:noProof/>
          <w:sz w:val="24"/>
          <w:szCs w:val="24"/>
          <w:lang w:val="en-IE"/>
        </w:rPr>
        <w:t xml:space="preserve">on fully or partially disclosed documents </w:t>
      </w:r>
      <w:r w:rsidR="007938AE">
        <w:rPr>
          <w:rFonts w:ascii="Times New Roman" w:eastAsia="Times New Roman" w:hAnsi="Times New Roman" w:cs="Times New Roman"/>
          <w:noProof/>
          <w:sz w:val="24"/>
          <w:szCs w:val="24"/>
          <w:lang w:val="en-IE"/>
        </w:rPr>
        <w:t>demonstrate</w:t>
      </w:r>
      <w:r w:rsidR="0025329E" w:rsidRPr="00746C2C">
        <w:rPr>
          <w:rFonts w:ascii="Times New Roman" w:eastAsia="Times New Roman" w:hAnsi="Times New Roman" w:cs="Times New Roman"/>
          <w:noProof/>
          <w:sz w:val="24"/>
          <w:szCs w:val="24"/>
          <w:lang w:val="en-IE"/>
        </w:rPr>
        <w:t xml:space="preserve"> the European Commission’s commitment to </w:t>
      </w:r>
      <w:r w:rsidR="007938AE">
        <w:rPr>
          <w:rFonts w:ascii="Times New Roman" w:eastAsia="Times New Roman" w:hAnsi="Times New Roman" w:cs="Times New Roman"/>
          <w:noProof/>
          <w:sz w:val="24"/>
          <w:szCs w:val="24"/>
          <w:lang w:val="en-IE"/>
        </w:rPr>
        <w:t xml:space="preserve">enabling the public to exercise </w:t>
      </w:r>
      <w:r w:rsidR="000830EA">
        <w:rPr>
          <w:rFonts w:ascii="Times New Roman" w:eastAsia="Times New Roman" w:hAnsi="Times New Roman" w:cs="Times New Roman"/>
          <w:noProof/>
          <w:sz w:val="24"/>
          <w:szCs w:val="24"/>
          <w:lang w:val="en-IE"/>
        </w:rPr>
        <w:t>i</w:t>
      </w:r>
      <w:r w:rsidR="007938AE">
        <w:rPr>
          <w:rFonts w:ascii="Times New Roman" w:eastAsia="Times New Roman" w:hAnsi="Times New Roman" w:cs="Times New Roman"/>
          <w:noProof/>
          <w:sz w:val="24"/>
          <w:szCs w:val="24"/>
          <w:lang w:val="en-IE"/>
        </w:rPr>
        <w:t>t</w:t>
      </w:r>
      <w:r w:rsidR="000830EA">
        <w:rPr>
          <w:rFonts w:ascii="Times New Roman" w:eastAsia="Times New Roman" w:hAnsi="Times New Roman" w:cs="Times New Roman"/>
          <w:noProof/>
          <w:sz w:val="24"/>
          <w:szCs w:val="24"/>
          <w:lang w:val="en-IE"/>
        </w:rPr>
        <w:t>s</w:t>
      </w:r>
      <w:r w:rsidR="0025329E" w:rsidRPr="00746C2C">
        <w:rPr>
          <w:rFonts w:ascii="Times New Roman" w:eastAsia="Times New Roman" w:hAnsi="Times New Roman" w:cs="Times New Roman"/>
          <w:noProof/>
          <w:sz w:val="24"/>
          <w:szCs w:val="24"/>
          <w:lang w:val="en-IE"/>
        </w:rPr>
        <w:t xml:space="preserve"> right </w:t>
      </w:r>
      <w:r w:rsidR="000830EA">
        <w:rPr>
          <w:rFonts w:ascii="Times New Roman" w:eastAsia="Times New Roman" w:hAnsi="Times New Roman" w:cs="Times New Roman"/>
          <w:noProof/>
          <w:sz w:val="24"/>
          <w:szCs w:val="24"/>
          <w:lang w:val="en-IE"/>
        </w:rPr>
        <w:t>to</w:t>
      </w:r>
      <w:r w:rsidR="0025329E" w:rsidRPr="00746C2C">
        <w:rPr>
          <w:rFonts w:ascii="Times New Roman" w:eastAsia="Times New Roman" w:hAnsi="Times New Roman" w:cs="Times New Roman"/>
          <w:noProof/>
          <w:sz w:val="24"/>
          <w:szCs w:val="24"/>
          <w:lang w:val="en-IE"/>
        </w:rPr>
        <w:t xml:space="preserve"> access documents</w:t>
      </w:r>
      <w:r w:rsidR="007938AE">
        <w:rPr>
          <w:rFonts w:ascii="Times New Roman" w:eastAsia="Times New Roman" w:hAnsi="Times New Roman" w:cs="Times New Roman"/>
          <w:noProof/>
          <w:sz w:val="24"/>
          <w:szCs w:val="24"/>
          <w:lang w:val="en-IE"/>
        </w:rPr>
        <w:t>,</w:t>
      </w:r>
      <w:r w:rsidR="0025329E" w:rsidRPr="00746C2C">
        <w:rPr>
          <w:rFonts w:ascii="Times New Roman" w:eastAsia="Times New Roman" w:hAnsi="Times New Roman" w:cs="Times New Roman"/>
          <w:noProof/>
          <w:sz w:val="24"/>
          <w:szCs w:val="24"/>
          <w:lang w:val="en-IE"/>
        </w:rPr>
        <w:t xml:space="preserve"> as part of </w:t>
      </w:r>
      <w:r w:rsidR="007938AE">
        <w:rPr>
          <w:rFonts w:ascii="Times New Roman" w:eastAsia="Times New Roman" w:hAnsi="Times New Roman" w:cs="Times New Roman"/>
          <w:noProof/>
          <w:sz w:val="24"/>
          <w:szCs w:val="24"/>
          <w:lang w:val="en-IE"/>
        </w:rPr>
        <w:t xml:space="preserve">the </w:t>
      </w:r>
      <w:r w:rsidR="000830EA">
        <w:rPr>
          <w:rFonts w:ascii="Times New Roman" w:eastAsia="Times New Roman" w:hAnsi="Times New Roman" w:cs="Times New Roman"/>
          <w:noProof/>
          <w:sz w:val="24"/>
          <w:szCs w:val="24"/>
          <w:lang w:val="en-IE"/>
        </w:rPr>
        <w:t xml:space="preserve">European Commission’s </w:t>
      </w:r>
      <w:r w:rsidR="007938AE">
        <w:rPr>
          <w:rFonts w:ascii="Times New Roman" w:eastAsia="Times New Roman" w:hAnsi="Times New Roman" w:cs="Times New Roman"/>
          <w:noProof/>
          <w:sz w:val="24"/>
          <w:szCs w:val="24"/>
          <w:lang w:val="en-IE"/>
        </w:rPr>
        <w:t>broader</w:t>
      </w:r>
      <w:r w:rsidR="0025329E" w:rsidRPr="00746C2C">
        <w:rPr>
          <w:rFonts w:ascii="Times New Roman" w:eastAsia="Times New Roman" w:hAnsi="Times New Roman" w:cs="Times New Roman"/>
          <w:noProof/>
          <w:sz w:val="24"/>
          <w:szCs w:val="24"/>
          <w:lang w:val="en-IE"/>
        </w:rPr>
        <w:t xml:space="preserve"> transparency policy.</w:t>
      </w:r>
    </w:p>
    <w:p w14:paraId="59ED4E11" w14:textId="37950AA6" w:rsidR="007B7B92" w:rsidRDefault="005E2753" w:rsidP="00931055">
      <w:pPr>
        <w:spacing w:before="240" w:after="0"/>
        <w:jc w:val="both"/>
        <w:rPr>
          <w:rFonts w:ascii="Times New Roman" w:eastAsia="Times New Roman" w:hAnsi="Times New Roman" w:cs="Times New Roman"/>
          <w:noProof/>
          <w:sz w:val="24"/>
          <w:szCs w:val="24"/>
          <w:lang w:val="en-IE"/>
        </w:rPr>
      </w:pPr>
      <w:r w:rsidRPr="00746C2C">
        <w:rPr>
          <w:rFonts w:ascii="Times New Roman" w:eastAsia="Times New Roman" w:hAnsi="Times New Roman" w:cs="Times New Roman"/>
          <w:noProof/>
          <w:sz w:val="24"/>
          <w:szCs w:val="24"/>
          <w:lang w:val="en-IE"/>
        </w:rPr>
        <w:t xml:space="preserve">In the European Commission, initial </w:t>
      </w:r>
      <w:r w:rsidR="007938AE">
        <w:rPr>
          <w:rFonts w:ascii="Times New Roman" w:eastAsia="Times New Roman" w:hAnsi="Times New Roman" w:cs="Times New Roman"/>
          <w:noProof/>
          <w:sz w:val="24"/>
          <w:szCs w:val="24"/>
          <w:lang w:val="en-IE"/>
        </w:rPr>
        <w:t xml:space="preserve">applications for </w:t>
      </w:r>
      <w:r w:rsidRPr="00746C2C">
        <w:rPr>
          <w:rFonts w:ascii="Times New Roman" w:eastAsia="Times New Roman" w:hAnsi="Times New Roman" w:cs="Times New Roman"/>
          <w:noProof/>
          <w:sz w:val="24"/>
          <w:szCs w:val="24"/>
          <w:lang w:val="en-IE"/>
        </w:rPr>
        <w:t xml:space="preserve">access to documents </w:t>
      </w:r>
      <w:r w:rsidR="007938AE">
        <w:rPr>
          <w:rFonts w:ascii="Times New Roman" w:eastAsia="Times New Roman" w:hAnsi="Times New Roman" w:cs="Times New Roman"/>
          <w:noProof/>
          <w:sz w:val="24"/>
          <w:szCs w:val="24"/>
          <w:lang w:val="en-IE"/>
        </w:rPr>
        <w:t>are</w:t>
      </w:r>
      <w:r w:rsidRPr="00746C2C">
        <w:rPr>
          <w:rFonts w:ascii="Times New Roman" w:eastAsia="Times New Roman" w:hAnsi="Times New Roman" w:cs="Times New Roman"/>
          <w:noProof/>
          <w:sz w:val="24"/>
          <w:szCs w:val="24"/>
          <w:lang w:val="en-IE"/>
        </w:rPr>
        <w:t xml:space="preserve"> handled on a decentralised basis by </w:t>
      </w:r>
      <w:r w:rsidR="007938AE">
        <w:rPr>
          <w:rFonts w:ascii="Times New Roman" w:eastAsia="Times New Roman" w:hAnsi="Times New Roman" w:cs="Times New Roman"/>
          <w:noProof/>
          <w:sz w:val="24"/>
          <w:szCs w:val="24"/>
          <w:lang w:val="en-IE"/>
        </w:rPr>
        <w:t>each</w:t>
      </w:r>
      <w:r w:rsidRPr="00746C2C">
        <w:rPr>
          <w:rFonts w:ascii="Times New Roman" w:eastAsia="Times New Roman" w:hAnsi="Times New Roman" w:cs="Times New Roman"/>
          <w:noProof/>
          <w:sz w:val="24"/>
          <w:szCs w:val="24"/>
          <w:lang w:val="en-IE"/>
        </w:rPr>
        <w:t xml:space="preserve"> Commission </w:t>
      </w:r>
      <w:r w:rsidR="00042707">
        <w:rPr>
          <w:rFonts w:ascii="Times New Roman" w:eastAsia="Times New Roman" w:hAnsi="Times New Roman" w:cs="Times New Roman"/>
          <w:noProof/>
          <w:sz w:val="24"/>
          <w:szCs w:val="24"/>
          <w:lang w:val="en-IE"/>
        </w:rPr>
        <w:t>department</w:t>
      </w:r>
      <w:r w:rsidRPr="00746C2C">
        <w:rPr>
          <w:rFonts w:ascii="Times New Roman" w:eastAsia="Times New Roman" w:hAnsi="Times New Roman" w:cs="Times New Roman"/>
          <w:noProof/>
          <w:sz w:val="24"/>
          <w:szCs w:val="24"/>
          <w:lang w:val="en-IE"/>
        </w:rPr>
        <w:t xml:space="preserve">. </w:t>
      </w:r>
      <w:r w:rsidR="00A013B6">
        <w:rPr>
          <w:rFonts w:ascii="Times New Roman" w:eastAsia="Times New Roman" w:hAnsi="Times New Roman" w:cs="Times New Roman"/>
          <w:noProof/>
          <w:sz w:val="24"/>
          <w:szCs w:val="24"/>
          <w:lang w:val="en-IE"/>
        </w:rPr>
        <w:t>In 202</w:t>
      </w:r>
      <w:r w:rsidR="00730357">
        <w:rPr>
          <w:rFonts w:ascii="Times New Roman" w:eastAsia="Times New Roman" w:hAnsi="Times New Roman" w:cs="Times New Roman"/>
          <w:noProof/>
          <w:sz w:val="24"/>
          <w:szCs w:val="24"/>
          <w:lang w:val="en-IE"/>
        </w:rPr>
        <w:t>5</w:t>
      </w:r>
      <w:r w:rsidR="00A013B6">
        <w:rPr>
          <w:rFonts w:ascii="Times New Roman" w:eastAsia="Times New Roman" w:hAnsi="Times New Roman" w:cs="Times New Roman"/>
          <w:noProof/>
          <w:sz w:val="24"/>
          <w:szCs w:val="24"/>
          <w:lang w:val="en-IE"/>
        </w:rPr>
        <w:t xml:space="preserve"> </w:t>
      </w:r>
      <w:r w:rsidR="00A013B6" w:rsidRPr="00746C2C">
        <w:rPr>
          <w:rFonts w:ascii="Times New Roman" w:eastAsia="Times New Roman" w:hAnsi="Times New Roman" w:cs="Times New Roman"/>
          <w:noProof/>
          <w:sz w:val="24"/>
          <w:szCs w:val="24"/>
          <w:lang w:val="en-IE"/>
        </w:rPr>
        <w:t>the</w:t>
      </w:r>
      <w:r w:rsidR="007938AE">
        <w:rPr>
          <w:rFonts w:ascii="Times New Roman" w:eastAsia="Times New Roman" w:hAnsi="Times New Roman" w:cs="Times New Roman"/>
          <w:noProof/>
          <w:sz w:val="24"/>
          <w:szCs w:val="24"/>
          <w:lang w:val="en-IE"/>
        </w:rPr>
        <w:t>re were</w:t>
      </w:r>
      <w:r w:rsidR="00A013B6" w:rsidRPr="00746C2C">
        <w:rPr>
          <w:rFonts w:ascii="Times New Roman" w:eastAsia="Times New Roman" w:hAnsi="Times New Roman" w:cs="Times New Roman"/>
          <w:noProof/>
          <w:sz w:val="24"/>
          <w:szCs w:val="24"/>
          <w:lang w:val="en-IE"/>
        </w:rPr>
        <w:t xml:space="preserve"> </w:t>
      </w:r>
      <w:r w:rsidR="00730357" w:rsidRPr="00441D8E">
        <w:rPr>
          <w:rFonts w:ascii="Times New Roman" w:eastAsia="Times New Roman" w:hAnsi="Times New Roman" w:cs="Times New Roman"/>
          <w:b/>
          <w:bCs/>
          <w:noProof/>
          <w:sz w:val="24"/>
          <w:szCs w:val="24"/>
          <w:lang w:val="en-IE"/>
        </w:rPr>
        <w:t>6</w:t>
      </w:r>
      <w:r w:rsidR="00734602" w:rsidRPr="00441D8E">
        <w:rPr>
          <w:rFonts w:ascii="Times New Roman" w:eastAsia="Times New Roman" w:hAnsi="Times New Roman" w:cs="Times New Roman"/>
          <w:b/>
          <w:bCs/>
          <w:noProof/>
          <w:sz w:val="24"/>
          <w:szCs w:val="24"/>
          <w:lang w:val="en-IE"/>
        </w:rPr>
        <w:t> </w:t>
      </w:r>
      <w:r w:rsidR="00730357" w:rsidRPr="00441D8E">
        <w:rPr>
          <w:rFonts w:ascii="Times New Roman" w:eastAsia="Times New Roman" w:hAnsi="Times New Roman" w:cs="Times New Roman"/>
          <w:b/>
          <w:bCs/>
          <w:noProof/>
          <w:sz w:val="24"/>
          <w:szCs w:val="24"/>
          <w:lang w:val="en-IE"/>
        </w:rPr>
        <w:t>434</w:t>
      </w:r>
      <w:r w:rsidR="00734602" w:rsidRPr="00441D8E">
        <w:rPr>
          <w:rFonts w:ascii="Times New Roman" w:eastAsia="Times New Roman" w:hAnsi="Times New Roman" w:cs="Times New Roman"/>
          <w:b/>
          <w:bCs/>
          <w:noProof/>
          <w:sz w:val="24"/>
          <w:szCs w:val="24"/>
          <w:lang w:val="en-IE"/>
        </w:rPr>
        <w:t xml:space="preserve"> </w:t>
      </w:r>
      <w:r w:rsidR="007938AE" w:rsidRPr="00441D8E">
        <w:rPr>
          <w:rFonts w:ascii="Times New Roman" w:eastAsia="Times New Roman" w:hAnsi="Times New Roman" w:cs="Times New Roman"/>
          <w:b/>
          <w:bCs/>
          <w:noProof/>
          <w:sz w:val="24"/>
          <w:szCs w:val="24"/>
          <w:lang w:val="en-IE"/>
        </w:rPr>
        <w:t>initial applications</w:t>
      </w:r>
      <w:r w:rsidR="00042707">
        <w:rPr>
          <w:rFonts w:ascii="Times New Roman" w:eastAsia="Times New Roman" w:hAnsi="Times New Roman" w:cs="Times New Roman"/>
          <w:noProof/>
          <w:sz w:val="24"/>
          <w:szCs w:val="24"/>
          <w:lang w:val="en-IE"/>
        </w:rPr>
        <w:t>.</w:t>
      </w:r>
      <w:r w:rsidR="007B7B92">
        <w:rPr>
          <w:rFonts w:ascii="Times New Roman" w:eastAsia="Times New Roman" w:hAnsi="Times New Roman" w:cs="Times New Roman"/>
          <w:noProof/>
          <w:sz w:val="24"/>
          <w:szCs w:val="24"/>
          <w:lang w:val="en-IE"/>
        </w:rPr>
        <w:t xml:space="preserve"> </w:t>
      </w:r>
      <w:r w:rsidR="007938AE">
        <w:rPr>
          <w:rFonts w:ascii="Times New Roman" w:eastAsia="Times New Roman" w:hAnsi="Times New Roman" w:cs="Times New Roman"/>
          <w:noProof/>
          <w:sz w:val="24"/>
          <w:szCs w:val="24"/>
          <w:lang w:val="en-IE"/>
        </w:rPr>
        <w:t>The number of</w:t>
      </w:r>
      <w:r w:rsidR="00A013B6" w:rsidRPr="00746C2C">
        <w:rPr>
          <w:rFonts w:ascii="Times New Roman" w:eastAsia="Times New Roman" w:hAnsi="Times New Roman" w:cs="Times New Roman"/>
          <w:noProof/>
          <w:sz w:val="24"/>
          <w:szCs w:val="24"/>
          <w:lang w:val="en-IE"/>
        </w:rPr>
        <w:t xml:space="preserve"> </w:t>
      </w:r>
      <w:r w:rsidR="00A013B6" w:rsidRPr="00441D8E">
        <w:rPr>
          <w:rFonts w:ascii="Times New Roman" w:eastAsia="Times New Roman" w:hAnsi="Times New Roman" w:cs="Times New Roman"/>
          <w:b/>
          <w:bCs/>
          <w:noProof/>
          <w:sz w:val="24"/>
          <w:szCs w:val="24"/>
          <w:lang w:val="en-IE"/>
        </w:rPr>
        <w:t>confirmatory applications</w:t>
      </w:r>
      <w:r w:rsidR="00DB25F6" w:rsidRPr="00746C2C">
        <w:rPr>
          <w:rFonts w:ascii="Times New Roman" w:eastAsia="Times New Roman" w:hAnsi="Times New Roman" w:cs="Times New Roman"/>
          <w:noProof/>
          <w:sz w:val="24"/>
          <w:szCs w:val="24"/>
          <w:lang w:val="en-IE"/>
        </w:rPr>
        <w:t xml:space="preserve">, whereby applicants request a review of </w:t>
      </w:r>
      <w:r w:rsidR="007938AE">
        <w:rPr>
          <w:rFonts w:ascii="Times New Roman" w:eastAsia="Times New Roman" w:hAnsi="Times New Roman" w:cs="Times New Roman"/>
          <w:noProof/>
          <w:sz w:val="24"/>
          <w:szCs w:val="24"/>
          <w:lang w:val="en-IE"/>
        </w:rPr>
        <w:t xml:space="preserve">the </w:t>
      </w:r>
      <w:r w:rsidR="00DB25F6" w:rsidRPr="00746C2C">
        <w:rPr>
          <w:rFonts w:ascii="Times New Roman" w:eastAsia="Times New Roman" w:hAnsi="Times New Roman" w:cs="Times New Roman"/>
          <w:noProof/>
          <w:sz w:val="24"/>
          <w:szCs w:val="24"/>
          <w:lang w:val="en-IE"/>
        </w:rPr>
        <w:t xml:space="preserve">initial replies partially or fully refusing access, </w:t>
      </w:r>
      <w:r w:rsidR="00A013B6" w:rsidRPr="00746C2C">
        <w:rPr>
          <w:rFonts w:ascii="Times New Roman" w:eastAsia="Times New Roman" w:hAnsi="Times New Roman" w:cs="Times New Roman"/>
          <w:noProof/>
          <w:sz w:val="24"/>
          <w:szCs w:val="24"/>
          <w:lang w:val="en-IE"/>
        </w:rPr>
        <w:t xml:space="preserve">reached </w:t>
      </w:r>
      <w:r w:rsidR="00730357" w:rsidRPr="00441D8E">
        <w:rPr>
          <w:rFonts w:ascii="Times New Roman" w:eastAsia="Times New Roman" w:hAnsi="Times New Roman" w:cs="Times New Roman"/>
          <w:b/>
          <w:bCs/>
          <w:noProof/>
          <w:sz w:val="24"/>
          <w:szCs w:val="24"/>
          <w:lang w:val="en-IE"/>
        </w:rPr>
        <w:t>697</w:t>
      </w:r>
      <w:r w:rsidR="00A013B6" w:rsidRPr="00746C2C">
        <w:rPr>
          <w:rFonts w:ascii="Times New Roman" w:eastAsia="Times New Roman" w:hAnsi="Times New Roman" w:cs="Times New Roman"/>
          <w:noProof/>
          <w:sz w:val="24"/>
          <w:szCs w:val="24"/>
          <w:lang w:val="en-IE"/>
        </w:rPr>
        <w:t>.</w:t>
      </w:r>
    </w:p>
    <w:p w14:paraId="03FB080D" w14:textId="00C6D176" w:rsidR="00931055" w:rsidRPr="00746C2C" w:rsidRDefault="000830EA" w:rsidP="0015678E">
      <w:pPr>
        <w:spacing w:before="240" w:after="0"/>
        <w:jc w:val="both"/>
        <w:rPr>
          <w:rFonts w:ascii="Times New Roman" w:hAnsi="Times New Roman"/>
          <w:noProof/>
          <w:sz w:val="24"/>
          <w:szCs w:val="24"/>
          <w:lang w:val="en-IE" w:eastAsia="en-GB"/>
        </w:rPr>
      </w:pPr>
      <w:r w:rsidRPr="000830EA">
        <w:rPr>
          <w:rFonts w:ascii="Times New Roman" w:eastAsia="Times New Roman" w:hAnsi="Times New Roman" w:cs="Times New Roman"/>
          <w:noProof/>
          <w:sz w:val="24"/>
          <w:szCs w:val="24"/>
          <w:lang w:val="en-IE"/>
        </w:rPr>
        <w:t xml:space="preserve">Confirmatory applications are handled centrally by the Secretariat-General’s Unit for Document Management and Access to Documents, to ensure that the initial replies are independently reviewed. </w:t>
      </w:r>
      <w:r w:rsidR="005E2753" w:rsidRPr="00746C2C">
        <w:rPr>
          <w:rFonts w:ascii="Times New Roman" w:eastAsia="Times New Roman" w:hAnsi="Times New Roman" w:cs="Times New Roman"/>
          <w:noProof/>
          <w:sz w:val="24"/>
          <w:szCs w:val="24"/>
          <w:lang w:val="en-IE"/>
        </w:rPr>
        <w:t>Th</w:t>
      </w:r>
      <w:r w:rsidR="00777179">
        <w:rPr>
          <w:rFonts w:ascii="Times New Roman" w:eastAsia="Times New Roman" w:hAnsi="Times New Roman" w:cs="Times New Roman"/>
          <w:noProof/>
          <w:sz w:val="24"/>
          <w:szCs w:val="24"/>
          <w:lang w:val="en-IE"/>
        </w:rPr>
        <w:t>is</w:t>
      </w:r>
      <w:r w:rsidR="005E2753" w:rsidRPr="00746C2C">
        <w:rPr>
          <w:rFonts w:ascii="Times New Roman" w:eastAsia="Times New Roman" w:hAnsi="Times New Roman" w:cs="Times New Roman"/>
          <w:noProof/>
          <w:sz w:val="24"/>
          <w:szCs w:val="24"/>
          <w:lang w:val="en-IE"/>
        </w:rPr>
        <w:t xml:space="preserve"> Unit also manage</w:t>
      </w:r>
      <w:r w:rsidR="00746C2C" w:rsidRPr="00746C2C">
        <w:rPr>
          <w:rFonts w:ascii="Times New Roman" w:eastAsia="Times New Roman" w:hAnsi="Times New Roman" w:cs="Times New Roman"/>
          <w:noProof/>
          <w:sz w:val="24"/>
          <w:szCs w:val="24"/>
          <w:lang w:val="en-IE"/>
        </w:rPr>
        <w:t>s</w:t>
      </w:r>
      <w:r w:rsidR="00004AAB">
        <w:rPr>
          <w:rFonts w:ascii="Times New Roman" w:eastAsia="Times New Roman" w:hAnsi="Times New Roman" w:cs="Times New Roman"/>
          <w:noProof/>
          <w:sz w:val="24"/>
          <w:szCs w:val="24"/>
          <w:lang w:val="en-IE"/>
        </w:rPr>
        <w:t xml:space="preserve"> EASE</w:t>
      </w:r>
      <w:r w:rsidR="00004AAB" w:rsidRPr="00746C2C">
        <w:rPr>
          <w:rStyle w:val="FootnoteReference"/>
          <w:rFonts w:ascii="Times New Roman" w:eastAsia="Times New Roman" w:hAnsi="Times New Roman" w:cs="Times New Roman"/>
          <w:noProof/>
          <w:sz w:val="24"/>
          <w:szCs w:val="24"/>
          <w:lang w:val="en-IE" w:eastAsia="en-GB"/>
        </w:rPr>
        <w:footnoteReference w:id="7"/>
      </w:r>
      <w:r w:rsidR="00004AAB">
        <w:rPr>
          <w:rFonts w:ascii="Times New Roman" w:eastAsia="Times New Roman" w:hAnsi="Times New Roman" w:cs="Times New Roman"/>
          <w:noProof/>
          <w:sz w:val="24"/>
          <w:szCs w:val="24"/>
          <w:lang w:val="en-IE"/>
        </w:rPr>
        <w:t>,</w:t>
      </w:r>
      <w:r w:rsidR="00746C2C" w:rsidRPr="00746C2C">
        <w:rPr>
          <w:rFonts w:ascii="Times New Roman" w:eastAsia="Times New Roman" w:hAnsi="Times New Roman" w:cs="Times New Roman"/>
          <w:noProof/>
          <w:sz w:val="24"/>
          <w:szCs w:val="24"/>
          <w:lang w:val="en-IE"/>
        </w:rPr>
        <w:t xml:space="preserve"> the European Commission-wide IT system</w:t>
      </w:r>
      <w:r w:rsidR="00004AAB">
        <w:rPr>
          <w:rFonts w:ascii="Times New Roman" w:eastAsia="Times New Roman" w:hAnsi="Times New Roman" w:cs="Times New Roman"/>
          <w:noProof/>
          <w:sz w:val="24"/>
          <w:szCs w:val="24"/>
          <w:lang w:val="en-IE"/>
        </w:rPr>
        <w:t xml:space="preserve"> for </w:t>
      </w:r>
      <w:r w:rsidR="00004AAB" w:rsidRPr="00746C2C">
        <w:rPr>
          <w:rFonts w:ascii="Times New Roman" w:hAnsi="Times New Roman"/>
          <w:noProof/>
          <w:sz w:val="24"/>
          <w:szCs w:val="24"/>
          <w:lang w:val="en-IE" w:eastAsia="en-GB"/>
        </w:rPr>
        <w:t>handl</w:t>
      </w:r>
      <w:r w:rsidR="00004AAB">
        <w:rPr>
          <w:rFonts w:ascii="Times New Roman" w:hAnsi="Times New Roman"/>
          <w:noProof/>
          <w:sz w:val="24"/>
          <w:szCs w:val="24"/>
          <w:lang w:val="en-IE" w:eastAsia="en-GB"/>
        </w:rPr>
        <w:t>ing</w:t>
      </w:r>
      <w:r w:rsidR="00004AAB" w:rsidRPr="00746C2C">
        <w:rPr>
          <w:rFonts w:ascii="Times New Roman" w:hAnsi="Times New Roman"/>
          <w:noProof/>
          <w:sz w:val="24"/>
          <w:szCs w:val="24"/>
          <w:lang w:val="en-IE" w:eastAsia="en-GB"/>
        </w:rPr>
        <w:t xml:space="preserve"> applications for access to documents</w:t>
      </w:r>
      <w:r w:rsidR="00004AAB">
        <w:rPr>
          <w:rFonts w:ascii="Times New Roman" w:hAnsi="Times New Roman"/>
          <w:noProof/>
          <w:sz w:val="24"/>
          <w:szCs w:val="24"/>
          <w:lang w:val="en-IE" w:eastAsia="en-GB"/>
        </w:rPr>
        <w:t>.</w:t>
      </w:r>
    </w:p>
    <w:p w14:paraId="7427C65B" w14:textId="6F540C6B" w:rsidR="005E2753" w:rsidRPr="00746C2C" w:rsidRDefault="000830EA" w:rsidP="005E2753">
      <w:pPr>
        <w:spacing w:before="240" w:after="0"/>
        <w:jc w:val="both"/>
        <w:rPr>
          <w:rFonts w:ascii="Times New Roman" w:eastAsia="Times New Roman" w:hAnsi="Times New Roman" w:cs="Times New Roman"/>
          <w:noProof/>
          <w:sz w:val="24"/>
          <w:szCs w:val="24"/>
          <w:lang w:val="en-IE" w:eastAsia="en-GB"/>
        </w:rPr>
      </w:pPr>
      <w:r>
        <w:rPr>
          <w:rFonts w:ascii="Times New Roman" w:eastAsia="Times New Roman" w:hAnsi="Times New Roman" w:cs="Times New Roman"/>
          <w:noProof/>
          <w:sz w:val="24"/>
          <w:szCs w:val="24"/>
          <w:lang w:val="en-IE" w:eastAsia="en-GB"/>
        </w:rPr>
        <w:t>European</w:t>
      </w:r>
      <w:r w:rsidR="005E2753" w:rsidRPr="00746C2C">
        <w:rPr>
          <w:rFonts w:ascii="Times New Roman" w:eastAsia="Times New Roman" w:hAnsi="Times New Roman" w:cs="Times New Roman"/>
          <w:noProof/>
          <w:sz w:val="24"/>
          <w:szCs w:val="24"/>
          <w:lang w:val="en-IE" w:eastAsia="en-GB"/>
        </w:rPr>
        <w:t xml:space="preserve"> Commission </w:t>
      </w:r>
      <w:r w:rsidR="003B5BB4" w:rsidRPr="00746C2C">
        <w:rPr>
          <w:rFonts w:ascii="Times New Roman" w:eastAsia="Times New Roman" w:hAnsi="Times New Roman" w:cs="Times New Roman"/>
          <w:noProof/>
          <w:sz w:val="24"/>
          <w:szCs w:val="24"/>
          <w:lang w:val="en-IE" w:eastAsia="en-GB"/>
        </w:rPr>
        <w:t xml:space="preserve">departments </w:t>
      </w:r>
      <w:r w:rsidR="005E2753" w:rsidRPr="00746C2C">
        <w:rPr>
          <w:rFonts w:ascii="Times New Roman" w:eastAsia="Times New Roman" w:hAnsi="Times New Roman" w:cs="Times New Roman"/>
          <w:noProof/>
          <w:sz w:val="24"/>
          <w:szCs w:val="24"/>
          <w:lang w:val="en-IE" w:eastAsia="en-GB"/>
        </w:rPr>
        <w:t>are supported by the Historical Archives Service (HAS)</w:t>
      </w:r>
      <w:r w:rsidR="0043620A">
        <w:rPr>
          <w:rFonts w:ascii="Times New Roman" w:eastAsia="Times New Roman" w:hAnsi="Times New Roman" w:cs="Times New Roman"/>
          <w:noProof/>
          <w:sz w:val="24"/>
          <w:szCs w:val="24"/>
          <w:lang w:val="en-IE" w:eastAsia="en-GB"/>
        </w:rPr>
        <w:t>,</w:t>
      </w:r>
      <w:r>
        <w:rPr>
          <w:rFonts w:ascii="Times New Roman" w:eastAsia="Times New Roman" w:hAnsi="Times New Roman" w:cs="Times New Roman"/>
          <w:noProof/>
          <w:sz w:val="24"/>
          <w:szCs w:val="24"/>
          <w:lang w:val="en-IE" w:eastAsia="en-GB"/>
        </w:rPr>
        <w:t xml:space="preserve"> </w:t>
      </w:r>
      <w:r w:rsidR="0043620A">
        <w:rPr>
          <w:rFonts w:ascii="Times New Roman" w:eastAsia="Times New Roman" w:hAnsi="Times New Roman" w:cs="Times New Roman"/>
          <w:noProof/>
          <w:sz w:val="24"/>
          <w:szCs w:val="24"/>
          <w:lang w:val="en-IE" w:eastAsia="en-GB"/>
        </w:rPr>
        <w:t>involved</w:t>
      </w:r>
      <w:r w:rsidR="005E2753" w:rsidRPr="00746C2C">
        <w:rPr>
          <w:rFonts w:ascii="Times New Roman" w:eastAsia="Times New Roman" w:hAnsi="Times New Roman" w:cs="Times New Roman"/>
          <w:noProof/>
          <w:sz w:val="24"/>
          <w:szCs w:val="24"/>
          <w:lang w:val="en-IE" w:eastAsia="en-GB"/>
        </w:rPr>
        <w:t xml:space="preserve"> </w:t>
      </w:r>
      <w:r w:rsidR="003D5BBC">
        <w:rPr>
          <w:rFonts w:ascii="Times New Roman" w:eastAsia="Times New Roman" w:hAnsi="Times New Roman" w:cs="Times New Roman"/>
          <w:noProof/>
          <w:sz w:val="24"/>
          <w:szCs w:val="24"/>
          <w:lang w:val="en-IE" w:eastAsia="en-GB"/>
        </w:rPr>
        <w:t xml:space="preserve">especially </w:t>
      </w:r>
      <w:r w:rsidR="00B156E7" w:rsidRPr="00746C2C">
        <w:rPr>
          <w:rFonts w:ascii="Times New Roman" w:eastAsia="Times New Roman" w:hAnsi="Times New Roman" w:cs="Times New Roman"/>
          <w:noProof/>
          <w:sz w:val="24"/>
          <w:szCs w:val="24"/>
          <w:lang w:val="en-IE" w:eastAsia="en-GB"/>
        </w:rPr>
        <w:t xml:space="preserve">in cases </w:t>
      </w:r>
      <w:r w:rsidR="0043620A">
        <w:rPr>
          <w:rFonts w:ascii="Times New Roman" w:eastAsia="Times New Roman" w:hAnsi="Times New Roman" w:cs="Times New Roman"/>
          <w:noProof/>
          <w:sz w:val="24"/>
          <w:szCs w:val="24"/>
          <w:lang w:val="en-IE" w:eastAsia="en-GB"/>
        </w:rPr>
        <w:t xml:space="preserve">where applications for </w:t>
      </w:r>
      <w:r w:rsidR="00B156E7" w:rsidRPr="00746C2C">
        <w:rPr>
          <w:rFonts w:ascii="Times New Roman" w:eastAsia="Times New Roman" w:hAnsi="Times New Roman" w:cs="Times New Roman"/>
          <w:noProof/>
          <w:sz w:val="24"/>
          <w:szCs w:val="24"/>
          <w:lang w:val="en-IE" w:eastAsia="en-GB"/>
        </w:rPr>
        <w:t>access to documents relat</w:t>
      </w:r>
      <w:r w:rsidR="0043620A">
        <w:rPr>
          <w:rFonts w:ascii="Times New Roman" w:eastAsia="Times New Roman" w:hAnsi="Times New Roman" w:cs="Times New Roman"/>
          <w:noProof/>
          <w:sz w:val="24"/>
          <w:szCs w:val="24"/>
          <w:lang w:val="en-IE" w:eastAsia="en-GB"/>
        </w:rPr>
        <w:t>e</w:t>
      </w:r>
      <w:r w:rsidR="00B156E7" w:rsidRPr="00746C2C">
        <w:rPr>
          <w:rFonts w:ascii="Times New Roman" w:eastAsia="Times New Roman" w:hAnsi="Times New Roman" w:cs="Times New Roman"/>
          <w:noProof/>
          <w:sz w:val="24"/>
          <w:szCs w:val="24"/>
          <w:lang w:val="en-IE" w:eastAsia="en-GB"/>
        </w:rPr>
        <w:t xml:space="preserve"> to </w:t>
      </w:r>
      <w:r w:rsidR="0043620A">
        <w:rPr>
          <w:rFonts w:ascii="Times New Roman" w:eastAsia="Times New Roman" w:hAnsi="Times New Roman" w:cs="Times New Roman"/>
          <w:noProof/>
          <w:sz w:val="24"/>
          <w:szCs w:val="24"/>
          <w:lang w:val="en-IE" w:eastAsia="en-GB"/>
        </w:rPr>
        <w:t xml:space="preserve">the </w:t>
      </w:r>
      <w:r w:rsidR="005E2753" w:rsidRPr="00746C2C">
        <w:rPr>
          <w:rFonts w:ascii="Times New Roman" w:eastAsia="Times New Roman" w:hAnsi="Times New Roman" w:cs="Times New Roman"/>
          <w:noProof/>
          <w:sz w:val="24"/>
          <w:szCs w:val="24"/>
          <w:lang w:val="en-IE" w:eastAsia="en-GB"/>
        </w:rPr>
        <w:t xml:space="preserve">archives of previous Commissioners and </w:t>
      </w:r>
      <w:r w:rsidR="00EB5F17" w:rsidRPr="00746C2C">
        <w:rPr>
          <w:rFonts w:ascii="Times New Roman" w:eastAsia="Times New Roman" w:hAnsi="Times New Roman" w:cs="Times New Roman"/>
          <w:noProof/>
          <w:sz w:val="24"/>
          <w:szCs w:val="24"/>
          <w:lang w:val="en-IE" w:eastAsia="en-GB"/>
        </w:rPr>
        <w:t xml:space="preserve">their </w:t>
      </w:r>
      <w:r w:rsidR="005E2753" w:rsidRPr="00746C2C">
        <w:rPr>
          <w:rFonts w:ascii="Times New Roman" w:eastAsia="Times New Roman" w:hAnsi="Times New Roman" w:cs="Times New Roman"/>
          <w:noProof/>
          <w:sz w:val="24"/>
          <w:szCs w:val="24"/>
          <w:lang w:val="en-IE" w:eastAsia="en-GB"/>
        </w:rPr>
        <w:t>Cabinets</w:t>
      </w:r>
      <w:r w:rsidR="009912B3">
        <w:rPr>
          <w:rFonts w:ascii="Times New Roman" w:eastAsia="Times New Roman" w:hAnsi="Times New Roman" w:cs="Times New Roman"/>
          <w:noProof/>
          <w:sz w:val="24"/>
          <w:szCs w:val="24"/>
          <w:lang w:val="en-IE" w:eastAsia="en-GB"/>
        </w:rPr>
        <w:t>, or older documents which have been moved to the historical archives following the document management rules</w:t>
      </w:r>
      <w:r w:rsidR="005E2753" w:rsidRPr="00746C2C">
        <w:rPr>
          <w:rFonts w:ascii="Times New Roman" w:eastAsia="Times New Roman" w:hAnsi="Times New Roman" w:cs="Times New Roman"/>
          <w:noProof/>
          <w:sz w:val="24"/>
          <w:szCs w:val="24"/>
          <w:lang w:val="en-IE" w:eastAsia="en-GB"/>
        </w:rPr>
        <w:t xml:space="preserve">. </w:t>
      </w:r>
      <w:r w:rsidR="00B156E7" w:rsidRPr="00746C2C">
        <w:rPr>
          <w:rFonts w:ascii="Times New Roman" w:eastAsia="Times New Roman" w:hAnsi="Times New Roman" w:cs="Times New Roman"/>
          <w:noProof/>
          <w:sz w:val="24"/>
          <w:szCs w:val="24"/>
          <w:lang w:val="en-IE" w:eastAsia="en-GB"/>
        </w:rPr>
        <w:t>I</w:t>
      </w:r>
      <w:r w:rsidR="005E2753" w:rsidRPr="00746C2C">
        <w:rPr>
          <w:rFonts w:ascii="Times New Roman" w:eastAsia="Times New Roman" w:hAnsi="Times New Roman" w:cs="Times New Roman"/>
          <w:noProof/>
          <w:sz w:val="24"/>
          <w:szCs w:val="24"/>
          <w:lang w:val="en-IE" w:eastAsia="en-GB"/>
        </w:rPr>
        <w:t>n 202</w:t>
      </w:r>
      <w:r w:rsidR="003D5BBC">
        <w:rPr>
          <w:rFonts w:ascii="Times New Roman" w:eastAsia="Times New Roman" w:hAnsi="Times New Roman" w:cs="Times New Roman"/>
          <w:noProof/>
          <w:sz w:val="24"/>
          <w:szCs w:val="24"/>
          <w:lang w:val="en-IE" w:eastAsia="en-GB"/>
        </w:rPr>
        <w:t>5</w:t>
      </w:r>
      <w:r w:rsidR="0096030C">
        <w:rPr>
          <w:rFonts w:ascii="Times New Roman" w:eastAsia="Times New Roman" w:hAnsi="Times New Roman" w:cs="Times New Roman"/>
          <w:noProof/>
          <w:sz w:val="24"/>
          <w:szCs w:val="24"/>
          <w:lang w:val="en-IE" w:eastAsia="en-GB"/>
        </w:rPr>
        <w:t>,</w:t>
      </w:r>
      <w:r w:rsidR="005E2753" w:rsidRPr="00746C2C">
        <w:rPr>
          <w:rFonts w:ascii="Times New Roman" w:eastAsia="Times New Roman" w:hAnsi="Times New Roman" w:cs="Times New Roman"/>
          <w:noProof/>
          <w:sz w:val="24"/>
          <w:szCs w:val="24"/>
          <w:lang w:val="en-IE" w:eastAsia="en-GB"/>
        </w:rPr>
        <w:t xml:space="preserve"> HAS provided assistance in </w:t>
      </w:r>
      <w:r w:rsidR="003D5BBC" w:rsidRPr="003D5BBC">
        <w:rPr>
          <w:rFonts w:ascii="Times New Roman" w:eastAsia="Times New Roman" w:hAnsi="Times New Roman" w:cs="Times New Roman"/>
          <w:noProof/>
          <w:sz w:val="24"/>
          <w:szCs w:val="24"/>
          <w:lang w:val="en-IE" w:eastAsia="en-GB"/>
        </w:rPr>
        <w:t>427</w:t>
      </w:r>
      <w:r w:rsidR="005E2753" w:rsidRPr="00746C2C">
        <w:rPr>
          <w:rFonts w:ascii="Times New Roman" w:eastAsia="Times New Roman" w:hAnsi="Times New Roman" w:cs="Times New Roman"/>
          <w:noProof/>
          <w:sz w:val="24"/>
          <w:szCs w:val="24"/>
          <w:lang w:val="en-IE" w:eastAsia="en-GB"/>
        </w:rPr>
        <w:t xml:space="preserve"> cases, mostly to </w:t>
      </w:r>
      <w:r w:rsidR="003D5BBC" w:rsidRPr="003D5BBC">
        <w:rPr>
          <w:rFonts w:ascii="Times New Roman" w:eastAsia="Times New Roman" w:hAnsi="Times New Roman" w:cs="Times New Roman"/>
          <w:noProof/>
          <w:sz w:val="24"/>
          <w:szCs w:val="24"/>
          <w:lang w:val="en-IE" w:eastAsia="en-GB"/>
        </w:rPr>
        <w:t xml:space="preserve">the Secretariat-General </w:t>
      </w:r>
      <w:r w:rsidR="003D5BBC">
        <w:rPr>
          <w:rFonts w:ascii="Times New Roman" w:eastAsia="Times New Roman" w:hAnsi="Times New Roman" w:cs="Times New Roman"/>
          <w:noProof/>
          <w:sz w:val="24"/>
          <w:szCs w:val="24"/>
          <w:lang w:val="en-IE" w:eastAsia="en-GB"/>
        </w:rPr>
        <w:t>(</w:t>
      </w:r>
      <w:r w:rsidR="003D5BBC" w:rsidRPr="003D5BBC">
        <w:rPr>
          <w:rFonts w:ascii="Times New Roman" w:eastAsia="Times New Roman" w:hAnsi="Times New Roman" w:cs="Times New Roman"/>
          <w:noProof/>
          <w:sz w:val="24"/>
          <w:szCs w:val="24"/>
          <w:lang w:val="en-IE" w:eastAsia="en-GB"/>
        </w:rPr>
        <w:t>105</w:t>
      </w:r>
      <w:r w:rsidR="003D5BBC">
        <w:rPr>
          <w:rFonts w:ascii="Times New Roman" w:eastAsia="Times New Roman" w:hAnsi="Times New Roman" w:cs="Times New Roman"/>
          <w:noProof/>
          <w:sz w:val="24"/>
          <w:szCs w:val="24"/>
          <w:lang w:val="en-IE" w:eastAsia="en-GB"/>
        </w:rPr>
        <w:t xml:space="preserve">) </w:t>
      </w:r>
      <w:r w:rsidR="003D5BBC" w:rsidRPr="003D5BBC">
        <w:rPr>
          <w:rFonts w:ascii="Times New Roman" w:eastAsia="Times New Roman" w:hAnsi="Times New Roman" w:cs="Times New Roman"/>
          <w:noProof/>
          <w:sz w:val="24"/>
          <w:szCs w:val="24"/>
          <w:lang w:val="en-IE" w:eastAsia="en-GB"/>
        </w:rPr>
        <w:t>and the Directorates-General for: Climate Action</w:t>
      </w:r>
      <w:r w:rsidR="003D5BBC">
        <w:rPr>
          <w:rFonts w:ascii="Times New Roman" w:eastAsia="Times New Roman" w:hAnsi="Times New Roman" w:cs="Times New Roman"/>
          <w:noProof/>
          <w:sz w:val="24"/>
          <w:szCs w:val="24"/>
          <w:lang w:val="en-IE" w:eastAsia="en-GB"/>
        </w:rPr>
        <w:t xml:space="preserve"> (</w:t>
      </w:r>
      <w:r w:rsidR="003D5BBC" w:rsidRPr="003D5BBC">
        <w:rPr>
          <w:rFonts w:ascii="Times New Roman" w:eastAsia="Times New Roman" w:hAnsi="Times New Roman" w:cs="Times New Roman"/>
          <w:noProof/>
          <w:sz w:val="24"/>
          <w:szCs w:val="24"/>
          <w:lang w:val="en-IE" w:eastAsia="en-GB"/>
        </w:rPr>
        <w:t>40</w:t>
      </w:r>
      <w:r w:rsidR="003D5BBC">
        <w:rPr>
          <w:rFonts w:ascii="Times New Roman" w:eastAsia="Times New Roman" w:hAnsi="Times New Roman" w:cs="Times New Roman"/>
          <w:noProof/>
          <w:sz w:val="24"/>
          <w:szCs w:val="24"/>
          <w:lang w:val="en-IE" w:eastAsia="en-GB"/>
        </w:rPr>
        <w:t xml:space="preserve">); </w:t>
      </w:r>
      <w:r w:rsidR="003D5BBC" w:rsidRPr="003D5BBC">
        <w:rPr>
          <w:rFonts w:ascii="Times New Roman" w:eastAsia="Times New Roman" w:hAnsi="Times New Roman" w:cs="Times New Roman"/>
          <w:noProof/>
          <w:sz w:val="24"/>
          <w:szCs w:val="24"/>
          <w:lang w:val="en-IE" w:eastAsia="en-GB"/>
        </w:rPr>
        <w:t xml:space="preserve">Internal Market, Industry, Entrepreneurship and SMEs </w:t>
      </w:r>
      <w:r w:rsidR="003D5BBC">
        <w:rPr>
          <w:rFonts w:ascii="Times New Roman" w:eastAsia="Times New Roman" w:hAnsi="Times New Roman" w:cs="Times New Roman"/>
          <w:noProof/>
          <w:sz w:val="24"/>
          <w:szCs w:val="24"/>
          <w:lang w:val="en-IE" w:eastAsia="en-GB"/>
        </w:rPr>
        <w:t>(</w:t>
      </w:r>
      <w:r w:rsidR="003D5BBC" w:rsidRPr="003D5BBC">
        <w:rPr>
          <w:rFonts w:ascii="Times New Roman" w:eastAsia="Times New Roman" w:hAnsi="Times New Roman" w:cs="Times New Roman"/>
          <w:noProof/>
          <w:sz w:val="24"/>
          <w:szCs w:val="24"/>
          <w:lang w:val="en-IE" w:eastAsia="en-GB"/>
        </w:rPr>
        <w:t>34</w:t>
      </w:r>
      <w:r w:rsidR="003D5BBC">
        <w:rPr>
          <w:rFonts w:ascii="Times New Roman" w:eastAsia="Times New Roman" w:hAnsi="Times New Roman" w:cs="Times New Roman"/>
          <w:noProof/>
          <w:sz w:val="24"/>
          <w:szCs w:val="24"/>
          <w:lang w:val="en-IE" w:eastAsia="en-GB"/>
        </w:rPr>
        <w:t>);</w:t>
      </w:r>
      <w:r w:rsidR="00C9557E">
        <w:rPr>
          <w:rFonts w:ascii="Times New Roman" w:eastAsia="Times New Roman" w:hAnsi="Times New Roman" w:cs="Times New Roman"/>
          <w:noProof/>
          <w:sz w:val="24"/>
          <w:szCs w:val="24"/>
          <w:lang w:val="en-IE" w:eastAsia="en-GB"/>
        </w:rPr>
        <w:t xml:space="preserve"> </w:t>
      </w:r>
      <w:r w:rsidR="00C9557E" w:rsidRPr="00C9557E">
        <w:rPr>
          <w:rFonts w:ascii="Times New Roman" w:eastAsia="Times New Roman" w:hAnsi="Times New Roman" w:cs="Times New Roman"/>
          <w:noProof/>
          <w:sz w:val="24"/>
          <w:szCs w:val="24"/>
          <w:lang w:val="en-IE" w:eastAsia="en-GB"/>
        </w:rPr>
        <w:t>Health and Food Safety</w:t>
      </w:r>
      <w:r w:rsidR="00C9557E">
        <w:rPr>
          <w:rFonts w:ascii="Times New Roman" w:eastAsia="Times New Roman" w:hAnsi="Times New Roman" w:cs="Times New Roman"/>
          <w:noProof/>
          <w:sz w:val="24"/>
          <w:szCs w:val="24"/>
          <w:lang w:val="en-IE" w:eastAsia="en-GB"/>
        </w:rPr>
        <w:t xml:space="preserve"> (</w:t>
      </w:r>
      <w:r w:rsidR="00C9557E" w:rsidRPr="00C9557E">
        <w:rPr>
          <w:rFonts w:ascii="Times New Roman" w:eastAsia="Times New Roman" w:hAnsi="Times New Roman" w:cs="Times New Roman"/>
          <w:noProof/>
          <w:sz w:val="24"/>
          <w:szCs w:val="24"/>
          <w:lang w:val="en-IE" w:eastAsia="en-GB"/>
        </w:rPr>
        <w:t>25</w:t>
      </w:r>
      <w:r w:rsidR="00C9557E">
        <w:rPr>
          <w:rFonts w:ascii="Times New Roman" w:eastAsia="Times New Roman" w:hAnsi="Times New Roman" w:cs="Times New Roman"/>
          <w:noProof/>
          <w:sz w:val="24"/>
          <w:szCs w:val="24"/>
          <w:lang w:val="en-IE" w:eastAsia="en-GB"/>
        </w:rPr>
        <w:t xml:space="preserve">); </w:t>
      </w:r>
      <w:r w:rsidR="00C9557E" w:rsidRPr="00C9557E">
        <w:rPr>
          <w:rFonts w:ascii="Times New Roman" w:eastAsia="Times New Roman" w:hAnsi="Times New Roman" w:cs="Times New Roman"/>
          <w:noProof/>
          <w:sz w:val="24"/>
          <w:szCs w:val="24"/>
          <w:lang w:val="en-IE" w:eastAsia="en-GB"/>
        </w:rPr>
        <w:t>Agriculture and Rural Development</w:t>
      </w:r>
      <w:r w:rsidR="00C9557E">
        <w:rPr>
          <w:rFonts w:ascii="Times New Roman" w:eastAsia="Times New Roman" w:hAnsi="Times New Roman" w:cs="Times New Roman"/>
          <w:noProof/>
          <w:sz w:val="24"/>
          <w:szCs w:val="24"/>
          <w:lang w:val="en-IE" w:eastAsia="en-GB"/>
        </w:rPr>
        <w:t xml:space="preserve"> (</w:t>
      </w:r>
      <w:r w:rsidR="00C9557E" w:rsidRPr="00C9557E">
        <w:rPr>
          <w:rFonts w:ascii="Times New Roman" w:eastAsia="Times New Roman" w:hAnsi="Times New Roman" w:cs="Times New Roman"/>
          <w:noProof/>
          <w:sz w:val="24"/>
          <w:szCs w:val="24"/>
          <w:lang w:val="en-IE" w:eastAsia="en-GB"/>
        </w:rPr>
        <w:t>24</w:t>
      </w:r>
      <w:r w:rsidR="00C9557E">
        <w:rPr>
          <w:rFonts w:ascii="Times New Roman" w:eastAsia="Times New Roman" w:hAnsi="Times New Roman" w:cs="Times New Roman"/>
          <w:noProof/>
          <w:sz w:val="24"/>
          <w:szCs w:val="24"/>
          <w:lang w:val="en-IE" w:eastAsia="en-GB"/>
        </w:rPr>
        <w:t xml:space="preserve">); </w:t>
      </w:r>
      <w:r w:rsidR="00C9557E" w:rsidRPr="00C9557E">
        <w:rPr>
          <w:rFonts w:ascii="Times New Roman" w:eastAsia="Times New Roman" w:hAnsi="Times New Roman" w:cs="Times New Roman"/>
          <w:noProof/>
          <w:sz w:val="24"/>
          <w:szCs w:val="24"/>
          <w:lang w:val="en-IE" w:eastAsia="en-GB"/>
        </w:rPr>
        <w:t>Environment</w:t>
      </w:r>
      <w:r w:rsidR="00C9557E">
        <w:rPr>
          <w:rFonts w:ascii="Times New Roman" w:eastAsia="Times New Roman" w:hAnsi="Times New Roman" w:cs="Times New Roman"/>
          <w:noProof/>
          <w:sz w:val="24"/>
          <w:szCs w:val="24"/>
          <w:lang w:val="en-IE" w:eastAsia="en-GB"/>
        </w:rPr>
        <w:t xml:space="preserve"> (</w:t>
      </w:r>
      <w:r w:rsidR="00C9557E" w:rsidRPr="00C9557E">
        <w:rPr>
          <w:rFonts w:ascii="Times New Roman" w:eastAsia="Times New Roman" w:hAnsi="Times New Roman" w:cs="Times New Roman"/>
          <w:noProof/>
          <w:sz w:val="24"/>
          <w:szCs w:val="24"/>
          <w:lang w:val="en-IE" w:eastAsia="en-GB"/>
        </w:rPr>
        <w:t>24</w:t>
      </w:r>
      <w:r w:rsidR="00C9557E">
        <w:rPr>
          <w:rFonts w:ascii="Times New Roman" w:eastAsia="Times New Roman" w:hAnsi="Times New Roman" w:cs="Times New Roman"/>
          <w:noProof/>
          <w:sz w:val="24"/>
          <w:szCs w:val="24"/>
          <w:lang w:val="en-IE" w:eastAsia="en-GB"/>
        </w:rPr>
        <w:t xml:space="preserve">); and </w:t>
      </w:r>
      <w:r w:rsidR="00C9557E" w:rsidRPr="00C9557E">
        <w:rPr>
          <w:rFonts w:ascii="Times New Roman" w:eastAsia="Times New Roman" w:hAnsi="Times New Roman" w:cs="Times New Roman"/>
          <w:noProof/>
          <w:sz w:val="24"/>
          <w:szCs w:val="24"/>
          <w:lang w:val="en-IE" w:eastAsia="en-GB"/>
        </w:rPr>
        <w:t>Justice and Consumers</w:t>
      </w:r>
      <w:r w:rsidR="00C9557E">
        <w:rPr>
          <w:rFonts w:ascii="Times New Roman" w:eastAsia="Times New Roman" w:hAnsi="Times New Roman" w:cs="Times New Roman"/>
          <w:noProof/>
          <w:sz w:val="24"/>
          <w:szCs w:val="24"/>
          <w:lang w:val="en-IE" w:eastAsia="en-GB"/>
        </w:rPr>
        <w:t xml:space="preserve"> (</w:t>
      </w:r>
      <w:r w:rsidR="00C9557E" w:rsidRPr="00C9557E">
        <w:rPr>
          <w:rFonts w:ascii="Times New Roman" w:eastAsia="Times New Roman" w:hAnsi="Times New Roman" w:cs="Times New Roman"/>
          <w:noProof/>
          <w:sz w:val="24"/>
          <w:szCs w:val="24"/>
          <w:lang w:val="en-IE" w:eastAsia="en-GB"/>
        </w:rPr>
        <w:t>22</w:t>
      </w:r>
      <w:r w:rsidR="00C9557E">
        <w:rPr>
          <w:rFonts w:ascii="Times New Roman" w:eastAsia="Times New Roman" w:hAnsi="Times New Roman" w:cs="Times New Roman"/>
          <w:noProof/>
          <w:sz w:val="24"/>
          <w:szCs w:val="24"/>
          <w:lang w:val="en-IE" w:eastAsia="en-GB"/>
        </w:rPr>
        <w:t>).</w:t>
      </w:r>
    </w:p>
    <w:p w14:paraId="34F1807A" w14:textId="2BAFE47E" w:rsidR="005E2753" w:rsidRPr="00746C2C" w:rsidRDefault="005E2753" w:rsidP="005E2753">
      <w:pPr>
        <w:pStyle w:val="Heading1"/>
        <w:spacing w:after="360"/>
        <w:ind w:left="851" w:hanging="851"/>
        <w:rPr>
          <w:noProof/>
          <w:lang w:val="en-IE"/>
        </w:rPr>
      </w:pPr>
      <w:bookmarkStart w:id="3" w:name="_Toc480274551"/>
      <w:bookmarkStart w:id="4" w:name="_Toc8824304"/>
      <w:bookmarkStart w:id="5" w:name="_Toc223714984"/>
      <w:r w:rsidRPr="00746C2C">
        <w:rPr>
          <w:noProof/>
          <w:lang w:val="en-IE"/>
        </w:rPr>
        <w:t xml:space="preserve">Making information and documents available </w:t>
      </w:r>
      <w:r w:rsidR="0043620A">
        <w:rPr>
          <w:noProof/>
          <w:lang w:val="en-IE"/>
        </w:rPr>
        <w:t>online and in</w:t>
      </w:r>
      <w:r w:rsidRPr="00746C2C">
        <w:rPr>
          <w:noProof/>
          <w:lang w:val="en-IE"/>
        </w:rPr>
        <w:t xml:space="preserve"> </w:t>
      </w:r>
      <w:r w:rsidR="00166632" w:rsidRPr="00746C2C">
        <w:rPr>
          <w:noProof/>
          <w:lang w:val="en-IE"/>
        </w:rPr>
        <w:t>r</w:t>
      </w:r>
      <w:r w:rsidRPr="00746C2C">
        <w:rPr>
          <w:noProof/>
          <w:lang w:val="en-IE"/>
        </w:rPr>
        <w:t>egisters</w:t>
      </w:r>
      <w:bookmarkEnd w:id="3"/>
      <w:bookmarkEnd w:id="4"/>
      <w:bookmarkEnd w:id="5"/>
    </w:p>
    <w:p w14:paraId="2FDAA60F" w14:textId="43FBD17E" w:rsidR="005E2753" w:rsidRPr="00746C2C" w:rsidRDefault="005E2753" w:rsidP="00984485">
      <w:pPr>
        <w:pStyle w:val="NormalWeb"/>
        <w:spacing w:before="240" w:after="240"/>
        <w:jc w:val="both"/>
        <w:rPr>
          <w:rFonts w:eastAsia="Times New Roman"/>
          <w:noProof/>
          <w:lang w:val="en-IE" w:eastAsia="en-GB"/>
        </w:rPr>
      </w:pPr>
      <w:r w:rsidRPr="00746C2C">
        <w:rPr>
          <w:rFonts w:eastAsia="Times New Roman"/>
          <w:noProof/>
          <w:lang w:val="en-IE" w:eastAsia="en-GB"/>
        </w:rPr>
        <w:t xml:space="preserve">The </w:t>
      </w:r>
      <w:r w:rsidR="007C3238" w:rsidRPr="00746C2C">
        <w:rPr>
          <w:rFonts w:eastAsia="Times New Roman"/>
          <w:noProof/>
          <w:lang w:val="en-IE" w:eastAsia="en-GB"/>
        </w:rPr>
        <w:t>European C</w:t>
      </w:r>
      <w:r w:rsidRPr="00746C2C">
        <w:rPr>
          <w:rFonts w:eastAsia="Times New Roman"/>
          <w:noProof/>
          <w:lang w:val="en-IE" w:eastAsia="en-GB"/>
        </w:rPr>
        <w:t xml:space="preserve">ommission </w:t>
      </w:r>
      <w:r w:rsidR="00BB3A84" w:rsidRPr="00746C2C">
        <w:rPr>
          <w:rFonts w:eastAsia="Times New Roman"/>
          <w:noProof/>
          <w:lang w:val="en-IE" w:eastAsia="en-GB"/>
        </w:rPr>
        <w:t xml:space="preserve">proactively </w:t>
      </w:r>
      <w:r w:rsidRPr="00746C2C">
        <w:rPr>
          <w:rFonts w:eastAsia="Times New Roman"/>
          <w:noProof/>
          <w:lang w:val="en-IE" w:eastAsia="en-GB"/>
        </w:rPr>
        <w:t xml:space="preserve">publishes a wide </w:t>
      </w:r>
      <w:r w:rsidR="0043620A">
        <w:rPr>
          <w:rFonts w:eastAsia="Times New Roman"/>
          <w:noProof/>
          <w:lang w:val="en-IE" w:eastAsia="en-GB"/>
        </w:rPr>
        <w:t>range</w:t>
      </w:r>
      <w:r w:rsidRPr="00746C2C">
        <w:rPr>
          <w:rFonts w:eastAsia="Times New Roman"/>
          <w:noProof/>
          <w:lang w:val="en-IE" w:eastAsia="en-GB"/>
        </w:rPr>
        <w:t xml:space="preserve"> of legal, policy, administrative and other documents on different websites and registers</w:t>
      </w:r>
      <w:r w:rsidR="001C654F" w:rsidRPr="00746C2C">
        <w:rPr>
          <w:rStyle w:val="FootnoteReference"/>
          <w:rFonts w:eastAsia="Times New Roman"/>
          <w:noProof/>
          <w:lang w:val="en-IE" w:eastAsia="en-GB"/>
        </w:rPr>
        <w:footnoteReference w:id="8"/>
      </w:r>
      <w:r w:rsidRPr="00746C2C">
        <w:rPr>
          <w:rFonts w:eastAsia="Times New Roman"/>
          <w:noProof/>
          <w:lang w:val="en-IE" w:eastAsia="en-GB"/>
        </w:rPr>
        <w:t>. Many</w:t>
      </w:r>
      <w:r w:rsidR="00BB3A84" w:rsidRPr="00746C2C">
        <w:rPr>
          <w:rFonts w:eastAsia="Times New Roman"/>
          <w:noProof/>
          <w:lang w:val="en-IE" w:eastAsia="en-GB"/>
        </w:rPr>
        <w:t xml:space="preserve"> such documents</w:t>
      </w:r>
      <w:r w:rsidRPr="00746C2C">
        <w:rPr>
          <w:rFonts w:eastAsia="Times New Roman"/>
          <w:noProof/>
          <w:lang w:val="en-IE" w:eastAsia="en-GB"/>
        </w:rPr>
        <w:t xml:space="preserve"> are available </w:t>
      </w:r>
      <w:r w:rsidR="0080054E">
        <w:rPr>
          <w:rFonts w:eastAsia="Times New Roman"/>
          <w:noProof/>
          <w:lang w:val="en-IE" w:eastAsia="en-GB"/>
        </w:rPr>
        <w:t>i</w:t>
      </w:r>
      <w:r w:rsidRPr="00746C2C">
        <w:rPr>
          <w:rFonts w:eastAsia="Times New Roman"/>
          <w:noProof/>
          <w:lang w:val="en-IE" w:eastAsia="en-GB"/>
        </w:rPr>
        <w:t xml:space="preserve">n the Register of Commission </w:t>
      </w:r>
      <w:r w:rsidR="00FB5A88" w:rsidRPr="00746C2C">
        <w:rPr>
          <w:rFonts w:eastAsia="Times New Roman"/>
          <w:noProof/>
          <w:lang w:val="en-IE" w:eastAsia="en-GB"/>
        </w:rPr>
        <w:t>d</w:t>
      </w:r>
      <w:r w:rsidRPr="00746C2C">
        <w:rPr>
          <w:rFonts w:eastAsia="Times New Roman"/>
          <w:noProof/>
          <w:lang w:val="en-IE" w:eastAsia="en-GB"/>
        </w:rPr>
        <w:t>ocuments</w:t>
      </w:r>
      <w:r w:rsidR="00373E7F">
        <w:rPr>
          <w:rFonts w:eastAsia="Times New Roman"/>
          <w:noProof/>
          <w:lang w:val="en-IE" w:eastAsia="en-GB"/>
        </w:rPr>
        <w:t xml:space="preserve"> (</w:t>
      </w:r>
      <w:r w:rsidR="00373E7F" w:rsidRPr="00746C2C">
        <w:rPr>
          <w:rFonts w:eastAsia="Times New Roman"/>
          <w:noProof/>
          <w:lang w:val="en-IE"/>
        </w:rPr>
        <w:t>RegDoc</w:t>
      </w:r>
      <w:r w:rsidR="00373E7F">
        <w:rPr>
          <w:rFonts w:eastAsia="Times New Roman"/>
          <w:noProof/>
          <w:lang w:val="en-IE" w:eastAsia="en-GB"/>
        </w:rPr>
        <w:t>)</w:t>
      </w:r>
      <w:r w:rsidRPr="00746C2C">
        <w:rPr>
          <w:rFonts w:eastAsia="Times New Roman"/>
          <w:noProof/>
          <w:lang w:val="en-IE" w:eastAsia="en-GB"/>
        </w:rPr>
        <w:t xml:space="preserve">, </w:t>
      </w:r>
      <w:r w:rsidR="0043620A">
        <w:rPr>
          <w:rFonts w:eastAsia="Times New Roman"/>
          <w:noProof/>
          <w:lang w:val="en-IE" w:eastAsia="en-GB"/>
        </w:rPr>
        <w:t xml:space="preserve">the </w:t>
      </w:r>
      <w:r w:rsidRPr="00746C2C">
        <w:rPr>
          <w:rFonts w:eastAsia="Times New Roman"/>
          <w:noProof/>
          <w:lang w:val="en-IE" w:eastAsia="en-GB"/>
        </w:rPr>
        <w:t xml:space="preserve">Register of </w:t>
      </w:r>
      <w:r w:rsidR="00FB5A88" w:rsidRPr="00746C2C">
        <w:rPr>
          <w:rFonts w:eastAsia="Times New Roman"/>
          <w:noProof/>
          <w:lang w:val="en-IE" w:eastAsia="en-GB"/>
        </w:rPr>
        <w:t>d</w:t>
      </w:r>
      <w:r w:rsidRPr="00746C2C">
        <w:rPr>
          <w:rFonts w:eastAsia="Times New Roman"/>
          <w:noProof/>
          <w:lang w:val="en-IE" w:eastAsia="en-GB"/>
        </w:rPr>
        <w:t xml:space="preserve">elegated </w:t>
      </w:r>
      <w:r w:rsidR="0065196C" w:rsidRPr="00746C2C">
        <w:rPr>
          <w:rFonts w:eastAsia="Times New Roman"/>
          <w:noProof/>
          <w:lang w:val="en-IE" w:eastAsia="en-GB"/>
        </w:rPr>
        <w:t xml:space="preserve">and implementing </w:t>
      </w:r>
      <w:r w:rsidR="00FB5A88" w:rsidRPr="00746C2C">
        <w:rPr>
          <w:rFonts w:eastAsia="Times New Roman"/>
          <w:noProof/>
          <w:lang w:val="en-IE" w:eastAsia="en-GB"/>
        </w:rPr>
        <w:t>a</w:t>
      </w:r>
      <w:r w:rsidRPr="00746C2C">
        <w:rPr>
          <w:rFonts w:eastAsia="Times New Roman"/>
          <w:noProof/>
          <w:lang w:val="en-IE" w:eastAsia="en-GB"/>
        </w:rPr>
        <w:t>cts and other corporate registers managed by the Secretariat-General</w:t>
      </w:r>
      <w:r w:rsidR="0043620A">
        <w:rPr>
          <w:rFonts w:eastAsia="Times New Roman"/>
          <w:noProof/>
          <w:lang w:val="en-IE" w:eastAsia="en-GB"/>
        </w:rPr>
        <w:t>.</w:t>
      </w:r>
      <w:r w:rsidRPr="00746C2C">
        <w:rPr>
          <w:rFonts w:eastAsia="Times New Roman"/>
          <w:noProof/>
          <w:lang w:val="en-IE" w:eastAsia="en-GB"/>
        </w:rPr>
        <w:t xml:space="preserve"> </w:t>
      </w:r>
      <w:r w:rsidR="0043620A">
        <w:rPr>
          <w:rFonts w:eastAsia="Times New Roman"/>
          <w:noProof/>
          <w:lang w:val="en-IE" w:eastAsia="en-GB"/>
        </w:rPr>
        <w:t>O</w:t>
      </w:r>
      <w:r w:rsidRPr="00746C2C">
        <w:rPr>
          <w:rFonts w:eastAsia="Times New Roman"/>
          <w:noProof/>
          <w:lang w:val="en-IE" w:eastAsia="en-GB"/>
        </w:rPr>
        <w:t xml:space="preserve">thers </w:t>
      </w:r>
      <w:r w:rsidR="0043620A">
        <w:rPr>
          <w:rFonts w:eastAsia="Times New Roman"/>
          <w:noProof/>
          <w:lang w:val="en-IE" w:eastAsia="en-GB"/>
        </w:rPr>
        <w:t>are available</w:t>
      </w:r>
      <w:r w:rsidRPr="00746C2C">
        <w:rPr>
          <w:rFonts w:eastAsia="Times New Roman"/>
          <w:noProof/>
          <w:lang w:val="en-IE" w:eastAsia="en-GB"/>
        </w:rPr>
        <w:t xml:space="preserve"> on websites managed by </w:t>
      </w:r>
      <w:r w:rsidR="0043620A">
        <w:rPr>
          <w:rFonts w:eastAsia="Times New Roman"/>
          <w:noProof/>
          <w:lang w:val="en-IE" w:eastAsia="en-GB"/>
        </w:rPr>
        <w:t>the</w:t>
      </w:r>
      <w:r w:rsidR="0080054E">
        <w:rPr>
          <w:rFonts w:eastAsia="Times New Roman"/>
          <w:noProof/>
          <w:lang w:val="en-IE" w:eastAsia="en-GB"/>
        </w:rPr>
        <w:t xml:space="preserve"> </w:t>
      </w:r>
      <w:r w:rsidRPr="00746C2C">
        <w:rPr>
          <w:rFonts w:eastAsia="Times New Roman"/>
          <w:noProof/>
          <w:lang w:val="en-IE" w:eastAsia="en-GB"/>
        </w:rPr>
        <w:t xml:space="preserve">Directorates-General or </w:t>
      </w:r>
      <w:r w:rsidR="0080054E">
        <w:rPr>
          <w:rFonts w:eastAsia="Times New Roman"/>
          <w:noProof/>
          <w:lang w:val="en-IE" w:eastAsia="en-GB"/>
        </w:rPr>
        <w:t xml:space="preserve">on </w:t>
      </w:r>
      <w:r w:rsidRPr="00746C2C">
        <w:rPr>
          <w:rFonts w:eastAsia="Times New Roman"/>
          <w:noProof/>
          <w:lang w:val="en-IE" w:eastAsia="en-GB"/>
        </w:rPr>
        <w:t>EUR-Lex</w:t>
      </w:r>
      <w:r w:rsidR="00636E0B">
        <w:rPr>
          <w:rStyle w:val="FootnoteReference"/>
          <w:rFonts w:eastAsia="Times New Roman"/>
          <w:noProof/>
          <w:lang w:val="en-IE" w:eastAsia="en-GB"/>
        </w:rPr>
        <w:footnoteReference w:id="9"/>
      </w:r>
      <w:r w:rsidR="00984485">
        <w:rPr>
          <w:rFonts w:eastAsia="Times New Roman"/>
          <w:noProof/>
          <w:lang w:val="en-IE" w:eastAsia="en-GB"/>
        </w:rPr>
        <w:t>.</w:t>
      </w:r>
      <w:r w:rsidR="00A54D66">
        <w:rPr>
          <w:rFonts w:eastAsia="Times New Roman"/>
          <w:noProof/>
          <w:lang w:val="en-IE" w:eastAsia="en-GB"/>
        </w:rPr>
        <w:t xml:space="preserve"> </w:t>
      </w:r>
      <w:r w:rsidR="00F31E87">
        <w:rPr>
          <w:rFonts w:eastAsia="Times New Roman"/>
          <w:noProof/>
          <w:lang w:val="en-IE" w:eastAsia="en-GB"/>
        </w:rPr>
        <w:t>M</w:t>
      </w:r>
      <w:r w:rsidR="00A54D66">
        <w:rPr>
          <w:rFonts w:eastAsia="Times New Roman"/>
          <w:noProof/>
          <w:lang w:val="en-IE" w:eastAsia="en-GB"/>
        </w:rPr>
        <w:t>ore</w:t>
      </w:r>
      <w:r w:rsidR="00F31E87">
        <w:rPr>
          <w:rFonts w:eastAsia="Times New Roman"/>
          <w:noProof/>
          <w:lang w:val="en-IE" w:eastAsia="en-GB"/>
        </w:rPr>
        <w:t>over</w:t>
      </w:r>
      <w:r w:rsidR="00A54D66">
        <w:rPr>
          <w:rFonts w:eastAsia="Times New Roman"/>
          <w:noProof/>
          <w:lang w:val="en-IE" w:eastAsia="en-GB"/>
        </w:rPr>
        <w:t>, Article 3 of the Annex to the Commission’s Rules of Procedure</w:t>
      </w:r>
      <w:r w:rsidR="00A54D66" w:rsidRPr="00746C2C">
        <w:rPr>
          <w:rFonts w:eastAsia="Times New Roman"/>
          <w:noProof/>
          <w:vertAlign w:val="superscript"/>
          <w:lang w:val="en-IE"/>
        </w:rPr>
        <w:footnoteReference w:id="10"/>
      </w:r>
      <w:r w:rsidR="00A54D66">
        <w:rPr>
          <w:rFonts w:eastAsia="Times New Roman"/>
          <w:noProof/>
          <w:lang w:val="en-IE" w:eastAsia="en-GB"/>
        </w:rPr>
        <w:t>, adopted on 4 December 2024, further enhances proactive transparency by listing categories of d</w:t>
      </w:r>
      <w:r w:rsidR="00A54D66" w:rsidRPr="00B917E1">
        <w:rPr>
          <w:rFonts w:eastAsia="Times New Roman"/>
          <w:noProof/>
          <w:lang w:val="en-IE" w:eastAsia="en-GB"/>
        </w:rPr>
        <w:t>ocuments</w:t>
      </w:r>
      <w:r w:rsidR="00A54D66">
        <w:rPr>
          <w:rFonts w:eastAsia="Times New Roman"/>
          <w:noProof/>
          <w:lang w:val="en-IE" w:eastAsia="en-GB"/>
        </w:rPr>
        <w:t xml:space="preserve"> that shall be</w:t>
      </w:r>
      <w:r w:rsidR="00A54D66" w:rsidRPr="00B917E1">
        <w:rPr>
          <w:rFonts w:eastAsia="Times New Roman"/>
          <w:noProof/>
          <w:lang w:val="en-IE" w:eastAsia="en-GB"/>
        </w:rPr>
        <w:t xml:space="preserve"> directly accessible to the public</w:t>
      </w:r>
      <w:r w:rsidR="00A54D66">
        <w:rPr>
          <w:rFonts w:eastAsia="Times New Roman"/>
          <w:noProof/>
          <w:lang w:val="en-IE" w:eastAsia="en-GB"/>
        </w:rPr>
        <w:t>.</w:t>
      </w:r>
    </w:p>
    <w:p w14:paraId="68B5033A" w14:textId="601F5358" w:rsidR="00777179" w:rsidRPr="00746C2C" w:rsidRDefault="005E2753" w:rsidP="005E2753">
      <w:pPr>
        <w:spacing w:before="240" w:after="0"/>
        <w:jc w:val="both"/>
        <w:rPr>
          <w:rFonts w:ascii="Times New Roman" w:eastAsia="Times New Roman" w:hAnsi="Times New Roman" w:cs="Times New Roman"/>
          <w:noProof/>
          <w:sz w:val="24"/>
          <w:szCs w:val="24"/>
          <w:lang w:val="en-IE"/>
        </w:rPr>
      </w:pPr>
      <w:r w:rsidRPr="00746C2C">
        <w:rPr>
          <w:rFonts w:ascii="Times New Roman" w:eastAsia="Times New Roman" w:hAnsi="Times New Roman" w:cs="Times New Roman"/>
          <w:noProof/>
          <w:sz w:val="24"/>
          <w:szCs w:val="24"/>
          <w:lang w:val="en-IE"/>
        </w:rPr>
        <w:t>In 202</w:t>
      </w:r>
      <w:r w:rsidR="00734602">
        <w:rPr>
          <w:rFonts w:ascii="Times New Roman" w:eastAsia="Times New Roman" w:hAnsi="Times New Roman" w:cs="Times New Roman"/>
          <w:noProof/>
          <w:sz w:val="24"/>
          <w:szCs w:val="24"/>
          <w:lang w:val="en-IE"/>
        </w:rPr>
        <w:t>5</w:t>
      </w:r>
      <w:r w:rsidRPr="00746C2C">
        <w:rPr>
          <w:rFonts w:ascii="Times New Roman" w:eastAsia="Times New Roman" w:hAnsi="Times New Roman" w:cs="Times New Roman"/>
          <w:noProof/>
          <w:sz w:val="24"/>
          <w:szCs w:val="24"/>
          <w:lang w:val="en-IE"/>
        </w:rPr>
        <w:t>,</w:t>
      </w:r>
      <w:r w:rsidR="00734602">
        <w:rPr>
          <w:rFonts w:ascii="Times New Roman" w:eastAsia="Times New Roman" w:hAnsi="Times New Roman" w:cs="Times New Roman"/>
          <w:noProof/>
          <w:sz w:val="24"/>
          <w:szCs w:val="24"/>
          <w:lang w:val="en-IE"/>
        </w:rPr>
        <w:t xml:space="preserve"> </w:t>
      </w:r>
      <w:r w:rsidR="00734602" w:rsidRPr="00734602">
        <w:rPr>
          <w:rFonts w:ascii="Times New Roman" w:eastAsia="Times New Roman" w:hAnsi="Times New Roman" w:cs="Times New Roman"/>
          <w:noProof/>
          <w:sz w:val="24"/>
          <w:szCs w:val="24"/>
          <w:lang w:val="en-IE"/>
        </w:rPr>
        <w:t>11</w:t>
      </w:r>
      <w:r w:rsidR="00734602">
        <w:rPr>
          <w:rFonts w:ascii="Times New Roman" w:eastAsia="Times New Roman" w:hAnsi="Times New Roman" w:cs="Times New Roman"/>
          <w:noProof/>
          <w:sz w:val="24"/>
          <w:szCs w:val="24"/>
          <w:lang w:val="en-IE"/>
        </w:rPr>
        <w:t> </w:t>
      </w:r>
      <w:r w:rsidR="00734602" w:rsidRPr="00734602">
        <w:rPr>
          <w:rFonts w:ascii="Times New Roman" w:eastAsia="Times New Roman" w:hAnsi="Times New Roman" w:cs="Times New Roman"/>
          <w:noProof/>
          <w:sz w:val="24"/>
          <w:szCs w:val="24"/>
          <w:lang w:val="en-IE"/>
        </w:rPr>
        <w:t>274</w:t>
      </w:r>
      <w:r w:rsidRPr="00746C2C">
        <w:rPr>
          <w:rFonts w:ascii="Times New Roman" w:eastAsia="Times New Roman" w:hAnsi="Times New Roman" w:cs="Times New Roman"/>
          <w:noProof/>
          <w:sz w:val="24"/>
          <w:szCs w:val="24"/>
          <w:lang w:val="en-IE"/>
        </w:rPr>
        <w:t xml:space="preserve"> new documents were added to RegDoc (see </w:t>
      </w:r>
      <w:r w:rsidR="00944E39" w:rsidRPr="00944E39">
        <w:rPr>
          <w:rFonts w:ascii="Times New Roman" w:eastAsia="Times New Roman" w:hAnsi="Times New Roman" w:cs="Times New Roman"/>
          <w:noProof/>
          <w:sz w:val="24"/>
          <w:szCs w:val="24"/>
          <w:lang w:val="en-IE"/>
        </w:rPr>
        <w:t xml:space="preserve">Table 1 in the </w:t>
      </w:r>
      <w:r w:rsidRPr="00746C2C">
        <w:rPr>
          <w:rFonts w:ascii="Times New Roman" w:eastAsia="Times New Roman" w:hAnsi="Times New Roman" w:cs="Times New Roman"/>
          <w:noProof/>
          <w:sz w:val="24"/>
          <w:szCs w:val="24"/>
          <w:lang w:val="en-IE"/>
        </w:rPr>
        <w:t xml:space="preserve">Annex), in the following categories: </w:t>
      </w:r>
      <w:r w:rsidR="00F31E87" w:rsidRPr="00F31E87">
        <w:rPr>
          <w:rFonts w:ascii="Times New Roman" w:eastAsia="Times New Roman" w:hAnsi="Times New Roman" w:cs="Times New Roman"/>
          <w:noProof/>
          <w:sz w:val="24"/>
          <w:szCs w:val="24"/>
          <w:lang w:val="en-IE"/>
        </w:rPr>
        <w:t xml:space="preserve">C – Commission autonomous acts, including delegated and implementing acts, other types of decisions etc.; COM – Commission proposals, </w:t>
      </w:r>
      <w:r w:rsidR="00F31E87" w:rsidRPr="00F31E87">
        <w:rPr>
          <w:rFonts w:ascii="Times New Roman" w:eastAsia="Times New Roman" w:hAnsi="Times New Roman" w:cs="Times New Roman"/>
          <w:noProof/>
          <w:sz w:val="24"/>
          <w:szCs w:val="24"/>
        </w:rPr>
        <w:t>recommendations</w:t>
      </w:r>
      <w:r w:rsidR="00F31E87" w:rsidRPr="00F31E87">
        <w:rPr>
          <w:rFonts w:ascii="Times New Roman" w:eastAsia="Times New Roman" w:hAnsi="Times New Roman" w:cs="Times New Roman"/>
          <w:noProof/>
          <w:sz w:val="24"/>
          <w:szCs w:val="24"/>
          <w:lang w:val="en-IE"/>
        </w:rPr>
        <w:t>, communications, reports etc.; JOIN – Commission and High Representative Joint Acts; OJ – Agendas of Commission meetings; P – Decisions by the President of the Commission; PV – Minutes of Commission meetings; SEC – Commission documents that cannot be classified in any of the other series; SWD – Commission staff working documents</w:t>
      </w:r>
      <w:r w:rsidRPr="00746C2C">
        <w:rPr>
          <w:rFonts w:ascii="Times New Roman" w:eastAsia="Times New Roman" w:hAnsi="Times New Roman" w:cs="Times New Roman"/>
          <w:noProof/>
          <w:sz w:val="24"/>
          <w:szCs w:val="24"/>
          <w:lang w:val="en-IE"/>
        </w:rPr>
        <w:t>.</w:t>
      </w:r>
    </w:p>
    <w:p w14:paraId="536DB905" w14:textId="0BDA5281" w:rsidR="005E2753" w:rsidRPr="00746C2C" w:rsidRDefault="005E2753" w:rsidP="005E2753">
      <w:pPr>
        <w:spacing w:before="240" w:after="0"/>
        <w:jc w:val="both"/>
        <w:rPr>
          <w:rFonts w:ascii="Times New Roman" w:eastAsia="Times New Roman" w:hAnsi="Times New Roman" w:cs="Times New Roman"/>
          <w:noProof/>
          <w:sz w:val="24"/>
          <w:szCs w:val="24"/>
          <w:lang w:val="en-IE"/>
        </w:rPr>
      </w:pPr>
      <w:r w:rsidRPr="00746C2C">
        <w:rPr>
          <w:rFonts w:ascii="Times New Roman" w:eastAsia="Times New Roman" w:hAnsi="Times New Roman" w:cs="Times New Roman"/>
          <w:noProof/>
          <w:sz w:val="24"/>
          <w:szCs w:val="24"/>
          <w:lang w:val="en-IE"/>
        </w:rPr>
        <w:t>In 202</w:t>
      </w:r>
      <w:r w:rsidR="00734602">
        <w:rPr>
          <w:rFonts w:ascii="Times New Roman" w:eastAsia="Times New Roman" w:hAnsi="Times New Roman" w:cs="Times New Roman"/>
          <w:noProof/>
          <w:sz w:val="24"/>
          <w:szCs w:val="24"/>
          <w:lang w:val="en-IE"/>
        </w:rPr>
        <w:t>5</w:t>
      </w:r>
      <w:r w:rsidRPr="00746C2C">
        <w:rPr>
          <w:rFonts w:ascii="Times New Roman" w:eastAsia="Times New Roman" w:hAnsi="Times New Roman" w:cs="Times New Roman"/>
          <w:noProof/>
          <w:sz w:val="24"/>
          <w:szCs w:val="24"/>
          <w:lang w:val="en-IE"/>
        </w:rPr>
        <w:t xml:space="preserve">, the number of </w:t>
      </w:r>
      <w:r w:rsidR="00C402B3" w:rsidRPr="00746C2C">
        <w:rPr>
          <w:rFonts w:ascii="Times New Roman" w:eastAsia="Times New Roman" w:hAnsi="Times New Roman" w:cs="Times New Roman"/>
          <w:noProof/>
          <w:sz w:val="24"/>
          <w:szCs w:val="24"/>
          <w:lang w:val="en-IE"/>
        </w:rPr>
        <w:t>page views</w:t>
      </w:r>
      <w:r w:rsidRPr="00746C2C">
        <w:rPr>
          <w:rFonts w:ascii="Times New Roman" w:eastAsia="Times New Roman" w:hAnsi="Times New Roman" w:cs="Times New Roman"/>
          <w:noProof/>
          <w:sz w:val="24"/>
          <w:szCs w:val="24"/>
          <w:lang w:val="en-IE"/>
        </w:rPr>
        <w:t xml:space="preserve"> </w:t>
      </w:r>
      <w:r w:rsidR="00C402B3" w:rsidRPr="00746C2C">
        <w:rPr>
          <w:rFonts w:ascii="Times New Roman" w:eastAsia="Times New Roman" w:hAnsi="Times New Roman" w:cs="Times New Roman"/>
          <w:noProof/>
          <w:sz w:val="24"/>
          <w:szCs w:val="24"/>
          <w:lang w:val="en-IE"/>
        </w:rPr>
        <w:t xml:space="preserve">reached </w:t>
      </w:r>
      <w:r w:rsidR="00734602" w:rsidRPr="00734602">
        <w:rPr>
          <w:rFonts w:ascii="Times New Roman" w:eastAsia="Times New Roman" w:hAnsi="Times New Roman" w:cs="Times New Roman"/>
          <w:noProof/>
          <w:sz w:val="24"/>
          <w:szCs w:val="24"/>
          <w:lang w:val="en-IE"/>
        </w:rPr>
        <w:t>16</w:t>
      </w:r>
      <w:r w:rsidR="00734602">
        <w:rPr>
          <w:rFonts w:ascii="Times New Roman" w:eastAsia="Times New Roman" w:hAnsi="Times New Roman" w:cs="Times New Roman"/>
          <w:noProof/>
          <w:sz w:val="24"/>
          <w:szCs w:val="24"/>
          <w:lang w:val="en-IE"/>
        </w:rPr>
        <w:t> </w:t>
      </w:r>
      <w:r w:rsidR="00734602" w:rsidRPr="00734602">
        <w:rPr>
          <w:rFonts w:ascii="Times New Roman" w:eastAsia="Times New Roman" w:hAnsi="Times New Roman" w:cs="Times New Roman"/>
          <w:noProof/>
          <w:sz w:val="24"/>
          <w:szCs w:val="24"/>
          <w:lang w:val="en-IE"/>
        </w:rPr>
        <w:t>159</w:t>
      </w:r>
      <w:r w:rsidR="00734602">
        <w:rPr>
          <w:rFonts w:ascii="Times New Roman" w:eastAsia="Times New Roman" w:hAnsi="Times New Roman" w:cs="Times New Roman"/>
          <w:noProof/>
          <w:sz w:val="24"/>
          <w:szCs w:val="24"/>
          <w:lang w:val="en-IE"/>
        </w:rPr>
        <w:t xml:space="preserve"> </w:t>
      </w:r>
      <w:r w:rsidR="00DC4F5E">
        <w:rPr>
          <w:rFonts w:ascii="Times New Roman" w:eastAsia="Times New Roman" w:hAnsi="Times New Roman" w:cs="Times New Roman"/>
          <w:noProof/>
          <w:sz w:val="24"/>
          <w:szCs w:val="24"/>
          <w:lang w:val="en-IE"/>
        </w:rPr>
        <w:t>for</w:t>
      </w:r>
      <w:r w:rsidRPr="00746C2C">
        <w:rPr>
          <w:rFonts w:ascii="Times New Roman" w:eastAsia="Times New Roman" w:hAnsi="Times New Roman" w:cs="Times New Roman"/>
          <w:noProof/>
          <w:sz w:val="24"/>
          <w:szCs w:val="24"/>
          <w:lang w:val="en-IE"/>
        </w:rPr>
        <w:t xml:space="preserve"> the</w:t>
      </w:r>
      <w:r w:rsidR="00C402B3">
        <w:rPr>
          <w:rFonts w:ascii="Times New Roman" w:eastAsia="Times New Roman" w:hAnsi="Times New Roman" w:cs="Times New Roman"/>
          <w:noProof/>
          <w:sz w:val="24"/>
          <w:szCs w:val="24"/>
          <w:lang w:val="en-IE"/>
        </w:rPr>
        <w:t xml:space="preserve"> </w:t>
      </w:r>
      <w:r w:rsidRPr="00746C2C">
        <w:rPr>
          <w:rFonts w:ascii="Times New Roman" w:eastAsia="Times New Roman" w:hAnsi="Times New Roman" w:cs="Times New Roman"/>
          <w:noProof/>
          <w:sz w:val="24"/>
          <w:szCs w:val="24"/>
          <w:lang w:val="en-IE"/>
        </w:rPr>
        <w:t xml:space="preserve">Access to Documents website on </w:t>
      </w:r>
      <w:r w:rsidRPr="00746C2C">
        <w:rPr>
          <w:rFonts w:ascii="Times New Roman" w:eastAsia="Times New Roman" w:hAnsi="Times New Roman" w:cs="Times New Roman"/>
          <w:i/>
          <w:noProof/>
          <w:sz w:val="24"/>
          <w:szCs w:val="24"/>
          <w:lang w:val="en-IE"/>
        </w:rPr>
        <w:t>Europa</w:t>
      </w:r>
      <w:r w:rsidRPr="00746C2C">
        <w:rPr>
          <w:rFonts w:ascii="Times New Roman" w:eastAsia="Times New Roman" w:hAnsi="Times New Roman" w:cs="Times New Roman"/>
          <w:noProof/>
          <w:sz w:val="24"/>
          <w:szCs w:val="24"/>
          <w:vertAlign w:val="superscript"/>
          <w:lang w:val="en-IE"/>
        </w:rPr>
        <w:footnoteReference w:id="11"/>
      </w:r>
      <w:r w:rsidR="00C402B3">
        <w:rPr>
          <w:rFonts w:ascii="Times New Roman" w:eastAsia="Times New Roman" w:hAnsi="Times New Roman" w:cs="Times New Roman"/>
          <w:noProof/>
          <w:sz w:val="24"/>
          <w:szCs w:val="24"/>
          <w:lang w:val="en-IE"/>
        </w:rPr>
        <w:t xml:space="preserve"> </w:t>
      </w:r>
      <w:r w:rsidR="008B4402">
        <w:rPr>
          <w:rFonts w:ascii="Times New Roman" w:eastAsia="Times New Roman" w:hAnsi="Times New Roman" w:cs="Times New Roman"/>
          <w:noProof/>
          <w:sz w:val="24"/>
          <w:szCs w:val="24"/>
          <w:lang w:val="en-IE"/>
        </w:rPr>
        <w:t xml:space="preserve">and </w:t>
      </w:r>
      <w:r w:rsidR="00C43DBD" w:rsidRPr="00C43DBD">
        <w:rPr>
          <w:rFonts w:ascii="Times New Roman" w:eastAsia="Times New Roman" w:hAnsi="Times New Roman" w:cs="Times New Roman"/>
          <w:noProof/>
          <w:sz w:val="24"/>
          <w:szCs w:val="24"/>
          <w:lang w:val="en-IE"/>
        </w:rPr>
        <w:t>70</w:t>
      </w:r>
      <w:r w:rsidR="00C43DBD">
        <w:rPr>
          <w:rFonts w:ascii="Times New Roman" w:eastAsia="Times New Roman" w:hAnsi="Times New Roman" w:cs="Times New Roman"/>
          <w:noProof/>
          <w:sz w:val="24"/>
          <w:szCs w:val="24"/>
          <w:lang w:val="en-IE"/>
        </w:rPr>
        <w:t> </w:t>
      </w:r>
      <w:r w:rsidR="00C43DBD" w:rsidRPr="00C43DBD">
        <w:rPr>
          <w:rFonts w:ascii="Times New Roman" w:eastAsia="Times New Roman" w:hAnsi="Times New Roman" w:cs="Times New Roman"/>
          <w:noProof/>
          <w:sz w:val="24"/>
          <w:szCs w:val="24"/>
          <w:lang w:val="en-IE"/>
        </w:rPr>
        <w:t>950</w:t>
      </w:r>
      <w:r w:rsidR="008B4402">
        <w:rPr>
          <w:rFonts w:ascii="Times New Roman" w:eastAsia="Times New Roman" w:hAnsi="Times New Roman" w:cs="Times New Roman"/>
          <w:noProof/>
          <w:sz w:val="24"/>
          <w:szCs w:val="24"/>
          <w:lang w:val="en-IE"/>
        </w:rPr>
        <w:t xml:space="preserve"> </w:t>
      </w:r>
      <w:r w:rsidR="00DC4F5E">
        <w:rPr>
          <w:rFonts w:ascii="Times New Roman" w:eastAsia="Times New Roman" w:hAnsi="Times New Roman" w:cs="Times New Roman"/>
          <w:noProof/>
          <w:sz w:val="24"/>
          <w:szCs w:val="24"/>
          <w:lang w:val="en-IE"/>
        </w:rPr>
        <w:t xml:space="preserve">for </w:t>
      </w:r>
      <w:r w:rsidR="008B4402">
        <w:rPr>
          <w:rFonts w:ascii="Times New Roman" w:eastAsia="Times New Roman" w:hAnsi="Times New Roman" w:cs="Times New Roman"/>
          <w:noProof/>
          <w:sz w:val="24"/>
          <w:szCs w:val="24"/>
          <w:lang w:val="en-IE"/>
        </w:rPr>
        <w:t>RegDoc</w:t>
      </w:r>
      <w:r w:rsidR="008B4402">
        <w:rPr>
          <w:rStyle w:val="FootnoteReference"/>
          <w:rFonts w:ascii="Times New Roman" w:hAnsi="Times New Roman"/>
          <w:noProof/>
          <w:sz w:val="24"/>
          <w:szCs w:val="24"/>
          <w:lang w:val="en-IE" w:eastAsia="en-GB"/>
        </w:rPr>
        <w:footnoteReference w:id="12"/>
      </w:r>
      <w:bookmarkStart w:id="6" w:name="_Toc480274553"/>
      <w:bookmarkStart w:id="7" w:name="_Toc8824306"/>
      <w:r w:rsidR="008A5A3E">
        <w:rPr>
          <w:rFonts w:ascii="Times New Roman" w:eastAsia="Times New Roman" w:hAnsi="Times New Roman" w:cs="Times New Roman"/>
          <w:noProof/>
          <w:sz w:val="24"/>
          <w:szCs w:val="24"/>
          <w:lang w:val="en-IE"/>
        </w:rPr>
        <w:t>.</w:t>
      </w:r>
    </w:p>
    <w:p w14:paraId="335FD03B" w14:textId="7BFCA6E6" w:rsidR="005E2753" w:rsidRPr="00746C2C" w:rsidRDefault="005E2753" w:rsidP="005E2753">
      <w:pPr>
        <w:pStyle w:val="Heading1"/>
        <w:spacing w:before="240" w:after="0"/>
        <w:ind w:left="851" w:hanging="851"/>
        <w:rPr>
          <w:noProof/>
          <w:lang w:val="en-IE"/>
        </w:rPr>
      </w:pPr>
      <w:bookmarkStart w:id="8" w:name="_Toc223714985"/>
      <w:r w:rsidRPr="00746C2C">
        <w:rPr>
          <w:noProof/>
          <w:lang w:val="en-IE"/>
        </w:rPr>
        <w:t>Analysis of applications for access to documents</w:t>
      </w:r>
      <w:bookmarkEnd w:id="8"/>
    </w:p>
    <w:p w14:paraId="7DC448FD" w14:textId="710A4B9B" w:rsidR="005E2753" w:rsidRPr="00746C2C" w:rsidRDefault="008D60F1" w:rsidP="003049A9">
      <w:pPr>
        <w:pStyle w:val="Heading2"/>
        <w:numPr>
          <w:ilvl w:val="1"/>
          <w:numId w:val="2"/>
        </w:numPr>
        <w:spacing w:before="240" w:after="0"/>
        <w:ind w:left="851" w:hanging="624"/>
        <w:rPr>
          <w:b w:val="0"/>
          <w:noProof/>
          <w:lang w:val="en-IE"/>
        </w:rPr>
      </w:pPr>
      <w:bookmarkStart w:id="9" w:name="_Toc8824307"/>
      <w:bookmarkStart w:id="10" w:name="_Toc223714986"/>
      <w:bookmarkEnd w:id="6"/>
      <w:bookmarkEnd w:id="7"/>
      <w:r w:rsidRPr="00746C2C">
        <w:rPr>
          <w:b w:val="0"/>
          <w:noProof/>
          <w:lang w:val="en-IE"/>
        </w:rPr>
        <w:t>N</w:t>
      </w:r>
      <w:r w:rsidR="005E2753" w:rsidRPr="00746C2C">
        <w:rPr>
          <w:b w:val="0"/>
          <w:noProof/>
          <w:lang w:val="en-IE"/>
        </w:rPr>
        <w:t>umber of applications</w:t>
      </w:r>
      <w:bookmarkEnd w:id="9"/>
      <w:r w:rsidR="000B3482" w:rsidRPr="00746C2C">
        <w:rPr>
          <w:rStyle w:val="FootnoteReference"/>
          <w:b w:val="0"/>
          <w:noProof/>
          <w:lang w:val="en-IE"/>
        </w:rPr>
        <w:footnoteReference w:id="13"/>
      </w:r>
      <w:r w:rsidR="005E2753" w:rsidRPr="00746C2C">
        <w:rPr>
          <w:noProof/>
          <w:lang w:val="en-IE"/>
        </w:rPr>
        <w:t xml:space="preserve"> </w:t>
      </w:r>
      <w:r w:rsidR="005E2753" w:rsidRPr="00746C2C">
        <w:rPr>
          <w:b w:val="0"/>
          <w:noProof/>
          <w:lang w:val="en-IE"/>
        </w:rPr>
        <w:t>(Annex – Tables 3 and 4)</w:t>
      </w:r>
      <w:bookmarkEnd w:id="10"/>
      <w:r w:rsidR="005E2753" w:rsidRPr="00746C2C">
        <w:rPr>
          <w:rStyle w:val="CommentReference"/>
          <w:b w:val="0"/>
          <w:bCs w:val="0"/>
          <w:iCs w:val="0"/>
          <w:noProof/>
          <w:szCs w:val="20"/>
          <w:lang w:val="en-IE" w:eastAsia="de-DE"/>
        </w:rPr>
        <w:t xml:space="preserve"> </w:t>
      </w:r>
    </w:p>
    <w:p w14:paraId="2579D52B" w14:textId="49CAAA6D" w:rsidR="00742A2A" w:rsidRDefault="008A5A3E" w:rsidP="00201164">
      <w:pPr>
        <w:tabs>
          <w:tab w:val="left" w:pos="8460"/>
        </w:tabs>
        <w:spacing w:before="240" w:after="0"/>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As </w:t>
      </w:r>
      <w:r w:rsidR="00EA585F">
        <w:rPr>
          <w:rFonts w:ascii="Times New Roman" w:eastAsia="Times New Roman" w:hAnsi="Times New Roman" w:cs="Times New Roman"/>
          <w:noProof/>
          <w:sz w:val="24"/>
          <w:szCs w:val="24"/>
          <w:lang w:val="en-IE"/>
        </w:rPr>
        <w:t>stated</w:t>
      </w:r>
      <w:r>
        <w:rPr>
          <w:rFonts w:ascii="Times New Roman" w:eastAsia="Times New Roman" w:hAnsi="Times New Roman" w:cs="Times New Roman"/>
          <w:noProof/>
          <w:sz w:val="24"/>
          <w:szCs w:val="24"/>
          <w:lang w:val="en-IE"/>
        </w:rPr>
        <w:t xml:space="preserve"> above,</w:t>
      </w:r>
      <w:r w:rsidR="005E2753" w:rsidRPr="00746C2C">
        <w:rPr>
          <w:rFonts w:ascii="Times New Roman" w:eastAsia="Times New Roman" w:hAnsi="Times New Roman" w:cs="Times New Roman"/>
          <w:noProof/>
          <w:sz w:val="24"/>
          <w:szCs w:val="24"/>
          <w:lang w:val="en-IE"/>
        </w:rPr>
        <w:t xml:space="preserve"> </w:t>
      </w:r>
      <w:r w:rsidR="00CA15E3" w:rsidRPr="00CA15E3">
        <w:rPr>
          <w:rFonts w:ascii="Times New Roman" w:eastAsia="Times New Roman" w:hAnsi="Times New Roman" w:cs="Times New Roman"/>
          <w:noProof/>
          <w:sz w:val="24"/>
          <w:szCs w:val="24"/>
          <w:lang w:val="en-IE"/>
        </w:rPr>
        <w:t>6</w:t>
      </w:r>
      <w:r w:rsidR="00CA15E3">
        <w:rPr>
          <w:rFonts w:ascii="Times New Roman" w:eastAsia="Times New Roman" w:hAnsi="Times New Roman" w:cs="Times New Roman"/>
          <w:noProof/>
          <w:sz w:val="24"/>
          <w:szCs w:val="24"/>
          <w:lang w:val="en-IE"/>
        </w:rPr>
        <w:t> </w:t>
      </w:r>
      <w:r w:rsidR="00CA15E3" w:rsidRPr="00CA15E3">
        <w:rPr>
          <w:rFonts w:ascii="Times New Roman" w:eastAsia="Times New Roman" w:hAnsi="Times New Roman" w:cs="Times New Roman"/>
          <w:noProof/>
          <w:sz w:val="24"/>
          <w:szCs w:val="24"/>
          <w:lang w:val="en-IE"/>
        </w:rPr>
        <w:t>434</w:t>
      </w:r>
      <w:r w:rsidR="00CA15E3">
        <w:rPr>
          <w:rFonts w:ascii="Times New Roman" w:eastAsia="Times New Roman" w:hAnsi="Times New Roman" w:cs="Times New Roman"/>
          <w:noProof/>
          <w:sz w:val="24"/>
          <w:szCs w:val="24"/>
          <w:lang w:val="en-IE"/>
        </w:rPr>
        <w:t xml:space="preserve"> </w:t>
      </w:r>
      <w:r w:rsidR="00254DC1">
        <w:rPr>
          <w:rFonts w:ascii="Times New Roman" w:eastAsia="Times New Roman" w:hAnsi="Times New Roman" w:cs="Times New Roman"/>
          <w:noProof/>
          <w:sz w:val="24"/>
          <w:szCs w:val="24"/>
          <w:lang w:val="en-IE"/>
        </w:rPr>
        <w:t xml:space="preserve">initial applications were made to access documents </w:t>
      </w:r>
      <w:r>
        <w:rPr>
          <w:rFonts w:ascii="Times New Roman" w:eastAsia="Times New Roman" w:hAnsi="Times New Roman" w:cs="Times New Roman"/>
          <w:noProof/>
          <w:sz w:val="24"/>
          <w:szCs w:val="24"/>
          <w:lang w:val="en-IE"/>
        </w:rPr>
        <w:t>in</w:t>
      </w:r>
      <w:r w:rsidRPr="00746C2C">
        <w:rPr>
          <w:rFonts w:ascii="Times New Roman" w:eastAsia="Times New Roman" w:hAnsi="Times New Roman" w:cs="Times New Roman"/>
          <w:noProof/>
          <w:sz w:val="24"/>
          <w:szCs w:val="24"/>
          <w:lang w:val="en-IE"/>
        </w:rPr>
        <w:t xml:space="preserve"> 202</w:t>
      </w:r>
      <w:r w:rsidR="00CA15E3">
        <w:rPr>
          <w:rFonts w:ascii="Times New Roman" w:eastAsia="Times New Roman" w:hAnsi="Times New Roman" w:cs="Times New Roman"/>
          <w:noProof/>
          <w:sz w:val="24"/>
          <w:szCs w:val="24"/>
          <w:lang w:val="en-IE"/>
        </w:rPr>
        <w:t>5</w:t>
      </w:r>
      <w:r w:rsidR="005E2753" w:rsidRPr="00746C2C">
        <w:rPr>
          <w:rFonts w:ascii="Times New Roman" w:eastAsia="Times New Roman" w:hAnsi="Times New Roman" w:cs="Times New Roman"/>
          <w:noProof/>
          <w:sz w:val="24"/>
          <w:szCs w:val="24"/>
          <w:lang w:val="en-IE"/>
        </w:rPr>
        <w:t xml:space="preserve">. The Commission </w:t>
      </w:r>
      <w:r w:rsidR="00EA585F">
        <w:rPr>
          <w:rFonts w:ascii="Times New Roman" w:eastAsia="Times New Roman" w:hAnsi="Times New Roman" w:cs="Times New Roman"/>
          <w:noProof/>
          <w:sz w:val="24"/>
          <w:szCs w:val="24"/>
          <w:lang w:val="en-IE"/>
        </w:rPr>
        <w:t xml:space="preserve">provided </w:t>
      </w:r>
      <w:r w:rsidR="00CA15E3" w:rsidRPr="00CA15E3">
        <w:rPr>
          <w:rFonts w:ascii="Times New Roman" w:eastAsia="Times New Roman" w:hAnsi="Times New Roman" w:cs="Times New Roman"/>
          <w:noProof/>
          <w:sz w:val="24"/>
          <w:szCs w:val="24"/>
          <w:lang w:val="en-IE"/>
        </w:rPr>
        <w:t>4</w:t>
      </w:r>
      <w:r w:rsidR="00CA15E3">
        <w:rPr>
          <w:rFonts w:ascii="Times New Roman" w:eastAsia="Times New Roman" w:hAnsi="Times New Roman" w:cs="Times New Roman"/>
          <w:noProof/>
          <w:sz w:val="24"/>
          <w:szCs w:val="24"/>
          <w:lang w:val="en-IE"/>
        </w:rPr>
        <w:t> </w:t>
      </w:r>
      <w:r w:rsidR="00CA15E3" w:rsidRPr="00CA15E3">
        <w:rPr>
          <w:rFonts w:ascii="Times New Roman" w:eastAsia="Times New Roman" w:hAnsi="Times New Roman" w:cs="Times New Roman"/>
          <w:noProof/>
          <w:sz w:val="24"/>
          <w:szCs w:val="24"/>
          <w:lang w:val="en-IE"/>
        </w:rPr>
        <w:t>471</w:t>
      </w:r>
      <w:r w:rsidR="005E2753" w:rsidRPr="00746C2C">
        <w:rPr>
          <w:rFonts w:ascii="Times New Roman" w:eastAsia="Times New Roman" w:hAnsi="Times New Roman" w:cs="Times New Roman"/>
          <w:noProof/>
          <w:sz w:val="24"/>
          <w:szCs w:val="24"/>
          <w:lang w:val="en-IE"/>
        </w:rPr>
        <w:t xml:space="preserve"> replies under Regulation (EC) No 1049/2001 and </w:t>
      </w:r>
      <w:r w:rsidR="00CA15E3" w:rsidRPr="00CA15E3">
        <w:rPr>
          <w:rFonts w:ascii="Times New Roman" w:eastAsia="Times New Roman" w:hAnsi="Times New Roman" w:cs="Times New Roman"/>
          <w:noProof/>
          <w:sz w:val="24"/>
          <w:szCs w:val="24"/>
          <w:lang w:val="en-IE"/>
        </w:rPr>
        <w:t>6</w:t>
      </w:r>
      <w:r w:rsidR="00CA15E3">
        <w:rPr>
          <w:rFonts w:ascii="Times New Roman" w:eastAsia="Times New Roman" w:hAnsi="Times New Roman" w:cs="Times New Roman"/>
          <w:noProof/>
          <w:sz w:val="24"/>
          <w:szCs w:val="24"/>
          <w:lang w:val="en-IE"/>
        </w:rPr>
        <w:t> </w:t>
      </w:r>
      <w:r w:rsidR="00CA15E3" w:rsidRPr="00CA15E3">
        <w:rPr>
          <w:rFonts w:ascii="Times New Roman" w:eastAsia="Times New Roman" w:hAnsi="Times New Roman" w:cs="Times New Roman"/>
          <w:noProof/>
          <w:sz w:val="24"/>
          <w:szCs w:val="24"/>
          <w:lang w:val="en-IE"/>
        </w:rPr>
        <w:t>408</w:t>
      </w:r>
      <w:r w:rsidR="00CA15E3">
        <w:rPr>
          <w:rFonts w:ascii="Times New Roman" w:eastAsia="Times New Roman" w:hAnsi="Times New Roman" w:cs="Times New Roman"/>
          <w:noProof/>
          <w:sz w:val="24"/>
          <w:szCs w:val="24"/>
          <w:lang w:val="en-IE"/>
        </w:rPr>
        <w:t xml:space="preserve"> </w:t>
      </w:r>
      <w:r w:rsidR="005E2753" w:rsidRPr="00746C2C">
        <w:rPr>
          <w:rFonts w:ascii="Times New Roman" w:eastAsia="Times New Roman" w:hAnsi="Times New Roman" w:cs="Times New Roman"/>
          <w:noProof/>
          <w:sz w:val="24"/>
          <w:szCs w:val="24"/>
          <w:lang w:val="en-IE"/>
        </w:rPr>
        <w:t>replies in total.</w:t>
      </w:r>
      <w:r w:rsidR="000A2274">
        <w:rPr>
          <w:rFonts w:ascii="Times New Roman" w:eastAsia="Times New Roman" w:hAnsi="Times New Roman" w:cs="Times New Roman"/>
          <w:noProof/>
          <w:sz w:val="24"/>
          <w:szCs w:val="24"/>
          <w:lang w:val="en-IE"/>
        </w:rPr>
        <w:t xml:space="preserve"> </w:t>
      </w:r>
      <w:r w:rsidR="000A2274" w:rsidRPr="000A2274">
        <w:rPr>
          <w:rFonts w:ascii="Times New Roman" w:eastAsia="Times New Roman" w:hAnsi="Times New Roman" w:cs="Times New Roman"/>
          <w:noProof/>
          <w:sz w:val="24"/>
          <w:szCs w:val="24"/>
          <w:lang w:val="en-IE"/>
        </w:rPr>
        <w:t>A single</w:t>
      </w:r>
      <w:r w:rsidR="0078789F">
        <w:rPr>
          <w:rFonts w:ascii="Times New Roman" w:eastAsia="Times New Roman" w:hAnsi="Times New Roman" w:cs="Times New Roman"/>
          <w:noProof/>
          <w:sz w:val="24"/>
          <w:szCs w:val="24"/>
          <w:lang w:val="en-IE"/>
        </w:rPr>
        <w:t xml:space="preserve"> </w:t>
      </w:r>
      <w:r w:rsidR="000A2274" w:rsidRPr="000A2274">
        <w:rPr>
          <w:rFonts w:ascii="Times New Roman" w:eastAsia="Times New Roman" w:hAnsi="Times New Roman" w:cs="Times New Roman"/>
          <w:noProof/>
          <w:sz w:val="24"/>
          <w:szCs w:val="24"/>
          <w:lang w:val="en-IE"/>
        </w:rPr>
        <w:t xml:space="preserve">request can concern several documents held by different Commission departments and can consequently give rise to several different replies. Conversely, several requests can sometimes be grouped together, giving rise to a single reply. The number of </w:t>
      </w:r>
      <w:r w:rsidR="0078789F">
        <w:rPr>
          <w:rFonts w:ascii="Times New Roman" w:eastAsia="Times New Roman" w:hAnsi="Times New Roman" w:cs="Times New Roman"/>
          <w:noProof/>
          <w:sz w:val="24"/>
          <w:szCs w:val="24"/>
          <w:lang w:val="en-IE"/>
        </w:rPr>
        <w:t xml:space="preserve">other </w:t>
      </w:r>
      <w:r w:rsidR="000A2274" w:rsidRPr="000A2274">
        <w:rPr>
          <w:rFonts w:ascii="Times New Roman" w:eastAsia="Times New Roman" w:hAnsi="Times New Roman" w:cs="Times New Roman"/>
          <w:noProof/>
          <w:sz w:val="24"/>
          <w:szCs w:val="24"/>
          <w:lang w:val="en-IE"/>
        </w:rPr>
        <w:t xml:space="preserve">replies </w:t>
      </w:r>
      <w:r w:rsidR="0078789F">
        <w:rPr>
          <w:rFonts w:ascii="Times New Roman" w:eastAsia="Times New Roman" w:hAnsi="Times New Roman" w:cs="Times New Roman"/>
          <w:noProof/>
          <w:sz w:val="24"/>
          <w:szCs w:val="24"/>
          <w:lang w:val="en-IE"/>
        </w:rPr>
        <w:t>refers</w:t>
      </w:r>
      <w:r w:rsidR="000A2274" w:rsidRPr="000A2274">
        <w:rPr>
          <w:rFonts w:ascii="Times New Roman" w:eastAsia="Times New Roman" w:hAnsi="Times New Roman" w:cs="Times New Roman"/>
          <w:noProof/>
          <w:sz w:val="24"/>
          <w:szCs w:val="24"/>
          <w:lang w:val="en-IE"/>
        </w:rPr>
        <w:t xml:space="preserve"> to replies given under different legal frameworks (due to the contents of the application or status of the applicant, etc.) or closures following an applicant’s failure to provide the clarification asked of them or to fulfil procedural requirements.</w:t>
      </w:r>
    </w:p>
    <w:p w14:paraId="7641E32D" w14:textId="1D8C36E5" w:rsidR="000215A2" w:rsidRDefault="000215A2" w:rsidP="00742A2A">
      <w:pPr>
        <w:spacing w:before="240" w:after="0"/>
        <w:jc w:val="center"/>
        <w:rPr>
          <w:rFonts w:ascii="Times New Roman" w:eastAsia="Times New Roman" w:hAnsi="Times New Roman" w:cs="Times New Roman"/>
          <w:noProof/>
          <w:sz w:val="24"/>
          <w:szCs w:val="24"/>
          <w:lang w:val="en-IE"/>
        </w:rPr>
      </w:pPr>
      <w:r>
        <w:rPr>
          <w:noProof/>
          <w:lang w:eastAsia="en-GB"/>
        </w:rPr>
        <w:drawing>
          <wp:inline distT="0" distB="0" distL="0" distR="0" wp14:anchorId="2722A6CA" wp14:editId="776564AD">
            <wp:extent cx="5319423" cy="3083935"/>
            <wp:effectExtent l="0" t="0" r="0" b="2540"/>
            <wp:docPr id="2073209479" name="Chart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459CE0" w14:textId="5623B963" w:rsidR="005A4D3E" w:rsidRDefault="00254DC1" w:rsidP="000A2274">
      <w:pPr>
        <w:spacing w:before="240" w:after="0"/>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There were </w:t>
      </w:r>
      <w:r w:rsidR="00AB4A02" w:rsidRPr="00AB4A02">
        <w:rPr>
          <w:rFonts w:ascii="Times New Roman" w:eastAsia="Times New Roman" w:hAnsi="Times New Roman" w:cs="Times New Roman"/>
          <w:noProof/>
          <w:sz w:val="24"/>
          <w:szCs w:val="24"/>
          <w:lang w:val="en-IE"/>
        </w:rPr>
        <w:t>697</w:t>
      </w:r>
      <w:r w:rsidR="005E2753" w:rsidRPr="00746C2C">
        <w:rPr>
          <w:rFonts w:ascii="Times New Roman" w:eastAsia="Times New Roman" w:hAnsi="Times New Roman" w:cs="Times New Roman"/>
          <w:noProof/>
          <w:sz w:val="24"/>
          <w:szCs w:val="24"/>
          <w:lang w:val="en-IE"/>
        </w:rPr>
        <w:t xml:space="preserve"> confirmatory applications in 202</w:t>
      </w:r>
      <w:r w:rsidR="00AB4A02">
        <w:rPr>
          <w:rFonts w:ascii="Times New Roman" w:eastAsia="Times New Roman" w:hAnsi="Times New Roman" w:cs="Times New Roman"/>
          <w:noProof/>
          <w:sz w:val="24"/>
          <w:szCs w:val="24"/>
          <w:lang w:val="en-IE"/>
        </w:rPr>
        <w:t>5</w:t>
      </w:r>
      <w:r w:rsidR="005E2753" w:rsidRPr="00746C2C">
        <w:rPr>
          <w:rFonts w:ascii="Times New Roman" w:eastAsia="Times New Roman" w:hAnsi="Times New Roman" w:cs="Times New Roman"/>
          <w:noProof/>
          <w:sz w:val="24"/>
          <w:szCs w:val="24"/>
          <w:lang w:val="en-IE"/>
        </w:rPr>
        <w:t>.</w:t>
      </w:r>
      <w:r w:rsidR="00DD30FA" w:rsidRPr="00746C2C">
        <w:rPr>
          <w:rFonts w:ascii="Times New Roman" w:eastAsia="Times New Roman" w:hAnsi="Times New Roman" w:cs="Times New Roman"/>
          <w:noProof/>
          <w:sz w:val="24"/>
          <w:szCs w:val="24"/>
          <w:lang w:val="en-IE"/>
        </w:rPr>
        <w:t xml:space="preserve"> The Commission </w:t>
      </w:r>
      <w:r w:rsidR="00EA585F">
        <w:rPr>
          <w:rFonts w:ascii="Times New Roman" w:eastAsia="Times New Roman" w:hAnsi="Times New Roman" w:cs="Times New Roman"/>
          <w:noProof/>
          <w:sz w:val="24"/>
          <w:szCs w:val="24"/>
          <w:lang w:val="en-IE"/>
        </w:rPr>
        <w:t>provided</w:t>
      </w:r>
      <w:r w:rsidR="00EA585F" w:rsidRPr="00746C2C">
        <w:rPr>
          <w:rFonts w:ascii="Times New Roman" w:eastAsia="Times New Roman" w:hAnsi="Times New Roman" w:cs="Times New Roman"/>
          <w:noProof/>
          <w:sz w:val="24"/>
          <w:szCs w:val="24"/>
          <w:lang w:val="en-IE"/>
        </w:rPr>
        <w:t xml:space="preserve"> </w:t>
      </w:r>
      <w:r w:rsidR="00AB4A02" w:rsidRPr="00AB4A02">
        <w:rPr>
          <w:rFonts w:ascii="Times New Roman" w:eastAsia="Times New Roman" w:hAnsi="Times New Roman" w:cs="Times New Roman"/>
          <w:noProof/>
          <w:sz w:val="24"/>
          <w:szCs w:val="24"/>
          <w:lang w:val="en-IE"/>
        </w:rPr>
        <w:t>384</w:t>
      </w:r>
      <w:r w:rsidR="00DD30FA" w:rsidRPr="00746C2C">
        <w:rPr>
          <w:rFonts w:ascii="Times New Roman" w:eastAsia="Times New Roman" w:hAnsi="Times New Roman" w:cs="Times New Roman"/>
          <w:noProof/>
          <w:sz w:val="24"/>
          <w:szCs w:val="24"/>
          <w:lang w:val="en-IE"/>
        </w:rPr>
        <w:t xml:space="preserve"> replies under Regulation (EC) No 1049/2001 and </w:t>
      </w:r>
      <w:r w:rsidR="00AB4A02" w:rsidRPr="00AB4A02">
        <w:rPr>
          <w:rFonts w:ascii="Times New Roman" w:eastAsia="Times New Roman" w:hAnsi="Times New Roman" w:cs="Times New Roman"/>
          <w:noProof/>
          <w:sz w:val="24"/>
          <w:szCs w:val="24"/>
          <w:lang w:val="en-IE"/>
        </w:rPr>
        <w:t>681</w:t>
      </w:r>
      <w:r w:rsidR="00DD30FA" w:rsidRPr="00746C2C">
        <w:rPr>
          <w:rFonts w:ascii="Times New Roman" w:eastAsia="Times New Roman" w:hAnsi="Times New Roman" w:cs="Times New Roman"/>
          <w:noProof/>
          <w:sz w:val="24"/>
          <w:szCs w:val="24"/>
          <w:lang w:val="en-IE"/>
        </w:rPr>
        <w:t xml:space="preserve"> replies in tota</w:t>
      </w:r>
      <w:r w:rsidR="00816CCB">
        <w:rPr>
          <w:rFonts w:ascii="Times New Roman" w:eastAsia="Times New Roman" w:hAnsi="Times New Roman" w:cs="Times New Roman"/>
          <w:noProof/>
          <w:sz w:val="24"/>
          <w:szCs w:val="24"/>
          <w:lang w:val="en-IE"/>
        </w:rPr>
        <w:t>l</w:t>
      </w:r>
      <w:r w:rsidR="00DD30FA" w:rsidRPr="00746C2C">
        <w:rPr>
          <w:rFonts w:ascii="Times New Roman" w:eastAsia="Times New Roman" w:hAnsi="Times New Roman" w:cs="Times New Roman"/>
          <w:noProof/>
          <w:sz w:val="24"/>
          <w:szCs w:val="24"/>
          <w:lang w:val="en-IE"/>
        </w:rPr>
        <w:t>.</w:t>
      </w:r>
    </w:p>
    <w:p w14:paraId="02CFDB0B" w14:textId="5EBDB238" w:rsidR="000215A2" w:rsidRPr="00746C2C" w:rsidRDefault="000215A2" w:rsidP="00162A37">
      <w:pPr>
        <w:spacing w:before="240" w:after="0"/>
        <w:jc w:val="center"/>
        <w:rPr>
          <w:rFonts w:ascii="Times New Roman" w:eastAsia="Times New Roman" w:hAnsi="Times New Roman" w:cs="Times New Roman"/>
          <w:noProof/>
          <w:sz w:val="24"/>
          <w:szCs w:val="24"/>
          <w:lang w:val="en-IE"/>
        </w:rPr>
      </w:pPr>
      <w:r>
        <w:rPr>
          <w:noProof/>
          <w:lang w:eastAsia="en-GB"/>
        </w:rPr>
        <w:drawing>
          <wp:inline distT="0" distB="0" distL="0" distR="0" wp14:anchorId="2E6AF020" wp14:editId="578AD709">
            <wp:extent cx="5284498" cy="3073351"/>
            <wp:effectExtent l="0" t="0" r="0" b="0"/>
            <wp:docPr id="995931921" name="Chart 1">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2477045" w14:textId="6E6417A9" w:rsidR="005E2753" w:rsidRPr="00746C2C" w:rsidRDefault="00254DC1" w:rsidP="003049A9">
      <w:pPr>
        <w:pStyle w:val="Heading2"/>
        <w:numPr>
          <w:ilvl w:val="1"/>
          <w:numId w:val="2"/>
        </w:numPr>
        <w:spacing w:before="240" w:after="0"/>
        <w:ind w:left="851" w:hanging="624"/>
        <w:rPr>
          <w:noProof/>
          <w:color w:val="000066"/>
          <w:lang w:val="en-IE" w:eastAsia="en-GB"/>
        </w:rPr>
      </w:pPr>
      <w:bookmarkStart w:id="11" w:name="_Toc8824308"/>
      <w:bookmarkStart w:id="12" w:name="_Toc223714987"/>
      <w:r>
        <w:rPr>
          <w:b w:val="0"/>
          <w:noProof/>
          <w:lang w:val="en-IE"/>
        </w:rPr>
        <w:t>A</w:t>
      </w:r>
      <w:r w:rsidR="005E2753" w:rsidRPr="00746C2C">
        <w:rPr>
          <w:b w:val="0"/>
          <w:noProof/>
          <w:lang w:val="en-IE"/>
        </w:rPr>
        <w:t xml:space="preserve">pplications </w:t>
      </w:r>
      <w:r w:rsidR="00903996">
        <w:rPr>
          <w:b w:val="0"/>
          <w:noProof/>
          <w:lang w:val="en-IE"/>
        </w:rPr>
        <w:t xml:space="preserve">received </w:t>
      </w:r>
      <w:r>
        <w:rPr>
          <w:b w:val="0"/>
          <w:noProof/>
          <w:lang w:val="en-IE"/>
        </w:rPr>
        <w:t>by</w:t>
      </w:r>
      <w:r w:rsidR="005E2753" w:rsidRPr="00746C2C">
        <w:rPr>
          <w:b w:val="0"/>
          <w:noProof/>
          <w:lang w:val="en-IE"/>
        </w:rPr>
        <w:t xml:space="preserve"> </w:t>
      </w:r>
      <w:r w:rsidR="00903996">
        <w:rPr>
          <w:b w:val="0"/>
          <w:noProof/>
          <w:lang w:val="en-IE"/>
        </w:rPr>
        <w:t>Directorate-General or Service</w:t>
      </w:r>
      <w:r w:rsidR="008D60F1" w:rsidRPr="00746C2C">
        <w:rPr>
          <w:b w:val="0"/>
          <w:noProof/>
          <w:lang w:val="en-IE"/>
        </w:rPr>
        <w:t xml:space="preserve"> </w:t>
      </w:r>
      <w:r w:rsidR="005E2753" w:rsidRPr="00746C2C">
        <w:rPr>
          <w:b w:val="0"/>
          <w:noProof/>
          <w:lang w:val="en-IE"/>
        </w:rPr>
        <w:t>(Annex – Table 5)</w:t>
      </w:r>
      <w:bookmarkEnd w:id="11"/>
      <w:r w:rsidR="005E2753" w:rsidRPr="00746C2C">
        <w:rPr>
          <w:rStyle w:val="FootnoteReference"/>
          <w:b w:val="0"/>
          <w:noProof/>
          <w:lang w:val="en-IE"/>
        </w:rPr>
        <w:footnoteReference w:id="14"/>
      </w:r>
      <w:bookmarkEnd w:id="12"/>
    </w:p>
    <w:p w14:paraId="0133853B" w14:textId="5DE83587" w:rsidR="000A7102" w:rsidRDefault="005E2753" w:rsidP="00DF45F0">
      <w:pPr>
        <w:spacing w:before="240" w:after="0"/>
        <w:jc w:val="both"/>
        <w:rPr>
          <w:rFonts w:ascii="Times New Roman" w:eastAsia="Times New Roman" w:hAnsi="Times New Roman" w:cs="Times New Roman"/>
          <w:noProof/>
          <w:sz w:val="24"/>
          <w:szCs w:val="24"/>
          <w:lang w:val="en-IE"/>
        </w:rPr>
      </w:pPr>
      <w:r w:rsidRPr="00746C2C">
        <w:rPr>
          <w:rFonts w:ascii="Times New Roman" w:eastAsia="Times New Roman" w:hAnsi="Times New Roman" w:cs="Times New Roman"/>
          <w:noProof/>
          <w:sz w:val="24"/>
          <w:szCs w:val="24"/>
          <w:lang w:val="en-IE"/>
        </w:rPr>
        <w:t>In 202</w:t>
      </w:r>
      <w:r w:rsidR="00DF45F0">
        <w:rPr>
          <w:rFonts w:ascii="Times New Roman" w:eastAsia="Times New Roman" w:hAnsi="Times New Roman" w:cs="Times New Roman"/>
          <w:noProof/>
          <w:sz w:val="24"/>
          <w:szCs w:val="24"/>
          <w:lang w:val="en-IE"/>
        </w:rPr>
        <w:t>5</w:t>
      </w:r>
      <w:r w:rsidRPr="00746C2C">
        <w:rPr>
          <w:rFonts w:ascii="Times New Roman" w:eastAsia="Times New Roman" w:hAnsi="Times New Roman" w:cs="Times New Roman"/>
          <w:noProof/>
          <w:sz w:val="24"/>
          <w:szCs w:val="24"/>
          <w:lang w:val="en-IE"/>
        </w:rPr>
        <w:t>,</w:t>
      </w:r>
      <w:r w:rsidR="00DF45F0">
        <w:rPr>
          <w:rFonts w:ascii="Times New Roman" w:eastAsia="Times New Roman" w:hAnsi="Times New Roman" w:cs="Times New Roman"/>
          <w:noProof/>
          <w:sz w:val="24"/>
          <w:szCs w:val="24"/>
          <w:lang w:val="en-IE"/>
        </w:rPr>
        <w:t xml:space="preserve"> the </w:t>
      </w:r>
      <w:r w:rsidR="00DF45F0" w:rsidRPr="00DF45F0">
        <w:rPr>
          <w:rFonts w:ascii="Times New Roman" w:eastAsia="Times New Roman" w:hAnsi="Times New Roman" w:cs="Times New Roman"/>
          <w:noProof/>
          <w:sz w:val="24"/>
          <w:szCs w:val="24"/>
          <w:lang w:val="en-IE"/>
        </w:rPr>
        <w:t>Directorate-General for Internal Market, Industry, Entrepreneurship and SMEs</w:t>
      </w:r>
      <w:r w:rsidR="00DF45F0">
        <w:rPr>
          <w:rFonts w:ascii="Times New Roman" w:eastAsia="Times New Roman" w:hAnsi="Times New Roman" w:cs="Times New Roman"/>
          <w:noProof/>
          <w:sz w:val="24"/>
          <w:szCs w:val="24"/>
          <w:lang w:val="en-IE"/>
        </w:rPr>
        <w:t xml:space="preserve"> </w:t>
      </w:r>
      <w:r w:rsidR="00DF45F0" w:rsidRPr="00DF45F0">
        <w:rPr>
          <w:rFonts w:ascii="Times New Roman" w:eastAsia="Times New Roman" w:hAnsi="Times New Roman" w:cs="Times New Roman"/>
          <w:noProof/>
          <w:sz w:val="24"/>
          <w:szCs w:val="24"/>
          <w:lang w:val="en-IE"/>
        </w:rPr>
        <w:t>received the highest proportion of initial applications (1</w:t>
      </w:r>
      <w:r w:rsidR="00DF45F0">
        <w:rPr>
          <w:rFonts w:ascii="Times New Roman" w:eastAsia="Times New Roman" w:hAnsi="Times New Roman" w:cs="Times New Roman"/>
          <w:noProof/>
          <w:sz w:val="24"/>
          <w:szCs w:val="24"/>
          <w:lang w:val="en-IE"/>
        </w:rPr>
        <w:t>4</w:t>
      </w:r>
      <w:r w:rsidR="00DF45F0" w:rsidRPr="00DF45F0">
        <w:rPr>
          <w:rFonts w:ascii="Times New Roman" w:eastAsia="Times New Roman" w:hAnsi="Times New Roman" w:cs="Times New Roman"/>
          <w:noProof/>
          <w:sz w:val="24"/>
          <w:szCs w:val="24"/>
          <w:lang w:val="en-IE"/>
        </w:rPr>
        <w:t>.</w:t>
      </w:r>
      <w:r w:rsidR="00DF45F0">
        <w:rPr>
          <w:rFonts w:ascii="Times New Roman" w:eastAsia="Times New Roman" w:hAnsi="Times New Roman" w:cs="Times New Roman"/>
          <w:noProof/>
          <w:sz w:val="24"/>
          <w:szCs w:val="24"/>
          <w:lang w:val="en-IE"/>
        </w:rPr>
        <w:t>3</w:t>
      </w:r>
      <w:r w:rsidR="00DF45F0" w:rsidRPr="00DF45F0">
        <w:rPr>
          <w:rFonts w:ascii="Times New Roman" w:eastAsia="Times New Roman" w:hAnsi="Times New Roman" w:cs="Times New Roman"/>
          <w:noProof/>
          <w:sz w:val="24"/>
          <w:szCs w:val="24"/>
          <w:lang w:val="en-IE"/>
        </w:rPr>
        <w:t>%).</w:t>
      </w:r>
      <w:r w:rsidR="00DF45F0">
        <w:rPr>
          <w:rFonts w:ascii="Times New Roman" w:eastAsia="Times New Roman" w:hAnsi="Times New Roman" w:cs="Times New Roman"/>
          <w:noProof/>
          <w:sz w:val="24"/>
          <w:szCs w:val="24"/>
          <w:lang w:val="en-IE"/>
        </w:rPr>
        <w:t xml:space="preserve"> </w:t>
      </w:r>
      <w:r w:rsidR="00DF45F0" w:rsidRPr="00DF45F0">
        <w:rPr>
          <w:rFonts w:ascii="Times New Roman" w:eastAsia="Times New Roman" w:hAnsi="Times New Roman" w:cs="Times New Roman"/>
          <w:noProof/>
          <w:sz w:val="24"/>
          <w:szCs w:val="24"/>
          <w:lang w:val="en-IE"/>
        </w:rPr>
        <w:t>It was followed by the</w:t>
      </w:r>
      <w:r w:rsidR="00DF45F0">
        <w:rPr>
          <w:rFonts w:ascii="Times New Roman" w:eastAsia="Times New Roman" w:hAnsi="Times New Roman" w:cs="Times New Roman"/>
          <w:noProof/>
          <w:sz w:val="24"/>
          <w:szCs w:val="24"/>
          <w:lang w:val="en-IE"/>
        </w:rPr>
        <w:t xml:space="preserve"> Secretariat-General (12.5%) and </w:t>
      </w:r>
      <w:r w:rsidR="00DF45F0" w:rsidRPr="00DF45F0">
        <w:rPr>
          <w:rFonts w:ascii="Times New Roman" w:eastAsia="Times New Roman" w:hAnsi="Times New Roman" w:cs="Times New Roman"/>
          <w:noProof/>
          <w:sz w:val="24"/>
          <w:szCs w:val="24"/>
          <w:lang w:val="en-IE"/>
        </w:rPr>
        <w:t>the Directorates-General for: Health and Food Safety</w:t>
      </w:r>
      <w:r w:rsidR="00DF45F0">
        <w:rPr>
          <w:rFonts w:ascii="Times New Roman" w:eastAsia="Times New Roman" w:hAnsi="Times New Roman" w:cs="Times New Roman"/>
          <w:noProof/>
          <w:sz w:val="24"/>
          <w:szCs w:val="24"/>
          <w:lang w:val="en-IE"/>
        </w:rPr>
        <w:t xml:space="preserve"> (6.1%); </w:t>
      </w:r>
      <w:r w:rsidR="00DF45F0" w:rsidRPr="00DF45F0">
        <w:rPr>
          <w:rFonts w:ascii="Times New Roman" w:eastAsia="Times New Roman" w:hAnsi="Times New Roman" w:cs="Times New Roman"/>
          <w:noProof/>
          <w:sz w:val="24"/>
          <w:szCs w:val="24"/>
          <w:lang w:val="en-IE"/>
        </w:rPr>
        <w:t>Environment</w:t>
      </w:r>
      <w:r w:rsidR="00DF45F0">
        <w:rPr>
          <w:rFonts w:ascii="Times New Roman" w:eastAsia="Times New Roman" w:hAnsi="Times New Roman" w:cs="Times New Roman"/>
          <w:noProof/>
          <w:sz w:val="24"/>
          <w:szCs w:val="24"/>
          <w:lang w:val="en-IE"/>
        </w:rPr>
        <w:t xml:space="preserve"> (5.7%); </w:t>
      </w:r>
      <w:r w:rsidR="0045327F">
        <w:rPr>
          <w:rFonts w:ascii="Times New Roman" w:eastAsia="Times New Roman" w:hAnsi="Times New Roman" w:cs="Times New Roman"/>
          <w:noProof/>
          <w:sz w:val="24"/>
          <w:szCs w:val="24"/>
          <w:lang w:val="en-IE"/>
        </w:rPr>
        <w:t xml:space="preserve">and </w:t>
      </w:r>
      <w:r w:rsidR="00DF45F0" w:rsidRPr="00DF45F0">
        <w:rPr>
          <w:rFonts w:ascii="Times New Roman" w:eastAsia="Times New Roman" w:hAnsi="Times New Roman" w:cs="Times New Roman"/>
          <w:noProof/>
          <w:sz w:val="24"/>
          <w:szCs w:val="24"/>
          <w:lang w:val="en-IE"/>
        </w:rPr>
        <w:t xml:space="preserve">Communications Networks, Content and Technology </w:t>
      </w:r>
      <w:r w:rsidR="00DF45F0">
        <w:rPr>
          <w:rFonts w:ascii="Times New Roman" w:eastAsia="Times New Roman" w:hAnsi="Times New Roman" w:cs="Times New Roman"/>
          <w:noProof/>
          <w:sz w:val="24"/>
          <w:szCs w:val="24"/>
          <w:lang w:val="en-IE"/>
        </w:rPr>
        <w:t>(5.6%)</w:t>
      </w:r>
      <w:r w:rsidR="0045327F">
        <w:rPr>
          <w:rFonts w:ascii="Times New Roman" w:eastAsia="Times New Roman" w:hAnsi="Times New Roman" w:cs="Times New Roman"/>
          <w:noProof/>
          <w:sz w:val="24"/>
          <w:szCs w:val="24"/>
          <w:lang w:val="en-IE"/>
        </w:rPr>
        <w:t xml:space="preserve">. </w:t>
      </w:r>
      <w:r w:rsidR="00DF45F0" w:rsidRPr="00DF45F0">
        <w:rPr>
          <w:rFonts w:ascii="Times New Roman" w:eastAsia="Times New Roman" w:hAnsi="Times New Roman" w:cs="Times New Roman"/>
          <w:noProof/>
          <w:sz w:val="24"/>
          <w:szCs w:val="24"/>
          <w:lang w:val="en-IE"/>
        </w:rPr>
        <w:t>The remaining departments each accounted for less than 5% of all initial applications</w:t>
      </w:r>
      <w:r w:rsidRPr="00746C2C">
        <w:rPr>
          <w:rFonts w:ascii="Times New Roman" w:eastAsia="Times New Roman" w:hAnsi="Times New Roman" w:cs="Times New Roman"/>
          <w:noProof/>
          <w:sz w:val="24"/>
          <w:szCs w:val="24"/>
          <w:lang w:val="en-IE"/>
        </w:rPr>
        <w:t>.</w:t>
      </w:r>
    </w:p>
    <w:p w14:paraId="34F0ACF1" w14:textId="1A65A018" w:rsidR="00AF5067" w:rsidRPr="00746C2C" w:rsidRDefault="002723F6" w:rsidP="002723F6">
      <w:pPr>
        <w:spacing w:before="240" w:after="0"/>
        <w:jc w:val="both"/>
        <w:rPr>
          <w:rFonts w:ascii="Times New Roman" w:eastAsia="Times New Roman" w:hAnsi="Times New Roman" w:cs="Times New Roman"/>
          <w:noProof/>
          <w:sz w:val="24"/>
          <w:szCs w:val="24"/>
          <w:lang w:val="en-IE"/>
        </w:rPr>
      </w:pPr>
      <w:r>
        <w:rPr>
          <w:noProof/>
          <w:lang w:eastAsia="en-GB"/>
        </w:rPr>
        <w:drawing>
          <wp:inline distT="0" distB="0" distL="0" distR="0" wp14:anchorId="4CC1D2F2" wp14:editId="3D2B314C">
            <wp:extent cx="5760720" cy="3189605"/>
            <wp:effectExtent l="0" t="0" r="0" b="0"/>
            <wp:docPr id="2057627933" name="Chart 1">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5C642EC" w14:textId="50C63135" w:rsidR="00167523" w:rsidRDefault="00754FC3" w:rsidP="00E25820">
      <w:pPr>
        <w:spacing w:before="240" w:after="0"/>
        <w:jc w:val="both"/>
        <w:rPr>
          <w:rFonts w:ascii="Times New Roman" w:eastAsia="Times New Roman" w:hAnsi="Times New Roman" w:cs="Times New Roman"/>
          <w:noProof/>
          <w:sz w:val="24"/>
          <w:szCs w:val="24"/>
          <w:lang w:val="en-IE"/>
        </w:rPr>
      </w:pPr>
      <w:r w:rsidRPr="00746C2C">
        <w:rPr>
          <w:rFonts w:ascii="Times New Roman" w:eastAsia="Times New Roman" w:hAnsi="Times New Roman" w:cs="Times New Roman"/>
          <w:noProof/>
          <w:sz w:val="24"/>
          <w:szCs w:val="24"/>
          <w:lang w:val="en-IE"/>
        </w:rPr>
        <w:t>In 202</w:t>
      </w:r>
      <w:r w:rsidR="0045327F">
        <w:rPr>
          <w:rFonts w:ascii="Times New Roman" w:eastAsia="Times New Roman" w:hAnsi="Times New Roman" w:cs="Times New Roman"/>
          <w:noProof/>
          <w:sz w:val="24"/>
          <w:szCs w:val="24"/>
          <w:lang w:val="en-IE"/>
        </w:rPr>
        <w:t>5</w:t>
      </w:r>
      <w:r w:rsidRPr="00746C2C">
        <w:rPr>
          <w:rFonts w:ascii="Times New Roman" w:eastAsia="Times New Roman" w:hAnsi="Times New Roman" w:cs="Times New Roman"/>
          <w:noProof/>
          <w:sz w:val="24"/>
          <w:szCs w:val="24"/>
          <w:lang w:val="en-IE"/>
        </w:rPr>
        <w:t xml:space="preserve">, </w:t>
      </w:r>
      <w:r w:rsidR="00804A3E" w:rsidRPr="00746C2C">
        <w:rPr>
          <w:rFonts w:ascii="Times New Roman" w:eastAsia="Times New Roman" w:hAnsi="Times New Roman" w:cs="Times New Roman"/>
          <w:noProof/>
          <w:sz w:val="24"/>
          <w:szCs w:val="24"/>
          <w:lang w:val="en-IE"/>
        </w:rPr>
        <w:t xml:space="preserve">the highest proportion of confirmatory applications was submitted in </w:t>
      </w:r>
      <w:r w:rsidR="006548B0" w:rsidRPr="00746C2C">
        <w:rPr>
          <w:rFonts w:ascii="Times New Roman" w:eastAsia="Times New Roman" w:hAnsi="Times New Roman" w:cs="Times New Roman"/>
          <w:noProof/>
          <w:sz w:val="24"/>
          <w:szCs w:val="24"/>
          <w:lang w:val="en-IE"/>
        </w:rPr>
        <w:t xml:space="preserve">cases handled at the initial stage by </w:t>
      </w:r>
      <w:r w:rsidRPr="00746C2C">
        <w:rPr>
          <w:rFonts w:ascii="Times New Roman" w:eastAsia="Times New Roman" w:hAnsi="Times New Roman" w:cs="Times New Roman"/>
          <w:noProof/>
          <w:sz w:val="24"/>
          <w:szCs w:val="24"/>
          <w:lang w:val="en-IE"/>
        </w:rPr>
        <w:t>the</w:t>
      </w:r>
      <w:r w:rsidR="00BF0DF3">
        <w:rPr>
          <w:rFonts w:ascii="Times New Roman" w:eastAsia="Times New Roman" w:hAnsi="Times New Roman" w:cs="Times New Roman"/>
          <w:noProof/>
          <w:sz w:val="24"/>
          <w:szCs w:val="24"/>
          <w:lang w:val="en-IE"/>
        </w:rPr>
        <w:t xml:space="preserve"> </w:t>
      </w:r>
      <w:r w:rsidR="00BF0DF3" w:rsidRPr="00BF0DF3">
        <w:rPr>
          <w:rFonts w:ascii="Times New Roman" w:eastAsia="Times New Roman" w:hAnsi="Times New Roman" w:cs="Times New Roman"/>
          <w:noProof/>
          <w:sz w:val="24"/>
          <w:szCs w:val="24"/>
          <w:lang w:val="en-IE"/>
        </w:rPr>
        <w:t>Directorate-General for</w:t>
      </w:r>
      <w:r w:rsidR="0045327F">
        <w:rPr>
          <w:rFonts w:ascii="Times New Roman" w:eastAsia="Times New Roman" w:hAnsi="Times New Roman" w:cs="Times New Roman"/>
          <w:noProof/>
          <w:sz w:val="24"/>
          <w:szCs w:val="24"/>
          <w:lang w:val="en-IE"/>
        </w:rPr>
        <w:t xml:space="preserve"> </w:t>
      </w:r>
      <w:r w:rsidR="0045327F" w:rsidRPr="0045327F">
        <w:rPr>
          <w:rFonts w:ascii="Times New Roman" w:eastAsia="Times New Roman" w:hAnsi="Times New Roman" w:cs="Times New Roman"/>
          <w:noProof/>
          <w:sz w:val="24"/>
          <w:szCs w:val="24"/>
          <w:lang w:val="en-IE"/>
        </w:rPr>
        <w:t xml:space="preserve">Internal Market, Industry, Entrepreneurship and SMEs </w:t>
      </w:r>
      <w:r w:rsidR="0045327F">
        <w:rPr>
          <w:rFonts w:ascii="Times New Roman" w:eastAsia="Times New Roman" w:hAnsi="Times New Roman" w:cs="Times New Roman"/>
          <w:noProof/>
          <w:sz w:val="24"/>
          <w:szCs w:val="24"/>
          <w:lang w:val="en-IE"/>
        </w:rPr>
        <w:t xml:space="preserve">(12.9%). </w:t>
      </w:r>
      <w:r w:rsidR="0045327F" w:rsidRPr="0045327F">
        <w:rPr>
          <w:rFonts w:ascii="Times New Roman" w:eastAsia="Times New Roman" w:hAnsi="Times New Roman" w:cs="Times New Roman"/>
          <w:noProof/>
          <w:sz w:val="24"/>
          <w:szCs w:val="24"/>
          <w:lang w:val="en-IE"/>
        </w:rPr>
        <w:t xml:space="preserve">It was followed by the </w:t>
      </w:r>
      <w:r w:rsidR="0045327F">
        <w:rPr>
          <w:rFonts w:ascii="Times New Roman" w:eastAsia="Times New Roman" w:hAnsi="Times New Roman" w:cs="Times New Roman"/>
          <w:noProof/>
          <w:sz w:val="24"/>
          <w:szCs w:val="24"/>
          <w:lang w:val="en-IE"/>
        </w:rPr>
        <w:t>Directorate-General for Health and Food Safety (9.3%)</w:t>
      </w:r>
      <w:r w:rsidR="0051655E">
        <w:rPr>
          <w:rFonts w:ascii="Times New Roman" w:eastAsia="Times New Roman" w:hAnsi="Times New Roman" w:cs="Times New Roman"/>
          <w:noProof/>
          <w:sz w:val="24"/>
          <w:szCs w:val="24"/>
          <w:lang w:val="en-IE"/>
        </w:rPr>
        <w:t>,</w:t>
      </w:r>
      <w:r w:rsidR="0045327F">
        <w:rPr>
          <w:rFonts w:ascii="Times New Roman" w:eastAsia="Times New Roman" w:hAnsi="Times New Roman" w:cs="Times New Roman"/>
          <w:noProof/>
          <w:sz w:val="24"/>
          <w:szCs w:val="24"/>
          <w:lang w:val="en-IE"/>
        </w:rPr>
        <w:t xml:space="preserve"> the Secretariat-General (8%) and the Directorates-General for</w:t>
      </w:r>
      <w:r w:rsidR="0051655E">
        <w:rPr>
          <w:rFonts w:ascii="Times New Roman" w:eastAsia="Times New Roman" w:hAnsi="Times New Roman" w:cs="Times New Roman"/>
          <w:noProof/>
          <w:sz w:val="24"/>
          <w:szCs w:val="24"/>
          <w:lang w:val="en-IE"/>
        </w:rPr>
        <w:t>:</w:t>
      </w:r>
      <w:r w:rsidR="0045327F">
        <w:rPr>
          <w:rFonts w:ascii="Times New Roman" w:eastAsia="Times New Roman" w:hAnsi="Times New Roman" w:cs="Times New Roman"/>
          <w:noProof/>
          <w:sz w:val="24"/>
          <w:szCs w:val="24"/>
          <w:lang w:val="en-IE"/>
        </w:rPr>
        <w:t xml:space="preserve"> </w:t>
      </w:r>
      <w:r w:rsidR="0051655E">
        <w:rPr>
          <w:rFonts w:ascii="Times New Roman" w:eastAsia="Times New Roman" w:hAnsi="Times New Roman" w:cs="Times New Roman"/>
          <w:noProof/>
          <w:sz w:val="24"/>
          <w:szCs w:val="24"/>
          <w:lang w:val="en-IE"/>
        </w:rPr>
        <w:t xml:space="preserve">Environment (7.3%); </w:t>
      </w:r>
      <w:r w:rsidR="0051655E" w:rsidRPr="0051655E">
        <w:rPr>
          <w:rFonts w:ascii="Times New Roman" w:eastAsia="Times New Roman" w:hAnsi="Times New Roman" w:cs="Times New Roman"/>
          <w:noProof/>
          <w:sz w:val="24"/>
          <w:szCs w:val="24"/>
          <w:lang w:val="en-IE"/>
        </w:rPr>
        <w:t xml:space="preserve">Communications Networks, Content and Technology </w:t>
      </w:r>
      <w:r w:rsidR="0051655E">
        <w:rPr>
          <w:rFonts w:ascii="Times New Roman" w:eastAsia="Times New Roman" w:hAnsi="Times New Roman" w:cs="Times New Roman"/>
          <w:noProof/>
          <w:sz w:val="24"/>
          <w:szCs w:val="24"/>
          <w:lang w:val="en-IE"/>
        </w:rPr>
        <w:t xml:space="preserve">(6.3%); and </w:t>
      </w:r>
      <w:r w:rsidR="0051655E" w:rsidRPr="0051655E">
        <w:rPr>
          <w:rFonts w:ascii="Times New Roman" w:eastAsia="Times New Roman" w:hAnsi="Times New Roman" w:cs="Times New Roman"/>
          <w:noProof/>
          <w:sz w:val="24"/>
          <w:szCs w:val="24"/>
          <w:lang w:val="en-IE"/>
        </w:rPr>
        <w:t>Migration and Home Affairs</w:t>
      </w:r>
      <w:r w:rsidR="0051655E">
        <w:rPr>
          <w:rFonts w:ascii="Times New Roman" w:eastAsia="Times New Roman" w:hAnsi="Times New Roman" w:cs="Times New Roman"/>
          <w:noProof/>
          <w:sz w:val="24"/>
          <w:szCs w:val="24"/>
          <w:lang w:val="en-IE"/>
        </w:rPr>
        <w:t xml:space="preserve"> (5.6%). </w:t>
      </w:r>
      <w:r w:rsidR="00356FAB" w:rsidRPr="00746C2C">
        <w:rPr>
          <w:rFonts w:ascii="Times New Roman" w:eastAsia="Times New Roman" w:hAnsi="Times New Roman" w:cs="Times New Roman"/>
          <w:noProof/>
          <w:sz w:val="24"/>
          <w:szCs w:val="24"/>
          <w:lang w:val="en-IE"/>
        </w:rPr>
        <w:t xml:space="preserve">The </w:t>
      </w:r>
      <w:r w:rsidR="002C1BCB" w:rsidRPr="00746C2C">
        <w:rPr>
          <w:rFonts w:ascii="Times New Roman" w:eastAsia="Times New Roman" w:hAnsi="Times New Roman" w:cs="Times New Roman"/>
          <w:noProof/>
          <w:sz w:val="24"/>
          <w:szCs w:val="24"/>
          <w:lang w:val="en-IE"/>
        </w:rPr>
        <w:t>remaining</w:t>
      </w:r>
      <w:r w:rsidR="00345D7B">
        <w:rPr>
          <w:rFonts w:ascii="Times New Roman" w:eastAsia="Times New Roman" w:hAnsi="Times New Roman" w:cs="Times New Roman"/>
          <w:noProof/>
          <w:sz w:val="24"/>
          <w:szCs w:val="24"/>
          <w:lang w:val="en-IE"/>
        </w:rPr>
        <w:t xml:space="preserve"> </w:t>
      </w:r>
      <w:r w:rsidR="002C1BCB" w:rsidRPr="00746C2C">
        <w:rPr>
          <w:rFonts w:ascii="Times New Roman" w:eastAsia="Times New Roman" w:hAnsi="Times New Roman" w:cs="Times New Roman"/>
          <w:noProof/>
          <w:sz w:val="24"/>
          <w:szCs w:val="24"/>
          <w:lang w:val="en-IE"/>
        </w:rPr>
        <w:t>departments</w:t>
      </w:r>
      <w:r w:rsidR="00356FAB" w:rsidRPr="00746C2C">
        <w:rPr>
          <w:rFonts w:ascii="Times New Roman" w:eastAsia="Times New Roman" w:hAnsi="Times New Roman" w:cs="Times New Roman"/>
          <w:noProof/>
          <w:sz w:val="24"/>
          <w:szCs w:val="24"/>
          <w:lang w:val="en-IE"/>
        </w:rPr>
        <w:t xml:space="preserve"> each</w:t>
      </w:r>
      <w:r w:rsidR="002C1BCB" w:rsidRPr="00746C2C">
        <w:rPr>
          <w:rFonts w:ascii="Times New Roman" w:eastAsia="Times New Roman" w:hAnsi="Times New Roman" w:cs="Times New Roman"/>
          <w:noProof/>
          <w:sz w:val="24"/>
          <w:szCs w:val="24"/>
          <w:lang w:val="en-IE"/>
        </w:rPr>
        <w:t xml:space="preserve"> accounted for less than 5% of all confirmatory applications.</w:t>
      </w:r>
      <w:bookmarkStart w:id="14" w:name="_Toc480274554"/>
    </w:p>
    <w:p w14:paraId="2AE62878" w14:textId="04DCCFD4" w:rsidR="0045327F" w:rsidRPr="00746C2C" w:rsidRDefault="002723F6" w:rsidP="007D36D3">
      <w:pPr>
        <w:spacing w:before="240" w:after="0"/>
        <w:jc w:val="both"/>
        <w:rPr>
          <w:rFonts w:ascii="Times New Roman" w:eastAsia="Times New Roman" w:hAnsi="Times New Roman" w:cs="Times New Roman"/>
          <w:noProof/>
          <w:sz w:val="24"/>
          <w:szCs w:val="24"/>
          <w:lang w:val="en-IE"/>
        </w:rPr>
      </w:pPr>
      <w:r>
        <w:rPr>
          <w:noProof/>
          <w:lang w:eastAsia="en-GB"/>
        </w:rPr>
        <w:drawing>
          <wp:inline distT="0" distB="0" distL="0" distR="0" wp14:anchorId="19A3012C" wp14:editId="44B6FDF5">
            <wp:extent cx="5760720" cy="3409950"/>
            <wp:effectExtent l="0" t="0" r="0" b="0"/>
            <wp:docPr id="384414182" name="Chart 1">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6FD7667" w14:textId="23E61B32" w:rsidR="005E2753" w:rsidRPr="00746C2C" w:rsidRDefault="00254DC1" w:rsidP="005E2753">
      <w:pPr>
        <w:pStyle w:val="Heading1"/>
        <w:spacing w:after="0"/>
        <w:ind w:left="851" w:hanging="851"/>
        <w:rPr>
          <w:noProof/>
          <w:lang w:val="en-IE"/>
        </w:rPr>
      </w:pPr>
      <w:bookmarkStart w:id="15" w:name="_Toc8824311"/>
      <w:bookmarkStart w:id="16" w:name="_Toc223714988"/>
      <w:r>
        <w:rPr>
          <w:noProof/>
          <w:lang w:val="en-IE"/>
        </w:rPr>
        <w:t>E</w:t>
      </w:r>
      <w:r w:rsidR="005E2753" w:rsidRPr="00746C2C">
        <w:rPr>
          <w:noProof/>
          <w:lang w:val="en-IE"/>
        </w:rPr>
        <w:t xml:space="preserve">xceptions to the </w:t>
      </w:r>
      <w:r w:rsidR="00166632" w:rsidRPr="00746C2C">
        <w:rPr>
          <w:noProof/>
          <w:lang w:val="en-IE"/>
        </w:rPr>
        <w:t>r</w:t>
      </w:r>
      <w:r w:rsidR="005E2753" w:rsidRPr="00746C2C">
        <w:rPr>
          <w:noProof/>
          <w:lang w:val="en-IE"/>
        </w:rPr>
        <w:t xml:space="preserve">ight of </w:t>
      </w:r>
      <w:r w:rsidR="00166632" w:rsidRPr="00746C2C">
        <w:rPr>
          <w:noProof/>
          <w:lang w:val="en-IE"/>
        </w:rPr>
        <w:t>a</w:t>
      </w:r>
      <w:r w:rsidR="005E2753" w:rsidRPr="00746C2C">
        <w:rPr>
          <w:noProof/>
          <w:lang w:val="en-IE"/>
        </w:rPr>
        <w:t>ccess</w:t>
      </w:r>
      <w:bookmarkEnd w:id="15"/>
      <w:r w:rsidR="00B91319" w:rsidRPr="00746C2C">
        <w:rPr>
          <w:rStyle w:val="FootnoteReference"/>
          <w:noProof/>
          <w:lang w:val="en-IE"/>
        </w:rPr>
        <w:footnoteReference w:id="15"/>
      </w:r>
      <w:bookmarkEnd w:id="16"/>
    </w:p>
    <w:p w14:paraId="64B40A42" w14:textId="4F22DC03" w:rsidR="005E2753" w:rsidRPr="00746C2C" w:rsidRDefault="005E2753" w:rsidP="005E2753">
      <w:pPr>
        <w:spacing w:before="240" w:after="0"/>
        <w:jc w:val="both"/>
        <w:rPr>
          <w:rFonts w:ascii="Times New Roman" w:hAnsi="Times New Roman" w:cs="Times New Roman"/>
          <w:noProof/>
          <w:sz w:val="24"/>
          <w:szCs w:val="24"/>
          <w:lang w:val="en-IE"/>
        </w:rPr>
      </w:pPr>
      <w:r w:rsidRPr="00746C2C">
        <w:rPr>
          <w:rFonts w:ascii="Times New Roman" w:hAnsi="Times New Roman" w:cs="Times New Roman"/>
          <w:noProof/>
          <w:sz w:val="24"/>
          <w:szCs w:val="24"/>
          <w:lang w:val="en-IE"/>
        </w:rPr>
        <w:t xml:space="preserve">The right of access provided in Regulation (EC) No 1049/2001 is subject to </w:t>
      </w:r>
      <w:r w:rsidR="00EB5F17" w:rsidRPr="00746C2C">
        <w:rPr>
          <w:rFonts w:ascii="Times New Roman" w:hAnsi="Times New Roman" w:cs="Times New Roman"/>
          <w:noProof/>
          <w:sz w:val="24"/>
          <w:szCs w:val="24"/>
          <w:lang w:val="en-IE"/>
        </w:rPr>
        <w:t>several</w:t>
      </w:r>
      <w:r w:rsidRPr="00746C2C">
        <w:rPr>
          <w:rFonts w:ascii="Times New Roman" w:hAnsi="Times New Roman" w:cs="Times New Roman"/>
          <w:noProof/>
          <w:sz w:val="24"/>
          <w:szCs w:val="24"/>
          <w:lang w:val="en-IE"/>
        </w:rPr>
        <w:t xml:space="preserve"> specific exceptions </w:t>
      </w:r>
      <w:r w:rsidR="00503D35">
        <w:rPr>
          <w:rFonts w:ascii="Times New Roman" w:hAnsi="Times New Roman" w:cs="Times New Roman"/>
          <w:noProof/>
          <w:sz w:val="24"/>
          <w:szCs w:val="24"/>
          <w:lang w:val="en-IE"/>
        </w:rPr>
        <w:t xml:space="preserve">laid down </w:t>
      </w:r>
      <w:r w:rsidRPr="00746C2C">
        <w:rPr>
          <w:rFonts w:ascii="Times New Roman" w:hAnsi="Times New Roman" w:cs="Times New Roman"/>
          <w:noProof/>
          <w:sz w:val="24"/>
          <w:szCs w:val="24"/>
          <w:lang w:val="en-IE"/>
        </w:rPr>
        <w:t>in Article 4.</w:t>
      </w:r>
      <w:r w:rsidR="00944E39">
        <w:rPr>
          <w:rFonts w:ascii="Times New Roman" w:hAnsi="Times New Roman" w:cs="Times New Roman"/>
          <w:noProof/>
          <w:sz w:val="24"/>
          <w:szCs w:val="24"/>
          <w:lang w:val="en-IE"/>
        </w:rPr>
        <w:t xml:space="preserve"> </w:t>
      </w:r>
      <w:r w:rsidRPr="00746C2C">
        <w:rPr>
          <w:rFonts w:ascii="Times New Roman" w:hAnsi="Times New Roman" w:cs="Times New Roman"/>
          <w:noProof/>
          <w:sz w:val="24"/>
          <w:szCs w:val="24"/>
          <w:lang w:val="en-IE"/>
        </w:rPr>
        <w:t xml:space="preserve">Any </w:t>
      </w:r>
      <w:r w:rsidR="00254DC1">
        <w:rPr>
          <w:rFonts w:ascii="Times New Roman" w:hAnsi="Times New Roman" w:cs="Times New Roman"/>
          <w:noProof/>
          <w:sz w:val="24"/>
          <w:szCs w:val="24"/>
          <w:lang w:val="en-IE"/>
        </w:rPr>
        <w:t xml:space="preserve">decision to reject </w:t>
      </w:r>
      <w:r w:rsidR="00944E39">
        <w:rPr>
          <w:rFonts w:ascii="Times New Roman" w:hAnsi="Times New Roman" w:cs="Times New Roman"/>
          <w:noProof/>
          <w:sz w:val="24"/>
          <w:szCs w:val="24"/>
          <w:lang w:val="en-IE"/>
        </w:rPr>
        <w:t xml:space="preserve">an application for </w:t>
      </w:r>
      <w:r w:rsidR="00503D35">
        <w:rPr>
          <w:rFonts w:ascii="Times New Roman" w:hAnsi="Times New Roman" w:cs="Times New Roman"/>
          <w:noProof/>
          <w:sz w:val="24"/>
          <w:szCs w:val="24"/>
          <w:lang w:val="en-IE"/>
        </w:rPr>
        <w:t>access</w:t>
      </w:r>
      <w:r w:rsidR="00254DC1">
        <w:rPr>
          <w:rFonts w:ascii="Times New Roman" w:hAnsi="Times New Roman" w:cs="Times New Roman"/>
          <w:noProof/>
          <w:sz w:val="24"/>
          <w:szCs w:val="24"/>
          <w:lang w:val="en-IE"/>
        </w:rPr>
        <w:t xml:space="preserve"> to a document</w:t>
      </w:r>
      <w:r w:rsidRPr="00746C2C">
        <w:rPr>
          <w:rFonts w:ascii="Times New Roman" w:hAnsi="Times New Roman" w:cs="Times New Roman"/>
          <w:noProof/>
          <w:sz w:val="24"/>
          <w:szCs w:val="24"/>
          <w:lang w:val="en-IE"/>
        </w:rPr>
        <w:t>, whether full</w:t>
      </w:r>
      <w:r w:rsidR="00CD68DB">
        <w:rPr>
          <w:rFonts w:ascii="Times New Roman" w:hAnsi="Times New Roman" w:cs="Times New Roman"/>
          <w:noProof/>
          <w:sz w:val="24"/>
          <w:szCs w:val="24"/>
          <w:lang w:val="en-IE"/>
        </w:rPr>
        <w:t>y</w:t>
      </w:r>
      <w:r w:rsidRPr="00746C2C">
        <w:rPr>
          <w:rFonts w:ascii="Times New Roman" w:hAnsi="Times New Roman" w:cs="Times New Roman"/>
          <w:noProof/>
          <w:sz w:val="24"/>
          <w:szCs w:val="24"/>
          <w:lang w:val="en-IE"/>
        </w:rPr>
        <w:t xml:space="preserve"> or partial</w:t>
      </w:r>
      <w:r w:rsidR="00CD68DB">
        <w:rPr>
          <w:rFonts w:ascii="Times New Roman" w:hAnsi="Times New Roman" w:cs="Times New Roman"/>
          <w:noProof/>
          <w:sz w:val="24"/>
          <w:szCs w:val="24"/>
          <w:lang w:val="en-IE"/>
        </w:rPr>
        <w:t>ly</w:t>
      </w:r>
      <w:r w:rsidRPr="00746C2C">
        <w:rPr>
          <w:rFonts w:ascii="Times New Roman" w:hAnsi="Times New Roman" w:cs="Times New Roman"/>
          <w:noProof/>
          <w:sz w:val="24"/>
          <w:szCs w:val="24"/>
          <w:lang w:val="en-IE"/>
        </w:rPr>
        <w:t>, must be justified under at least one of these exceptions.</w:t>
      </w:r>
    </w:p>
    <w:p w14:paraId="21F2B554" w14:textId="1A036542" w:rsidR="00503D35" w:rsidRPr="00CD68DB" w:rsidRDefault="00254DC1" w:rsidP="003049A9">
      <w:pPr>
        <w:pStyle w:val="Heading2"/>
        <w:numPr>
          <w:ilvl w:val="1"/>
          <w:numId w:val="2"/>
        </w:numPr>
        <w:spacing w:before="240" w:after="0"/>
        <w:ind w:left="851" w:hanging="624"/>
        <w:rPr>
          <w:b w:val="0"/>
          <w:noProof/>
          <w:lang w:val="en-IE"/>
        </w:rPr>
      </w:pPr>
      <w:bookmarkStart w:id="17" w:name="_Toc8824312"/>
      <w:bookmarkStart w:id="18" w:name="_Toc223714989"/>
      <w:r>
        <w:rPr>
          <w:b w:val="0"/>
          <w:noProof/>
          <w:lang w:val="en-IE"/>
        </w:rPr>
        <w:t>L</w:t>
      </w:r>
      <w:r w:rsidR="006A7758">
        <w:rPr>
          <w:b w:val="0"/>
          <w:noProof/>
          <w:lang w:val="en-IE"/>
        </w:rPr>
        <w:t xml:space="preserve">evel of </w:t>
      </w:r>
      <w:r w:rsidR="005E2753" w:rsidRPr="00746C2C">
        <w:rPr>
          <w:b w:val="0"/>
          <w:noProof/>
          <w:lang w:val="en-IE"/>
        </w:rPr>
        <w:t xml:space="preserve">access </w:t>
      </w:r>
      <w:r w:rsidR="006A7758">
        <w:rPr>
          <w:b w:val="0"/>
          <w:noProof/>
          <w:lang w:val="en-IE"/>
        </w:rPr>
        <w:t>granted to the documents requested</w:t>
      </w:r>
      <w:r w:rsidR="005E2753" w:rsidRPr="00746C2C">
        <w:rPr>
          <w:b w:val="0"/>
          <w:noProof/>
          <w:lang w:val="en-IE"/>
        </w:rPr>
        <w:t xml:space="preserve"> (Annex – Tables 8 and 9)</w:t>
      </w:r>
      <w:bookmarkEnd w:id="14"/>
      <w:bookmarkEnd w:id="17"/>
      <w:bookmarkEnd w:id="18"/>
    </w:p>
    <w:p w14:paraId="45516375" w14:textId="1232D81A" w:rsidR="00DF618B" w:rsidRDefault="00CD68DB" w:rsidP="00CD68DB">
      <w:pPr>
        <w:spacing w:before="240" w:after="0"/>
        <w:jc w:val="center"/>
        <w:rPr>
          <w:rFonts w:ascii="Times New Roman" w:eastAsia="Times New Roman" w:hAnsi="Times New Roman" w:cs="Times New Roman"/>
          <w:noProof/>
          <w:sz w:val="24"/>
          <w:szCs w:val="24"/>
          <w:lang w:val="en-IE"/>
        </w:rPr>
      </w:pPr>
      <w:r>
        <w:rPr>
          <w:noProof/>
          <w:lang w:eastAsia="en-GB"/>
        </w:rPr>
        <w:drawing>
          <wp:inline distT="0" distB="0" distL="0" distR="0" wp14:anchorId="2E23B81B" wp14:editId="2B5AB8DB">
            <wp:extent cx="3706586" cy="2117272"/>
            <wp:effectExtent l="0" t="0" r="8255" b="0"/>
            <wp:docPr id="2013067234" name="Chart 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1C0E3D0" w14:textId="6DDF88F8" w:rsidR="00CD68DB" w:rsidRPr="00746C2C" w:rsidRDefault="00CD68DB" w:rsidP="00336852">
      <w:pPr>
        <w:spacing w:before="240" w:after="0"/>
        <w:jc w:val="center"/>
        <w:rPr>
          <w:rFonts w:ascii="Times New Roman" w:eastAsia="Times New Roman" w:hAnsi="Times New Roman" w:cs="Times New Roman"/>
          <w:noProof/>
          <w:sz w:val="24"/>
          <w:szCs w:val="24"/>
          <w:lang w:val="en-IE"/>
        </w:rPr>
      </w:pPr>
      <w:r>
        <w:rPr>
          <w:noProof/>
          <w:lang w:eastAsia="en-GB"/>
        </w:rPr>
        <w:drawing>
          <wp:inline distT="0" distB="0" distL="0" distR="0" wp14:anchorId="3396730D" wp14:editId="2DC8955D">
            <wp:extent cx="4669972" cy="2148114"/>
            <wp:effectExtent l="0" t="0" r="0" b="5080"/>
            <wp:docPr id="177988693" name="Chart 1">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74E55C8" w14:textId="208F4B8D" w:rsidR="005E2753" w:rsidRPr="00746C2C" w:rsidRDefault="00254DC1" w:rsidP="003049A9">
      <w:pPr>
        <w:pStyle w:val="Heading2"/>
        <w:numPr>
          <w:ilvl w:val="1"/>
          <w:numId w:val="2"/>
        </w:numPr>
        <w:spacing w:before="240" w:after="0"/>
        <w:ind w:left="851" w:hanging="624"/>
        <w:rPr>
          <w:b w:val="0"/>
          <w:noProof/>
          <w:lang w:val="en-IE"/>
        </w:rPr>
      </w:pPr>
      <w:bookmarkStart w:id="19" w:name="_Toc8824313"/>
      <w:bookmarkStart w:id="20" w:name="_Toc223714990"/>
      <w:r>
        <w:rPr>
          <w:b w:val="0"/>
          <w:noProof/>
          <w:lang w:val="en-IE"/>
        </w:rPr>
        <w:t>E</w:t>
      </w:r>
      <w:r w:rsidR="005E2753" w:rsidRPr="00746C2C">
        <w:rPr>
          <w:b w:val="0"/>
          <w:noProof/>
          <w:lang w:val="en-IE"/>
        </w:rPr>
        <w:t xml:space="preserve">xceptions </w:t>
      </w:r>
      <w:r w:rsidR="00302ADB">
        <w:rPr>
          <w:b w:val="0"/>
          <w:noProof/>
          <w:lang w:val="en-IE"/>
        </w:rPr>
        <w:t>applied</w:t>
      </w:r>
      <w:r w:rsidR="00A56BB7">
        <w:rPr>
          <w:b w:val="0"/>
          <w:noProof/>
          <w:lang w:val="en-IE"/>
        </w:rPr>
        <w:t xml:space="preserve"> </w:t>
      </w:r>
      <w:r w:rsidR="005E2753" w:rsidRPr="00746C2C">
        <w:rPr>
          <w:b w:val="0"/>
          <w:noProof/>
          <w:lang w:val="en-IE"/>
        </w:rPr>
        <w:t xml:space="preserve">to the </w:t>
      </w:r>
      <w:r w:rsidR="00302ADB">
        <w:rPr>
          <w:b w:val="0"/>
          <w:noProof/>
          <w:lang w:val="en-IE"/>
        </w:rPr>
        <w:t>documents requested</w:t>
      </w:r>
      <w:r w:rsidR="005E2753" w:rsidRPr="00746C2C">
        <w:rPr>
          <w:b w:val="0"/>
          <w:noProof/>
          <w:lang w:val="en-IE"/>
        </w:rPr>
        <w:t xml:space="preserve"> (Annex – Table 10)</w:t>
      </w:r>
      <w:bookmarkEnd w:id="19"/>
      <w:bookmarkEnd w:id="20"/>
    </w:p>
    <w:p w14:paraId="04B40232" w14:textId="36EB13F2" w:rsidR="00F31E87" w:rsidRDefault="00F31E87" w:rsidP="00063527">
      <w:pPr>
        <w:spacing w:before="240" w:after="0"/>
        <w:jc w:val="center"/>
        <w:rPr>
          <w:rFonts w:ascii="Times New Roman" w:eastAsia="Times New Roman" w:hAnsi="Times New Roman" w:cs="Times New Roman"/>
          <w:noProof/>
          <w:sz w:val="24"/>
          <w:szCs w:val="24"/>
          <w:lang w:val="en-IE"/>
        </w:rPr>
      </w:pPr>
      <w:r>
        <w:rPr>
          <w:noProof/>
          <w:lang w:eastAsia="en-GB"/>
        </w:rPr>
        <w:drawing>
          <wp:inline distT="0" distB="0" distL="0" distR="0" wp14:anchorId="7368F265" wp14:editId="47B4C94F">
            <wp:extent cx="5760720" cy="3322955"/>
            <wp:effectExtent l="0" t="0" r="0" b="0"/>
            <wp:docPr id="822335535" name="Chart 1">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B5DB49E" w14:textId="549A7DC3" w:rsidR="00CD68DB" w:rsidRPr="00746C2C" w:rsidRDefault="006664DA" w:rsidP="006664DA">
      <w:pPr>
        <w:spacing w:before="240" w:after="0"/>
        <w:jc w:val="center"/>
        <w:rPr>
          <w:rFonts w:ascii="Times New Roman" w:eastAsia="Times New Roman" w:hAnsi="Times New Roman" w:cs="Times New Roman"/>
          <w:noProof/>
          <w:sz w:val="24"/>
          <w:szCs w:val="24"/>
          <w:lang w:val="en-IE"/>
        </w:rPr>
      </w:pPr>
      <w:r>
        <w:rPr>
          <w:noProof/>
          <w:lang w:eastAsia="en-GB"/>
        </w:rPr>
        <w:drawing>
          <wp:inline distT="0" distB="0" distL="0" distR="0" wp14:anchorId="4B19DDE4" wp14:editId="52725B2B">
            <wp:extent cx="5760720" cy="3542665"/>
            <wp:effectExtent l="0" t="0" r="0" b="635"/>
            <wp:docPr id="1908548625" name="Chart 1">
              <a:extLst xmlns:a="http://schemas.openxmlformats.org/drawingml/2006/main">
                <a:ext uri="{FF2B5EF4-FFF2-40B4-BE49-F238E27FC236}">
                  <a16:creationId xmlns:a16="http://schemas.microsoft.com/office/drawing/2014/main" id="{00000000-0008-0000-06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F225A94" w14:textId="77777777" w:rsidR="005E2753" w:rsidRPr="00746C2C" w:rsidRDefault="005E2753" w:rsidP="005E2753">
      <w:pPr>
        <w:pStyle w:val="Heading1"/>
        <w:spacing w:before="240" w:after="0"/>
        <w:ind w:left="851" w:hanging="851"/>
        <w:rPr>
          <w:noProof/>
          <w:lang w:val="en-IE"/>
        </w:rPr>
      </w:pPr>
      <w:bookmarkStart w:id="21" w:name="_Toc223714991"/>
      <w:r w:rsidRPr="00746C2C">
        <w:rPr>
          <w:noProof/>
          <w:lang w:val="en-IE"/>
        </w:rPr>
        <w:t>Complaints to the European Ombudsman</w:t>
      </w:r>
      <w:bookmarkEnd w:id="21"/>
    </w:p>
    <w:p w14:paraId="6F7493EA" w14:textId="4E173F41" w:rsidR="005E2753" w:rsidRPr="00746C2C" w:rsidRDefault="008627DC" w:rsidP="005E2753">
      <w:pPr>
        <w:spacing w:before="240" w:after="0"/>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In 2025, the European Ombudsman opened </w:t>
      </w:r>
      <w:r w:rsidR="00DB7D87">
        <w:rPr>
          <w:rFonts w:ascii="Times New Roman" w:eastAsia="Times New Roman" w:hAnsi="Times New Roman" w:cs="Times New Roman"/>
          <w:noProof/>
          <w:sz w:val="24"/>
          <w:szCs w:val="24"/>
          <w:lang w:val="en-IE"/>
        </w:rPr>
        <w:t xml:space="preserve">100 </w:t>
      </w:r>
      <w:r>
        <w:rPr>
          <w:rFonts w:ascii="Times New Roman" w:eastAsia="Times New Roman" w:hAnsi="Times New Roman" w:cs="Times New Roman"/>
          <w:noProof/>
          <w:sz w:val="24"/>
          <w:szCs w:val="24"/>
          <w:lang w:val="en-IE"/>
        </w:rPr>
        <w:t xml:space="preserve">new inquiries in cases involving the European Commission where access to documents was the main or a subsidiary part of the complaint and closed </w:t>
      </w:r>
      <w:r w:rsidR="00DB7D87">
        <w:rPr>
          <w:rFonts w:ascii="Times New Roman" w:eastAsia="Times New Roman" w:hAnsi="Times New Roman" w:cs="Times New Roman"/>
          <w:noProof/>
          <w:sz w:val="24"/>
          <w:szCs w:val="24"/>
          <w:lang w:val="en-IE"/>
        </w:rPr>
        <w:t xml:space="preserve">104 </w:t>
      </w:r>
      <w:r>
        <w:rPr>
          <w:rFonts w:ascii="Times New Roman" w:eastAsia="Times New Roman" w:hAnsi="Times New Roman" w:cs="Times New Roman"/>
          <w:noProof/>
          <w:sz w:val="24"/>
          <w:szCs w:val="24"/>
          <w:lang w:val="en-IE"/>
        </w:rPr>
        <w:t>complaints</w:t>
      </w:r>
      <w:r w:rsidR="00DB7D87" w:rsidRPr="00746C2C">
        <w:rPr>
          <w:rFonts w:ascii="Times New Roman" w:eastAsia="Times New Roman" w:hAnsi="Times New Roman" w:cs="Times New Roman"/>
          <w:noProof/>
          <w:sz w:val="24"/>
          <w:szCs w:val="24"/>
          <w:vertAlign w:val="superscript"/>
          <w:lang w:val="en-IE"/>
        </w:rPr>
        <w:footnoteReference w:id="16"/>
      </w:r>
      <w:r>
        <w:rPr>
          <w:rFonts w:ascii="Times New Roman" w:eastAsia="Times New Roman" w:hAnsi="Times New Roman" w:cs="Times New Roman"/>
          <w:noProof/>
          <w:sz w:val="24"/>
          <w:szCs w:val="24"/>
          <w:lang w:val="en-IE"/>
        </w:rPr>
        <w:t xml:space="preserve">. The European Ombudsman found instances of maladministration in </w:t>
      </w:r>
      <w:r w:rsidR="00DB7D87">
        <w:rPr>
          <w:rFonts w:ascii="Times New Roman" w:eastAsia="Times New Roman" w:hAnsi="Times New Roman" w:cs="Times New Roman"/>
          <w:noProof/>
          <w:sz w:val="24"/>
          <w:szCs w:val="24"/>
          <w:lang w:val="en-IE"/>
        </w:rPr>
        <w:t xml:space="preserve">eight </w:t>
      </w:r>
      <w:r>
        <w:rPr>
          <w:rFonts w:ascii="Times New Roman" w:eastAsia="Times New Roman" w:hAnsi="Times New Roman" w:cs="Times New Roman"/>
          <w:noProof/>
          <w:sz w:val="24"/>
          <w:szCs w:val="24"/>
          <w:lang w:val="en-IE"/>
        </w:rPr>
        <w:t>cases</w:t>
      </w:r>
      <w:r w:rsidR="009912B3">
        <w:rPr>
          <w:rFonts w:ascii="Times New Roman" w:eastAsia="Times New Roman" w:hAnsi="Times New Roman" w:cs="Times New Roman"/>
          <w:noProof/>
          <w:sz w:val="24"/>
          <w:szCs w:val="24"/>
          <w:lang w:val="en-IE"/>
        </w:rPr>
        <w:t xml:space="preserve"> only, representing 7.6% of all complaints</w:t>
      </w:r>
      <w:r w:rsidR="007D60B6" w:rsidRPr="00746C2C">
        <w:rPr>
          <w:rStyle w:val="FootnoteReference"/>
          <w:rFonts w:ascii="Times New Roman" w:eastAsia="Times New Roman" w:hAnsi="Times New Roman" w:cs="Times New Roman"/>
          <w:noProof/>
          <w:sz w:val="24"/>
          <w:szCs w:val="24"/>
          <w:lang w:val="en-IE"/>
        </w:rPr>
        <w:footnoteReference w:id="17"/>
      </w:r>
      <w:r>
        <w:rPr>
          <w:rFonts w:ascii="Times New Roman" w:eastAsia="Times New Roman" w:hAnsi="Times New Roman" w:cs="Times New Roman"/>
          <w:noProof/>
          <w:sz w:val="24"/>
          <w:szCs w:val="24"/>
          <w:lang w:val="en-IE"/>
        </w:rPr>
        <w:t xml:space="preserve">. The remaining </w:t>
      </w:r>
      <w:r w:rsidR="00DB7D87">
        <w:rPr>
          <w:rFonts w:ascii="Times New Roman" w:eastAsia="Times New Roman" w:hAnsi="Times New Roman" w:cs="Times New Roman"/>
          <w:noProof/>
          <w:sz w:val="24"/>
          <w:szCs w:val="24"/>
          <w:lang w:val="en-IE"/>
        </w:rPr>
        <w:t xml:space="preserve">96 </w:t>
      </w:r>
      <w:r>
        <w:rPr>
          <w:rFonts w:ascii="Times New Roman" w:eastAsia="Times New Roman" w:hAnsi="Times New Roman" w:cs="Times New Roman"/>
          <w:noProof/>
          <w:sz w:val="24"/>
          <w:szCs w:val="24"/>
          <w:lang w:val="en-IE"/>
        </w:rPr>
        <w:t>cases were closed without remarks</w:t>
      </w:r>
      <w:r w:rsidR="00B85485">
        <w:rPr>
          <w:rFonts w:ascii="Times New Roman" w:eastAsia="Times New Roman" w:hAnsi="Times New Roman" w:cs="Times New Roman"/>
          <w:noProof/>
          <w:sz w:val="24"/>
          <w:szCs w:val="24"/>
          <w:lang w:val="en-IE"/>
        </w:rPr>
        <w:t>.</w:t>
      </w:r>
    </w:p>
    <w:p w14:paraId="665B7D87" w14:textId="03A77CCD" w:rsidR="005E2753" w:rsidRPr="00746C2C" w:rsidRDefault="005E2753" w:rsidP="005E2753">
      <w:pPr>
        <w:pStyle w:val="Heading1"/>
        <w:spacing w:before="240"/>
        <w:ind w:left="851" w:hanging="851"/>
        <w:rPr>
          <w:noProof/>
          <w:lang w:val="en-IE"/>
        </w:rPr>
      </w:pPr>
      <w:r w:rsidRPr="00746C2C">
        <w:rPr>
          <w:noProof/>
          <w:lang w:val="en-IE"/>
        </w:rPr>
        <w:t xml:space="preserve"> </w:t>
      </w:r>
      <w:bookmarkStart w:id="23" w:name="_Toc223714992"/>
      <w:r w:rsidRPr="00746C2C">
        <w:rPr>
          <w:noProof/>
          <w:lang w:val="en-IE"/>
        </w:rPr>
        <w:t xml:space="preserve">New </w:t>
      </w:r>
      <w:r w:rsidR="00166632" w:rsidRPr="00746C2C">
        <w:rPr>
          <w:noProof/>
          <w:lang w:val="en-IE"/>
        </w:rPr>
        <w:t>c</w:t>
      </w:r>
      <w:r w:rsidRPr="00746C2C">
        <w:rPr>
          <w:noProof/>
          <w:lang w:val="en-IE"/>
        </w:rPr>
        <w:t>ase</w:t>
      </w:r>
      <w:r w:rsidR="00EF3345" w:rsidRPr="00746C2C">
        <w:rPr>
          <w:noProof/>
          <w:lang w:val="en-IE"/>
        </w:rPr>
        <w:t>-</w:t>
      </w:r>
      <w:r w:rsidR="00166632" w:rsidRPr="00746C2C">
        <w:rPr>
          <w:noProof/>
          <w:lang w:val="en-IE"/>
        </w:rPr>
        <w:t>l</w:t>
      </w:r>
      <w:r w:rsidRPr="00746C2C">
        <w:rPr>
          <w:noProof/>
          <w:lang w:val="en-IE"/>
        </w:rPr>
        <w:t xml:space="preserve">aw on </w:t>
      </w:r>
      <w:r w:rsidR="00166632" w:rsidRPr="00746C2C">
        <w:rPr>
          <w:noProof/>
          <w:lang w:val="en-IE"/>
        </w:rPr>
        <w:t>a</w:t>
      </w:r>
      <w:r w:rsidRPr="00746C2C">
        <w:rPr>
          <w:noProof/>
          <w:lang w:val="en-IE"/>
        </w:rPr>
        <w:t xml:space="preserve">ccess to </w:t>
      </w:r>
      <w:r w:rsidR="00166632" w:rsidRPr="00746C2C">
        <w:rPr>
          <w:noProof/>
          <w:lang w:val="en-IE"/>
        </w:rPr>
        <w:t>d</w:t>
      </w:r>
      <w:r w:rsidRPr="00746C2C">
        <w:rPr>
          <w:noProof/>
          <w:lang w:val="en-IE"/>
        </w:rPr>
        <w:t>ocuments</w:t>
      </w:r>
      <w:bookmarkEnd w:id="23"/>
    </w:p>
    <w:p w14:paraId="5EEB9841" w14:textId="77777777" w:rsidR="005E2753" w:rsidRPr="00746C2C" w:rsidRDefault="005E2753" w:rsidP="005E2753">
      <w:pPr>
        <w:pStyle w:val="Heading2"/>
        <w:numPr>
          <w:ilvl w:val="1"/>
          <w:numId w:val="2"/>
        </w:numPr>
        <w:spacing w:before="240" w:after="0"/>
        <w:ind w:left="851" w:hanging="624"/>
        <w:rPr>
          <w:b w:val="0"/>
          <w:noProof/>
          <w:lang w:val="en-IE"/>
        </w:rPr>
      </w:pPr>
      <w:bookmarkStart w:id="24" w:name="_Toc223714993"/>
      <w:r w:rsidRPr="00746C2C">
        <w:rPr>
          <w:b w:val="0"/>
          <w:noProof/>
          <w:lang w:val="en-IE"/>
        </w:rPr>
        <w:t>The Court of Justice</w:t>
      </w:r>
      <w:bookmarkEnd w:id="24"/>
    </w:p>
    <w:p w14:paraId="5852E12E" w14:textId="6DCB38ED" w:rsidR="006E17BC" w:rsidRPr="00056053" w:rsidRDefault="00056053" w:rsidP="005E2753">
      <w:pPr>
        <w:spacing w:before="240" w:after="0"/>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In 2025, the Court of Justice issued one judgment</w:t>
      </w:r>
      <w:r w:rsidRPr="00746C2C">
        <w:rPr>
          <w:rStyle w:val="FootnoteReference"/>
          <w:rFonts w:ascii="Times New Roman" w:eastAsia="Times New Roman" w:hAnsi="Times New Roman" w:cs="Times New Roman"/>
          <w:noProof/>
          <w:sz w:val="24"/>
          <w:szCs w:val="24"/>
          <w:lang w:val="en-IE"/>
        </w:rPr>
        <w:footnoteReference w:id="18"/>
      </w:r>
      <w:r>
        <w:rPr>
          <w:rFonts w:ascii="Times New Roman" w:eastAsia="Times New Roman" w:hAnsi="Times New Roman" w:cs="Times New Roman"/>
          <w:noProof/>
          <w:sz w:val="24"/>
          <w:szCs w:val="24"/>
          <w:lang w:val="en-IE"/>
        </w:rPr>
        <w:t xml:space="preserve"> and one order</w:t>
      </w:r>
      <w:r w:rsidRPr="00746C2C">
        <w:rPr>
          <w:rStyle w:val="FootnoteReference"/>
          <w:rFonts w:ascii="Times New Roman" w:eastAsia="Times New Roman" w:hAnsi="Times New Roman" w:cs="Times New Roman"/>
          <w:noProof/>
          <w:sz w:val="24"/>
          <w:szCs w:val="24"/>
          <w:lang w:val="en-IE"/>
        </w:rPr>
        <w:footnoteReference w:id="19"/>
      </w:r>
      <w:r>
        <w:rPr>
          <w:rFonts w:ascii="Times New Roman" w:eastAsia="Times New Roman" w:hAnsi="Times New Roman" w:cs="Times New Roman"/>
          <w:noProof/>
          <w:sz w:val="24"/>
          <w:szCs w:val="24"/>
          <w:lang w:val="en-IE"/>
        </w:rPr>
        <w:t xml:space="preserve"> on appeals concerning the right of public access to documents under Regulation (EC) No 1049/2001 where the European Commission was a party to the proceedings.</w:t>
      </w:r>
    </w:p>
    <w:p w14:paraId="0DC8CE4F" w14:textId="3BAFE755" w:rsidR="00897A53" w:rsidRPr="00C140AF" w:rsidRDefault="005434B6" w:rsidP="005E2753">
      <w:pPr>
        <w:spacing w:before="240" w:after="0"/>
        <w:jc w:val="both"/>
        <w:rPr>
          <w:rFonts w:ascii="Times New Roman" w:hAnsi="Times New Roman" w:cs="Times New Roman"/>
          <w:noProof/>
          <w:sz w:val="24"/>
          <w:szCs w:val="24"/>
          <w:lang w:val="en-IE"/>
        </w:rPr>
      </w:pPr>
      <w:r w:rsidRPr="00746C2C">
        <w:rPr>
          <w:rFonts w:ascii="Times New Roman" w:eastAsia="Times New Roman" w:hAnsi="Times New Roman" w:cs="Times New Roman"/>
          <w:noProof/>
          <w:sz w:val="24"/>
          <w:szCs w:val="24"/>
          <w:lang w:val="en-IE"/>
        </w:rPr>
        <w:t xml:space="preserve">It </w:t>
      </w:r>
      <w:r w:rsidRPr="00746C2C">
        <w:rPr>
          <w:rFonts w:ascii="Times New Roman" w:hAnsi="Times New Roman" w:cs="Times New Roman"/>
          <w:noProof/>
          <w:sz w:val="24"/>
          <w:szCs w:val="24"/>
          <w:lang w:val="en-IE"/>
        </w:rPr>
        <w:t xml:space="preserve">dismissed the appeal in </w:t>
      </w:r>
      <w:r w:rsidR="00056053">
        <w:rPr>
          <w:rFonts w:ascii="Times New Roman" w:hAnsi="Times New Roman" w:cs="Times New Roman"/>
          <w:noProof/>
          <w:sz w:val="24"/>
          <w:szCs w:val="24"/>
          <w:lang w:val="en-IE"/>
        </w:rPr>
        <w:t>one</w:t>
      </w:r>
      <w:r w:rsidRPr="00746C2C">
        <w:rPr>
          <w:rFonts w:ascii="Times New Roman" w:hAnsi="Times New Roman" w:cs="Times New Roman"/>
          <w:noProof/>
          <w:sz w:val="24"/>
          <w:szCs w:val="24"/>
          <w:lang w:val="en-IE"/>
        </w:rPr>
        <w:t xml:space="preserve"> case</w:t>
      </w:r>
      <w:r w:rsidRPr="00746C2C">
        <w:rPr>
          <w:rFonts w:ascii="Times New Roman" w:eastAsia="Times New Roman" w:hAnsi="Times New Roman" w:cs="Times New Roman"/>
          <w:noProof/>
          <w:sz w:val="24"/>
          <w:szCs w:val="24"/>
          <w:vertAlign w:val="superscript"/>
          <w:lang w:val="en-IE"/>
        </w:rPr>
        <w:footnoteReference w:id="20"/>
      </w:r>
      <w:r>
        <w:rPr>
          <w:rFonts w:ascii="Times New Roman" w:hAnsi="Times New Roman" w:cs="Times New Roman"/>
          <w:noProof/>
          <w:sz w:val="24"/>
          <w:szCs w:val="24"/>
          <w:lang w:val="en-IE"/>
        </w:rPr>
        <w:t xml:space="preserve">. </w:t>
      </w:r>
      <w:r w:rsidR="002B39A5">
        <w:rPr>
          <w:rFonts w:ascii="Times New Roman" w:hAnsi="Times New Roman" w:cs="Times New Roman"/>
          <w:noProof/>
          <w:sz w:val="24"/>
          <w:szCs w:val="24"/>
          <w:lang w:val="en-IE"/>
        </w:rPr>
        <w:t>In one case</w:t>
      </w:r>
      <w:r w:rsidR="00C140AF" w:rsidRPr="00746C2C">
        <w:rPr>
          <w:rFonts w:ascii="Times New Roman" w:eastAsia="Times New Roman" w:hAnsi="Times New Roman" w:cs="Times New Roman"/>
          <w:noProof/>
          <w:sz w:val="24"/>
          <w:szCs w:val="24"/>
          <w:vertAlign w:val="superscript"/>
          <w:lang w:val="en-IE"/>
        </w:rPr>
        <w:footnoteReference w:id="21"/>
      </w:r>
      <w:r w:rsidR="002B39A5">
        <w:rPr>
          <w:rFonts w:ascii="Times New Roman" w:hAnsi="Times New Roman" w:cs="Times New Roman"/>
          <w:noProof/>
          <w:sz w:val="24"/>
          <w:szCs w:val="24"/>
          <w:lang w:val="en-IE"/>
        </w:rPr>
        <w:t xml:space="preserve">, it </w:t>
      </w:r>
      <w:r w:rsidR="00C140AF" w:rsidRPr="00C140AF">
        <w:rPr>
          <w:rFonts w:ascii="Times New Roman" w:hAnsi="Times New Roman" w:cs="Times New Roman"/>
          <w:noProof/>
          <w:sz w:val="24"/>
          <w:szCs w:val="24"/>
          <w:lang w:val="en-IE"/>
        </w:rPr>
        <w:t>suspended</w:t>
      </w:r>
      <w:r w:rsidR="00C140AF">
        <w:rPr>
          <w:rFonts w:ascii="Times New Roman" w:hAnsi="Times New Roman" w:cs="Times New Roman"/>
          <w:noProof/>
          <w:sz w:val="24"/>
          <w:szCs w:val="24"/>
          <w:lang w:val="en-IE"/>
        </w:rPr>
        <w:t xml:space="preserve"> t</w:t>
      </w:r>
      <w:r w:rsidR="00C140AF" w:rsidRPr="00C140AF">
        <w:rPr>
          <w:rFonts w:ascii="Times New Roman" w:hAnsi="Times New Roman" w:cs="Times New Roman"/>
          <w:noProof/>
          <w:sz w:val="24"/>
          <w:szCs w:val="24"/>
          <w:lang w:val="en-IE"/>
        </w:rPr>
        <w:t xml:space="preserve">he operation of point 2 of the operative part of the judgment of the General Court </w:t>
      </w:r>
      <w:r w:rsidR="00C140AF">
        <w:rPr>
          <w:rFonts w:ascii="Times New Roman" w:hAnsi="Times New Roman" w:cs="Times New Roman"/>
          <w:noProof/>
          <w:sz w:val="24"/>
          <w:szCs w:val="24"/>
          <w:lang w:val="en-IE"/>
        </w:rPr>
        <w:t xml:space="preserve">in Case </w:t>
      </w:r>
      <w:r w:rsidR="00C140AF" w:rsidRPr="00C140AF">
        <w:rPr>
          <w:rFonts w:ascii="Times New Roman" w:hAnsi="Times New Roman" w:cs="Times New Roman"/>
          <w:noProof/>
          <w:sz w:val="24"/>
          <w:szCs w:val="24"/>
          <w:lang w:val="en-IE"/>
        </w:rPr>
        <w:t>T</w:t>
      </w:r>
      <w:r w:rsidR="00C81CC6">
        <w:rPr>
          <w:rFonts w:ascii="Times New Roman" w:hAnsi="Times New Roman" w:cs="Times New Roman"/>
          <w:noProof/>
          <w:sz w:val="24"/>
          <w:szCs w:val="24"/>
          <w:lang w:val="en-IE"/>
        </w:rPr>
        <w:t>-</w:t>
      </w:r>
      <w:r w:rsidR="00C140AF" w:rsidRPr="00C140AF">
        <w:rPr>
          <w:rFonts w:ascii="Times New Roman" w:hAnsi="Times New Roman" w:cs="Times New Roman"/>
          <w:noProof/>
          <w:sz w:val="24"/>
          <w:szCs w:val="24"/>
          <w:lang w:val="en-IE"/>
        </w:rPr>
        <w:t>761/21</w:t>
      </w:r>
      <w:r w:rsidR="00C62C6E">
        <w:rPr>
          <w:rFonts w:ascii="Times New Roman" w:hAnsi="Times New Roman" w:cs="Times New Roman"/>
          <w:noProof/>
          <w:sz w:val="24"/>
          <w:szCs w:val="24"/>
          <w:lang w:val="en-IE"/>
        </w:rPr>
        <w:t xml:space="preserve"> until the</w:t>
      </w:r>
      <w:r w:rsidR="00C62C6E" w:rsidRPr="006D1186">
        <w:rPr>
          <w:noProof/>
        </w:rPr>
        <w:t xml:space="preserve"> </w:t>
      </w:r>
      <w:r w:rsidR="00C62C6E" w:rsidRPr="006D1186">
        <w:rPr>
          <w:rFonts w:ascii="Times New Roman" w:hAnsi="Times New Roman" w:cs="Times New Roman"/>
          <w:noProof/>
          <w:sz w:val="24"/>
          <w:szCs w:val="24"/>
          <w:lang w:val="en-IE"/>
        </w:rPr>
        <w:t xml:space="preserve">delivery of the judgment closing the proceedings on the appeal in Case </w:t>
      </w:r>
      <w:r w:rsidR="00C62C6E">
        <w:rPr>
          <w:rFonts w:ascii="Times New Roman" w:hAnsi="Times New Roman" w:cs="Times New Roman"/>
          <w:noProof/>
          <w:sz w:val="24"/>
          <w:szCs w:val="24"/>
          <w:lang w:val="en-IE"/>
        </w:rPr>
        <w:t>C-</w:t>
      </w:r>
      <w:r w:rsidR="00C62C6E" w:rsidRPr="006D1186">
        <w:rPr>
          <w:rFonts w:ascii="Times New Roman" w:hAnsi="Times New Roman" w:cs="Times New Roman"/>
          <w:noProof/>
          <w:sz w:val="24"/>
          <w:szCs w:val="24"/>
          <w:lang w:val="en-IE"/>
        </w:rPr>
        <w:t>632/24 P</w:t>
      </w:r>
      <w:r w:rsidR="00C62C6E">
        <w:rPr>
          <w:rFonts w:ascii="Times New Roman" w:hAnsi="Times New Roman" w:cs="Times New Roman"/>
          <w:noProof/>
          <w:sz w:val="24"/>
          <w:szCs w:val="24"/>
          <w:lang w:val="en-IE"/>
        </w:rPr>
        <w:t>, following the Commission’s request for interim measures</w:t>
      </w:r>
      <w:r w:rsidR="00184461" w:rsidRPr="00746C2C">
        <w:rPr>
          <w:rFonts w:ascii="Times New Roman" w:eastAsia="Times New Roman" w:hAnsi="Times New Roman" w:cs="Times New Roman"/>
          <w:noProof/>
          <w:sz w:val="24"/>
          <w:szCs w:val="24"/>
          <w:lang w:val="en-IE"/>
        </w:rPr>
        <w:t>.</w:t>
      </w:r>
    </w:p>
    <w:p w14:paraId="77D8D195" w14:textId="25F752B4" w:rsidR="00C303FC" w:rsidRPr="00746C2C" w:rsidRDefault="00C303FC" w:rsidP="00C303FC">
      <w:pPr>
        <w:pStyle w:val="Heading3"/>
        <w:numPr>
          <w:ilvl w:val="2"/>
          <w:numId w:val="2"/>
        </w:numPr>
        <w:tabs>
          <w:tab w:val="clear" w:pos="850"/>
          <w:tab w:val="num" w:pos="1701"/>
        </w:tabs>
        <w:spacing w:before="240" w:after="0"/>
        <w:ind w:left="1702" w:hanging="851"/>
        <w:rPr>
          <w:noProof/>
          <w:lang w:val="en-IE"/>
        </w:rPr>
      </w:pPr>
      <w:bookmarkStart w:id="25" w:name="_Toc223714994"/>
      <w:r w:rsidRPr="00746C2C">
        <w:rPr>
          <w:noProof/>
          <w:lang w:val="en-IE"/>
        </w:rPr>
        <w:t>Clarifications of substantive rules</w:t>
      </w:r>
      <w:bookmarkEnd w:id="25"/>
    </w:p>
    <w:p w14:paraId="7CC3DDF3" w14:textId="6601AEBE" w:rsidR="00EC4A29" w:rsidRPr="007F1D75" w:rsidRDefault="00C140AF" w:rsidP="005E2753">
      <w:pPr>
        <w:spacing w:before="240" w:after="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2025, the substantive clarifications the Court of Justice</w:t>
      </w:r>
      <w:r w:rsidR="00944E39">
        <w:rPr>
          <w:rFonts w:ascii="Times New Roman" w:hAnsi="Times New Roman" w:cs="Times New Roman"/>
          <w:noProof/>
          <w:sz w:val="24"/>
          <w:szCs w:val="24"/>
          <w:lang w:val="en-IE"/>
        </w:rPr>
        <w:t xml:space="preserve"> issued</w:t>
      </w:r>
      <w:r>
        <w:rPr>
          <w:rFonts w:ascii="Times New Roman" w:hAnsi="Times New Roman" w:cs="Times New Roman"/>
          <w:noProof/>
          <w:sz w:val="24"/>
          <w:szCs w:val="24"/>
          <w:lang w:val="en-IE"/>
        </w:rPr>
        <w:t xml:space="preserve"> revolved around the application of the exception relating to the protection of the decision-making process</w:t>
      </w:r>
      <w:r w:rsidRPr="00746C2C">
        <w:rPr>
          <w:rFonts w:ascii="Times New Roman" w:eastAsia="Times New Roman" w:hAnsi="Times New Roman" w:cs="Times New Roman"/>
          <w:noProof/>
          <w:sz w:val="24"/>
          <w:szCs w:val="24"/>
          <w:vertAlign w:val="superscript"/>
          <w:lang w:val="en-IE"/>
        </w:rPr>
        <w:footnoteReference w:id="22"/>
      </w:r>
      <w:r w:rsidR="00084E37">
        <w:rPr>
          <w:rFonts w:ascii="Times New Roman" w:hAnsi="Times New Roman" w:cs="Times New Roman"/>
          <w:noProof/>
          <w:sz w:val="24"/>
          <w:szCs w:val="24"/>
          <w:lang w:val="en-IE"/>
        </w:rPr>
        <w:t>.</w:t>
      </w:r>
    </w:p>
    <w:p w14:paraId="2F19D6D5" w14:textId="77777777" w:rsidR="005E2753" w:rsidRPr="00746C2C" w:rsidRDefault="005E2753" w:rsidP="005E2753">
      <w:pPr>
        <w:pStyle w:val="Heading2"/>
        <w:numPr>
          <w:ilvl w:val="1"/>
          <w:numId w:val="2"/>
        </w:numPr>
        <w:spacing w:before="240" w:after="0"/>
        <w:ind w:left="851" w:hanging="624"/>
        <w:rPr>
          <w:b w:val="0"/>
          <w:noProof/>
          <w:lang w:val="en-IE"/>
        </w:rPr>
      </w:pPr>
      <w:bookmarkStart w:id="26" w:name="_Toc8824319"/>
      <w:bookmarkStart w:id="27" w:name="_Toc223714995"/>
      <w:r w:rsidRPr="00746C2C">
        <w:rPr>
          <w:b w:val="0"/>
          <w:noProof/>
          <w:lang w:val="en-IE"/>
        </w:rPr>
        <w:t>The General Court</w:t>
      </w:r>
      <w:bookmarkEnd w:id="26"/>
      <w:bookmarkEnd w:id="27"/>
    </w:p>
    <w:p w14:paraId="5F9BBD34" w14:textId="0971534A" w:rsidR="006F4DDF" w:rsidRDefault="00FF4967" w:rsidP="005E2753">
      <w:pPr>
        <w:spacing w:before="240" w:after="0"/>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In 2025, the General Court issued six judgments</w:t>
      </w:r>
      <w:r w:rsidR="00C371F8" w:rsidRPr="00746C2C">
        <w:rPr>
          <w:rFonts w:ascii="Times New Roman" w:eastAsia="Times New Roman" w:hAnsi="Times New Roman" w:cs="Times New Roman"/>
          <w:noProof/>
          <w:sz w:val="24"/>
          <w:szCs w:val="24"/>
          <w:vertAlign w:val="superscript"/>
          <w:lang w:val="en-IE"/>
        </w:rPr>
        <w:footnoteReference w:id="23"/>
      </w:r>
      <w:r>
        <w:rPr>
          <w:rFonts w:ascii="Times New Roman" w:eastAsia="Times New Roman" w:hAnsi="Times New Roman" w:cs="Times New Roman"/>
          <w:noProof/>
          <w:sz w:val="24"/>
          <w:szCs w:val="24"/>
          <w:lang w:val="en-IE"/>
        </w:rPr>
        <w:t xml:space="preserve"> and 12 orders</w:t>
      </w:r>
      <w:r w:rsidR="00C371F8" w:rsidRPr="00746C2C">
        <w:rPr>
          <w:rFonts w:ascii="Times New Roman" w:eastAsia="Times New Roman" w:hAnsi="Times New Roman" w:cs="Times New Roman"/>
          <w:noProof/>
          <w:sz w:val="24"/>
          <w:szCs w:val="24"/>
          <w:vertAlign w:val="superscript"/>
          <w:lang w:val="en-IE"/>
        </w:rPr>
        <w:footnoteReference w:id="24"/>
      </w:r>
      <w:r>
        <w:rPr>
          <w:rFonts w:ascii="Times New Roman" w:eastAsia="Times New Roman" w:hAnsi="Times New Roman" w:cs="Times New Roman"/>
          <w:noProof/>
          <w:sz w:val="24"/>
          <w:szCs w:val="24"/>
          <w:lang w:val="en-IE"/>
        </w:rPr>
        <w:t xml:space="preserve"> </w:t>
      </w:r>
      <w:r w:rsidR="00C371F8" w:rsidRPr="00FF4967">
        <w:rPr>
          <w:rFonts w:ascii="Times New Roman" w:eastAsia="Times New Roman" w:hAnsi="Times New Roman" w:cs="Times New Roman"/>
          <w:noProof/>
          <w:sz w:val="24"/>
          <w:szCs w:val="24"/>
          <w:lang w:val="en-IE"/>
        </w:rPr>
        <w:t>concerning the right of public access to documents under Regulation (EC) No 1049/2001</w:t>
      </w:r>
      <w:r w:rsidR="00C371F8">
        <w:rPr>
          <w:rFonts w:ascii="Times New Roman" w:eastAsia="Times New Roman" w:hAnsi="Times New Roman" w:cs="Times New Roman"/>
          <w:noProof/>
          <w:sz w:val="24"/>
          <w:szCs w:val="24"/>
          <w:lang w:val="en-IE"/>
        </w:rPr>
        <w:t xml:space="preserve"> where the European Commission was a party to the proceedings</w:t>
      </w:r>
      <w:r w:rsidRPr="00FF4967">
        <w:rPr>
          <w:rFonts w:ascii="Times New Roman" w:eastAsia="Times New Roman" w:hAnsi="Times New Roman" w:cs="Times New Roman"/>
          <w:noProof/>
          <w:sz w:val="24"/>
          <w:szCs w:val="24"/>
          <w:lang w:val="en-IE"/>
        </w:rPr>
        <w:t>.</w:t>
      </w:r>
    </w:p>
    <w:p w14:paraId="2C97B204" w14:textId="5442F1D2" w:rsidR="00977980" w:rsidRDefault="00977980" w:rsidP="005E2753">
      <w:pPr>
        <w:spacing w:before="240" w:after="0"/>
        <w:jc w:val="both"/>
        <w:rPr>
          <w:rFonts w:ascii="Times New Roman" w:hAnsi="Times New Roman" w:cs="Times New Roman"/>
          <w:noProof/>
          <w:sz w:val="24"/>
          <w:szCs w:val="24"/>
          <w:lang w:val="en-IE"/>
        </w:rPr>
      </w:pPr>
      <w:r w:rsidRPr="00746C2C">
        <w:rPr>
          <w:rFonts w:ascii="Times New Roman" w:eastAsia="Times New Roman" w:hAnsi="Times New Roman" w:cs="Times New Roman"/>
          <w:noProof/>
          <w:sz w:val="24"/>
          <w:szCs w:val="24"/>
          <w:lang w:val="en-IE"/>
        </w:rPr>
        <w:t xml:space="preserve">The action for annulment was dismissed in </w:t>
      </w:r>
      <w:r w:rsidR="0041312C">
        <w:rPr>
          <w:rFonts w:ascii="Times New Roman" w:eastAsia="Times New Roman" w:hAnsi="Times New Roman" w:cs="Times New Roman"/>
          <w:noProof/>
          <w:sz w:val="24"/>
          <w:szCs w:val="24"/>
          <w:lang w:val="en-IE"/>
        </w:rPr>
        <w:t xml:space="preserve">two </w:t>
      </w:r>
      <w:r w:rsidRPr="00746C2C">
        <w:rPr>
          <w:rFonts w:ascii="Times New Roman" w:eastAsia="Times New Roman" w:hAnsi="Times New Roman" w:cs="Times New Roman"/>
          <w:noProof/>
          <w:sz w:val="24"/>
          <w:szCs w:val="24"/>
          <w:lang w:val="en-IE"/>
        </w:rPr>
        <w:t>case</w:t>
      </w:r>
      <w:r w:rsidR="0041312C">
        <w:rPr>
          <w:rFonts w:ascii="Times New Roman" w:eastAsia="Times New Roman" w:hAnsi="Times New Roman" w:cs="Times New Roman"/>
          <w:noProof/>
          <w:sz w:val="24"/>
          <w:szCs w:val="24"/>
          <w:lang w:val="en-IE"/>
        </w:rPr>
        <w:t>s</w:t>
      </w:r>
      <w:r w:rsidRPr="00746C2C">
        <w:rPr>
          <w:rStyle w:val="FootnoteReference"/>
          <w:rFonts w:ascii="Times New Roman" w:eastAsia="Times New Roman" w:hAnsi="Times New Roman" w:cs="Times New Roman"/>
          <w:noProof/>
          <w:sz w:val="24"/>
          <w:szCs w:val="24"/>
          <w:lang w:val="en-IE"/>
        </w:rPr>
        <w:footnoteReference w:id="25"/>
      </w:r>
      <w:r w:rsidRPr="00746C2C">
        <w:rPr>
          <w:rFonts w:ascii="Times New Roman" w:eastAsia="Times New Roman" w:hAnsi="Times New Roman" w:cs="Times New Roman"/>
          <w:noProof/>
          <w:sz w:val="24"/>
          <w:szCs w:val="24"/>
          <w:lang w:val="en-IE"/>
        </w:rPr>
        <w:t>.</w:t>
      </w:r>
      <w:r>
        <w:rPr>
          <w:rFonts w:ascii="Times New Roman" w:eastAsia="Times New Roman" w:hAnsi="Times New Roman" w:cs="Times New Roman"/>
          <w:noProof/>
          <w:sz w:val="24"/>
          <w:szCs w:val="24"/>
          <w:lang w:val="en-IE"/>
        </w:rPr>
        <w:t xml:space="preserve"> In three cases, </w:t>
      </w:r>
      <w:r w:rsidRPr="00746C2C">
        <w:rPr>
          <w:rFonts w:ascii="Times New Roman" w:eastAsia="Times New Roman" w:hAnsi="Times New Roman" w:cs="Times New Roman"/>
          <w:noProof/>
          <w:sz w:val="24"/>
          <w:szCs w:val="24"/>
          <w:lang w:val="en-IE"/>
        </w:rPr>
        <w:t>the General Court</w:t>
      </w:r>
      <w:r>
        <w:rPr>
          <w:rFonts w:ascii="Times New Roman" w:eastAsia="Times New Roman" w:hAnsi="Times New Roman" w:cs="Times New Roman"/>
          <w:noProof/>
          <w:sz w:val="24"/>
          <w:szCs w:val="24"/>
          <w:lang w:val="en-IE"/>
        </w:rPr>
        <w:t xml:space="preserve"> partially </w:t>
      </w:r>
      <w:r w:rsidRPr="002B39A5">
        <w:rPr>
          <w:rFonts w:ascii="Times New Roman" w:hAnsi="Times New Roman" w:cs="Times New Roman"/>
          <w:noProof/>
          <w:sz w:val="24"/>
          <w:szCs w:val="24"/>
          <w:lang w:val="en-IE"/>
        </w:rPr>
        <w:t>annulled the decision of the European Commission</w:t>
      </w:r>
      <w:r>
        <w:rPr>
          <w:rFonts w:ascii="Times New Roman" w:hAnsi="Times New Roman" w:cs="Times New Roman"/>
          <w:noProof/>
          <w:sz w:val="24"/>
          <w:szCs w:val="24"/>
          <w:lang w:val="en-IE"/>
        </w:rPr>
        <w:t xml:space="preserve"> and d</w:t>
      </w:r>
      <w:r w:rsidRPr="00C64F74">
        <w:rPr>
          <w:rFonts w:ascii="Times New Roman" w:hAnsi="Times New Roman" w:cs="Times New Roman"/>
          <w:noProof/>
          <w:sz w:val="24"/>
          <w:szCs w:val="24"/>
          <w:lang w:val="en-IE"/>
        </w:rPr>
        <w:t>ismisse</w:t>
      </w:r>
      <w:r>
        <w:rPr>
          <w:rFonts w:ascii="Times New Roman" w:hAnsi="Times New Roman" w:cs="Times New Roman"/>
          <w:noProof/>
          <w:sz w:val="24"/>
          <w:szCs w:val="24"/>
          <w:lang w:val="en-IE"/>
        </w:rPr>
        <w:t>d</w:t>
      </w:r>
      <w:r w:rsidRPr="00C64F74">
        <w:rPr>
          <w:rFonts w:ascii="Times New Roman" w:hAnsi="Times New Roman" w:cs="Times New Roman"/>
          <w:noProof/>
          <w:sz w:val="24"/>
          <w:szCs w:val="24"/>
          <w:lang w:val="en-IE"/>
        </w:rPr>
        <w:t xml:space="preserve"> the action as to the remainder</w:t>
      </w:r>
      <w:r w:rsidRPr="00746C2C">
        <w:rPr>
          <w:rStyle w:val="FootnoteReference"/>
          <w:rFonts w:ascii="Times New Roman" w:eastAsia="Times New Roman" w:hAnsi="Times New Roman" w:cs="Times New Roman"/>
          <w:noProof/>
          <w:sz w:val="24"/>
          <w:szCs w:val="24"/>
          <w:lang w:val="en-IE"/>
        </w:rPr>
        <w:footnoteReference w:id="26"/>
      </w:r>
      <w:r>
        <w:rPr>
          <w:rFonts w:ascii="Times New Roman" w:hAnsi="Times New Roman" w:cs="Times New Roman"/>
          <w:noProof/>
          <w:sz w:val="24"/>
          <w:szCs w:val="24"/>
          <w:lang w:val="en-IE"/>
        </w:rPr>
        <w:t>.</w:t>
      </w:r>
      <w:r w:rsidR="00FF4D5B">
        <w:rPr>
          <w:rFonts w:ascii="Times New Roman" w:hAnsi="Times New Roman" w:cs="Times New Roman"/>
          <w:noProof/>
          <w:sz w:val="24"/>
          <w:szCs w:val="24"/>
          <w:lang w:val="en-IE"/>
        </w:rPr>
        <w:t xml:space="preserve"> </w:t>
      </w:r>
      <w:r w:rsidR="00FF4D5B">
        <w:rPr>
          <w:rFonts w:ascii="Times New Roman" w:eastAsia="Times New Roman" w:hAnsi="Times New Roman" w:cs="Times New Roman"/>
          <w:noProof/>
          <w:sz w:val="24"/>
          <w:szCs w:val="24"/>
          <w:lang w:val="en-IE"/>
        </w:rPr>
        <w:t>In two cases, i</w:t>
      </w:r>
      <w:r w:rsidR="00FF4D5B" w:rsidRPr="00746C2C">
        <w:rPr>
          <w:rFonts w:ascii="Times New Roman" w:eastAsia="Times New Roman" w:hAnsi="Times New Roman" w:cs="Times New Roman"/>
          <w:noProof/>
          <w:sz w:val="24"/>
          <w:szCs w:val="24"/>
          <w:lang w:val="en-IE"/>
        </w:rPr>
        <w:t>t</w:t>
      </w:r>
      <w:r w:rsidR="00FF4D5B">
        <w:rPr>
          <w:rFonts w:ascii="Times New Roman" w:eastAsia="Times New Roman" w:hAnsi="Times New Roman" w:cs="Times New Roman"/>
          <w:noProof/>
          <w:sz w:val="24"/>
          <w:szCs w:val="24"/>
          <w:lang w:val="en-IE"/>
        </w:rPr>
        <w:t xml:space="preserve"> </w:t>
      </w:r>
      <w:r w:rsidR="00FF4D5B" w:rsidRPr="002B39A5">
        <w:rPr>
          <w:rFonts w:ascii="Times New Roman" w:hAnsi="Times New Roman" w:cs="Times New Roman"/>
          <w:noProof/>
          <w:sz w:val="24"/>
          <w:szCs w:val="24"/>
          <w:lang w:val="en-IE"/>
        </w:rPr>
        <w:t>annulled the decision of the European Commission</w:t>
      </w:r>
      <w:r w:rsidR="00FF4D5B" w:rsidRPr="00746C2C">
        <w:rPr>
          <w:rStyle w:val="FootnoteReference"/>
          <w:rFonts w:ascii="Times New Roman" w:eastAsia="Times New Roman" w:hAnsi="Times New Roman" w:cs="Times New Roman"/>
          <w:noProof/>
          <w:sz w:val="24"/>
          <w:szCs w:val="24"/>
          <w:lang w:val="en-IE"/>
        </w:rPr>
        <w:footnoteReference w:id="27"/>
      </w:r>
      <w:r w:rsidR="00FF4D5B">
        <w:rPr>
          <w:rFonts w:ascii="Times New Roman" w:hAnsi="Times New Roman" w:cs="Times New Roman"/>
          <w:noProof/>
          <w:sz w:val="24"/>
          <w:szCs w:val="24"/>
          <w:lang w:val="en-IE"/>
        </w:rPr>
        <w:t>.</w:t>
      </w:r>
    </w:p>
    <w:p w14:paraId="73A99864" w14:textId="55AE2E31" w:rsidR="005E2753" w:rsidRPr="00C81CC6" w:rsidRDefault="0041312C" w:rsidP="005E2753">
      <w:pPr>
        <w:spacing w:before="240" w:after="0"/>
        <w:jc w:val="both"/>
        <w:rPr>
          <w:rFonts w:ascii="Times New Roman" w:eastAsia="Times New Roman" w:hAnsi="Times New Roman" w:cs="Times New Roman"/>
          <w:noProof/>
          <w:sz w:val="24"/>
          <w:szCs w:val="24"/>
        </w:rPr>
      </w:pPr>
      <w:r w:rsidRPr="002F0A8B">
        <w:rPr>
          <w:rFonts w:ascii="Times New Roman" w:hAnsi="Times New Roman" w:cs="Times New Roman"/>
          <w:noProof/>
          <w:sz w:val="24"/>
          <w:szCs w:val="24"/>
          <w:lang w:val="en-IE"/>
        </w:rPr>
        <w:t xml:space="preserve">In </w:t>
      </w:r>
      <w:r>
        <w:rPr>
          <w:rFonts w:ascii="Times New Roman" w:hAnsi="Times New Roman" w:cs="Times New Roman"/>
          <w:noProof/>
          <w:sz w:val="24"/>
          <w:szCs w:val="24"/>
          <w:lang w:val="en-IE"/>
        </w:rPr>
        <w:t xml:space="preserve">five </w:t>
      </w:r>
      <w:r w:rsidRPr="002F0A8B">
        <w:rPr>
          <w:rFonts w:ascii="Times New Roman" w:hAnsi="Times New Roman" w:cs="Times New Roman"/>
          <w:noProof/>
          <w:sz w:val="24"/>
          <w:szCs w:val="24"/>
          <w:lang w:val="en-IE"/>
        </w:rPr>
        <w:t>case</w:t>
      </w:r>
      <w:r>
        <w:rPr>
          <w:rFonts w:ascii="Times New Roman" w:hAnsi="Times New Roman" w:cs="Times New Roman"/>
          <w:noProof/>
          <w:sz w:val="24"/>
          <w:szCs w:val="24"/>
          <w:lang w:val="en-IE"/>
        </w:rPr>
        <w:t>s</w:t>
      </w:r>
      <w:r w:rsidRPr="002F0A8B">
        <w:rPr>
          <w:rFonts w:ascii="Times New Roman" w:hAnsi="Times New Roman" w:cs="Times New Roman"/>
          <w:noProof/>
          <w:sz w:val="24"/>
          <w:szCs w:val="24"/>
          <w:lang w:val="en-IE"/>
        </w:rPr>
        <w:t>, it declared that there was no longer any need to adjudicate</w:t>
      </w:r>
      <w:r w:rsidRPr="00746C2C">
        <w:rPr>
          <w:rStyle w:val="FootnoteReference"/>
          <w:rFonts w:ascii="Times New Roman" w:eastAsia="Times New Roman" w:hAnsi="Times New Roman" w:cs="Times New Roman"/>
          <w:noProof/>
          <w:sz w:val="24"/>
          <w:szCs w:val="24"/>
          <w:lang w:val="en-IE"/>
        </w:rPr>
        <w:footnoteReference w:id="28"/>
      </w:r>
      <w:r>
        <w:rPr>
          <w:rFonts w:ascii="Times New Roman" w:hAnsi="Times New Roman" w:cs="Times New Roman"/>
          <w:noProof/>
          <w:sz w:val="24"/>
          <w:szCs w:val="24"/>
          <w:lang w:val="en-IE"/>
        </w:rPr>
        <w:t>. In two cases, it</w:t>
      </w:r>
      <w:r w:rsidRPr="00746C2C">
        <w:rPr>
          <w:rFonts w:ascii="Times New Roman" w:eastAsia="Times New Roman" w:hAnsi="Times New Roman" w:cs="Times New Roman"/>
          <w:noProof/>
          <w:sz w:val="24"/>
          <w:szCs w:val="24"/>
          <w:lang w:val="en-IE"/>
        </w:rPr>
        <w:t xml:space="preserve"> ordered the removal of the case from the Register of the General Court</w:t>
      </w:r>
      <w:r w:rsidRPr="00746C2C">
        <w:rPr>
          <w:rStyle w:val="FootnoteReference"/>
          <w:rFonts w:ascii="Times New Roman" w:eastAsia="Times New Roman" w:hAnsi="Times New Roman" w:cs="Times New Roman"/>
          <w:noProof/>
          <w:sz w:val="24"/>
          <w:szCs w:val="24"/>
          <w:lang w:val="en-IE"/>
        </w:rPr>
        <w:footnoteReference w:id="29"/>
      </w:r>
      <w:r>
        <w:rPr>
          <w:rFonts w:ascii="Times New Roman" w:eastAsia="Times New Roman" w:hAnsi="Times New Roman" w:cs="Times New Roman"/>
          <w:noProof/>
          <w:sz w:val="24"/>
          <w:szCs w:val="24"/>
          <w:lang w:val="en-IE"/>
        </w:rPr>
        <w:t>.</w:t>
      </w:r>
      <w:r w:rsidR="002163C2">
        <w:rPr>
          <w:rFonts w:ascii="Times New Roman" w:eastAsia="Times New Roman" w:hAnsi="Times New Roman" w:cs="Times New Roman"/>
          <w:noProof/>
          <w:sz w:val="24"/>
          <w:szCs w:val="24"/>
          <w:lang w:val="en-IE"/>
        </w:rPr>
        <w:t xml:space="preserve"> </w:t>
      </w:r>
      <w:r>
        <w:rPr>
          <w:rFonts w:ascii="Times New Roman" w:eastAsia="Times New Roman" w:hAnsi="Times New Roman" w:cs="Times New Roman"/>
          <w:noProof/>
          <w:sz w:val="24"/>
          <w:szCs w:val="24"/>
          <w:lang w:val="en-IE"/>
        </w:rPr>
        <w:t>In one case</w:t>
      </w:r>
      <w:r w:rsidR="002163C2">
        <w:rPr>
          <w:rFonts w:ascii="Times New Roman" w:eastAsia="Times New Roman" w:hAnsi="Times New Roman" w:cs="Times New Roman"/>
          <w:noProof/>
          <w:sz w:val="24"/>
          <w:szCs w:val="24"/>
        </w:rPr>
        <w:t>, it dismissed t</w:t>
      </w:r>
      <w:r w:rsidR="002163C2" w:rsidRPr="002163C2">
        <w:rPr>
          <w:rFonts w:ascii="Times New Roman" w:eastAsia="Times New Roman" w:hAnsi="Times New Roman" w:cs="Times New Roman"/>
          <w:noProof/>
          <w:sz w:val="24"/>
          <w:szCs w:val="24"/>
        </w:rPr>
        <w:t xml:space="preserve">he action partly </w:t>
      </w:r>
      <w:r w:rsidR="00F629C1">
        <w:rPr>
          <w:rFonts w:ascii="Times New Roman" w:eastAsia="Times New Roman" w:hAnsi="Times New Roman" w:cs="Times New Roman"/>
          <w:noProof/>
          <w:sz w:val="24"/>
          <w:szCs w:val="24"/>
        </w:rPr>
        <w:t>because</w:t>
      </w:r>
      <w:r w:rsidR="002163C2" w:rsidRPr="002163C2">
        <w:rPr>
          <w:rFonts w:ascii="Times New Roman" w:eastAsia="Times New Roman" w:hAnsi="Times New Roman" w:cs="Times New Roman"/>
          <w:noProof/>
          <w:sz w:val="24"/>
          <w:szCs w:val="24"/>
        </w:rPr>
        <w:t xml:space="preserve"> of </w:t>
      </w:r>
      <w:r w:rsidR="00F629C1">
        <w:rPr>
          <w:rFonts w:ascii="Times New Roman" w:eastAsia="Times New Roman" w:hAnsi="Times New Roman" w:cs="Times New Roman"/>
          <w:noProof/>
          <w:sz w:val="24"/>
          <w:szCs w:val="24"/>
        </w:rPr>
        <w:t xml:space="preserve">the </w:t>
      </w:r>
      <w:r w:rsidR="002163C2" w:rsidRPr="002163C2">
        <w:rPr>
          <w:rFonts w:ascii="Times New Roman" w:eastAsia="Times New Roman" w:hAnsi="Times New Roman" w:cs="Times New Roman"/>
          <w:noProof/>
          <w:sz w:val="24"/>
          <w:szCs w:val="24"/>
        </w:rPr>
        <w:t>manifest lack of jurisdiction and partly as manifestly inadmissible</w:t>
      </w:r>
      <w:r w:rsidR="002163C2" w:rsidRPr="00746C2C">
        <w:rPr>
          <w:rStyle w:val="FootnoteReference"/>
          <w:rFonts w:ascii="Times New Roman" w:eastAsia="Times New Roman" w:hAnsi="Times New Roman" w:cs="Times New Roman"/>
          <w:noProof/>
          <w:sz w:val="24"/>
          <w:szCs w:val="24"/>
          <w:lang w:val="en-IE"/>
        </w:rPr>
        <w:footnoteReference w:id="30"/>
      </w:r>
      <w:r w:rsidR="002163C2" w:rsidRPr="002163C2">
        <w:rPr>
          <w:rFonts w:ascii="Times New Roman" w:eastAsia="Times New Roman" w:hAnsi="Times New Roman" w:cs="Times New Roman"/>
          <w:noProof/>
          <w:sz w:val="24"/>
          <w:szCs w:val="24"/>
        </w:rPr>
        <w:t>.</w:t>
      </w:r>
      <w:r w:rsidR="002163C2">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lang w:val="en-IE"/>
        </w:rPr>
        <w:t>In one case</w:t>
      </w:r>
      <w:r w:rsidR="002163C2">
        <w:rPr>
          <w:rFonts w:ascii="Times New Roman" w:eastAsia="Times New Roman" w:hAnsi="Times New Roman" w:cs="Times New Roman"/>
          <w:noProof/>
          <w:sz w:val="24"/>
          <w:szCs w:val="24"/>
          <w:lang w:val="en-IE"/>
        </w:rPr>
        <w:t xml:space="preserve">, it refused </w:t>
      </w:r>
      <w:r w:rsidR="00F629C1">
        <w:rPr>
          <w:rFonts w:ascii="Times New Roman" w:eastAsia="Times New Roman" w:hAnsi="Times New Roman" w:cs="Times New Roman"/>
          <w:noProof/>
          <w:sz w:val="24"/>
          <w:szCs w:val="24"/>
          <w:lang w:val="en-IE"/>
        </w:rPr>
        <w:t>an</w:t>
      </w:r>
      <w:r w:rsidR="002163C2" w:rsidRPr="002163C2">
        <w:rPr>
          <w:rFonts w:ascii="Times New Roman" w:eastAsia="Times New Roman" w:hAnsi="Times New Roman" w:cs="Times New Roman"/>
          <w:noProof/>
          <w:sz w:val="24"/>
          <w:szCs w:val="24"/>
        </w:rPr>
        <w:t xml:space="preserve"> application for interim measures</w:t>
      </w:r>
      <w:r w:rsidR="002163C2" w:rsidRPr="00746C2C">
        <w:rPr>
          <w:rStyle w:val="FootnoteReference"/>
          <w:rFonts w:ascii="Times New Roman" w:eastAsia="Times New Roman" w:hAnsi="Times New Roman" w:cs="Times New Roman"/>
          <w:noProof/>
          <w:sz w:val="24"/>
          <w:szCs w:val="24"/>
          <w:lang w:val="en-IE"/>
        </w:rPr>
        <w:footnoteReference w:id="31"/>
      </w:r>
      <w:r w:rsidR="002163C2" w:rsidRPr="002163C2">
        <w:rPr>
          <w:rFonts w:ascii="Times New Roman" w:eastAsia="Times New Roman" w:hAnsi="Times New Roman" w:cs="Times New Roman"/>
          <w:noProof/>
          <w:sz w:val="24"/>
          <w:szCs w:val="24"/>
        </w:rPr>
        <w:t>.</w:t>
      </w:r>
      <w:r w:rsidR="002163C2">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lang w:val="en-IE"/>
        </w:rPr>
        <w:t>In one case</w:t>
      </w:r>
      <w:r w:rsidR="002163C2">
        <w:rPr>
          <w:rFonts w:ascii="Times New Roman" w:eastAsia="Times New Roman" w:hAnsi="Times New Roman" w:cs="Times New Roman"/>
          <w:noProof/>
          <w:sz w:val="24"/>
          <w:szCs w:val="24"/>
          <w:lang w:val="en-IE"/>
        </w:rPr>
        <w:t>, it dismissed t</w:t>
      </w:r>
      <w:r w:rsidR="002163C2" w:rsidRPr="002163C2">
        <w:rPr>
          <w:rFonts w:ascii="Times New Roman" w:eastAsia="Times New Roman" w:hAnsi="Times New Roman" w:cs="Times New Roman"/>
          <w:noProof/>
          <w:sz w:val="24"/>
          <w:szCs w:val="24"/>
        </w:rPr>
        <w:t>he action as inadmissible</w:t>
      </w:r>
      <w:r w:rsidR="002163C2" w:rsidRPr="00746C2C">
        <w:rPr>
          <w:rStyle w:val="FootnoteReference"/>
          <w:rFonts w:ascii="Times New Roman" w:eastAsia="Times New Roman" w:hAnsi="Times New Roman" w:cs="Times New Roman"/>
          <w:noProof/>
          <w:sz w:val="24"/>
          <w:szCs w:val="24"/>
          <w:lang w:val="en-IE"/>
        </w:rPr>
        <w:footnoteReference w:id="32"/>
      </w:r>
      <w:r w:rsidR="002163C2" w:rsidRPr="002163C2">
        <w:rPr>
          <w:rFonts w:ascii="Times New Roman" w:eastAsia="Times New Roman" w:hAnsi="Times New Roman" w:cs="Times New Roman"/>
          <w:noProof/>
          <w:sz w:val="24"/>
          <w:szCs w:val="24"/>
        </w:rPr>
        <w:t>.</w:t>
      </w:r>
      <w:r w:rsidR="002163C2">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lang w:val="en-IE"/>
        </w:rPr>
        <w:t>In one case</w:t>
      </w:r>
      <w:r w:rsidR="002163C2">
        <w:rPr>
          <w:rFonts w:ascii="Times New Roman" w:eastAsia="Times New Roman" w:hAnsi="Times New Roman" w:cs="Times New Roman"/>
          <w:noProof/>
          <w:sz w:val="24"/>
          <w:szCs w:val="24"/>
          <w:lang w:val="en-IE"/>
        </w:rPr>
        <w:t xml:space="preserve">, </w:t>
      </w:r>
      <w:r w:rsidR="002163C2" w:rsidRPr="002163C2">
        <w:rPr>
          <w:rFonts w:ascii="Times New Roman" w:eastAsia="Times New Roman" w:hAnsi="Times New Roman" w:cs="Times New Roman"/>
          <w:noProof/>
          <w:sz w:val="24"/>
          <w:szCs w:val="24"/>
          <w:lang w:val="en-IE"/>
        </w:rPr>
        <w:t xml:space="preserve">it declared that </w:t>
      </w:r>
      <w:r w:rsidR="002163C2">
        <w:rPr>
          <w:rFonts w:ascii="Times New Roman" w:eastAsia="Times New Roman" w:hAnsi="Times New Roman" w:cs="Times New Roman"/>
          <w:noProof/>
          <w:sz w:val="24"/>
          <w:szCs w:val="24"/>
          <w:lang w:val="en-IE"/>
        </w:rPr>
        <w:t>t</w:t>
      </w:r>
      <w:r w:rsidR="002163C2" w:rsidRPr="002163C2">
        <w:rPr>
          <w:rFonts w:ascii="Times New Roman" w:eastAsia="Times New Roman" w:hAnsi="Times New Roman" w:cs="Times New Roman"/>
          <w:noProof/>
          <w:sz w:val="24"/>
          <w:szCs w:val="24"/>
        </w:rPr>
        <w:t xml:space="preserve">here </w:t>
      </w:r>
      <w:r w:rsidR="002163C2">
        <w:rPr>
          <w:rFonts w:ascii="Times New Roman" w:eastAsia="Times New Roman" w:hAnsi="Times New Roman" w:cs="Times New Roman"/>
          <w:noProof/>
          <w:sz w:val="24"/>
          <w:szCs w:val="24"/>
        </w:rPr>
        <w:t>wa</w:t>
      </w:r>
      <w:r w:rsidR="002163C2" w:rsidRPr="002163C2">
        <w:rPr>
          <w:rFonts w:ascii="Times New Roman" w:eastAsia="Times New Roman" w:hAnsi="Times New Roman" w:cs="Times New Roman"/>
          <w:noProof/>
          <w:sz w:val="24"/>
          <w:szCs w:val="24"/>
        </w:rPr>
        <w:t xml:space="preserve">s no longer any need to adjudicate </w:t>
      </w:r>
      <w:r w:rsidR="002163C2">
        <w:rPr>
          <w:rFonts w:ascii="Times New Roman" w:eastAsia="Times New Roman" w:hAnsi="Times New Roman" w:cs="Times New Roman"/>
          <w:noProof/>
          <w:sz w:val="24"/>
          <w:szCs w:val="24"/>
        </w:rPr>
        <w:t>and dismissed t</w:t>
      </w:r>
      <w:r w:rsidR="002163C2" w:rsidRPr="002163C2">
        <w:rPr>
          <w:rFonts w:ascii="Times New Roman" w:eastAsia="Times New Roman" w:hAnsi="Times New Roman" w:cs="Times New Roman"/>
          <w:noProof/>
          <w:sz w:val="24"/>
          <w:szCs w:val="24"/>
        </w:rPr>
        <w:t>he action as to the remainder</w:t>
      </w:r>
      <w:r w:rsidR="002163C2" w:rsidRPr="00746C2C">
        <w:rPr>
          <w:rStyle w:val="FootnoteReference"/>
          <w:rFonts w:ascii="Times New Roman" w:eastAsia="Times New Roman" w:hAnsi="Times New Roman" w:cs="Times New Roman"/>
          <w:noProof/>
          <w:sz w:val="24"/>
          <w:szCs w:val="24"/>
          <w:lang w:val="en-IE"/>
        </w:rPr>
        <w:footnoteReference w:id="33"/>
      </w:r>
      <w:r w:rsidR="00BD7B2B">
        <w:rPr>
          <w:rFonts w:ascii="Times New Roman" w:eastAsia="Times New Roman" w:hAnsi="Times New Roman" w:cs="Times New Roman"/>
          <w:noProof/>
          <w:sz w:val="24"/>
          <w:szCs w:val="24"/>
          <w:lang w:val="en-IE"/>
        </w:rPr>
        <w:t>.</w:t>
      </w:r>
    </w:p>
    <w:p w14:paraId="0D493E70" w14:textId="1429D616" w:rsidR="00893112" w:rsidRPr="00746C2C" w:rsidRDefault="005E2753" w:rsidP="005E2753">
      <w:pPr>
        <w:pStyle w:val="Heading3"/>
        <w:numPr>
          <w:ilvl w:val="2"/>
          <w:numId w:val="2"/>
        </w:numPr>
        <w:tabs>
          <w:tab w:val="clear" w:pos="850"/>
          <w:tab w:val="num" w:pos="1701"/>
        </w:tabs>
        <w:spacing w:before="240" w:after="0"/>
        <w:ind w:left="1702" w:hanging="851"/>
        <w:rPr>
          <w:noProof/>
          <w:lang w:val="en-IE"/>
        </w:rPr>
      </w:pPr>
      <w:bookmarkStart w:id="28" w:name="_Toc223714996"/>
      <w:r w:rsidRPr="00746C2C">
        <w:rPr>
          <w:noProof/>
          <w:lang w:val="en-IE"/>
        </w:rPr>
        <w:t xml:space="preserve">Clarifications of </w:t>
      </w:r>
      <w:r w:rsidR="00893112" w:rsidRPr="00746C2C">
        <w:rPr>
          <w:noProof/>
          <w:lang w:val="en-IE"/>
        </w:rPr>
        <w:t>substantive</w:t>
      </w:r>
      <w:r w:rsidRPr="00746C2C">
        <w:rPr>
          <w:noProof/>
          <w:lang w:val="en-IE"/>
        </w:rPr>
        <w:t xml:space="preserve"> </w:t>
      </w:r>
      <w:r w:rsidR="00893112" w:rsidRPr="00746C2C">
        <w:rPr>
          <w:noProof/>
          <w:lang w:val="en-IE"/>
        </w:rPr>
        <w:t>rules</w:t>
      </w:r>
      <w:bookmarkEnd w:id="28"/>
    </w:p>
    <w:p w14:paraId="32A7B908" w14:textId="7587FDA0" w:rsidR="00C81CC6" w:rsidRDefault="00C81CC6" w:rsidP="00893112">
      <w:pPr>
        <w:spacing w:before="24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In 2025, the substantive clarifications the General Court</w:t>
      </w:r>
      <w:r w:rsidR="00F629C1">
        <w:rPr>
          <w:rFonts w:ascii="Times New Roman" w:hAnsi="Times New Roman" w:cs="Times New Roman"/>
          <w:noProof/>
          <w:sz w:val="24"/>
          <w:szCs w:val="24"/>
          <w:lang w:val="en-IE"/>
        </w:rPr>
        <w:t xml:space="preserve"> issued</w:t>
      </w:r>
      <w:r>
        <w:rPr>
          <w:rFonts w:ascii="Times New Roman" w:hAnsi="Times New Roman" w:cs="Times New Roman"/>
          <w:noProof/>
          <w:sz w:val="24"/>
          <w:szCs w:val="24"/>
          <w:lang w:val="en-IE"/>
        </w:rPr>
        <w:t xml:space="preserve"> revolved around the application of exceptions relating to the protection of international relations</w:t>
      </w:r>
      <w:r w:rsidRPr="00746C2C">
        <w:rPr>
          <w:rStyle w:val="FootnoteReference"/>
          <w:rFonts w:ascii="Times New Roman" w:eastAsia="Times New Roman" w:hAnsi="Times New Roman" w:cs="Times New Roman"/>
          <w:noProof/>
          <w:sz w:val="24"/>
          <w:szCs w:val="24"/>
          <w:lang w:val="en-IE"/>
        </w:rPr>
        <w:footnoteReference w:id="34"/>
      </w:r>
      <w:r>
        <w:rPr>
          <w:rFonts w:ascii="Times New Roman" w:hAnsi="Times New Roman" w:cs="Times New Roman"/>
          <w:noProof/>
          <w:sz w:val="24"/>
          <w:szCs w:val="24"/>
          <w:lang w:val="en-IE"/>
        </w:rPr>
        <w:t>, of commercial interests</w:t>
      </w:r>
      <w:r w:rsidRPr="00746C2C">
        <w:rPr>
          <w:rStyle w:val="FootnoteReference"/>
          <w:rFonts w:ascii="Times New Roman" w:eastAsia="Times New Roman" w:hAnsi="Times New Roman" w:cs="Times New Roman"/>
          <w:noProof/>
          <w:sz w:val="24"/>
          <w:szCs w:val="24"/>
          <w:lang w:val="en-IE"/>
        </w:rPr>
        <w:footnoteReference w:id="35"/>
      </w:r>
      <w:r>
        <w:rPr>
          <w:rFonts w:ascii="Times New Roman" w:hAnsi="Times New Roman" w:cs="Times New Roman"/>
          <w:noProof/>
          <w:sz w:val="24"/>
          <w:szCs w:val="24"/>
          <w:lang w:val="en-IE"/>
        </w:rPr>
        <w:t xml:space="preserve">, and of </w:t>
      </w:r>
      <w:r w:rsidRPr="00746C2C">
        <w:rPr>
          <w:rFonts w:ascii="Times New Roman" w:hAnsi="Times New Roman" w:cs="Times New Roman"/>
          <w:noProof/>
          <w:sz w:val="24"/>
          <w:szCs w:val="24"/>
          <w:lang w:val="en-IE"/>
        </w:rPr>
        <w:t>the decision-making process</w:t>
      </w:r>
      <w:r w:rsidRPr="00746C2C">
        <w:rPr>
          <w:rStyle w:val="FootnoteReference"/>
          <w:rFonts w:ascii="Times New Roman" w:eastAsia="Times New Roman" w:hAnsi="Times New Roman" w:cs="Times New Roman"/>
          <w:noProof/>
          <w:sz w:val="24"/>
          <w:szCs w:val="24"/>
          <w:lang w:val="en-IE"/>
        </w:rPr>
        <w:footnoteReference w:id="36"/>
      </w:r>
      <w:r>
        <w:rPr>
          <w:rFonts w:ascii="Times New Roman" w:hAnsi="Times New Roman" w:cs="Times New Roman"/>
          <w:noProof/>
          <w:sz w:val="24"/>
          <w:szCs w:val="24"/>
          <w:lang w:val="en-IE"/>
        </w:rPr>
        <w:t>.</w:t>
      </w:r>
    </w:p>
    <w:p w14:paraId="6D307252" w14:textId="3D192BD3" w:rsidR="00893112" w:rsidRPr="00746C2C" w:rsidRDefault="00F1333D" w:rsidP="00893112">
      <w:pPr>
        <w:spacing w:before="240"/>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General Court further clarifi</w:t>
      </w:r>
      <w:r w:rsidR="00F629C1">
        <w:rPr>
          <w:rFonts w:ascii="Times New Roman" w:hAnsi="Times New Roman" w:cs="Times New Roman"/>
          <w:noProof/>
          <w:sz w:val="24"/>
          <w:szCs w:val="24"/>
          <w:lang w:val="en-IE"/>
        </w:rPr>
        <w:t>ed</w:t>
      </w:r>
      <w:r>
        <w:rPr>
          <w:rFonts w:ascii="Times New Roman" w:hAnsi="Times New Roman" w:cs="Times New Roman"/>
          <w:noProof/>
          <w:sz w:val="24"/>
          <w:szCs w:val="24"/>
          <w:lang w:val="en-IE"/>
        </w:rPr>
        <w:t xml:space="preserve"> </w:t>
      </w:r>
      <w:r w:rsidR="00C62C6E">
        <w:rPr>
          <w:rFonts w:ascii="Times New Roman" w:hAnsi="Times New Roman" w:cs="Times New Roman"/>
          <w:noProof/>
          <w:sz w:val="24"/>
          <w:szCs w:val="24"/>
        </w:rPr>
        <w:t xml:space="preserve">the </w:t>
      </w:r>
      <w:r w:rsidR="00C62C6E" w:rsidRPr="007D5311">
        <w:rPr>
          <w:rFonts w:ascii="Times New Roman" w:hAnsi="Times New Roman" w:cs="Times New Roman"/>
          <w:noProof/>
          <w:sz w:val="24"/>
          <w:szCs w:val="24"/>
        </w:rPr>
        <w:t xml:space="preserve">extraction </w:t>
      </w:r>
      <w:r w:rsidR="00C62C6E">
        <w:rPr>
          <w:rFonts w:ascii="Times New Roman" w:hAnsi="Times New Roman" w:cs="Times New Roman"/>
          <w:noProof/>
          <w:sz w:val="24"/>
          <w:szCs w:val="24"/>
        </w:rPr>
        <w:t>and assessment of documents from databases</w:t>
      </w:r>
      <w:r w:rsidRPr="00746C2C">
        <w:rPr>
          <w:rStyle w:val="FootnoteReference"/>
          <w:rFonts w:ascii="Times New Roman" w:eastAsia="Times New Roman" w:hAnsi="Times New Roman" w:cs="Times New Roman"/>
          <w:noProof/>
          <w:sz w:val="24"/>
          <w:szCs w:val="24"/>
          <w:lang w:val="en-IE"/>
        </w:rPr>
        <w:footnoteReference w:id="37"/>
      </w:r>
      <w:r>
        <w:rPr>
          <w:rFonts w:ascii="Times New Roman" w:hAnsi="Times New Roman" w:cs="Times New Roman"/>
          <w:noProof/>
          <w:sz w:val="24"/>
          <w:szCs w:val="24"/>
          <w:lang w:val="en-IE"/>
        </w:rPr>
        <w:t xml:space="preserve"> and</w:t>
      </w:r>
      <w:r w:rsidR="006A16C1">
        <w:rPr>
          <w:rFonts w:ascii="Times New Roman" w:hAnsi="Times New Roman" w:cs="Times New Roman"/>
          <w:noProof/>
          <w:sz w:val="24"/>
          <w:szCs w:val="24"/>
          <w:lang w:val="en-IE"/>
        </w:rPr>
        <w:t xml:space="preserve"> the p</w:t>
      </w:r>
      <w:r w:rsidR="006A16C1" w:rsidRPr="006A16C1">
        <w:rPr>
          <w:rFonts w:ascii="Times New Roman" w:hAnsi="Times New Roman" w:cs="Times New Roman"/>
          <w:noProof/>
          <w:sz w:val="24"/>
          <w:szCs w:val="24"/>
          <w:lang w:val="en-IE"/>
        </w:rPr>
        <w:t xml:space="preserve">resumption of veracity attached to the </w:t>
      </w:r>
      <w:r w:rsidR="006A16C1">
        <w:rPr>
          <w:rFonts w:ascii="Times New Roman" w:hAnsi="Times New Roman" w:cs="Times New Roman"/>
          <w:noProof/>
          <w:sz w:val="24"/>
          <w:szCs w:val="24"/>
          <w:lang w:val="en-IE"/>
        </w:rPr>
        <w:t xml:space="preserve">Commission’s </w:t>
      </w:r>
      <w:r w:rsidR="006A16C1" w:rsidRPr="006A16C1">
        <w:rPr>
          <w:rFonts w:ascii="Times New Roman" w:hAnsi="Times New Roman" w:cs="Times New Roman"/>
          <w:noProof/>
          <w:sz w:val="24"/>
          <w:szCs w:val="24"/>
          <w:lang w:val="en-IE"/>
        </w:rPr>
        <w:t>declaration of non-possession of documents</w:t>
      </w:r>
      <w:r w:rsidRPr="00746C2C">
        <w:rPr>
          <w:rStyle w:val="FootnoteReference"/>
          <w:rFonts w:ascii="Times New Roman" w:eastAsia="Times New Roman" w:hAnsi="Times New Roman" w:cs="Times New Roman"/>
          <w:noProof/>
          <w:sz w:val="24"/>
          <w:szCs w:val="24"/>
          <w:lang w:val="en-IE"/>
        </w:rPr>
        <w:footnoteReference w:id="38"/>
      </w:r>
      <w:r>
        <w:rPr>
          <w:rFonts w:ascii="Times New Roman" w:hAnsi="Times New Roman" w:cs="Times New Roman"/>
          <w:noProof/>
          <w:sz w:val="24"/>
          <w:szCs w:val="24"/>
          <w:lang w:val="en-IE"/>
        </w:rPr>
        <w:t>.</w:t>
      </w:r>
    </w:p>
    <w:p w14:paraId="4C483A60" w14:textId="58CCF825" w:rsidR="005E2753" w:rsidRPr="00746C2C" w:rsidRDefault="00893112" w:rsidP="005E2753">
      <w:pPr>
        <w:pStyle w:val="Heading3"/>
        <w:numPr>
          <w:ilvl w:val="2"/>
          <w:numId w:val="2"/>
        </w:numPr>
        <w:tabs>
          <w:tab w:val="clear" w:pos="850"/>
          <w:tab w:val="num" w:pos="1701"/>
        </w:tabs>
        <w:spacing w:before="240" w:after="0"/>
        <w:ind w:left="1702" w:hanging="851"/>
        <w:rPr>
          <w:noProof/>
          <w:lang w:val="en-IE"/>
        </w:rPr>
      </w:pPr>
      <w:bookmarkStart w:id="29" w:name="_Toc223714997"/>
      <w:r w:rsidRPr="00746C2C">
        <w:rPr>
          <w:noProof/>
          <w:lang w:val="en-IE"/>
        </w:rPr>
        <w:t xml:space="preserve">Clarifications of procedural </w:t>
      </w:r>
      <w:r w:rsidR="005E2753" w:rsidRPr="00746C2C">
        <w:rPr>
          <w:noProof/>
          <w:lang w:val="en-IE"/>
        </w:rPr>
        <w:t>rules</w:t>
      </w:r>
      <w:bookmarkEnd w:id="29"/>
    </w:p>
    <w:p w14:paraId="583F5BF6" w14:textId="2AB473FC" w:rsidR="005E2753" w:rsidRPr="00746C2C" w:rsidRDefault="000E305A" w:rsidP="005E2753">
      <w:pPr>
        <w:spacing w:before="240" w:after="0"/>
        <w:jc w:val="both"/>
        <w:rPr>
          <w:rFonts w:ascii="Times New Roman" w:eastAsia="Times New Roman" w:hAnsi="Times New Roman" w:cs="Times New Roman"/>
          <w:noProof/>
          <w:sz w:val="24"/>
          <w:szCs w:val="24"/>
          <w:lang w:val="en-IE" w:eastAsia="en-GB"/>
        </w:rPr>
      </w:pPr>
      <w:r w:rsidRPr="00746C2C">
        <w:rPr>
          <w:rFonts w:ascii="Times New Roman" w:eastAsia="Times New Roman" w:hAnsi="Times New Roman" w:cs="Times New Roman"/>
          <w:noProof/>
          <w:sz w:val="24"/>
          <w:szCs w:val="24"/>
          <w:lang w:val="en-IE" w:eastAsia="en-GB"/>
        </w:rPr>
        <w:t>The main procedural</w:t>
      </w:r>
      <w:r w:rsidR="0086142B">
        <w:rPr>
          <w:rFonts w:ascii="Times New Roman" w:eastAsia="Times New Roman" w:hAnsi="Times New Roman" w:cs="Times New Roman"/>
          <w:noProof/>
          <w:sz w:val="24"/>
          <w:szCs w:val="24"/>
          <w:lang w:val="en-IE" w:eastAsia="en-GB"/>
        </w:rPr>
        <w:t xml:space="preserve"> </w:t>
      </w:r>
      <w:r w:rsidRPr="00746C2C">
        <w:rPr>
          <w:rFonts w:ascii="Times New Roman" w:eastAsia="Times New Roman" w:hAnsi="Times New Roman" w:cs="Times New Roman"/>
          <w:noProof/>
          <w:sz w:val="24"/>
          <w:szCs w:val="24"/>
          <w:lang w:val="en-IE" w:eastAsia="en-GB"/>
        </w:rPr>
        <w:t xml:space="preserve">issue </w:t>
      </w:r>
      <w:r>
        <w:rPr>
          <w:rFonts w:ascii="Times New Roman" w:eastAsia="Times New Roman" w:hAnsi="Times New Roman" w:cs="Times New Roman"/>
          <w:noProof/>
          <w:sz w:val="24"/>
          <w:szCs w:val="24"/>
          <w:lang w:val="en-IE" w:eastAsia="en-GB"/>
        </w:rPr>
        <w:t xml:space="preserve">the General Court clarified </w:t>
      </w:r>
      <w:r w:rsidRPr="00746C2C">
        <w:rPr>
          <w:rFonts w:ascii="Times New Roman" w:eastAsia="Times New Roman" w:hAnsi="Times New Roman" w:cs="Times New Roman"/>
          <w:noProof/>
          <w:sz w:val="24"/>
          <w:szCs w:val="24"/>
          <w:lang w:val="en-IE" w:eastAsia="en-GB"/>
        </w:rPr>
        <w:t>in 202</w:t>
      </w:r>
      <w:r>
        <w:rPr>
          <w:rFonts w:ascii="Times New Roman" w:eastAsia="Times New Roman" w:hAnsi="Times New Roman" w:cs="Times New Roman"/>
          <w:noProof/>
          <w:sz w:val="24"/>
          <w:szCs w:val="24"/>
          <w:lang w:val="en-IE" w:eastAsia="en-GB"/>
        </w:rPr>
        <w:t>5</w:t>
      </w:r>
      <w:r w:rsidRPr="00746C2C">
        <w:rPr>
          <w:rFonts w:ascii="Times New Roman" w:eastAsia="Times New Roman" w:hAnsi="Times New Roman" w:cs="Times New Roman"/>
          <w:noProof/>
          <w:sz w:val="24"/>
          <w:szCs w:val="24"/>
          <w:lang w:val="en-IE" w:eastAsia="en-GB"/>
        </w:rPr>
        <w:t xml:space="preserve"> concerned</w:t>
      </w:r>
      <w:r w:rsidR="002C5C35">
        <w:rPr>
          <w:rFonts w:ascii="Times New Roman" w:eastAsia="Times New Roman" w:hAnsi="Times New Roman" w:cs="Times New Roman"/>
          <w:noProof/>
          <w:sz w:val="24"/>
          <w:szCs w:val="24"/>
          <w:lang w:val="en-IE" w:eastAsia="en-GB"/>
        </w:rPr>
        <w:t xml:space="preserve"> </w:t>
      </w:r>
      <w:r w:rsidR="002C5C35" w:rsidRPr="002C5C35">
        <w:rPr>
          <w:rFonts w:ascii="Times New Roman" w:eastAsia="Times New Roman" w:hAnsi="Times New Roman" w:cs="Times New Roman"/>
          <w:noProof/>
          <w:sz w:val="24"/>
          <w:szCs w:val="24"/>
          <w:lang w:val="en-IE" w:eastAsia="en-GB"/>
        </w:rPr>
        <w:t>the Commission’s assessment of third parties’ objections to the disclosure of their documents</w:t>
      </w:r>
      <w:r w:rsidRPr="00746C2C">
        <w:rPr>
          <w:rStyle w:val="FootnoteReference"/>
          <w:rFonts w:ascii="Times New Roman" w:eastAsia="Times New Roman" w:hAnsi="Times New Roman" w:cs="Times New Roman"/>
          <w:noProof/>
          <w:sz w:val="24"/>
          <w:szCs w:val="24"/>
          <w:lang w:val="en-IE"/>
        </w:rPr>
        <w:footnoteReference w:id="39"/>
      </w:r>
      <w:r w:rsidR="003049A9">
        <w:rPr>
          <w:rFonts w:ascii="Times New Roman" w:eastAsia="Times New Roman" w:hAnsi="Times New Roman" w:cs="Times New Roman"/>
          <w:noProof/>
          <w:sz w:val="24"/>
          <w:szCs w:val="24"/>
          <w:lang w:val="en-IE" w:eastAsia="en-GB"/>
        </w:rPr>
        <w:t>.</w:t>
      </w:r>
    </w:p>
    <w:p w14:paraId="11B7D8CB" w14:textId="1410EA27" w:rsidR="005E2753" w:rsidRPr="00746C2C" w:rsidRDefault="005E2753" w:rsidP="005E2753">
      <w:pPr>
        <w:pStyle w:val="Heading2"/>
        <w:numPr>
          <w:ilvl w:val="1"/>
          <w:numId w:val="2"/>
        </w:numPr>
        <w:spacing w:before="240" w:after="0"/>
        <w:ind w:left="851" w:hanging="624"/>
        <w:rPr>
          <w:b w:val="0"/>
          <w:noProof/>
          <w:lang w:val="en-IE"/>
        </w:rPr>
      </w:pPr>
      <w:bookmarkStart w:id="30" w:name="_Toc8824323"/>
      <w:bookmarkStart w:id="31" w:name="_Toc223714998"/>
      <w:r w:rsidRPr="00746C2C">
        <w:rPr>
          <w:b w:val="0"/>
          <w:noProof/>
          <w:lang w:val="en-IE"/>
        </w:rPr>
        <w:t xml:space="preserve">New </w:t>
      </w:r>
      <w:r w:rsidR="00F629C1">
        <w:rPr>
          <w:b w:val="0"/>
          <w:noProof/>
          <w:lang w:val="en-IE"/>
        </w:rPr>
        <w:t>c</w:t>
      </w:r>
      <w:r w:rsidRPr="00746C2C">
        <w:rPr>
          <w:b w:val="0"/>
          <w:noProof/>
          <w:lang w:val="en-IE"/>
        </w:rPr>
        <w:t xml:space="preserve">ourt cases </w:t>
      </w:r>
      <w:r w:rsidR="00F629C1">
        <w:rPr>
          <w:b w:val="0"/>
          <w:noProof/>
          <w:lang w:val="en-IE"/>
        </w:rPr>
        <w:t>brought</w:t>
      </w:r>
      <w:r w:rsidRPr="00746C2C">
        <w:rPr>
          <w:b w:val="0"/>
          <w:noProof/>
          <w:lang w:val="en-IE"/>
        </w:rPr>
        <w:t xml:space="preserve"> against the European Commission</w:t>
      </w:r>
      <w:bookmarkEnd w:id="30"/>
      <w:bookmarkEnd w:id="31"/>
    </w:p>
    <w:p w14:paraId="2EF3CA4E" w14:textId="077F19BF" w:rsidR="0051494B" w:rsidRDefault="0051494B" w:rsidP="005E2753">
      <w:pPr>
        <w:spacing w:before="240" w:after="0"/>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In 2025, </w:t>
      </w:r>
      <w:r w:rsidR="00901B23">
        <w:rPr>
          <w:rFonts w:ascii="Times New Roman" w:eastAsia="Times New Roman" w:hAnsi="Times New Roman" w:cs="Times New Roman"/>
          <w:noProof/>
          <w:sz w:val="24"/>
          <w:szCs w:val="24"/>
          <w:lang w:val="en-IE"/>
        </w:rPr>
        <w:t>19</w:t>
      </w:r>
      <w:r w:rsidR="003A7CEC">
        <w:rPr>
          <w:rFonts w:ascii="Times New Roman" w:eastAsia="Times New Roman" w:hAnsi="Times New Roman" w:cs="Times New Roman"/>
          <w:noProof/>
          <w:sz w:val="24"/>
          <w:szCs w:val="24"/>
          <w:lang w:val="en-IE"/>
        </w:rPr>
        <w:t xml:space="preserve"> </w:t>
      </w:r>
      <w:r w:rsidRPr="00746C2C">
        <w:rPr>
          <w:rFonts w:ascii="Times New Roman" w:eastAsia="Times New Roman" w:hAnsi="Times New Roman" w:cs="Times New Roman"/>
          <w:noProof/>
          <w:sz w:val="24"/>
          <w:szCs w:val="24"/>
          <w:lang w:val="en-IE"/>
        </w:rPr>
        <w:t xml:space="preserve">cases involving the European Commission were brought before the EU </w:t>
      </w:r>
      <w:r w:rsidR="00F629C1">
        <w:rPr>
          <w:rFonts w:ascii="Times New Roman" w:eastAsia="Times New Roman" w:hAnsi="Times New Roman" w:cs="Times New Roman"/>
          <w:noProof/>
          <w:sz w:val="24"/>
          <w:szCs w:val="24"/>
          <w:lang w:val="en-IE"/>
        </w:rPr>
        <w:t>c</w:t>
      </w:r>
      <w:r w:rsidRPr="00746C2C">
        <w:rPr>
          <w:rFonts w:ascii="Times New Roman" w:eastAsia="Times New Roman" w:hAnsi="Times New Roman" w:cs="Times New Roman"/>
          <w:noProof/>
          <w:sz w:val="24"/>
          <w:szCs w:val="24"/>
          <w:lang w:val="en-IE"/>
        </w:rPr>
        <w:t>ourts</w:t>
      </w:r>
      <w:r w:rsidRPr="00FD3A5C">
        <w:rPr>
          <w:rFonts w:ascii="Times New Roman" w:eastAsia="Times New Roman" w:hAnsi="Times New Roman" w:cs="Times New Roman"/>
          <w:noProof/>
          <w:sz w:val="24"/>
          <w:szCs w:val="24"/>
          <w:lang w:val="en-IE"/>
        </w:rPr>
        <w:t xml:space="preserve"> in relation</w:t>
      </w:r>
      <w:r>
        <w:rPr>
          <w:rFonts w:ascii="Times New Roman" w:eastAsia="Times New Roman" w:hAnsi="Times New Roman" w:cs="Times New Roman"/>
          <w:noProof/>
          <w:sz w:val="24"/>
          <w:szCs w:val="24"/>
          <w:lang w:val="en-IE"/>
        </w:rPr>
        <w:t xml:space="preserve"> </w:t>
      </w:r>
      <w:r w:rsidRPr="00FD3A5C">
        <w:rPr>
          <w:rFonts w:ascii="Times New Roman" w:eastAsia="Times New Roman" w:hAnsi="Times New Roman" w:cs="Times New Roman"/>
          <w:noProof/>
          <w:sz w:val="24"/>
          <w:szCs w:val="24"/>
          <w:lang w:val="en-IE"/>
        </w:rPr>
        <w:t>to</w:t>
      </w:r>
      <w:r>
        <w:rPr>
          <w:rFonts w:ascii="Times New Roman" w:eastAsia="Times New Roman" w:hAnsi="Times New Roman" w:cs="Times New Roman"/>
          <w:noProof/>
          <w:sz w:val="24"/>
          <w:szCs w:val="24"/>
          <w:lang w:val="en-IE"/>
        </w:rPr>
        <w:t xml:space="preserve"> </w:t>
      </w:r>
      <w:r w:rsidRPr="00FD3A5C">
        <w:rPr>
          <w:rFonts w:ascii="Times New Roman" w:eastAsia="Times New Roman" w:hAnsi="Times New Roman" w:cs="Times New Roman"/>
          <w:noProof/>
          <w:sz w:val="24"/>
          <w:szCs w:val="24"/>
          <w:lang w:val="en-IE"/>
        </w:rPr>
        <w:t>decisions concerning the right of public access to documents under Regulation (EC) No 1049/2001</w:t>
      </w:r>
      <w:r>
        <w:rPr>
          <w:rFonts w:ascii="Times New Roman" w:eastAsia="Times New Roman" w:hAnsi="Times New Roman" w:cs="Times New Roman"/>
          <w:noProof/>
          <w:sz w:val="24"/>
          <w:szCs w:val="24"/>
          <w:lang w:val="en-IE"/>
        </w:rPr>
        <w:t>.</w:t>
      </w:r>
    </w:p>
    <w:p w14:paraId="550490DA" w14:textId="73DCEBCC" w:rsidR="005E2753" w:rsidRPr="00746C2C" w:rsidRDefault="001E5EFE" w:rsidP="005E2753">
      <w:pPr>
        <w:spacing w:before="240" w:after="0"/>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Of these </w:t>
      </w:r>
      <w:r w:rsidR="00901B23">
        <w:rPr>
          <w:rFonts w:ascii="Times New Roman" w:eastAsia="Times New Roman" w:hAnsi="Times New Roman" w:cs="Times New Roman"/>
          <w:noProof/>
          <w:sz w:val="24"/>
          <w:szCs w:val="24"/>
          <w:lang w:val="en-IE"/>
        </w:rPr>
        <w:t>19</w:t>
      </w:r>
      <w:r>
        <w:rPr>
          <w:rFonts w:ascii="Times New Roman" w:eastAsia="Times New Roman" w:hAnsi="Times New Roman" w:cs="Times New Roman"/>
          <w:noProof/>
          <w:sz w:val="24"/>
          <w:szCs w:val="24"/>
          <w:lang w:val="en-IE"/>
        </w:rPr>
        <w:t xml:space="preserve"> cases, </w:t>
      </w:r>
      <w:r w:rsidR="00901B23">
        <w:rPr>
          <w:rFonts w:ascii="Times New Roman" w:eastAsia="Times New Roman" w:hAnsi="Times New Roman" w:cs="Times New Roman"/>
          <w:noProof/>
          <w:sz w:val="24"/>
          <w:szCs w:val="24"/>
          <w:lang w:val="en-IE"/>
        </w:rPr>
        <w:t>18</w:t>
      </w:r>
      <w:r w:rsidR="00780D09" w:rsidRPr="00746C2C">
        <w:rPr>
          <w:rFonts w:ascii="Times New Roman" w:eastAsia="Times New Roman" w:hAnsi="Times New Roman" w:cs="Times New Roman"/>
          <w:noProof/>
          <w:sz w:val="24"/>
          <w:szCs w:val="24"/>
          <w:lang w:val="en-IE"/>
        </w:rPr>
        <w:t xml:space="preserve"> </w:t>
      </w:r>
      <w:r>
        <w:rPr>
          <w:rFonts w:ascii="Times New Roman" w:eastAsia="Times New Roman" w:hAnsi="Times New Roman" w:cs="Times New Roman"/>
          <w:noProof/>
          <w:sz w:val="24"/>
          <w:szCs w:val="24"/>
          <w:lang w:val="en-IE"/>
        </w:rPr>
        <w:t>were brought</w:t>
      </w:r>
      <w:r w:rsidR="00780D09" w:rsidRPr="00746C2C">
        <w:rPr>
          <w:rFonts w:ascii="Times New Roman" w:eastAsia="Times New Roman" w:hAnsi="Times New Roman" w:cs="Times New Roman"/>
          <w:noProof/>
          <w:sz w:val="24"/>
          <w:szCs w:val="24"/>
          <w:lang w:val="en-IE"/>
        </w:rPr>
        <w:t xml:space="preserve"> before the General Court</w:t>
      </w:r>
      <w:r w:rsidR="00780D09" w:rsidRPr="00746C2C">
        <w:rPr>
          <w:rStyle w:val="FootnoteReference"/>
          <w:rFonts w:ascii="Times New Roman" w:eastAsia="Times New Roman" w:hAnsi="Times New Roman" w:cs="Times New Roman"/>
          <w:noProof/>
          <w:sz w:val="24"/>
          <w:szCs w:val="24"/>
          <w:lang w:val="en-IE"/>
        </w:rPr>
        <w:footnoteReference w:id="40"/>
      </w:r>
      <w:r w:rsidR="00780D09" w:rsidRPr="00746C2C">
        <w:rPr>
          <w:rFonts w:ascii="Times New Roman" w:eastAsia="Times New Roman" w:hAnsi="Times New Roman" w:cs="Times New Roman"/>
          <w:noProof/>
          <w:sz w:val="24"/>
          <w:szCs w:val="24"/>
          <w:lang w:val="en-IE"/>
        </w:rPr>
        <w:t xml:space="preserve">, </w:t>
      </w:r>
      <w:r w:rsidR="006E7CC6">
        <w:rPr>
          <w:rFonts w:ascii="Times New Roman" w:eastAsia="Times New Roman" w:hAnsi="Times New Roman" w:cs="Times New Roman"/>
          <w:noProof/>
          <w:sz w:val="24"/>
          <w:szCs w:val="24"/>
          <w:lang w:val="en-IE"/>
        </w:rPr>
        <w:t>three</w:t>
      </w:r>
      <w:r w:rsidR="004F3934">
        <w:rPr>
          <w:rFonts w:ascii="Times New Roman" w:eastAsia="Times New Roman" w:hAnsi="Times New Roman" w:cs="Times New Roman"/>
          <w:noProof/>
          <w:sz w:val="24"/>
          <w:szCs w:val="24"/>
          <w:lang w:val="en-IE"/>
        </w:rPr>
        <w:t xml:space="preserve"> </w:t>
      </w:r>
      <w:r w:rsidR="00780D09" w:rsidRPr="00746C2C">
        <w:rPr>
          <w:rFonts w:ascii="Times New Roman" w:eastAsia="Times New Roman" w:hAnsi="Times New Roman" w:cs="Times New Roman"/>
          <w:noProof/>
          <w:sz w:val="24"/>
          <w:szCs w:val="24"/>
          <w:lang w:val="en-IE"/>
        </w:rPr>
        <w:t>of which w</w:t>
      </w:r>
      <w:r w:rsidR="006E7CC6">
        <w:rPr>
          <w:rFonts w:ascii="Times New Roman" w:eastAsia="Times New Roman" w:hAnsi="Times New Roman" w:cs="Times New Roman"/>
          <w:noProof/>
          <w:sz w:val="24"/>
          <w:szCs w:val="24"/>
          <w:lang w:val="en-IE"/>
        </w:rPr>
        <w:t>ere</w:t>
      </w:r>
      <w:r w:rsidR="00780D09" w:rsidRPr="00746C2C">
        <w:rPr>
          <w:rFonts w:ascii="Times New Roman" w:eastAsia="Times New Roman" w:hAnsi="Times New Roman" w:cs="Times New Roman"/>
          <w:noProof/>
          <w:sz w:val="24"/>
          <w:szCs w:val="24"/>
          <w:lang w:val="en-IE"/>
        </w:rPr>
        <w:t xml:space="preserve"> </w:t>
      </w:r>
      <w:r w:rsidR="00901B23">
        <w:rPr>
          <w:rFonts w:ascii="Times New Roman" w:eastAsia="Times New Roman" w:hAnsi="Times New Roman" w:cs="Times New Roman"/>
          <w:noProof/>
          <w:sz w:val="24"/>
          <w:szCs w:val="24"/>
          <w:lang w:val="en-IE"/>
        </w:rPr>
        <w:t xml:space="preserve">adjudicated </w:t>
      </w:r>
      <w:r w:rsidR="00780D09" w:rsidRPr="00746C2C">
        <w:rPr>
          <w:rFonts w:ascii="Times New Roman" w:eastAsia="Times New Roman" w:hAnsi="Times New Roman" w:cs="Times New Roman"/>
          <w:noProof/>
          <w:sz w:val="24"/>
          <w:szCs w:val="24"/>
          <w:lang w:val="en-IE"/>
        </w:rPr>
        <w:t>in 202</w:t>
      </w:r>
      <w:r w:rsidR="00901B23">
        <w:rPr>
          <w:rFonts w:ascii="Times New Roman" w:eastAsia="Times New Roman" w:hAnsi="Times New Roman" w:cs="Times New Roman"/>
          <w:noProof/>
          <w:sz w:val="24"/>
          <w:szCs w:val="24"/>
          <w:lang w:val="en-IE"/>
        </w:rPr>
        <w:t>5</w:t>
      </w:r>
      <w:r w:rsidR="00780D09" w:rsidRPr="00746C2C">
        <w:rPr>
          <w:rStyle w:val="FootnoteReference"/>
          <w:rFonts w:ascii="Times New Roman" w:eastAsia="Times New Roman" w:hAnsi="Times New Roman" w:cs="Times New Roman"/>
          <w:noProof/>
          <w:sz w:val="24"/>
          <w:szCs w:val="24"/>
          <w:lang w:val="en-IE"/>
        </w:rPr>
        <w:footnoteReference w:id="41"/>
      </w:r>
      <w:r w:rsidR="00780D09" w:rsidRPr="00746C2C">
        <w:rPr>
          <w:rFonts w:ascii="Times New Roman" w:eastAsia="Times New Roman" w:hAnsi="Times New Roman" w:cs="Times New Roman"/>
          <w:noProof/>
          <w:sz w:val="24"/>
          <w:szCs w:val="24"/>
          <w:lang w:val="en-IE"/>
        </w:rPr>
        <w:t>.</w:t>
      </w:r>
    </w:p>
    <w:p w14:paraId="4D0D167A" w14:textId="2BBCB26E" w:rsidR="00B7024A" w:rsidRPr="00746C2C" w:rsidRDefault="009B2E80" w:rsidP="00A0553F">
      <w:pPr>
        <w:spacing w:before="240" w:after="0"/>
        <w:jc w:val="both"/>
        <w:rPr>
          <w:rFonts w:ascii="Times New Roman" w:eastAsia="Times New Roman" w:hAnsi="Times New Roman" w:cs="Times New Roman"/>
          <w:noProof/>
          <w:sz w:val="24"/>
          <w:szCs w:val="24"/>
          <w:lang w:val="en-IE"/>
        </w:rPr>
      </w:pPr>
      <w:r w:rsidRPr="00746C2C">
        <w:rPr>
          <w:rFonts w:ascii="Times New Roman" w:eastAsia="Times New Roman" w:hAnsi="Times New Roman" w:cs="Times New Roman"/>
          <w:noProof/>
          <w:sz w:val="24"/>
          <w:szCs w:val="24"/>
          <w:lang w:val="en-IE"/>
        </w:rPr>
        <w:t xml:space="preserve">In parallel, </w:t>
      </w:r>
      <w:r w:rsidR="00901B23">
        <w:rPr>
          <w:rFonts w:ascii="Times New Roman" w:eastAsia="Times New Roman" w:hAnsi="Times New Roman" w:cs="Times New Roman"/>
          <w:noProof/>
          <w:sz w:val="24"/>
          <w:szCs w:val="24"/>
          <w:lang w:val="en-IE"/>
        </w:rPr>
        <w:t xml:space="preserve">one </w:t>
      </w:r>
      <w:r w:rsidRPr="00746C2C">
        <w:rPr>
          <w:rFonts w:ascii="Times New Roman" w:eastAsia="Times New Roman" w:hAnsi="Times New Roman" w:cs="Times New Roman"/>
          <w:noProof/>
          <w:sz w:val="24"/>
          <w:szCs w:val="24"/>
          <w:lang w:val="en-IE"/>
        </w:rPr>
        <w:t>appeal w</w:t>
      </w:r>
      <w:r w:rsidR="00901B23">
        <w:rPr>
          <w:rFonts w:ascii="Times New Roman" w:eastAsia="Times New Roman" w:hAnsi="Times New Roman" w:cs="Times New Roman"/>
          <w:noProof/>
          <w:sz w:val="24"/>
          <w:szCs w:val="24"/>
          <w:lang w:val="en-IE"/>
        </w:rPr>
        <w:t>as</w:t>
      </w:r>
      <w:r w:rsidRPr="00746C2C">
        <w:rPr>
          <w:rFonts w:ascii="Times New Roman" w:eastAsia="Times New Roman" w:hAnsi="Times New Roman" w:cs="Times New Roman"/>
          <w:noProof/>
          <w:sz w:val="24"/>
          <w:szCs w:val="24"/>
          <w:lang w:val="en-IE"/>
        </w:rPr>
        <w:t xml:space="preserve"> </w:t>
      </w:r>
      <w:r w:rsidR="001E5EFE">
        <w:rPr>
          <w:rFonts w:ascii="Times New Roman" w:eastAsia="Times New Roman" w:hAnsi="Times New Roman" w:cs="Times New Roman"/>
          <w:noProof/>
          <w:sz w:val="24"/>
          <w:szCs w:val="24"/>
          <w:lang w:val="en-IE"/>
        </w:rPr>
        <w:t>brought</w:t>
      </w:r>
      <w:r w:rsidRPr="00746C2C">
        <w:rPr>
          <w:rFonts w:ascii="Times New Roman" w:eastAsia="Times New Roman" w:hAnsi="Times New Roman" w:cs="Times New Roman"/>
          <w:noProof/>
          <w:sz w:val="24"/>
          <w:szCs w:val="24"/>
          <w:lang w:val="en-IE"/>
        </w:rPr>
        <w:t xml:space="preserve"> before the Court of Justice against</w:t>
      </w:r>
      <w:r w:rsidR="00901B23">
        <w:rPr>
          <w:rFonts w:ascii="Times New Roman" w:eastAsia="Times New Roman" w:hAnsi="Times New Roman" w:cs="Times New Roman"/>
          <w:noProof/>
          <w:sz w:val="24"/>
          <w:szCs w:val="24"/>
          <w:lang w:val="en-IE"/>
        </w:rPr>
        <w:t xml:space="preserve"> a</w:t>
      </w:r>
      <w:r w:rsidRPr="00746C2C">
        <w:rPr>
          <w:rFonts w:ascii="Times New Roman" w:eastAsia="Times New Roman" w:hAnsi="Times New Roman" w:cs="Times New Roman"/>
          <w:noProof/>
          <w:sz w:val="24"/>
          <w:szCs w:val="24"/>
          <w:lang w:val="en-IE"/>
        </w:rPr>
        <w:t xml:space="preserve"> judgment </w:t>
      </w:r>
      <w:r w:rsidR="001E5EFE">
        <w:rPr>
          <w:rFonts w:ascii="Times New Roman" w:eastAsia="Times New Roman" w:hAnsi="Times New Roman" w:cs="Times New Roman"/>
          <w:noProof/>
          <w:sz w:val="24"/>
          <w:szCs w:val="24"/>
          <w:lang w:val="en-IE"/>
        </w:rPr>
        <w:t>issued by</w:t>
      </w:r>
      <w:r w:rsidRPr="00746C2C">
        <w:rPr>
          <w:rFonts w:ascii="Times New Roman" w:eastAsia="Times New Roman" w:hAnsi="Times New Roman" w:cs="Times New Roman"/>
          <w:noProof/>
          <w:sz w:val="24"/>
          <w:szCs w:val="24"/>
          <w:lang w:val="en-IE"/>
        </w:rPr>
        <w:t xml:space="preserve"> the General Court in </w:t>
      </w:r>
      <w:r w:rsidR="00901B23">
        <w:rPr>
          <w:rFonts w:ascii="Times New Roman" w:eastAsia="Times New Roman" w:hAnsi="Times New Roman" w:cs="Times New Roman"/>
          <w:noProof/>
          <w:sz w:val="24"/>
          <w:szCs w:val="24"/>
          <w:lang w:val="en-IE"/>
        </w:rPr>
        <w:t xml:space="preserve">a </w:t>
      </w:r>
      <w:r w:rsidRPr="00746C2C">
        <w:rPr>
          <w:rFonts w:ascii="Times New Roman" w:eastAsia="Times New Roman" w:hAnsi="Times New Roman" w:cs="Times New Roman"/>
          <w:noProof/>
          <w:sz w:val="24"/>
          <w:szCs w:val="24"/>
          <w:lang w:val="en-IE"/>
        </w:rPr>
        <w:t>case where the European Commission was a party to the proceedings</w:t>
      </w:r>
      <w:r w:rsidRPr="00746C2C">
        <w:rPr>
          <w:rStyle w:val="FootnoteReference"/>
          <w:rFonts w:ascii="Times New Roman" w:eastAsia="Times New Roman" w:hAnsi="Times New Roman" w:cs="Times New Roman"/>
          <w:noProof/>
          <w:sz w:val="24"/>
          <w:szCs w:val="24"/>
          <w:lang w:val="en-IE"/>
        </w:rPr>
        <w:footnoteReference w:id="42"/>
      </w:r>
      <w:r w:rsidR="00A478CA" w:rsidRPr="00746C2C">
        <w:rPr>
          <w:rFonts w:ascii="Times New Roman" w:eastAsia="Times New Roman" w:hAnsi="Times New Roman" w:cs="Times New Roman"/>
          <w:noProof/>
          <w:sz w:val="24"/>
          <w:szCs w:val="24"/>
          <w:lang w:val="en-IE"/>
        </w:rPr>
        <w:t>.</w:t>
      </w:r>
    </w:p>
    <w:sectPr w:rsidR="00B7024A" w:rsidRPr="00746C2C" w:rsidSect="00DC1AD1">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56D62" w14:textId="77777777" w:rsidR="007D32EF" w:rsidRDefault="007D32EF" w:rsidP="00B9074F">
      <w:pPr>
        <w:spacing w:after="0" w:line="240" w:lineRule="auto"/>
      </w:pPr>
      <w:r>
        <w:separator/>
      </w:r>
    </w:p>
  </w:endnote>
  <w:endnote w:type="continuationSeparator" w:id="0">
    <w:p w14:paraId="598ECD24" w14:textId="77777777" w:rsidR="007D32EF" w:rsidRDefault="007D32EF" w:rsidP="00B9074F">
      <w:pPr>
        <w:spacing w:after="0" w:line="240" w:lineRule="auto"/>
      </w:pPr>
      <w:r>
        <w:continuationSeparator/>
      </w:r>
    </w:p>
  </w:endnote>
  <w:endnote w:type="continuationNotice" w:id="1">
    <w:p w14:paraId="5A81C141" w14:textId="77777777" w:rsidR="007D32EF" w:rsidRDefault="007D32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D33B5" w14:textId="25254C6C" w:rsidR="00167B6C" w:rsidRPr="00167B6C" w:rsidRDefault="00167B6C" w:rsidP="00167B6C">
    <w:pPr>
      <w:pStyle w:val="FooterCoverPage"/>
      <w:rPr>
        <w:rFonts w:ascii="Arial" w:hAnsi="Arial" w:cs="Arial"/>
        <w:b/>
        <w:sz w:val="48"/>
      </w:rPr>
    </w:pPr>
    <w:r w:rsidRPr="00167B6C">
      <w:rPr>
        <w:rFonts w:ascii="Arial" w:hAnsi="Arial" w:cs="Arial"/>
        <w:b/>
        <w:sz w:val="48"/>
      </w:rPr>
      <w:t>EN</w:t>
    </w:r>
    <w:r w:rsidRPr="00167B6C">
      <w:rPr>
        <w:rFonts w:ascii="Arial" w:hAnsi="Arial" w:cs="Arial"/>
        <w:b/>
        <w:sz w:val="48"/>
      </w:rPr>
      <w:tab/>
    </w:r>
    <w:r w:rsidRPr="00167B6C">
      <w:rPr>
        <w:rFonts w:ascii="Arial" w:hAnsi="Arial" w:cs="Arial"/>
        <w:b/>
        <w:sz w:val="48"/>
      </w:rPr>
      <w:tab/>
    </w:r>
    <w:r w:rsidRPr="00167B6C">
      <w:tab/>
    </w:r>
    <w:r w:rsidRPr="00167B6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30416" w14:textId="6252BB2C" w:rsidR="00167B6C" w:rsidRPr="00167B6C" w:rsidRDefault="00167B6C" w:rsidP="00167B6C">
    <w:pPr>
      <w:pStyle w:val="FooterCoverPage"/>
      <w:rPr>
        <w:rFonts w:ascii="Arial" w:hAnsi="Arial" w:cs="Arial"/>
        <w:b/>
        <w:sz w:val="48"/>
      </w:rPr>
    </w:pPr>
    <w:r w:rsidRPr="00167B6C">
      <w:rPr>
        <w:rFonts w:ascii="Arial" w:hAnsi="Arial" w:cs="Arial"/>
        <w:b/>
        <w:sz w:val="48"/>
      </w:rPr>
      <w:t>EN</w:t>
    </w:r>
    <w:r w:rsidRPr="00167B6C">
      <w:rPr>
        <w:rFonts w:ascii="Arial" w:hAnsi="Arial" w:cs="Arial"/>
        <w:b/>
        <w:sz w:val="48"/>
      </w:rPr>
      <w:tab/>
    </w:r>
    <w:r w:rsidRPr="00167B6C">
      <w:rPr>
        <w:rFonts w:ascii="Arial" w:hAnsi="Arial" w:cs="Arial"/>
        <w:b/>
        <w:sz w:val="48"/>
      </w:rPr>
      <w:tab/>
    </w:r>
    <w:r w:rsidRPr="00167B6C">
      <w:tab/>
    </w:r>
    <w:r w:rsidRPr="00167B6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E16B8" w14:textId="77777777" w:rsidR="00167B6C" w:rsidRPr="00167B6C" w:rsidRDefault="00167B6C" w:rsidP="00167B6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94501" w14:textId="77777777" w:rsidR="008B0271" w:rsidRDefault="008B027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34B1D" w14:textId="33881DEC" w:rsidR="008B0271" w:rsidRPr="003564C7" w:rsidRDefault="00B40556">
    <w:pPr>
      <w:pStyle w:val="Footer"/>
      <w:jc w:val="center"/>
      <w:rPr>
        <w:rFonts w:ascii="Times New Roman" w:hAnsi="Times New Roman" w:cs="Times New Roman"/>
        <w:caps/>
        <w:noProof/>
        <w:color w:val="000000" w:themeColor="text1"/>
      </w:rPr>
    </w:pPr>
    <w:r w:rsidRPr="003564C7">
      <w:rPr>
        <w:rFonts w:ascii="Times New Roman" w:hAnsi="Times New Roman" w:cs="Times New Roman"/>
        <w:caps/>
        <w:color w:val="000000" w:themeColor="text1"/>
      </w:rPr>
      <w:fldChar w:fldCharType="begin"/>
    </w:r>
    <w:r w:rsidRPr="003564C7">
      <w:rPr>
        <w:rFonts w:ascii="Times New Roman" w:hAnsi="Times New Roman" w:cs="Times New Roman"/>
        <w:caps/>
        <w:color w:val="000000" w:themeColor="text1"/>
      </w:rPr>
      <w:instrText xml:space="preserve"> PAGE   \* MERGEFORMAT </w:instrText>
    </w:r>
    <w:r w:rsidRPr="003564C7">
      <w:rPr>
        <w:rFonts w:ascii="Times New Roman" w:hAnsi="Times New Roman" w:cs="Times New Roman"/>
        <w:caps/>
        <w:color w:val="000000" w:themeColor="text1"/>
      </w:rPr>
      <w:fldChar w:fldCharType="separate"/>
    </w:r>
    <w:r w:rsidR="00167B6C">
      <w:rPr>
        <w:rFonts w:ascii="Times New Roman" w:hAnsi="Times New Roman" w:cs="Times New Roman"/>
        <w:caps/>
        <w:noProof/>
        <w:color w:val="000000" w:themeColor="text1"/>
      </w:rPr>
      <w:t>1</w:t>
    </w:r>
    <w:r w:rsidRPr="003564C7">
      <w:rPr>
        <w:rFonts w:ascii="Times New Roman" w:hAnsi="Times New Roman" w:cs="Times New Roman"/>
        <w:caps/>
        <w:noProof/>
        <w:color w:val="000000" w:themeColor="text1"/>
      </w:rPr>
      <w:fldChar w:fldCharType="end"/>
    </w:r>
  </w:p>
  <w:p w14:paraId="11657C04" w14:textId="77777777" w:rsidR="008B0271" w:rsidRDefault="008B027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DD458" w14:textId="77777777" w:rsidR="008B0271" w:rsidRDefault="008B02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172DF8" w14:textId="77777777" w:rsidR="007D32EF" w:rsidRDefault="007D32EF" w:rsidP="00B9074F">
      <w:pPr>
        <w:spacing w:after="0" w:line="240" w:lineRule="auto"/>
      </w:pPr>
      <w:r>
        <w:separator/>
      </w:r>
    </w:p>
  </w:footnote>
  <w:footnote w:type="continuationSeparator" w:id="0">
    <w:p w14:paraId="474A2236" w14:textId="77777777" w:rsidR="007D32EF" w:rsidRDefault="007D32EF" w:rsidP="00B9074F">
      <w:pPr>
        <w:spacing w:after="0" w:line="240" w:lineRule="auto"/>
      </w:pPr>
      <w:r>
        <w:continuationSeparator/>
      </w:r>
    </w:p>
  </w:footnote>
  <w:footnote w:type="continuationNotice" w:id="1">
    <w:p w14:paraId="1E8F8789" w14:textId="77777777" w:rsidR="007D32EF" w:rsidRDefault="007D32EF">
      <w:pPr>
        <w:spacing w:after="0" w:line="240" w:lineRule="auto"/>
      </w:pPr>
    </w:p>
  </w:footnote>
  <w:footnote w:id="2">
    <w:p w14:paraId="6C649ED6" w14:textId="3B11E2BE" w:rsidR="00BC433A" w:rsidRPr="00AA17B1" w:rsidRDefault="00BC433A" w:rsidP="00DC77C9">
      <w:pPr>
        <w:pStyle w:val="FootnoteText"/>
        <w:ind w:left="284" w:hanging="284"/>
        <w:rPr>
          <w:sz w:val="18"/>
          <w:szCs w:val="18"/>
        </w:rPr>
      </w:pPr>
      <w:r w:rsidRPr="00AA17B1">
        <w:rPr>
          <w:rStyle w:val="FootnoteReference"/>
          <w:sz w:val="18"/>
          <w:szCs w:val="18"/>
        </w:rPr>
        <w:footnoteRef/>
      </w:r>
      <w:r>
        <w:rPr>
          <w:sz w:val="18"/>
          <w:szCs w:val="18"/>
        </w:rPr>
        <w:t xml:space="preserve"> </w:t>
      </w:r>
      <w:r w:rsidR="00DC77C9">
        <w:rPr>
          <w:sz w:val="18"/>
          <w:szCs w:val="18"/>
        </w:rPr>
        <w:tab/>
      </w:r>
      <w:r w:rsidRPr="00AA17B1">
        <w:rPr>
          <w:sz w:val="18"/>
          <w:szCs w:val="18"/>
        </w:rPr>
        <w:t>Regulation (EC) No 1049/2001 of the European Parliament and of the Council of 30 May 2001 regarding public access to European Parliament, Council and Commission documents</w:t>
      </w:r>
      <w:r>
        <w:rPr>
          <w:sz w:val="18"/>
          <w:szCs w:val="18"/>
        </w:rPr>
        <w:t>;</w:t>
      </w:r>
      <w:r w:rsidRPr="00AA17B1">
        <w:rPr>
          <w:sz w:val="18"/>
          <w:szCs w:val="18"/>
        </w:rPr>
        <w:t xml:space="preserve"> </w:t>
      </w:r>
      <w:r w:rsidRPr="0059128F">
        <w:rPr>
          <w:sz w:val="18"/>
          <w:szCs w:val="18"/>
        </w:rPr>
        <w:t>OJ L 145, 31.5.2001, p. 43.</w:t>
      </w:r>
    </w:p>
  </w:footnote>
  <w:footnote w:id="3">
    <w:p w14:paraId="0CA64F0C" w14:textId="3B15357C" w:rsidR="00E01F23" w:rsidRPr="00F00C85" w:rsidRDefault="00E01F23" w:rsidP="00DC77C9">
      <w:pPr>
        <w:pStyle w:val="FootnoteText"/>
        <w:ind w:left="284" w:hanging="284"/>
        <w:rPr>
          <w:sz w:val="18"/>
          <w:szCs w:val="18"/>
          <w:lang w:val="en-IE"/>
        </w:rPr>
      </w:pPr>
      <w:r w:rsidRPr="00F00C85">
        <w:rPr>
          <w:rStyle w:val="FootnoteReference"/>
          <w:sz w:val="18"/>
          <w:szCs w:val="18"/>
          <w:lang w:val="en-IE"/>
        </w:rPr>
        <w:footnoteRef/>
      </w:r>
      <w:r w:rsidR="00BC433A">
        <w:rPr>
          <w:sz w:val="18"/>
          <w:szCs w:val="18"/>
          <w:lang w:val="en-IE"/>
        </w:rPr>
        <w:t xml:space="preserve"> </w:t>
      </w:r>
      <w:r w:rsidR="00DC77C9">
        <w:rPr>
          <w:sz w:val="18"/>
          <w:szCs w:val="18"/>
          <w:lang w:val="en-IE"/>
        </w:rPr>
        <w:tab/>
      </w:r>
      <w:r w:rsidR="0025329E" w:rsidRPr="00DC77C9">
        <w:rPr>
          <w:sz w:val="18"/>
          <w:szCs w:val="18"/>
        </w:rPr>
        <w:t>Percentages</w:t>
      </w:r>
      <w:r w:rsidR="0025329E" w:rsidRPr="00E01F23">
        <w:rPr>
          <w:sz w:val="18"/>
          <w:szCs w:val="18"/>
          <w:lang w:val="en-IE"/>
        </w:rPr>
        <w:t xml:space="preserve"> are rounded to the nearest decimal place</w:t>
      </w:r>
      <w:r w:rsidR="0025329E" w:rsidRPr="00F00C85">
        <w:rPr>
          <w:sz w:val="18"/>
          <w:szCs w:val="18"/>
          <w:lang w:val="en-IE"/>
        </w:rPr>
        <w:t>.</w:t>
      </w:r>
      <w:r w:rsidR="0025329E">
        <w:rPr>
          <w:sz w:val="18"/>
          <w:szCs w:val="18"/>
          <w:lang w:val="en-IE"/>
        </w:rPr>
        <w:t xml:space="preserve"> </w:t>
      </w:r>
      <w:r w:rsidR="0025329E" w:rsidRPr="0025329E">
        <w:rPr>
          <w:sz w:val="18"/>
          <w:szCs w:val="18"/>
          <w:lang w:val="en-IE"/>
        </w:rPr>
        <w:t xml:space="preserve">The statistics </w:t>
      </w:r>
      <w:r w:rsidR="0076370F">
        <w:rPr>
          <w:sz w:val="18"/>
          <w:szCs w:val="18"/>
          <w:lang w:val="en-IE"/>
        </w:rPr>
        <w:t>include</w:t>
      </w:r>
      <w:r w:rsidR="00F629C1">
        <w:rPr>
          <w:sz w:val="18"/>
          <w:szCs w:val="18"/>
          <w:lang w:val="en-IE"/>
        </w:rPr>
        <w:t>, among other things</w:t>
      </w:r>
      <w:r w:rsidR="0025329E" w:rsidRPr="0025329E">
        <w:rPr>
          <w:sz w:val="18"/>
          <w:szCs w:val="18"/>
          <w:lang w:val="en-IE"/>
        </w:rPr>
        <w:t xml:space="preserve">, the number of applications received and </w:t>
      </w:r>
      <w:r w:rsidR="00F629C1">
        <w:rPr>
          <w:sz w:val="18"/>
          <w:szCs w:val="18"/>
          <w:lang w:val="en-IE"/>
        </w:rPr>
        <w:t xml:space="preserve">of </w:t>
      </w:r>
      <w:r w:rsidR="0025329E" w:rsidRPr="0025329E">
        <w:rPr>
          <w:sz w:val="18"/>
          <w:szCs w:val="18"/>
          <w:lang w:val="en-IE"/>
        </w:rPr>
        <w:t xml:space="preserve">replies </w:t>
      </w:r>
      <w:r w:rsidR="00F629C1">
        <w:rPr>
          <w:sz w:val="18"/>
          <w:szCs w:val="18"/>
          <w:lang w:val="en-IE"/>
        </w:rPr>
        <w:t>given</w:t>
      </w:r>
      <w:r w:rsidR="0025329E" w:rsidRPr="0025329E">
        <w:rPr>
          <w:sz w:val="18"/>
          <w:szCs w:val="18"/>
          <w:lang w:val="en-IE"/>
        </w:rPr>
        <w:t xml:space="preserve"> in 202</w:t>
      </w:r>
      <w:r w:rsidR="00BC433A">
        <w:rPr>
          <w:sz w:val="18"/>
          <w:szCs w:val="18"/>
          <w:lang w:val="en-IE"/>
        </w:rPr>
        <w:t>5</w:t>
      </w:r>
      <w:r w:rsidR="0025329E">
        <w:rPr>
          <w:sz w:val="18"/>
          <w:szCs w:val="18"/>
          <w:lang w:val="en-IE"/>
        </w:rPr>
        <w:t>.</w:t>
      </w:r>
      <w:r w:rsidR="00BC433A">
        <w:rPr>
          <w:sz w:val="18"/>
          <w:szCs w:val="18"/>
          <w:lang w:val="en-IE"/>
        </w:rPr>
        <w:t xml:space="preserve"> T</w:t>
      </w:r>
      <w:r w:rsidR="0025329E" w:rsidRPr="00F00C85">
        <w:rPr>
          <w:sz w:val="18"/>
          <w:szCs w:val="18"/>
          <w:lang w:val="en-IE"/>
        </w:rPr>
        <w:t xml:space="preserve">he figures in this report and the previous ones may </w:t>
      </w:r>
      <w:r w:rsidR="0076370F">
        <w:rPr>
          <w:sz w:val="18"/>
          <w:szCs w:val="18"/>
          <w:lang w:val="en-IE"/>
        </w:rPr>
        <w:t xml:space="preserve">differ </w:t>
      </w:r>
      <w:r w:rsidR="0025329E" w:rsidRPr="00F00C85">
        <w:rPr>
          <w:sz w:val="18"/>
          <w:szCs w:val="18"/>
          <w:lang w:val="en-IE"/>
        </w:rPr>
        <w:t>slightly</w:t>
      </w:r>
      <w:r w:rsidR="00BC433A">
        <w:rPr>
          <w:sz w:val="18"/>
          <w:szCs w:val="18"/>
          <w:lang w:val="en-IE"/>
        </w:rPr>
        <w:t xml:space="preserve"> </w:t>
      </w:r>
      <w:r w:rsidR="00F629C1">
        <w:rPr>
          <w:sz w:val="18"/>
          <w:szCs w:val="18"/>
          <w:lang w:val="en-IE"/>
        </w:rPr>
        <w:t xml:space="preserve">as a result of </w:t>
      </w:r>
      <w:r w:rsidR="00BC433A" w:rsidRPr="0025329E">
        <w:rPr>
          <w:sz w:val="18"/>
          <w:szCs w:val="18"/>
          <w:lang w:val="en-IE"/>
        </w:rPr>
        <w:t xml:space="preserve">regular </w:t>
      </w:r>
      <w:r w:rsidR="00BC433A">
        <w:rPr>
          <w:sz w:val="18"/>
          <w:szCs w:val="18"/>
          <w:lang w:val="en-IE"/>
        </w:rPr>
        <w:t xml:space="preserve">checks and </w:t>
      </w:r>
      <w:r w:rsidR="00BC433A" w:rsidRPr="0025329E">
        <w:rPr>
          <w:sz w:val="18"/>
          <w:szCs w:val="18"/>
          <w:lang w:val="en-IE"/>
        </w:rPr>
        <w:t>corrections</w:t>
      </w:r>
      <w:r w:rsidR="0025329E">
        <w:rPr>
          <w:sz w:val="18"/>
          <w:szCs w:val="18"/>
          <w:lang w:val="en-IE"/>
        </w:rPr>
        <w:t>.</w:t>
      </w:r>
    </w:p>
  </w:footnote>
  <w:footnote w:id="4">
    <w:p w14:paraId="04671CD7" w14:textId="48533496" w:rsidR="00127596" w:rsidRPr="00127596" w:rsidRDefault="00127596" w:rsidP="00DC77C9">
      <w:pPr>
        <w:pStyle w:val="FootnoteText"/>
        <w:ind w:left="284" w:hanging="284"/>
        <w:rPr>
          <w:sz w:val="18"/>
          <w:szCs w:val="18"/>
        </w:rPr>
      </w:pPr>
      <w:r w:rsidRPr="00127596">
        <w:rPr>
          <w:rStyle w:val="FootnoteReference"/>
          <w:sz w:val="18"/>
          <w:szCs w:val="18"/>
        </w:rPr>
        <w:footnoteRef/>
      </w:r>
      <w:r w:rsidRPr="00127596">
        <w:rPr>
          <w:sz w:val="18"/>
          <w:szCs w:val="18"/>
        </w:rPr>
        <w:t xml:space="preserve"> </w:t>
      </w:r>
      <w:r w:rsidR="00DC77C9">
        <w:rPr>
          <w:sz w:val="18"/>
          <w:szCs w:val="18"/>
        </w:rPr>
        <w:tab/>
      </w:r>
      <w:hyperlink r:id="rId1" w:history="1">
        <w:r w:rsidR="00DC77C9" w:rsidRPr="0062128E">
          <w:rPr>
            <w:rStyle w:val="Hyperlink"/>
            <w:sz w:val="18"/>
            <w:szCs w:val="18"/>
          </w:rPr>
          <w:t>https://commission.europa.eu/document/download/e6cd4328-673c-4e7a-8683-f63ffb2cf648_en</w:t>
        </w:r>
      </w:hyperlink>
    </w:p>
  </w:footnote>
  <w:footnote w:id="5">
    <w:p w14:paraId="400989A4" w14:textId="155BE458" w:rsidR="00127596" w:rsidRPr="00127596" w:rsidRDefault="00127596" w:rsidP="00DC77C9">
      <w:pPr>
        <w:pStyle w:val="FootnoteText"/>
        <w:ind w:left="284" w:hanging="284"/>
      </w:pPr>
      <w:r w:rsidRPr="00127596">
        <w:rPr>
          <w:rStyle w:val="FootnoteReference"/>
          <w:sz w:val="18"/>
          <w:szCs w:val="18"/>
        </w:rPr>
        <w:footnoteRef/>
      </w:r>
      <w:r w:rsidRPr="00127596">
        <w:rPr>
          <w:sz w:val="18"/>
          <w:szCs w:val="18"/>
        </w:rPr>
        <w:t xml:space="preserve"> </w:t>
      </w:r>
      <w:r w:rsidR="00DC77C9">
        <w:rPr>
          <w:sz w:val="18"/>
          <w:szCs w:val="18"/>
        </w:rPr>
        <w:tab/>
      </w:r>
      <w:hyperlink r:id="rId2" w:history="1">
        <w:r w:rsidR="00DC77C9" w:rsidRPr="0062128E">
          <w:rPr>
            <w:rStyle w:val="Hyperlink"/>
            <w:sz w:val="18"/>
            <w:szCs w:val="18"/>
          </w:rPr>
          <w:t>https://commission.europa.eu/about/organisation/college-commissioners_en</w:t>
        </w:r>
      </w:hyperlink>
    </w:p>
  </w:footnote>
  <w:footnote w:id="6">
    <w:p w14:paraId="76D8C643" w14:textId="39C1388E" w:rsidR="00610819" w:rsidRPr="00F00C85" w:rsidRDefault="00610819" w:rsidP="00DC77C9">
      <w:pPr>
        <w:pStyle w:val="FootnoteText"/>
        <w:ind w:left="284" w:hanging="284"/>
        <w:rPr>
          <w:sz w:val="18"/>
          <w:szCs w:val="18"/>
        </w:rPr>
      </w:pPr>
      <w:r w:rsidRPr="00F00C85">
        <w:rPr>
          <w:rStyle w:val="FootnoteReference"/>
          <w:sz w:val="18"/>
          <w:szCs w:val="18"/>
        </w:rPr>
        <w:footnoteRef/>
      </w:r>
      <w:r w:rsidRPr="00F00C85">
        <w:rPr>
          <w:sz w:val="18"/>
          <w:szCs w:val="18"/>
        </w:rPr>
        <w:t xml:space="preserve"> </w:t>
      </w:r>
      <w:r w:rsidR="00DC77C9">
        <w:rPr>
          <w:sz w:val="18"/>
          <w:szCs w:val="18"/>
        </w:rPr>
        <w:tab/>
      </w:r>
      <w:hyperlink r:id="rId3" w:history="1">
        <w:r w:rsidR="00DC77C9" w:rsidRPr="0062128E">
          <w:rPr>
            <w:rStyle w:val="Hyperlink"/>
            <w:sz w:val="18"/>
            <w:szCs w:val="18"/>
          </w:rPr>
          <w:t>https://commission.europa.eu/priorities-2024-2029/democracy-and-our-values_en</w:t>
        </w:r>
      </w:hyperlink>
      <w:r>
        <w:rPr>
          <w:sz w:val="18"/>
          <w:szCs w:val="18"/>
        </w:rPr>
        <w:t xml:space="preserve"> </w:t>
      </w:r>
    </w:p>
  </w:footnote>
  <w:footnote w:id="7">
    <w:p w14:paraId="22E1F59F" w14:textId="2FD2EA0E" w:rsidR="00004AAB" w:rsidRPr="00F00C85" w:rsidRDefault="00004AAB" w:rsidP="00DC77C9">
      <w:pPr>
        <w:pStyle w:val="FootnoteText"/>
        <w:ind w:left="284" w:hanging="284"/>
        <w:rPr>
          <w:sz w:val="18"/>
          <w:szCs w:val="18"/>
        </w:rPr>
      </w:pPr>
      <w:r w:rsidRPr="00F00C85">
        <w:rPr>
          <w:rStyle w:val="FootnoteReference"/>
          <w:sz w:val="18"/>
          <w:szCs w:val="18"/>
        </w:rPr>
        <w:footnoteRef/>
      </w:r>
      <w:r w:rsidRPr="00F00C85">
        <w:rPr>
          <w:sz w:val="18"/>
          <w:szCs w:val="18"/>
        </w:rPr>
        <w:t xml:space="preserve"> </w:t>
      </w:r>
      <w:r w:rsidR="00DC77C9">
        <w:rPr>
          <w:sz w:val="18"/>
          <w:szCs w:val="18"/>
        </w:rPr>
        <w:tab/>
      </w:r>
      <w:r w:rsidRPr="00004AAB">
        <w:rPr>
          <w:sz w:val="18"/>
          <w:szCs w:val="18"/>
        </w:rPr>
        <w:t>Electronic AccesS to European Commission Documents</w:t>
      </w:r>
      <w:r>
        <w:rPr>
          <w:sz w:val="18"/>
          <w:szCs w:val="18"/>
        </w:rPr>
        <w:t xml:space="preserve">; </w:t>
      </w:r>
      <w:hyperlink r:id="rId4" w:history="1">
        <w:r w:rsidRPr="00317EF9">
          <w:rPr>
            <w:rStyle w:val="Hyperlink"/>
            <w:sz w:val="18"/>
            <w:szCs w:val="18"/>
          </w:rPr>
          <w:t>https://ec.europa.eu/transparency/documents-request/home</w:t>
        </w:r>
      </w:hyperlink>
    </w:p>
  </w:footnote>
  <w:footnote w:id="8">
    <w:p w14:paraId="50C7102B" w14:textId="32544491" w:rsidR="001C654F" w:rsidRPr="00F00C85" w:rsidRDefault="001C654F" w:rsidP="00DC77C9">
      <w:pPr>
        <w:pStyle w:val="FootnoteText"/>
        <w:ind w:left="284" w:hanging="284"/>
        <w:rPr>
          <w:sz w:val="18"/>
          <w:szCs w:val="18"/>
        </w:rPr>
      </w:pPr>
      <w:r w:rsidRPr="00F00C85">
        <w:rPr>
          <w:rStyle w:val="FootnoteReference"/>
          <w:sz w:val="18"/>
          <w:szCs w:val="18"/>
        </w:rPr>
        <w:footnoteRef/>
      </w:r>
      <w:r w:rsidR="00734602">
        <w:rPr>
          <w:sz w:val="18"/>
          <w:szCs w:val="18"/>
        </w:rPr>
        <w:t xml:space="preserve"> </w:t>
      </w:r>
      <w:r w:rsidR="00DC77C9">
        <w:rPr>
          <w:sz w:val="18"/>
          <w:szCs w:val="18"/>
        </w:rPr>
        <w:tab/>
      </w:r>
      <w:hyperlink r:id="rId5" w:history="1">
        <w:r w:rsidR="00DC77C9" w:rsidRPr="0062128E">
          <w:rPr>
            <w:rStyle w:val="Hyperlink"/>
            <w:sz w:val="18"/>
            <w:szCs w:val="18"/>
          </w:rPr>
          <w:t>https://commission.europa.eu/about/service-standards-and-principles/transparency/how-access-commission-documents</w:t>
        </w:r>
      </w:hyperlink>
      <w:hyperlink r:id="rId6" w:history="1"/>
    </w:p>
  </w:footnote>
  <w:footnote w:id="9">
    <w:p w14:paraId="0F6BBC57" w14:textId="669D3D11" w:rsidR="00636E0B" w:rsidRPr="00636E0B" w:rsidRDefault="00636E0B" w:rsidP="00DC77C9">
      <w:pPr>
        <w:pStyle w:val="FootnoteText"/>
        <w:ind w:left="284" w:hanging="284"/>
        <w:rPr>
          <w:sz w:val="18"/>
          <w:szCs w:val="18"/>
        </w:rPr>
      </w:pPr>
      <w:r w:rsidRPr="00636E0B">
        <w:rPr>
          <w:rStyle w:val="FootnoteReference"/>
          <w:sz w:val="18"/>
          <w:szCs w:val="18"/>
        </w:rPr>
        <w:footnoteRef/>
      </w:r>
      <w:r w:rsidRPr="00636E0B">
        <w:rPr>
          <w:sz w:val="18"/>
          <w:szCs w:val="18"/>
        </w:rPr>
        <w:t xml:space="preserve"> </w:t>
      </w:r>
      <w:r w:rsidR="00DC77C9">
        <w:rPr>
          <w:sz w:val="18"/>
          <w:szCs w:val="18"/>
        </w:rPr>
        <w:tab/>
      </w:r>
      <w:hyperlink r:id="rId7" w:history="1">
        <w:r w:rsidR="00DC77C9" w:rsidRPr="0062128E">
          <w:rPr>
            <w:rStyle w:val="Hyperlink"/>
            <w:sz w:val="18"/>
            <w:szCs w:val="18"/>
          </w:rPr>
          <w:t>https://eur-lex.europa.eu/</w:t>
        </w:r>
      </w:hyperlink>
      <w:r>
        <w:rPr>
          <w:sz w:val="18"/>
          <w:szCs w:val="18"/>
        </w:rPr>
        <w:t xml:space="preserve"> </w:t>
      </w:r>
    </w:p>
  </w:footnote>
  <w:footnote w:id="10">
    <w:p w14:paraId="68CF2B59" w14:textId="77777777" w:rsidR="00A54D66" w:rsidRPr="00F00C85" w:rsidRDefault="00A54D66" w:rsidP="00A54D66">
      <w:pPr>
        <w:pStyle w:val="FootnoteText"/>
        <w:widowControl w:val="0"/>
        <w:ind w:left="284" w:hanging="284"/>
        <w:rPr>
          <w:sz w:val="18"/>
          <w:szCs w:val="18"/>
          <w:lang w:val="en-IE"/>
        </w:rPr>
      </w:pPr>
      <w:r w:rsidRPr="00F00C85">
        <w:rPr>
          <w:rStyle w:val="FootnoteReference"/>
          <w:sz w:val="18"/>
          <w:szCs w:val="18"/>
          <w:lang w:val="en-IE"/>
        </w:rPr>
        <w:footnoteRef/>
      </w:r>
      <w:r w:rsidRPr="00F00C85">
        <w:rPr>
          <w:sz w:val="18"/>
          <w:szCs w:val="18"/>
          <w:lang w:val="en-IE"/>
        </w:rPr>
        <w:t> </w:t>
      </w:r>
      <w:r>
        <w:rPr>
          <w:sz w:val="18"/>
          <w:szCs w:val="18"/>
          <w:lang w:val="en-IE"/>
        </w:rPr>
        <w:tab/>
      </w:r>
      <w:r w:rsidRPr="00D935FD">
        <w:rPr>
          <w:sz w:val="18"/>
          <w:szCs w:val="18"/>
          <w:lang w:val="en-IE"/>
        </w:rPr>
        <w:t xml:space="preserve">Commission Decision (EU) 2024/3080 of 4 December 2024 establishing the Rules of Procedure of the Commission and amending Decision C(2000) 3614 (OJ L, 2024/3080, 5.12.2024, ELI: </w:t>
      </w:r>
      <w:hyperlink r:id="rId8" w:history="1">
        <w:r w:rsidRPr="005D6060">
          <w:rPr>
            <w:rStyle w:val="Hyperlink"/>
            <w:sz w:val="18"/>
            <w:szCs w:val="18"/>
            <w:lang w:val="en-IE"/>
          </w:rPr>
          <w:t>http://data.europa.eu/eli/dec/2024/3080/oj</w:t>
        </w:r>
      </w:hyperlink>
      <w:r w:rsidRPr="00D935FD">
        <w:rPr>
          <w:sz w:val="18"/>
          <w:szCs w:val="18"/>
          <w:lang w:val="en-IE"/>
        </w:rPr>
        <w:t>).</w:t>
      </w:r>
    </w:p>
  </w:footnote>
  <w:footnote w:id="11">
    <w:p w14:paraId="2797B2D3" w14:textId="58C10EAE" w:rsidR="005E2753" w:rsidRPr="00FD041B" w:rsidRDefault="005E2753" w:rsidP="00DC77C9">
      <w:pPr>
        <w:pStyle w:val="FootnoteText"/>
        <w:ind w:left="284" w:hanging="284"/>
        <w:rPr>
          <w:sz w:val="18"/>
          <w:szCs w:val="18"/>
          <w:lang w:val="en-IE"/>
        </w:rPr>
      </w:pPr>
      <w:r w:rsidRPr="00F00C85">
        <w:rPr>
          <w:rStyle w:val="FootnoteReference"/>
          <w:sz w:val="18"/>
          <w:szCs w:val="18"/>
          <w:lang w:val="en-IE"/>
        </w:rPr>
        <w:footnoteRef/>
      </w:r>
      <w:r w:rsidR="00C43DBD">
        <w:t xml:space="preserve"> </w:t>
      </w:r>
      <w:r w:rsidR="00DC77C9">
        <w:tab/>
      </w:r>
      <w:hyperlink r:id="rId9" w:history="1">
        <w:r w:rsidR="00DC77C9" w:rsidRPr="0062128E">
          <w:rPr>
            <w:rStyle w:val="Hyperlink"/>
            <w:sz w:val="18"/>
            <w:szCs w:val="18"/>
          </w:rPr>
          <w:t>https://commission.europa.eu/about/service-standards-and-principles/transparency/how-access-commission-documents</w:t>
        </w:r>
      </w:hyperlink>
      <w:hyperlink r:id="rId10" w:history="1"/>
    </w:p>
  </w:footnote>
  <w:footnote w:id="12">
    <w:p w14:paraId="11E4156D" w14:textId="258EAD55" w:rsidR="008B4402" w:rsidRDefault="008B4402" w:rsidP="00DC77C9">
      <w:pPr>
        <w:pStyle w:val="FootnoteText"/>
        <w:ind w:left="284" w:hanging="284"/>
      </w:pPr>
      <w:r w:rsidRPr="009D0660">
        <w:rPr>
          <w:rStyle w:val="FootnoteReference"/>
          <w:sz w:val="18"/>
          <w:szCs w:val="18"/>
        </w:rPr>
        <w:footnoteRef/>
      </w:r>
      <w:r w:rsidRPr="009D0660">
        <w:rPr>
          <w:sz w:val="18"/>
          <w:szCs w:val="18"/>
        </w:rPr>
        <w:t xml:space="preserve"> </w:t>
      </w:r>
      <w:r w:rsidR="00DC77C9">
        <w:rPr>
          <w:sz w:val="18"/>
          <w:szCs w:val="18"/>
        </w:rPr>
        <w:tab/>
      </w:r>
      <w:hyperlink r:id="rId11" w:history="1">
        <w:r w:rsidR="00DC77C9" w:rsidRPr="0062128E">
          <w:rPr>
            <w:rStyle w:val="Hyperlink"/>
            <w:sz w:val="18"/>
            <w:szCs w:val="18"/>
          </w:rPr>
          <w:t>https://ec.europa.eu/transparency/documents-register/</w:t>
        </w:r>
      </w:hyperlink>
    </w:p>
  </w:footnote>
  <w:footnote w:id="13">
    <w:p w14:paraId="73AE4B48" w14:textId="6D9C6813" w:rsidR="000B3482" w:rsidRPr="00F00C85" w:rsidRDefault="000B3482" w:rsidP="00DC77C9">
      <w:pPr>
        <w:pStyle w:val="FootnoteText"/>
        <w:ind w:left="284" w:hanging="284"/>
        <w:rPr>
          <w:sz w:val="18"/>
          <w:szCs w:val="18"/>
          <w:lang w:val="en-IE"/>
        </w:rPr>
      </w:pPr>
      <w:r w:rsidRPr="00F00C85">
        <w:rPr>
          <w:rStyle w:val="FootnoteReference"/>
          <w:sz w:val="18"/>
          <w:szCs w:val="18"/>
        </w:rPr>
        <w:footnoteRef/>
      </w:r>
      <w:r w:rsidRPr="00F00C85">
        <w:rPr>
          <w:sz w:val="18"/>
          <w:szCs w:val="18"/>
        </w:rPr>
        <w:t xml:space="preserve"> </w:t>
      </w:r>
      <w:r w:rsidR="00DC77C9">
        <w:rPr>
          <w:sz w:val="18"/>
          <w:szCs w:val="18"/>
        </w:rPr>
        <w:tab/>
      </w:r>
      <w:r w:rsidR="00777179">
        <w:rPr>
          <w:sz w:val="18"/>
          <w:szCs w:val="18"/>
        </w:rPr>
        <w:t>S</w:t>
      </w:r>
      <w:r w:rsidRPr="00F00C85">
        <w:rPr>
          <w:sz w:val="18"/>
          <w:szCs w:val="18"/>
        </w:rPr>
        <w:t xml:space="preserve">tatistics on </w:t>
      </w:r>
      <w:r w:rsidR="00777179">
        <w:rPr>
          <w:sz w:val="18"/>
          <w:szCs w:val="18"/>
        </w:rPr>
        <w:t xml:space="preserve">the </w:t>
      </w:r>
      <w:r w:rsidRPr="00F00C85">
        <w:rPr>
          <w:sz w:val="18"/>
          <w:szCs w:val="18"/>
        </w:rPr>
        <w:t xml:space="preserve">social and occupational profile and geographical origin of applicants are </w:t>
      </w:r>
      <w:r w:rsidR="00F629C1">
        <w:rPr>
          <w:sz w:val="18"/>
          <w:szCs w:val="18"/>
        </w:rPr>
        <w:t>given</w:t>
      </w:r>
      <w:r w:rsidRPr="00F00C85">
        <w:rPr>
          <w:sz w:val="18"/>
          <w:szCs w:val="18"/>
        </w:rPr>
        <w:t xml:space="preserve"> in </w:t>
      </w:r>
      <w:r w:rsidR="0076370F">
        <w:rPr>
          <w:sz w:val="18"/>
          <w:szCs w:val="18"/>
        </w:rPr>
        <w:t>T</w:t>
      </w:r>
      <w:r w:rsidRPr="00F00C85">
        <w:rPr>
          <w:sz w:val="18"/>
          <w:szCs w:val="18"/>
        </w:rPr>
        <w:t xml:space="preserve">ables 6 and 7 </w:t>
      </w:r>
      <w:r w:rsidR="0076370F">
        <w:rPr>
          <w:sz w:val="18"/>
          <w:szCs w:val="18"/>
        </w:rPr>
        <w:t>in</w:t>
      </w:r>
      <w:r w:rsidRPr="00F00C85">
        <w:rPr>
          <w:sz w:val="18"/>
          <w:szCs w:val="18"/>
        </w:rPr>
        <w:t xml:space="preserve"> the Annex. </w:t>
      </w:r>
    </w:p>
  </w:footnote>
  <w:footnote w:id="14">
    <w:p w14:paraId="6DF2B257" w14:textId="40545E59" w:rsidR="005E2753" w:rsidRPr="00F00C85" w:rsidRDefault="005E2753" w:rsidP="00DC77C9">
      <w:pPr>
        <w:pStyle w:val="FootnoteText"/>
        <w:ind w:left="284" w:hanging="284"/>
        <w:rPr>
          <w:sz w:val="18"/>
          <w:szCs w:val="18"/>
          <w:lang w:val="en-IE"/>
        </w:rPr>
      </w:pPr>
      <w:r w:rsidRPr="00F00C85">
        <w:rPr>
          <w:rStyle w:val="FootnoteReference"/>
          <w:sz w:val="18"/>
          <w:szCs w:val="18"/>
          <w:lang w:val="en-IE"/>
        </w:rPr>
        <w:footnoteRef/>
      </w:r>
      <w:r w:rsidR="00DC77C9">
        <w:rPr>
          <w:sz w:val="18"/>
          <w:szCs w:val="18"/>
          <w:lang w:val="en-IE"/>
        </w:rPr>
        <w:tab/>
      </w:r>
      <w:r w:rsidR="00DF45F0" w:rsidRPr="00DF45F0">
        <w:rPr>
          <w:sz w:val="18"/>
          <w:szCs w:val="18"/>
          <w:lang w:val="en-IE"/>
        </w:rPr>
        <w:t>The Reform and Investment Task Force (</w:t>
      </w:r>
      <w:r w:rsidR="002C5C35">
        <w:rPr>
          <w:sz w:val="18"/>
          <w:szCs w:val="18"/>
          <w:lang w:val="en-IE"/>
        </w:rPr>
        <w:t xml:space="preserve">SG </w:t>
      </w:r>
      <w:r w:rsidR="00DF45F0" w:rsidRPr="00DF45F0">
        <w:rPr>
          <w:sz w:val="18"/>
          <w:szCs w:val="18"/>
          <w:lang w:val="en-IE"/>
        </w:rPr>
        <w:t>REFOR</w:t>
      </w:r>
      <w:r w:rsidR="002C5C35">
        <w:rPr>
          <w:sz w:val="18"/>
          <w:szCs w:val="18"/>
          <w:lang w:val="en-IE"/>
        </w:rPr>
        <w:t>M</w:t>
      </w:r>
      <w:r w:rsidR="00DF45F0" w:rsidRPr="00DF45F0">
        <w:rPr>
          <w:sz w:val="18"/>
          <w:szCs w:val="18"/>
          <w:lang w:val="en-IE"/>
        </w:rPr>
        <w:t>) was created in February 2025 by merging the Recovery and Resilience Task Force (SG RECOVER) and the Directorate-General for Structural Reform Support (DG REFORM).</w:t>
      </w:r>
      <w:r w:rsidR="00DF45F0">
        <w:rPr>
          <w:sz w:val="18"/>
          <w:szCs w:val="18"/>
          <w:lang w:val="en-IE"/>
        </w:rPr>
        <w:t xml:space="preserve"> </w:t>
      </w:r>
      <w:r w:rsidR="00296C56" w:rsidRPr="00296C56">
        <w:rPr>
          <w:sz w:val="18"/>
          <w:szCs w:val="18"/>
          <w:lang w:val="en-IE"/>
        </w:rPr>
        <w:t>The data for the European Anti-Fraud Office include applications for access to documents related to its administrative activities, recorded in the same IT system (EASE) as the one other European Commission departments use. This report does not cover applications for access to documents concerning OLAF’s investigative activities</w:t>
      </w:r>
      <w:r w:rsidR="00401FA2" w:rsidRPr="00401FA2">
        <w:rPr>
          <w:sz w:val="18"/>
          <w:szCs w:val="18"/>
          <w:lang w:val="en-IE"/>
        </w:rPr>
        <w:t>.</w:t>
      </w:r>
      <w:bookmarkStart w:id="13" w:name="_Hlk191747176"/>
      <w:r w:rsidR="00DF45F0">
        <w:rPr>
          <w:sz w:val="18"/>
          <w:szCs w:val="18"/>
          <w:lang w:val="en-IE"/>
        </w:rPr>
        <w:t xml:space="preserve"> </w:t>
      </w:r>
      <w:r w:rsidR="00DF45F0" w:rsidRPr="00DF45F0">
        <w:rPr>
          <w:sz w:val="18"/>
          <w:szCs w:val="18"/>
          <w:lang w:val="en-IE"/>
        </w:rPr>
        <w:t>The Directorate-General for Enlargement and Eastern Neighbourhood (DG ENEST) started operating in February 2025 after the Directorate-General for European Neighbourhood and Enlargement Negotiations (DG NEAR) was divided into DG ENEST and the Directorate-General for the Middle East, North Africa and the Gulf (DG MENA).</w:t>
      </w:r>
      <w:r w:rsidR="00296C56">
        <w:rPr>
          <w:sz w:val="18"/>
          <w:szCs w:val="18"/>
          <w:lang w:val="en-IE"/>
        </w:rPr>
        <w:t xml:space="preserve"> </w:t>
      </w:r>
      <w:r w:rsidR="00296C56" w:rsidRPr="006C7963">
        <w:rPr>
          <w:sz w:val="18"/>
          <w:szCs w:val="18"/>
        </w:rPr>
        <w:t>Since the creation of the European External Action Service (EEAS), only documents of the Service for Foreign Policy Instruments (FPI) are held by the European Commission. Statistics on the FPI encompass some initial applications received by the European Peace Facility (EPF). The EPF is an off-budget instrument that enhances the EU’s ability to act as a global security provider. Under Commission Decision C(2021) 2011, the European Commission agreed to act as administrator, accounting officer and internal auditor for assistance measures of the EPF. Seven such initial applications and no confirmatory applications were submitted to the European Commission in its capacity as administrator for assistance measures in 2025</w:t>
      </w:r>
      <w:r w:rsidR="00E40879" w:rsidRPr="00E40879">
        <w:rPr>
          <w:sz w:val="18"/>
          <w:szCs w:val="18"/>
          <w:lang w:val="en-IE"/>
        </w:rPr>
        <w:t>.</w:t>
      </w:r>
      <w:bookmarkEnd w:id="13"/>
    </w:p>
  </w:footnote>
  <w:footnote w:id="15">
    <w:p w14:paraId="54528012" w14:textId="56E1F950" w:rsidR="00DB322F" w:rsidRPr="00DB322F" w:rsidRDefault="00B91319" w:rsidP="00DC77C9">
      <w:pPr>
        <w:pStyle w:val="FootnoteText"/>
        <w:ind w:left="284" w:hanging="284"/>
        <w:rPr>
          <w:sz w:val="18"/>
          <w:szCs w:val="18"/>
          <w:lang w:val="en-IE"/>
        </w:rPr>
      </w:pPr>
      <w:r w:rsidRPr="00F00C85">
        <w:rPr>
          <w:rStyle w:val="FootnoteReference"/>
          <w:sz w:val="18"/>
          <w:szCs w:val="18"/>
        </w:rPr>
        <w:footnoteRef/>
      </w:r>
      <w:r w:rsidRPr="00F00C85">
        <w:rPr>
          <w:sz w:val="18"/>
          <w:szCs w:val="18"/>
        </w:rPr>
        <w:t xml:space="preserve"> </w:t>
      </w:r>
      <w:r w:rsidR="00DC77C9">
        <w:rPr>
          <w:sz w:val="18"/>
          <w:szCs w:val="18"/>
        </w:rPr>
        <w:tab/>
      </w:r>
      <w:r w:rsidR="00E64C88">
        <w:rPr>
          <w:sz w:val="18"/>
          <w:szCs w:val="18"/>
          <w:lang w:val="en-IE"/>
        </w:rPr>
        <w:t>I</w:t>
      </w:r>
      <w:r w:rsidR="00E64C88" w:rsidRPr="0077225B">
        <w:rPr>
          <w:sz w:val="18"/>
          <w:szCs w:val="18"/>
          <w:lang w:val="en-IE"/>
        </w:rPr>
        <w:t>ndividual applications may concern several documents or entire files on a specific subject or procedure.</w:t>
      </w:r>
      <w:r w:rsidR="00E64C88">
        <w:rPr>
          <w:sz w:val="18"/>
          <w:szCs w:val="18"/>
          <w:lang w:val="en-IE"/>
        </w:rPr>
        <w:t xml:space="preserve"> The</w:t>
      </w:r>
      <w:r w:rsidR="00C91579">
        <w:rPr>
          <w:sz w:val="18"/>
          <w:szCs w:val="18"/>
          <w:lang w:val="en-IE"/>
        </w:rPr>
        <w:t xml:space="preserve"> way</w:t>
      </w:r>
      <w:r w:rsidR="00E64C88">
        <w:rPr>
          <w:sz w:val="18"/>
          <w:szCs w:val="18"/>
          <w:lang w:val="en-IE"/>
        </w:rPr>
        <w:t xml:space="preserve"> </w:t>
      </w:r>
      <w:r w:rsidR="0036758A">
        <w:rPr>
          <w:sz w:val="18"/>
          <w:szCs w:val="18"/>
          <w:lang w:val="en-IE"/>
        </w:rPr>
        <w:t>EASE</w:t>
      </w:r>
      <w:r w:rsidR="00C91579">
        <w:rPr>
          <w:sz w:val="18"/>
          <w:szCs w:val="18"/>
          <w:lang w:val="en-IE"/>
        </w:rPr>
        <w:t xml:space="preserve"> is</w:t>
      </w:r>
      <w:r w:rsidR="0036758A">
        <w:rPr>
          <w:sz w:val="18"/>
          <w:szCs w:val="18"/>
          <w:lang w:val="en-IE"/>
        </w:rPr>
        <w:t xml:space="preserve"> </w:t>
      </w:r>
      <w:r w:rsidR="00E64C88">
        <w:rPr>
          <w:sz w:val="18"/>
          <w:szCs w:val="18"/>
          <w:lang w:val="en-IE"/>
        </w:rPr>
        <w:t>design</w:t>
      </w:r>
      <w:r w:rsidR="00C91579">
        <w:rPr>
          <w:sz w:val="18"/>
          <w:szCs w:val="18"/>
          <w:lang w:val="en-IE"/>
        </w:rPr>
        <w:t>ed means that</w:t>
      </w:r>
      <w:r w:rsidR="00E64C88">
        <w:rPr>
          <w:sz w:val="18"/>
          <w:szCs w:val="18"/>
          <w:lang w:val="en-IE"/>
        </w:rPr>
        <w:t xml:space="preserve"> </w:t>
      </w:r>
      <w:r w:rsidR="007414F1" w:rsidRPr="00DC77C9">
        <w:rPr>
          <w:sz w:val="18"/>
          <w:szCs w:val="18"/>
          <w:lang w:val="en-IE"/>
        </w:rPr>
        <w:t>the</w:t>
      </w:r>
      <w:r w:rsidR="007414F1" w:rsidRPr="00F00C85">
        <w:rPr>
          <w:sz w:val="18"/>
          <w:szCs w:val="18"/>
        </w:rPr>
        <w:t xml:space="preserve"> </w:t>
      </w:r>
      <w:r w:rsidR="00DB322F">
        <w:rPr>
          <w:sz w:val="18"/>
          <w:szCs w:val="18"/>
        </w:rPr>
        <w:t xml:space="preserve">figures </w:t>
      </w:r>
      <w:r w:rsidR="007414F1" w:rsidRPr="00F00C85">
        <w:rPr>
          <w:sz w:val="18"/>
          <w:szCs w:val="18"/>
        </w:rPr>
        <w:t xml:space="preserve">in </w:t>
      </w:r>
      <w:r w:rsidR="0076370F">
        <w:rPr>
          <w:sz w:val="18"/>
          <w:szCs w:val="18"/>
        </w:rPr>
        <w:t>C</w:t>
      </w:r>
      <w:r w:rsidR="007414F1" w:rsidRPr="00F00C85">
        <w:rPr>
          <w:sz w:val="18"/>
          <w:szCs w:val="18"/>
        </w:rPr>
        <w:t xml:space="preserve">hapter 4 </w:t>
      </w:r>
      <w:r w:rsidR="007414F1">
        <w:rPr>
          <w:sz w:val="18"/>
          <w:szCs w:val="18"/>
        </w:rPr>
        <w:t xml:space="preserve">of </w:t>
      </w:r>
      <w:r w:rsidR="00E64C88">
        <w:rPr>
          <w:sz w:val="18"/>
          <w:szCs w:val="18"/>
          <w:lang w:val="en-IE"/>
        </w:rPr>
        <w:t>th</w:t>
      </w:r>
      <w:r w:rsidR="0076370F">
        <w:rPr>
          <w:sz w:val="18"/>
          <w:szCs w:val="18"/>
          <w:lang w:val="en-IE"/>
        </w:rPr>
        <w:t>is</w:t>
      </w:r>
      <w:r w:rsidR="00E64C88">
        <w:rPr>
          <w:sz w:val="18"/>
          <w:szCs w:val="18"/>
          <w:lang w:val="en-IE"/>
        </w:rPr>
        <w:t xml:space="preserve"> report reflect the documents </w:t>
      </w:r>
      <w:r w:rsidR="0036758A">
        <w:rPr>
          <w:sz w:val="18"/>
          <w:szCs w:val="18"/>
          <w:lang w:val="en-IE"/>
        </w:rPr>
        <w:t>requested in cases</w:t>
      </w:r>
      <w:r w:rsidR="00E64C88">
        <w:rPr>
          <w:sz w:val="18"/>
          <w:szCs w:val="18"/>
          <w:lang w:val="en-IE"/>
        </w:rPr>
        <w:t xml:space="preserve"> handled in EASE and closed in 202</w:t>
      </w:r>
      <w:r w:rsidR="00211720">
        <w:rPr>
          <w:sz w:val="18"/>
          <w:szCs w:val="18"/>
          <w:lang w:val="en-IE"/>
        </w:rPr>
        <w:t>5</w:t>
      </w:r>
      <w:r w:rsidR="00DB322F" w:rsidRPr="00DB322F">
        <w:rPr>
          <w:sz w:val="18"/>
          <w:szCs w:val="18"/>
        </w:rPr>
        <w:t>.</w:t>
      </w:r>
    </w:p>
  </w:footnote>
  <w:footnote w:id="16">
    <w:p w14:paraId="29E43E3A" w14:textId="4CA7CBFA" w:rsidR="00DB7D87" w:rsidRPr="00F00C85" w:rsidRDefault="00DB7D87" w:rsidP="00DC77C9">
      <w:pPr>
        <w:pStyle w:val="FootnoteText"/>
        <w:ind w:left="284" w:hanging="284"/>
        <w:rPr>
          <w:sz w:val="18"/>
          <w:szCs w:val="18"/>
          <w:lang w:val="en-IE"/>
        </w:rPr>
      </w:pPr>
      <w:r w:rsidRPr="00F00C85">
        <w:rPr>
          <w:rStyle w:val="FootnoteReference"/>
          <w:sz w:val="18"/>
          <w:szCs w:val="18"/>
          <w:lang w:val="en-IE"/>
        </w:rPr>
        <w:footnoteRef/>
      </w:r>
      <w:r w:rsidR="00DC77C9">
        <w:rPr>
          <w:sz w:val="18"/>
          <w:szCs w:val="18"/>
          <w:lang w:val="en-IE"/>
        </w:rPr>
        <w:tab/>
      </w:r>
      <w:r w:rsidRPr="00F00C85">
        <w:rPr>
          <w:sz w:val="18"/>
          <w:szCs w:val="18"/>
          <w:lang w:val="en-IE"/>
        </w:rPr>
        <w:t>The statistics co</w:t>
      </w:r>
      <w:r>
        <w:rPr>
          <w:sz w:val="18"/>
          <w:szCs w:val="18"/>
          <w:lang w:val="en-IE"/>
        </w:rPr>
        <w:t>ver</w:t>
      </w:r>
      <w:r w:rsidRPr="00F00C85">
        <w:rPr>
          <w:sz w:val="18"/>
          <w:szCs w:val="18"/>
          <w:lang w:val="en-IE"/>
        </w:rPr>
        <w:t xml:space="preserve"> European Ombudsman cases for all European Commission departments, except </w:t>
      </w:r>
      <w:bookmarkStart w:id="22" w:name="_Hlk224918263"/>
      <w:r w:rsidRPr="00F00C85">
        <w:rPr>
          <w:sz w:val="18"/>
          <w:szCs w:val="18"/>
          <w:lang w:val="en-IE"/>
        </w:rPr>
        <w:t>the European Anti-Fraud Office</w:t>
      </w:r>
      <w:bookmarkEnd w:id="22"/>
      <w:r w:rsidRPr="00F00C85">
        <w:rPr>
          <w:sz w:val="18"/>
          <w:szCs w:val="18"/>
          <w:lang w:val="en-IE"/>
        </w:rPr>
        <w:t>.</w:t>
      </w:r>
    </w:p>
  </w:footnote>
  <w:footnote w:id="17">
    <w:p w14:paraId="75B53AF2" w14:textId="67D9703C" w:rsidR="00713AE1" w:rsidRPr="001B1DF5" w:rsidRDefault="007D60B6" w:rsidP="00DC77C9">
      <w:pPr>
        <w:pStyle w:val="FootnoteText"/>
        <w:ind w:left="284" w:hanging="284"/>
        <w:rPr>
          <w:sz w:val="18"/>
          <w:szCs w:val="18"/>
          <w:lang w:val="en-IE"/>
        </w:rPr>
      </w:pPr>
      <w:r w:rsidRPr="00F00C85">
        <w:rPr>
          <w:rStyle w:val="FootnoteReference"/>
          <w:sz w:val="18"/>
          <w:szCs w:val="18"/>
          <w:lang w:val="en-IE"/>
        </w:rPr>
        <w:footnoteRef/>
      </w:r>
      <w:r w:rsidR="00DC77C9">
        <w:rPr>
          <w:sz w:val="18"/>
          <w:szCs w:val="18"/>
          <w:lang w:val="en-IE"/>
        </w:rPr>
        <w:tab/>
      </w:r>
      <w:r>
        <w:rPr>
          <w:sz w:val="18"/>
          <w:szCs w:val="18"/>
          <w:lang w:val="en-IE"/>
        </w:rPr>
        <w:t>The Ombudsman</w:t>
      </w:r>
      <w:r w:rsidR="00713AE1">
        <w:rPr>
          <w:sz w:val="18"/>
          <w:szCs w:val="18"/>
          <w:lang w:val="en-IE"/>
        </w:rPr>
        <w:t xml:space="preserve"> </w:t>
      </w:r>
      <w:r w:rsidRPr="007D60B6">
        <w:rPr>
          <w:sz w:val="18"/>
          <w:szCs w:val="18"/>
          <w:lang w:val="en-IE"/>
        </w:rPr>
        <w:t xml:space="preserve">considered that the delay in </w:t>
      </w:r>
      <w:r w:rsidR="00CA2B33">
        <w:rPr>
          <w:sz w:val="18"/>
          <w:szCs w:val="18"/>
          <w:lang w:val="en-IE"/>
        </w:rPr>
        <w:t>replying to</w:t>
      </w:r>
      <w:r w:rsidRPr="007D60B6">
        <w:rPr>
          <w:sz w:val="18"/>
          <w:szCs w:val="18"/>
          <w:lang w:val="en-IE"/>
        </w:rPr>
        <w:t xml:space="preserve"> the applicant amounted to maladministration</w:t>
      </w:r>
      <w:r w:rsidR="00DC77C9">
        <w:rPr>
          <w:sz w:val="18"/>
          <w:szCs w:val="18"/>
          <w:lang w:val="en-IE"/>
        </w:rPr>
        <w:t xml:space="preserve"> </w:t>
      </w:r>
      <w:r w:rsidRPr="007D60B6">
        <w:rPr>
          <w:sz w:val="18"/>
          <w:szCs w:val="18"/>
          <w:lang w:val="en-IE"/>
        </w:rPr>
        <w:t>in case</w:t>
      </w:r>
      <w:r w:rsidR="007D66D7">
        <w:rPr>
          <w:sz w:val="18"/>
          <w:szCs w:val="18"/>
          <w:lang w:val="en-IE"/>
        </w:rPr>
        <w:t xml:space="preserve"> </w:t>
      </w:r>
      <w:r w:rsidRPr="007D60B6">
        <w:rPr>
          <w:sz w:val="18"/>
          <w:szCs w:val="18"/>
          <w:lang w:val="en-IE"/>
        </w:rPr>
        <w:t>1249/2023</w:t>
      </w:r>
      <w:r>
        <w:rPr>
          <w:sz w:val="18"/>
          <w:szCs w:val="18"/>
          <w:lang w:val="en-IE"/>
        </w:rPr>
        <w:t xml:space="preserve"> (</w:t>
      </w:r>
      <w:hyperlink r:id="rId12" w:history="1">
        <w:r w:rsidR="005F0214" w:rsidRPr="00F52D79">
          <w:rPr>
            <w:rStyle w:val="Hyperlink"/>
            <w:sz w:val="18"/>
            <w:szCs w:val="18"/>
            <w:lang w:val="en-IE"/>
          </w:rPr>
          <w:t>https://www.ombudsman.europa.eu/en/case/en/64317</w:t>
        </w:r>
      </w:hyperlink>
      <w:r>
        <w:rPr>
          <w:sz w:val="18"/>
          <w:szCs w:val="18"/>
          <w:lang w:val="en-IE"/>
        </w:rPr>
        <w:t>)</w:t>
      </w:r>
      <w:r w:rsidR="007D66D7">
        <w:rPr>
          <w:sz w:val="18"/>
          <w:szCs w:val="18"/>
          <w:lang w:val="en-IE"/>
        </w:rPr>
        <w:t xml:space="preserve">. </w:t>
      </w:r>
      <w:r w:rsidR="00244C29">
        <w:rPr>
          <w:sz w:val="18"/>
          <w:szCs w:val="18"/>
          <w:lang w:val="en-IE"/>
        </w:rPr>
        <w:t xml:space="preserve">The Ombudsman </w:t>
      </w:r>
      <w:r w:rsidRPr="007D60B6">
        <w:rPr>
          <w:sz w:val="18"/>
          <w:szCs w:val="18"/>
          <w:lang w:val="en-IE"/>
        </w:rPr>
        <w:t>concluded that the refusal to</w:t>
      </w:r>
      <w:r w:rsidR="007D66D7">
        <w:rPr>
          <w:sz w:val="18"/>
          <w:szCs w:val="18"/>
          <w:lang w:val="en-IE"/>
        </w:rPr>
        <w:t xml:space="preserve"> </w:t>
      </w:r>
      <w:r w:rsidRPr="007D60B6">
        <w:rPr>
          <w:sz w:val="18"/>
          <w:szCs w:val="18"/>
          <w:lang w:val="en-IE"/>
        </w:rPr>
        <w:t>g</w:t>
      </w:r>
      <w:r w:rsidR="007D66D7">
        <w:rPr>
          <w:sz w:val="18"/>
          <w:szCs w:val="18"/>
          <w:lang w:val="en-IE"/>
        </w:rPr>
        <w:t>rant</w:t>
      </w:r>
      <w:r w:rsidRPr="007D60B6">
        <w:rPr>
          <w:sz w:val="18"/>
          <w:szCs w:val="18"/>
          <w:lang w:val="en-IE"/>
        </w:rPr>
        <w:t xml:space="preserve"> wide</w:t>
      </w:r>
      <w:r w:rsidR="007D66D7">
        <w:rPr>
          <w:sz w:val="18"/>
          <w:szCs w:val="18"/>
          <w:lang w:val="en-IE"/>
        </w:rPr>
        <w:t xml:space="preserve"> </w:t>
      </w:r>
      <w:r w:rsidRPr="007D60B6">
        <w:rPr>
          <w:sz w:val="18"/>
          <w:szCs w:val="18"/>
          <w:lang w:val="en-IE"/>
        </w:rPr>
        <w:t>public access constituted maladministration</w:t>
      </w:r>
      <w:r w:rsidR="007D66D7">
        <w:rPr>
          <w:sz w:val="18"/>
          <w:szCs w:val="18"/>
          <w:lang w:val="en-IE"/>
        </w:rPr>
        <w:t xml:space="preserve"> </w:t>
      </w:r>
      <w:r>
        <w:rPr>
          <w:sz w:val="18"/>
          <w:szCs w:val="18"/>
          <w:lang w:val="en-IE"/>
        </w:rPr>
        <w:t>in cases</w:t>
      </w:r>
      <w:r w:rsidR="007D66D7">
        <w:rPr>
          <w:sz w:val="18"/>
          <w:szCs w:val="18"/>
          <w:lang w:val="en-IE"/>
        </w:rPr>
        <w:t xml:space="preserve"> </w:t>
      </w:r>
      <w:r w:rsidR="005F0214" w:rsidRPr="005F0214">
        <w:rPr>
          <w:sz w:val="18"/>
          <w:szCs w:val="18"/>
          <w:lang w:val="en-IE"/>
        </w:rPr>
        <w:t>2421/2023</w:t>
      </w:r>
      <w:r w:rsidR="007D66D7">
        <w:rPr>
          <w:sz w:val="18"/>
          <w:szCs w:val="18"/>
          <w:lang w:val="en-IE"/>
        </w:rPr>
        <w:t xml:space="preserve"> </w:t>
      </w:r>
      <w:r w:rsidR="005F0214">
        <w:rPr>
          <w:sz w:val="18"/>
          <w:szCs w:val="18"/>
          <w:lang w:val="en-IE"/>
        </w:rPr>
        <w:t>(</w:t>
      </w:r>
      <w:hyperlink r:id="rId13" w:history="1">
        <w:r w:rsidR="005F0214" w:rsidRPr="00F52D79">
          <w:rPr>
            <w:rStyle w:val="Hyperlink"/>
            <w:sz w:val="18"/>
            <w:szCs w:val="18"/>
            <w:lang w:val="en-IE"/>
          </w:rPr>
          <w:t>https://www.ombudsman.europa.eu/en/case/en/65469</w:t>
        </w:r>
      </w:hyperlink>
      <w:r w:rsidR="005F0214">
        <w:rPr>
          <w:sz w:val="18"/>
          <w:szCs w:val="18"/>
          <w:lang w:val="en-IE"/>
        </w:rPr>
        <w:t>)</w:t>
      </w:r>
      <w:r w:rsidR="007D66D7">
        <w:rPr>
          <w:sz w:val="18"/>
          <w:szCs w:val="18"/>
          <w:lang w:val="en-IE"/>
        </w:rPr>
        <w:t xml:space="preserve"> and </w:t>
      </w:r>
      <w:r w:rsidR="005F0214" w:rsidRPr="005F0214">
        <w:rPr>
          <w:sz w:val="18"/>
          <w:szCs w:val="18"/>
          <w:lang w:val="en-IE"/>
        </w:rPr>
        <w:t>849/2024</w:t>
      </w:r>
      <w:r w:rsidR="005F0214">
        <w:rPr>
          <w:sz w:val="18"/>
          <w:szCs w:val="18"/>
          <w:lang w:val="en-IE"/>
        </w:rPr>
        <w:t xml:space="preserve"> (</w:t>
      </w:r>
      <w:hyperlink r:id="rId14" w:history="1">
        <w:r w:rsidR="005F0214" w:rsidRPr="00F52D79">
          <w:rPr>
            <w:rStyle w:val="Hyperlink"/>
            <w:sz w:val="18"/>
            <w:szCs w:val="18"/>
            <w:lang w:val="en-IE"/>
          </w:rPr>
          <w:t>https://www.ombudsman.europa.eu/en/case/en/66373</w:t>
        </w:r>
      </w:hyperlink>
      <w:r w:rsidR="005F0214">
        <w:rPr>
          <w:sz w:val="18"/>
          <w:szCs w:val="18"/>
          <w:lang w:val="en-IE"/>
        </w:rPr>
        <w:t>)</w:t>
      </w:r>
      <w:r w:rsidR="007D66D7">
        <w:rPr>
          <w:sz w:val="18"/>
          <w:szCs w:val="18"/>
          <w:lang w:val="en-IE"/>
        </w:rPr>
        <w:t xml:space="preserve">. </w:t>
      </w:r>
      <w:r w:rsidR="00244C29">
        <w:rPr>
          <w:sz w:val="18"/>
          <w:szCs w:val="18"/>
          <w:lang w:val="en-IE"/>
        </w:rPr>
        <w:t xml:space="preserve">The Ombudsman </w:t>
      </w:r>
      <w:r w:rsidR="005F0214">
        <w:rPr>
          <w:sz w:val="18"/>
          <w:szCs w:val="18"/>
          <w:lang w:val="en-IE"/>
        </w:rPr>
        <w:t xml:space="preserve">considered </w:t>
      </w:r>
      <w:r w:rsidR="005F0214" w:rsidRPr="005F0214">
        <w:rPr>
          <w:sz w:val="18"/>
          <w:szCs w:val="18"/>
          <w:lang w:val="en-IE"/>
        </w:rPr>
        <w:t>that the Commission’s refusal to handle the complainant’s public access requests constitute</w:t>
      </w:r>
      <w:r w:rsidR="005F0214">
        <w:rPr>
          <w:sz w:val="18"/>
          <w:szCs w:val="18"/>
          <w:lang w:val="en-IE"/>
        </w:rPr>
        <w:t>d</w:t>
      </w:r>
      <w:r w:rsidR="005F0214" w:rsidRPr="005F0214">
        <w:rPr>
          <w:sz w:val="18"/>
          <w:szCs w:val="18"/>
          <w:lang w:val="en-IE"/>
        </w:rPr>
        <w:t xml:space="preserve"> maladministration</w:t>
      </w:r>
      <w:r w:rsidR="007D66D7">
        <w:rPr>
          <w:sz w:val="18"/>
          <w:szCs w:val="18"/>
          <w:lang w:val="en-IE"/>
        </w:rPr>
        <w:t xml:space="preserve"> </w:t>
      </w:r>
      <w:r w:rsidR="005F0214">
        <w:rPr>
          <w:sz w:val="18"/>
          <w:szCs w:val="18"/>
          <w:lang w:val="en-IE"/>
        </w:rPr>
        <w:t>in case</w:t>
      </w:r>
      <w:r w:rsidR="007D66D7">
        <w:rPr>
          <w:sz w:val="18"/>
          <w:szCs w:val="18"/>
          <w:lang w:val="en-IE"/>
        </w:rPr>
        <w:t xml:space="preserve"> </w:t>
      </w:r>
      <w:r w:rsidR="005F0214" w:rsidRPr="005F0214">
        <w:rPr>
          <w:sz w:val="18"/>
          <w:szCs w:val="18"/>
          <w:lang w:val="en-IE"/>
        </w:rPr>
        <w:t>1634/2023</w:t>
      </w:r>
      <w:r w:rsidR="005F0214">
        <w:rPr>
          <w:sz w:val="18"/>
          <w:szCs w:val="18"/>
          <w:lang w:val="en-IE"/>
        </w:rPr>
        <w:t xml:space="preserve"> (</w:t>
      </w:r>
      <w:hyperlink r:id="rId15" w:history="1">
        <w:r w:rsidR="005F0214" w:rsidRPr="00F52D79">
          <w:rPr>
            <w:rStyle w:val="Hyperlink"/>
            <w:sz w:val="18"/>
            <w:szCs w:val="18"/>
            <w:lang w:val="en-IE"/>
          </w:rPr>
          <w:t>https://www.ombudsman.europa.eu/en/case/en/64691</w:t>
        </w:r>
      </w:hyperlink>
      <w:r w:rsidR="005F0214">
        <w:rPr>
          <w:sz w:val="18"/>
          <w:szCs w:val="18"/>
          <w:lang w:val="en-IE"/>
        </w:rPr>
        <w:t>)</w:t>
      </w:r>
      <w:r w:rsidR="007D66D7">
        <w:rPr>
          <w:sz w:val="18"/>
          <w:szCs w:val="18"/>
          <w:lang w:val="en-IE"/>
        </w:rPr>
        <w:t>. T</w:t>
      </w:r>
      <w:r w:rsidR="00244C29" w:rsidRPr="00244C29">
        <w:rPr>
          <w:sz w:val="18"/>
          <w:szCs w:val="18"/>
          <w:lang w:val="en-IE"/>
        </w:rPr>
        <w:t>he Ombudsman considered that there was maladministration by the Commission in how it handled the public access requests in cases</w:t>
      </w:r>
      <w:r w:rsidR="00926ACA">
        <w:rPr>
          <w:sz w:val="18"/>
          <w:szCs w:val="18"/>
          <w:lang w:val="en-IE"/>
        </w:rPr>
        <w:tab/>
      </w:r>
      <w:r w:rsidR="00926ACA">
        <w:rPr>
          <w:sz w:val="18"/>
          <w:szCs w:val="18"/>
          <w:lang w:val="en-IE"/>
        </w:rPr>
        <w:br/>
      </w:r>
      <w:r w:rsidR="00244C29" w:rsidRPr="00244C29">
        <w:rPr>
          <w:sz w:val="18"/>
          <w:szCs w:val="18"/>
          <w:lang w:val="en-IE"/>
        </w:rPr>
        <w:t>1405/2024</w:t>
      </w:r>
      <w:r w:rsidR="00926ACA">
        <w:rPr>
          <w:sz w:val="18"/>
          <w:szCs w:val="18"/>
          <w:lang w:val="en-IE"/>
        </w:rPr>
        <w:t xml:space="preserve"> </w:t>
      </w:r>
      <w:r w:rsidR="00244C29">
        <w:rPr>
          <w:sz w:val="18"/>
          <w:szCs w:val="18"/>
          <w:lang w:val="en-IE"/>
        </w:rPr>
        <w:t>(</w:t>
      </w:r>
      <w:hyperlink r:id="rId16" w:history="1">
        <w:r w:rsidR="00244C29" w:rsidRPr="00F52D79">
          <w:rPr>
            <w:rStyle w:val="Hyperlink"/>
            <w:sz w:val="18"/>
            <w:szCs w:val="18"/>
            <w:lang w:val="en-IE"/>
          </w:rPr>
          <w:t>https://www.ombudsman.europa.eu/en/case/en/66916</w:t>
        </w:r>
      </w:hyperlink>
      <w:r w:rsidR="00244C29">
        <w:rPr>
          <w:sz w:val="18"/>
          <w:szCs w:val="18"/>
          <w:lang w:val="en-IE"/>
        </w:rPr>
        <w:t>)</w:t>
      </w:r>
      <w:r w:rsidR="007D66D7">
        <w:rPr>
          <w:sz w:val="18"/>
          <w:szCs w:val="18"/>
          <w:lang w:val="en-IE"/>
        </w:rPr>
        <w:t>,</w:t>
      </w:r>
      <w:r w:rsidR="00926ACA">
        <w:rPr>
          <w:sz w:val="18"/>
          <w:szCs w:val="18"/>
          <w:lang w:val="en-IE"/>
        </w:rPr>
        <w:tab/>
      </w:r>
      <w:r w:rsidR="00926ACA">
        <w:rPr>
          <w:sz w:val="18"/>
          <w:szCs w:val="18"/>
          <w:lang w:val="en-IE"/>
        </w:rPr>
        <w:br/>
      </w:r>
      <w:r w:rsidR="00244C29" w:rsidRPr="00244C29">
        <w:rPr>
          <w:sz w:val="18"/>
          <w:szCs w:val="18"/>
          <w:lang w:val="en-IE"/>
        </w:rPr>
        <w:t>1498/2024</w:t>
      </w:r>
      <w:r w:rsidR="00926ACA">
        <w:rPr>
          <w:sz w:val="18"/>
          <w:szCs w:val="18"/>
          <w:lang w:val="en-IE"/>
        </w:rPr>
        <w:t xml:space="preserve"> </w:t>
      </w:r>
      <w:r w:rsidR="00244C29">
        <w:rPr>
          <w:sz w:val="18"/>
          <w:szCs w:val="18"/>
          <w:lang w:val="en-IE"/>
        </w:rPr>
        <w:t>(</w:t>
      </w:r>
      <w:hyperlink r:id="rId17" w:history="1">
        <w:r w:rsidR="00244C29" w:rsidRPr="00F52D79">
          <w:rPr>
            <w:rStyle w:val="Hyperlink"/>
            <w:sz w:val="18"/>
            <w:szCs w:val="18"/>
            <w:lang w:val="en-IE"/>
          </w:rPr>
          <w:t>https://www.ombudsman.europa.eu/en/case/en/67020</w:t>
        </w:r>
      </w:hyperlink>
      <w:r w:rsidR="00244C29">
        <w:rPr>
          <w:sz w:val="18"/>
          <w:szCs w:val="18"/>
          <w:lang w:val="en-IE"/>
        </w:rPr>
        <w:t>)</w:t>
      </w:r>
      <w:r w:rsidR="00926ACA">
        <w:rPr>
          <w:sz w:val="18"/>
          <w:szCs w:val="18"/>
          <w:lang w:val="en-IE"/>
        </w:rPr>
        <w:t>,</w:t>
      </w:r>
      <w:r w:rsidR="00926ACA">
        <w:rPr>
          <w:sz w:val="18"/>
          <w:szCs w:val="18"/>
          <w:lang w:val="en-IE"/>
        </w:rPr>
        <w:tab/>
      </w:r>
      <w:r w:rsidR="00926ACA">
        <w:rPr>
          <w:sz w:val="18"/>
          <w:szCs w:val="18"/>
          <w:lang w:val="en-IE"/>
        </w:rPr>
        <w:br/>
      </w:r>
      <w:r w:rsidR="007D66D7">
        <w:rPr>
          <w:sz w:val="18"/>
          <w:szCs w:val="18"/>
          <w:lang w:val="en-IE"/>
        </w:rPr>
        <w:t xml:space="preserve">and </w:t>
      </w:r>
      <w:r w:rsidR="00244C29" w:rsidRPr="00244C29">
        <w:rPr>
          <w:sz w:val="18"/>
          <w:szCs w:val="18"/>
          <w:lang w:val="en-IE"/>
        </w:rPr>
        <w:t>318/2025</w:t>
      </w:r>
      <w:r w:rsidR="00926ACA">
        <w:rPr>
          <w:sz w:val="18"/>
          <w:szCs w:val="18"/>
          <w:lang w:val="en-IE"/>
        </w:rPr>
        <w:t xml:space="preserve"> </w:t>
      </w:r>
      <w:r w:rsidR="00244C29">
        <w:rPr>
          <w:sz w:val="18"/>
          <w:szCs w:val="18"/>
          <w:lang w:val="en-IE"/>
        </w:rPr>
        <w:t>(</w:t>
      </w:r>
      <w:hyperlink r:id="rId18" w:history="1">
        <w:r w:rsidR="00244C29" w:rsidRPr="00F52D79">
          <w:rPr>
            <w:rStyle w:val="Hyperlink"/>
            <w:sz w:val="18"/>
            <w:szCs w:val="18"/>
            <w:lang w:val="en-IE"/>
          </w:rPr>
          <w:t>https://www.ombudsman.europa.eu/en/case/en/68195</w:t>
        </w:r>
      </w:hyperlink>
      <w:r w:rsidR="00244C29">
        <w:rPr>
          <w:sz w:val="18"/>
          <w:szCs w:val="18"/>
          <w:lang w:val="en-IE"/>
        </w:rPr>
        <w:t>)</w:t>
      </w:r>
      <w:r w:rsidR="007D66D7">
        <w:rPr>
          <w:sz w:val="18"/>
          <w:szCs w:val="18"/>
          <w:lang w:val="en-IE"/>
        </w:rPr>
        <w:t>.</w:t>
      </w:r>
      <w:r w:rsidR="00926ACA">
        <w:rPr>
          <w:sz w:val="18"/>
          <w:szCs w:val="18"/>
          <w:lang w:val="en-IE"/>
        </w:rPr>
        <w:tab/>
      </w:r>
      <w:r w:rsidR="00926ACA">
        <w:rPr>
          <w:sz w:val="18"/>
          <w:szCs w:val="18"/>
          <w:lang w:val="en-IE"/>
        </w:rPr>
        <w:br/>
      </w:r>
      <w:r w:rsidR="00713AE1" w:rsidRPr="00713AE1">
        <w:rPr>
          <w:sz w:val="18"/>
          <w:szCs w:val="18"/>
          <w:lang w:val="en-IE"/>
        </w:rPr>
        <w:t>The Ombudsman considered that the Commission’s use of a general presumption of non-disclosure constituted maladministration</w:t>
      </w:r>
      <w:r w:rsidR="00713AE1">
        <w:rPr>
          <w:sz w:val="18"/>
          <w:szCs w:val="18"/>
          <w:lang w:val="en-IE"/>
        </w:rPr>
        <w:t xml:space="preserve"> in case </w:t>
      </w:r>
      <w:r w:rsidR="00713AE1" w:rsidRPr="00713AE1">
        <w:rPr>
          <w:sz w:val="18"/>
          <w:szCs w:val="18"/>
          <w:lang w:val="en-IE"/>
        </w:rPr>
        <w:t>1746/2024</w:t>
      </w:r>
      <w:r w:rsidR="00926ACA">
        <w:rPr>
          <w:sz w:val="18"/>
          <w:szCs w:val="18"/>
          <w:lang w:val="en-IE"/>
        </w:rPr>
        <w:t xml:space="preserve"> </w:t>
      </w:r>
      <w:r w:rsidR="00713AE1">
        <w:rPr>
          <w:sz w:val="18"/>
          <w:szCs w:val="18"/>
          <w:lang w:val="en-IE"/>
        </w:rPr>
        <w:t>(</w:t>
      </w:r>
      <w:hyperlink r:id="rId19" w:history="1">
        <w:r w:rsidR="00713AE1" w:rsidRPr="00F52D79">
          <w:rPr>
            <w:rStyle w:val="Hyperlink"/>
            <w:sz w:val="18"/>
            <w:szCs w:val="18"/>
            <w:lang w:val="en-IE"/>
          </w:rPr>
          <w:t>https://www.ombudsman.europa.eu/en/case/en/67261</w:t>
        </w:r>
      </w:hyperlink>
      <w:r w:rsidR="00713AE1">
        <w:rPr>
          <w:sz w:val="18"/>
          <w:szCs w:val="18"/>
          <w:lang w:val="en-IE"/>
        </w:rPr>
        <w:t>).</w:t>
      </w:r>
    </w:p>
  </w:footnote>
  <w:footnote w:id="18">
    <w:p w14:paraId="006AA979" w14:textId="74DCEE53" w:rsidR="00056053" w:rsidRPr="001B59F8" w:rsidRDefault="00056053" w:rsidP="00DC77C9">
      <w:pPr>
        <w:pStyle w:val="FootnoteText"/>
        <w:ind w:left="284" w:hanging="284"/>
        <w:rPr>
          <w:sz w:val="18"/>
          <w:szCs w:val="18"/>
          <w:lang w:val="en-IE"/>
        </w:rPr>
      </w:pPr>
      <w:r w:rsidRPr="009D0660">
        <w:rPr>
          <w:rStyle w:val="FootnoteReference"/>
          <w:sz w:val="18"/>
          <w:szCs w:val="18"/>
          <w:lang w:val="en-IE"/>
        </w:rPr>
        <w:footnoteRef/>
      </w:r>
      <w:r>
        <w:rPr>
          <w:sz w:val="18"/>
          <w:szCs w:val="18"/>
          <w:lang w:val="en-IE"/>
        </w:rPr>
        <w:t xml:space="preserve"> </w:t>
      </w:r>
      <w:r w:rsidR="00DC77C9">
        <w:rPr>
          <w:sz w:val="18"/>
          <w:szCs w:val="18"/>
          <w:lang w:val="en-IE"/>
        </w:rPr>
        <w:tab/>
      </w:r>
      <w:r w:rsidRPr="00056053">
        <w:rPr>
          <w:sz w:val="18"/>
          <w:szCs w:val="18"/>
          <w:lang w:val="en-IE"/>
        </w:rPr>
        <w:t xml:space="preserve">Judgment of 16 January 2025, </w:t>
      </w:r>
      <w:r w:rsidRPr="00056053">
        <w:rPr>
          <w:i/>
          <w:iCs/>
          <w:sz w:val="18"/>
          <w:szCs w:val="18"/>
          <w:lang w:val="en-IE"/>
        </w:rPr>
        <w:t>Commission</w:t>
      </w:r>
      <w:r w:rsidRPr="00056053">
        <w:rPr>
          <w:sz w:val="18"/>
          <w:szCs w:val="18"/>
          <w:lang w:val="en-IE"/>
        </w:rPr>
        <w:t xml:space="preserve"> v </w:t>
      </w:r>
      <w:r w:rsidRPr="00056053">
        <w:rPr>
          <w:i/>
          <w:iCs/>
          <w:sz w:val="18"/>
          <w:szCs w:val="18"/>
          <w:lang w:val="en-IE"/>
        </w:rPr>
        <w:t>Pollinis France</w:t>
      </w:r>
      <w:r w:rsidRPr="00056053">
        <w:rPr>
          <w:sz w:val="18"/>
          <w:szCs w:val="18"/>
          <w:lang w:val="en-IE"/>
        </w:rPr>
        <w:t>, C-726/22 P, EU:C:2025:17.</w:t>
      </w:r>
    </w:p>
  </w:footnote>
  <w:footnote w:id="19">
    <w:p w14:paraId="0FFC4655" w14:textId="78172A4E" w:rsidR="00056053" w:rsidRPr="001B59F8" w:rsidRDefault="00056053" w:rsidP="004F2FDA">
      <w:pPr>
        <w:pStyle w:val="FootnoteText"/>
        <w:ind w:left="284" w:hanging="284"/>
        <w:rPr>
          <w:sz w:val="18"/>
          <w:szCs w:val="18"/>
          <w:lang w:val="en-IE"/>
        </w:rPr>
      </w:pPr>
      <w:r w:rsidRPr="009D0660">
        <w:rPr>
          <w:rStyle w:val="FootnoteReference"/>
          <w:sz w:val="18"/>
          <w:szCs w:val="18"/>
          <w:lang w:val="en-IE"/>
        </w:rPr>
        <w:footnoteRef/>
      </w:r>
      <w:r w:rsidRPr="009D0660">
        <w:rPr>
          <w:sz w:val="18"/>
          <w:szCs w:val="18"/>
          <w:lang w:val="en-IE"/>
        </w:rPr>
        <w:t xml:space="preserve"> </w:t>
      </w:r>
      <w:r w:rsidR="004F2FDA">
        <w:rPr>
          <w:sz w:val="18"/>
          <w:szCs w:val="18"/>
          <w:lang w:val="en-IE"/>
        </w:rPr>
        <w:tab/>
      </w:r>
      <w:r w:rsidRPr="00056053">
        <w:rPr>
          <w:sz w:val="18"/>
          <w:szCs w:val="18"/>
          <w:lang w:val="en-IE"/>
        </w:rPr>
        <w:t xml:space="preserve">Order of 4 February 2025, </w:t>
      </w:r>
      <w:r w:rsidRPr="00056053">
        <w:rPr>
          <w:i/>
          <w:iCs/>
          <w:sz w:val="18"/>
          <w:szCs w:val="18"/>
          <w:lang w:val="en-IE"/>
        </w:rPr>
        <w:t>Commission</w:t>
      </w:r>
      <w:r w:rsidRPr="00056053">
        <w:rPr>
          <w:sz w:val="18"/>
          <w:szCs w:val="18"/>
          <w:lang w:val="en-IE"/>
        </w:rPr>
        <w:t xml:space="preserve"> v </w:t>
      </w:r>
      <w:r w:rsidRPr="00056053">
        <w:rPr>
          <w:i/>
          <w:iCs/>
          <w:sz w:val="18"/>
          <w:szCs w:val="18"/>
          <w:lang w:val="en-IE"/>
        </w:rPr>
        <w:t>Courtois and Others</w:t>
      </w:r>
      <w:r w:rsidRPr="00056053">
        <w:rPr>
          <w:sz w:val="18"/>
          <w:szCs w:val="18"/>
          <w:lang w:val="en-IE"/>
        </w:rPr>
        <w:t>, C-632/24 P-R, EU:C:2025:70</w:t>
      </w:r>
      <w:r>
        <w:rPr>
          <w:sz w:val="18"/>
          <w:szCs w:val="18"/>
          <w:lang w:val="en-IE"/>
        </w:rPr>
        <w:t>.</w:t>
      </w:r>
    </w:p>
  </w:footnote>
  <w:footnote w:id="20">
    <w:p w14:paraId="66E80BAD" w14:textId="1FE7BC23" w:rsidR="005434B6" w:rsidRPr="001B59F8" w:rsidRDefault="005434B6" w:rsidP="004F2FDA">
      <w:pPr>
        <w:pStyle w:val="FootnoteText"/>
        <w:ind w:left="284" w:hanging="284"/>
        <w:rPr>
          <w:sz w:val="18"/>
          <w:szCs w:val="18"/>
          <w:lang w:val="en-IE"/>
        </w:rPr>
      </w:pPr>
      <w:r w:rsidRPr="001B59F8">
        <w:rPr>
          <w:rStyle w:val="FootnoteReference"/>
          <w:sz w:val="18"/>
          <w:szCs w:val="18"/>
          <w:lang w:val="en-IE"/>
        </w:rPr>
        <w:footnoteRef/>
      </w:r>
      <w:r w:rsidR="004F2FDA">
        <w:rPr>
          <w:sz w:val="18"/>
          <w:szCs w:val="18"/>
          <w:lang w:val="en-IE"/>
        </w:rPr>
        <w:tab/>
      </w:r>
      <w:r w:rsidR="00056053" w:rsidRPr="00056053">
        <w:rPr>
          <w:sz w:val="18"/>
          <w:szCs w:val="18"/>
          <w:lang w:val="en-IE"/>
        </w:rPr>
        <w:t xml:space="preserve">Judgment </w:t>
      </w:r>
      <w:r w:rsidR="00056053">
        <w:rPr>
          <w:sz w:val="18"/>
          <w:szCs w:val="18"/>
          <w:lang w:val="en-IE"/>
        </w:rPr>
        <w:t xml:space="preserve">in </w:t>
      </w:r>
      <w:r w:rsidR="00056053" w:rsidRPr="00056053">
        <w:rPr>
          <w:i/>
          <w:iCs/>
          <w:sz w:val="18"/>
          <w:szCs w:val="18"/>
          <w:lang w:val="en-IE"/>
        </w:rPr>
        <w:t>Commission</w:t>
      </w:r>
      <w:r w:rsidR="00056053" w:rsidRPr="00056053">
        <w:rPr>
          <w:sz w:val="18"/>
          <w:szCs w:val="18"/>
          <w:lang w:val="en-IE"/>
        </w:rPr>
        <w:t xml:space="preserve"> v </w:t>
      </w:r>
      <w:r w:rsidR="00056053" w:rsidRPr="00056053">
        <w:rPr>
          <w:i/>
          <w:iCs/>
          <w:sz w:val="18"/>
          <w:szCs w:val="18"/>
          <w:lang w:val="en-IE"/>
        </w:rPr>
        <w:t>Pollinis France</w:t>
      </w:r>
      <w:r w:rsidR="00056053" w:rsidRPr="00056053">
        <w:rPr>
          <w:sz w:val="18"/>
          <w:szCs w:val="18"/>
          <w:lang w:val="en-IE"/>
        </w:rPr>
        <w:t xml:space="preserve">, C-726/22 P, </w:t>
      </w:r>
      <w:r w:rsidRPr="001B59F8">
        <w:rPr>
          <w:i/>
          <w:sz w:val="18"/>
          <w:szCs w:val="18"/>
          <w:lang w:val="en-IE"/>
        </w:rPr>
        <w:t>op.cit</w:t>
      </w:r>
      <w:r w:rsidRPr="001B59F8">
        <w:rPr>
          <w:sz w:val="18"/>
          <w:szCs w:val="18"/>
          <w:lang w:val="en-IE"/>
        </w:rPr>
        <w:t>.</w:t>
      </w:r>
    </w:p>
  </w:footnote>
  <w:footnote w:id="21">
    <w:p w14:paraId="41749AB6" w14:textId="6B3BBEE1" w:rsidR="00C140AF" w:rsidRPr="001B59F8" w:rsidRDefault="00C140AF" w:rsidP="004F2FDA">
      <w:pPr>
        <w:pStyle w:val="FootnoteText"/>
        <w:ind w:left="284" w:hanging="284"/>
        <w:rPr>
          <w:sz w:val="18"/>
          <w:szCs w:val="18"/>
          <w:lang w:val="en-IE"/>
        </w:rPr>
      </w:pPr>
      <w:r w:rsidRPr="001B59F8">
        <w:rPr>
          <w:rStyle w:val="FootnoteReference"/>
          <w:sz w:val="18"/>
          <w:szCs w:val="18"/>
          <w:lang w:val="en-IE"/>
        </w:rPr>
        <w:footnoteRef/>
      </w:r>
      <w:r w:rsidR="004F2FDA">
        <w:rPr>
          <w:sz w:val="18"/>
          <w:szCs w:val="18"/>
          <w:lang w:val="en-IE"/>
        </w:rPr>
        <w:tab/>
      </w:r>
      <w:r w:rsidRPr="00056053">
        <w:rPr>
          <w:sz w:val="18"/>
          <w:szCs w:val="18"/>
          <w:lang w:val="en-IE"/>
        </w:rPr>
        <w:t xml:space="preserve">Order </w:t>
      </w:r>
      <w:r>
        <w:rPr>
          <w:sz w:val="18"/>
          <w:szCs w:val="18"/>
          <w:lang w:val="en-IE"/>
        </w:rPr>
        <w:t xml:space="preserve">in </w:t>
      </w:r>
      <w:r w:rsidRPr="00056053">
        <w:rPr>
          <w:i/>
          <w:iCs/>
          <w:sz w:val="18"/>
          <w:szCs w:val="18"/>
          <w:lang w:val="en-IE"/>
        </w:rPr>
        <w:t>Commission</w:t>
      </w:r>
      <w:r w:rsidRPr="00056053">
        <w:rPr>
          <w:sz w:val="18"/>
          <w:szCs w:val="18"/>
          <w:lang w:val="en-IE"/>
        </w:rPr>
        <w:t xml:space="preserve"> v </w:t>
      </w:r>
      <w:r w:rsidRPr="00056053">
        <w:rPr>
          <w:i/>
          <w:iCs/>
          <w:sz w:val="18"/>
          <w:szCs w:val="18"/>
          <w:lang w:val="en-IE"/>
        </w:rPr>
        <w:t>Courtois and Others</w:t>
      </w:r>
      <w:r w:rsidRPr="00056053">
        <w:rPr>
          <w:sz w:val="18"/>
          <w:szCs w:val="18"/>
          <w:lang w:val="en-IE"/>
        </w:rPr>
        <w:t xml:space="preserve">, C-632/24 P-R, </w:t>
      </w:r>
      <w:r w:rsidRPr="001B59F8">
        <w:rPr>
          <w:i/>
          <w:sz w:val="18"/>
          <w:szCs w:val="18"/>
          <w:lang w:val="en-IE"/>
        </w:rPr>
        <w:t>op.cit</w:t>
      </w:r>
      <w:r>
        <w:rPr>
          <w:sz w:val="18"/>
          <w:szCs w:val="18"/>
          <w:lang w:val="en-IE"/>
        </w:rPr>
        <w:t>.</w:t>
      </w:r>
    </w:p>
  </w:footnote>
  <w:footnote w:id="22">
    <w:p w14:paraId="14E66955" w14:textId="75D88274" w:rsidR="00C140AF" w:rsidRPr="001B59F8" w:rsidRDefault="00C140AF" w:rsidP="004F2FDA">
      <w:pPr>
        <w:pStyle w:val="FootnoteText"/>
        <w:ind w:left="284" w:hanging="284"/>
        <w:rPr>
          <w:sz w:val="18"/>
          <w:szCs w:val="18"/>
          <w:lang w:val="en-IE"/>
        </w:rPr>
      </w:pPr>
      <w:r w:rsidRPr="001B59F8">
        <w:rPr>
          <w:rStyle w:val="FootnoteReference"/>
          <w:sz w:val="18"/>
          <w:szCs w:val="18"/>
          <w:lang w:val="en-IE"/>
        </w:rPr>
        <w:footnoteRef/>
      </w:r>
      <w:r w:rsidR="004F2FDA">
        <w:rPr>
          <w:sz w:val="18"/>
          <w:szCs w:val="18"/>
          <w:lang w:val="en-IE"/>
        </w:rPr>
        <w:tab/>
      </w:r>
      <w:r w:rsidRPr="00056053">
        <w:rPr>
          <w:sz w:val="18"/>
          <w:szCs w:val="18"/>
          <w:lang w:val="en-IE"/>
        </w:rPr>
        <w:t xml:space="preserve">Judgment </w:t>
      </w:r>
      <w:r>
        <w:rPr>
          <w:sz w:val="18"/>
          <w:szCs w:val="18"/>
          <w:lang w:val="en-IE"/>
        </w:rPr>
        <w:t xml:space="preserve">in </w:t>
      </w:r>
      <w:r w:rsidRPr="00056053">
        <w:rPr>
          <w:i/>
          <w:iCs/>
          <w:sz w:val="18"/>
          <w:szCs w:val="18"/>
          <w:lang w:val="en-IE"/>
        </w:rPr>
        <w:t>Commission</w:t>
      </w:r>
      <w:r w:rsidRPr="00056053">
        <w:rPr>
          <w:sz w:val="18"/>
          <w:szCs w:val="18"/>
          <w:lang w:val="en-IE"/>
        </w:rPr>
        <w:t xml:space="preserve"> v </w:t>
      </w:r>
      <w:r w:rsidRPr="00056053">
        <w:rPr>
          <w:i/>
          <w:iCs/>
          <w:sz w:val="18"/>
          <w:szCs w:val="18"/>
          <w:lang w:val="en-IE"/>
        </w:rPr>
        <w:t>Pollinis France</w:t>
      </w:r>
      <w:r w:rsidRPr="00056053">
        <w:rPr>
          <w:sz w:val="18"/>
          <w:szCs w:val="18"/>
          <w:lang w:val="en-IE"/>
        </w:rPr>
        <w:t xml:space="preserve">, C-726/22 P, </w:t>
      </w:r>
      <w:r w:rsidRPr="001B59F8">
        <w:rPr>
          <w:i/>
          <w:sz w:val="18"/>
          <w:szCs w:val="18"/>
          <w:lang w:val="en-IE"/>
        </w:rPr>
        <w:t>op.cit</w:t>
      </w:r>
      <w:r w:rsidRPr="001B59F8">
        <w:rPr>
          <w:sz w:val="18"/>
          <w:szCs w:val="18"/>
          <w:lang w:val="en-IE"/>
        </w:rPr>
        <w:t>.</w:t>
      </w:r>
      <w:r>
        <w:rPr>
          <w:sz w:val="18"/>
          <w:szCs w:val="18"/>
          <w:lang w:val="en-IE"/>
        </w:rPr>
        <w:t xml:space="preserve"> Paragraphs </w:t>
      </w:r>
      <w:r w:rsidR="00ED6F49">
        <w:rPr>
          <w:sz w:val="18"/>
          <w:szCs w:val="18"/>
          <w:lang w:val="en-IE"/>
        </w:rPr>
        <w:t xml:space="preserve">65, 71-74 </w:t>
      </w:r>
      <w:r w:rsidR="00CA2B33">
        <w:rPr>
          <w:sz w:val="18"/>
          <w:szCs w:val="18"/>
          <w:lang w:val="en-IE"/>
        </w:rPr>
        <w:t xml:space="preserve">and </w:t>
      </w:r>
      <w:r w:rsidR="00ED6F49">
        <w:rPr>
          <w:sz w:val="18"/>
          <w:szCs w:val="18"/>
          <w:lang w:val="en-IE"/>
        </w:rPr>
        <w:t>78-79</w:t>
      </w:r>
      <w:r w:rsidRPr="001B59F8">
        <w:rPr>
          <w:sz w:val="18"/>
          <w:szCs w:val="18"/>
          <w:lang w:val="en-IE"/>
        </w:rPr>
        <w:t>.</w:t>
      </w:r>
    </w:p>
  </w:footnote>
  <w:footnote w:id="23">
    <w:p w14:paraId="621F485C" w14:textId="55C1610A" w:rsidR="00C371F8" w:rsidRPr="00FF4967" w:rsidRDefault="00C371F8" w:rsidP="004F2FDA">
      <w:pPr>
        <w:pStyle w:val="FootnoteText"/>
        <w:ind w:left="284" w:hanging="284"/>
        <w:rPr>
          <w:sz w:val="18"/>
          <w:szCs w:val="18"/>
          <w:lang w:val="en-IE"/>
        </w:rPr>
      </w:pPr>
      <w:r w:rsidRPr="001B59F8">
        <w:rPr>
          <w:rStyle w:val="FootnoteReference"/>
          <w:sz w:val="18"/>
          <w:szCs w:val="18"/>
          <w:lang w:val="en-IE"/>
        </w:rPr>
        <w:footnoteRef/>
      </w:r>
      <w:r w:rsidR="004F2FDA">
        <w:rPr>
          <w:sz w:val="18"/>
          <w:szCs w:val="18"/>
          <w:lang w:val="en-IE"/>
        </w:rPr>
        <w:tab/>
      </w:r>
      <w:r w:rsidRPr="00C371F8">
        <w:rPr>
          <w:sz w:val="18"/>
          <w:szCs w:val="18"/>
          <w:lang w:val="en-IE"/>
        </w:rPr>
        <w:t>Judgment</w:t>
      </w:r>
      <w:r>
        <w:rPr>
          <w:sz w:val="18"/>
          <w:szCs w:val="18"/>
          <w:lang w:val="en-IE"/>
        </w:rPr>
        <w:t>s</w:t>
      </w:r>
      <w:r w:rsidRPr="00C371F8">
        <w:rPr>
          <w:sz w:val="18"/>
          <w:szCs w:val="18"/>
          <w:lang w:val="en-IE"/>
        </w:rPr>
        <w:t xml:space="preserve"> of 14 May 2025, </w:t>
      </w:r>
      <w:r w:rsidRPr="00D55B5B">
        <w:rPr>
          <w:i/>
          <w:iCs/>
          <w:sz w:val="18"/>
          <w:szCs w:val="18"/>
          <w:lang w:val="en-IE"/>
        </w:rPr>
        <w:t>Stevi and The New York Times</w:t>
      </w:r>
      <w:r w:rsidRPr="00C371F8">
        <w:rPr>
          <w:sz w:val="18"/>
          <w:szCs w:val="18"/>
          <w:lang w:val="en-IE"/>
        </w:rPr>
        <w:t xml:space="preserve"> v </w:t>
      </w:r>
      <w:r w:rsidRPr="00D55B5B">
        <w:rPr>
          <w:i/>
          <w:iCs/>
          <w:sz w:val="18"/>
          <w:szCs w:val="18"/>
          <w:lang w:val="en-IE"/>
        </w:rPr>
        <w:t>Commission</w:t>
      </w:r>
      <w:r w:rsidRPr="00C371F8">
        <w:rPr>
          <w:sz w:val="18"/>
          <w:szCs w:val="18"/>
          <w:lang w:val="en-IE"/>
        </w:rPr>
        <w:t>, T-36/23, EU:T:2025:483</w:t>
      </w:r>
      <w:r w:rsidR="00D55B5B">
        <w:rPr>
          <w:sz w:val="18"/>
          <w:szCs w:val="18"/>
          <w:lang w:val="en-IE"/>
        </w:rPr>
        <w:t>;</w:t>
      </w:r>
      <w:r w:rsidRPr="00C371F8">
        <w:rPr>
          <w:sz w:val="18"/>
          <w:szCs w:val="18"/>
          <w:lang w:val="en-IE"/>
        </w:rPr>
        <w:t xml:space="preserve"> of 22 January 2025, </w:t>
      </w:r>
      <w:r w:rsidRPr="00D55B5B">
        <w:rPr>
          <w:i/>
          <w:iCs/>
          <w:sz w:val="18"/>
          <w:szCs w:val="18"/>
          <w:lang w:val="en-IE"/>
        </w:rPr>
        <w:t>eClear</w:t>
      </w:r>
      <w:r w:rsidRPr="00C371F8">
        <w:rPr>
          <w:sz w:val="18"/>
          <w:szCs w:val="18"/>
          <w:lang w:val="en-IE"/>
        </w:rPr>
        <w:t xml:space="preserve"> v </w:t>
      </w:r>
      <w:r w:rsidRPr="00D55B5B">
        <w:rPr>
          <w:i/>
          <w:iCs/>
          <w:sz w:val="18"/>
          <w:szCs w:val="18"/>
          <w:lang w:val="en-IE"/>
        </w:rPr>
        <w:t>Commission</w:t>
      </w:r>
      <w:r w:rsidRPr="00C371F8">
        <w:rPr>
          <w:sz w:val="18"/>
          <w:szCs w:val="18"/>
          <w:lang w:val="en-IE"/>
        </w:rPr>
        <w:t>, T-127/23, EU:T:2025:51</w:t>
      </w:r>
      <w:r w:rsidR="00D55B5B">
        <w:rPr>
          <w:sz w:val="18"/>
          <w:szCs w:val="18"/>
          <w:lang w:val="en-IE"/>
        </w:rPr>
        <w:t xml:space="preserve">; </w:t>
      </w:r>
      <w:r w:rsidRPr="00C371F8">
        <w:rPr>
          <w:sz w:val="18"/>
          <w:szCs w:val="18"/>
          <w:lang w:val="en-IE"/>
        </w:rPr>
        <w:t xml:space="preserve">of 3 September 2025, </w:t>
      </w:r>
      <w:r w:rsidRPr="00D55B5B">
        <w:rPr>
          <w:i/>
          <w:iCs/>
          <w:sz w:val="18"/>
          <w:szCs w:val="18"/>
          <w:lang w:val="en-IE"/>
        </w:rPr>
        <w:t>Huhtamaki Holding</w:t>
      </w:r>
      <w:r w:rsidRPr="00C371F8">
        <w:rPr>
          <w:sz w:val="18"/>
          <w:szCs w:val="18"/>
          <w:lang w:val="en-IE"/>
        </w:rPr>
        <w:t xml:space="preserve"> v </w:t>
      </w:r>
      <w:r w:rsidRPr="00D55B5B">
        <w:rPr>
          <w:i/>
          <w:iCs/>
          <w:sz w:val="18"/>
          <w:szCs w:val="18"/>
          <w:lang w:val="en-IE"/>
        </w:rPr>
        <w:t>Commission</w:t>
      </w:r>
      <w:r w:rsidRPr="00C371F8">
        <w:rPr>
          <w:sz w:val="18"/>
          <w:szCs w:val="18"/>
          <w:lang w:val="en-IE"/>
        </w:rPr>
        <w:t>, T-225/24, EU:T:2025:830</w:t>
      </w:r>
      <w:r w:rsidR="00D55B5B">
        <w:rPr>
          <w:sz w:val="18"/>
          <w:szCs w:val="18"/>
          <w:lang w:val="en-IE"/>
        </w:rPr>
        <w:t xml:space="preserve">; </w:t>
      </w:r>
      <w:r w:rsidRPr="00C371F8">
        <w:rPr>
          <w:sz w:val="18"/>
          <w:szCs w:val="18"/>
          <w:lang w:val="en-IE"/>
        </w:rPr>
        <w:t xml:space="preserve">of 14 May 2025, </w:t>
      </w:r>
      <w:r w:rsidRPr="00D55B5B">
        <w:rPr>
          <w:i/>
          <w:iCs/>
          <w:sz w:val="18"/>
          <w:szCs w:val="18"/>
          <w:lang w:val="en-IE"/>
        </w:rPr>
        <w:t>Smart Kid</w:t>
      </w:r>
      <w:r w:rsidRPr="00C371F8">
        <w:rPr>
          <w:sz w:val="18"/>
          <w:szCs w:val="18"/>
          <w:lang w:val="en-IE"/>
        </w:rPr>
        <w:t xml:space="preserve"> v </w:t>
      </w:r>
      <w:r w:rsidRPr="00D55B5B">
        <w:rPr>
          <w:i/>
          <w:iCs/>
          <w:sz w:val="18"/>
          <w:szCs w:val="18"/>
          <w:lang w:val="en-IE"/>
        </w:rPr>
        <w:t>Commission</w:t>
      </w:r>
      <w:r w:rsidRPr="00C371F8">
        <w:rPr>
          <w:sz w:val="18"/>
          <w:szCs w:val="18"/>
          <w:lang w:val="en-IE"/>
        </w:rPr>
        <w:t>, T-227/24, EU:T:2025:488</w:t>
      </w:r>
      <w:r w:rsidR="00D55B5B">
        <w:rPr>
          <w:sz w:val="18"/>
          <w:szCs w:val="18"/>
          <w:lang w:val="en-IE"/>
        </w:rPr>
        <w:t xml:space="preserve">; </w:t>
      </w:r>
      <w:r w:rsidRPr="00D55B5B">
        <w:rPr>
          <w:sz w:val="18"/>
          <w:szCs w:val="18"/>
          <w:lang w:val="en-IE"/>
        </w:rPr>
        <w:t xml:space="preserve">of 18 June 2025, </w:t>
      </w:r>
      <w:r w:rsidRPr="00D55B5B">
        <w:rPr>
          <w:i/>
          <w:iCs/>
          <w:sz w:val="18"/>
          <w:szCs w:val="18"/>
          <w:lang w:val="en-IE"/>
        </w:rPr>
        <w:t>Zver</w:t>
      </w:r>
      <w:r w:rsidRPr="00D55B5B">
        <w:rPr>
          <w:sz w:val="18"/>
          <w:szCs w:val="18"/>
          <w:lang w:val="en-IE"/>
        </w:rPr>
        <w:t xml:space="preserve"> v </w:t>
      </w:r>
      <w:r w:rsidRPr="00D55B5B">
        <w:rPr>
          <w:i/>
          <w:iCs/>
          <w:sz w:val="18"/>
          <w:szCs w:val="18"/>
          <w:lang w:val="en-IE"/>
        </w:rPr>
        <w:t>Commission</w:t>
      </w:r>
      <w:r w:rsidRPr="00D55B5B">
        <w:rPr>
          <w:sz w:val="18"/>
          <w:szCs w:val="18"/>
          <w:lang w:val="en-IE"/>
        </w:rPr>
        <w:t>, T-235/24, EU:T:2025:607</w:t>
      </w:r>
      <w:r w:rsidR="00D55B5B">
        <w:rPr>
          <w:sz w:val="18"/>
          <w:szCs w:val="18"/>
          <w:lang w:val="en-IE"/>
        </w:rPr>
        <w:t xml:space="preserve">; </w:t>
      </w:r>
      <w:r w:rsidRPr="00C371F8">
        <w:rPr>
          <w:sz w:val="18"/>
          <w:szCs w:val="18"/>
          <w:lang w:val="en-IE"/>
        </w:rPr>
        <w:t xml:space="preserve">of 10 September 2025, </w:t>
      </w:r>
      <w:r w:rsidRPr="00D55B5B">
        <w:rPr>
          <w:i/>
          <w:iCs/>
          <w:sz w:val="18"/>
          <w:szCs w:val="18"/>
          <w:lang w:val="en-IE"/>
        </w:rPr>
        <w:t>Smart Kid</w:t>
      </w:r>
      <w:r w:rsidRPr="00C371F8">
        <w:rPr>
          <w:sz w:val="18"/>
          <w:szCs w:val="18"/>
          <w:lang w:val="en-IE"/>
        </w:rPr>
        <w:t xml:space="preserve"> v </w:t>
      </w:r>
      <w:r w:rsidRPr="00D55B5B">
        <w:rPr>
          <w:i/>
          <w:iCs/>
          <w:sz w:val="18"/>
          <w:szCs w:val="18"/>
          <w:lang w:val="en-IE"/>
        </w:rPr>
        <w:t>Commission</w:t>
      </w:r>
      <w:r w:rsidRPr="00C371F8">
        <w:rPr>
          <w:sz w:val="18"/>
          <w:szCs w:val="18"/>
          <w:lang w:val="en-IE"/>
        </w:rPr>
        <w:t>, T-337/24, EU:T:2025:848.</w:t>
      </w:r>
    </w:p>
  </w:footnote>
  <w:footnote w:id="24">
    <w:p w14:paraId="5E7EEC26" w14:textId="0CAF2716" w:rsidR="00C371F8" w:rsidRPr="001B59F8" w:rsidRDefault="00C371F8" w:rsidP="004F2FDA">
      <w:pPr>
        <w:pStyle w:val="FootnoteText"/>
        <w:ind w:left="284" w:hanging="284"/>
        <w:rPr>
          <w:sz w:val="18"/>
          <w:szCs w:val="18"/>
          <w:lang w:val="en-IE"/>
        </w:rPr>
      </w:pPr>
      <w:r w:rsidRPr="001B59F8">
        <w:rPr>
          <w:rStyle w:val="FootnoteReference"/>
          <w:sz w:val="18"/>
          <w:szCs w:val="18"/>
          <w:lang w:val="en-IE"/>
        </w:rPr>
        <w:footnoteRef/>
      </w:r>
      <w:r w:rsidR="004F2FDA">
        <w:rPr>
          <w:sz w:val="18"/>
          <w:szCs w:val="18"/>
          <w:lang w:val="en-IE"/>
        </w:rPr>
        <w:tab/>
      </w:r>
      <w:r w:rsidRPr="001B59F8">
        <w:rPr>
          <w:sz w:val="18"/>
          <w:szCs w:val="18"/>
          <w:lang w:val="en-IE"/>
        </w:rPr>
        <w:t xml:space="preserve">Orders </w:t>
      </w:r>
      <w:r w:rsidR="00D55B5B" w:rsidRPr="00D55B5B">
        <w:rPr>
          <w:sz w:val="18"/>
          <w:szCs w:val="18"/>
          <w:lang w:val="en-IE"/>
        </w:rPr>
        <w:t xml:space="preserve">of 21 May 2025, </w:t>
      </w:r>
      <w:r w:rsidR="00D55B5B" w:rsidRPr="00D55B5B">
        <w:rPr>
          <w:i/>
          <w:iCs/>
          <w:sz w:val="18"/>
          <w:szCs w:val="18"/>
          <w:lang w:val="en-IE"/>
        </w:rPr>
        <w:t>APEDA and O'Connor</w:t>
      </w:r>
      <w:r w:rsidR="00D55B5B" w:rsidRPr="00D55B5B">
        <w:rPr>
          <w:sz w:val="18"/>
          <w:szCs w:val="18"/>
          <w:lang w:val="en-IE"/>
        </w:rPr>
        <w:t xml:space="preserve"> v </w:t>
      </w:r>
      <w:r w:rsidR="00D55B5B" w:rsidRPr="00D55B5B">
        <w:rPr>
          <w:i/>
          <w:iCs/>
          <w:sz w:val="18"/>
          <w:szCs w:val="18"/>
          <w:lang w:val="en-IE"/>
        </w:rPr>
        <w:t>Commission</w:t>
      </w:r>
      <w:r w:rsidR="00D55B5B" w:rsidRPr="00D55B5B">
        <w:rPr>
          <w:sz w:val="18"/>
          <w:szCs w:val="18"/>
          <w:lang w:val="en-IE"/>
        </w:rPr>
        <w:t>, T-70/25</w:t>
      </w:r>
      <w:r w:rsidR="00D55B5B">
        <w:rPr>
          <w:sz w:val="18"/>
          <w:szCs w:val="18"/>
          <w:lang w:val="en-IE"/>
        </w:rPr>
        <w:t xml:space="preserve">; </w:t>
      </w:r>
      <w:r w:rsidR="00D55B5B" w:rsidRPr="00D55B5B">
        <w:rPr>
          <w:sz w:val="18"/>
          <w:szCs w:val="18"/>
          <w:lang w:val="en-IE"/>
        </w:rPr>
        <w:t xml:space="preserve">of 8 October 2025, </w:t>
      </w:r>
      <w:r w:rsidR="00D55B5B" w:rsidRPr="00D55B5B">
        <w:rPr>
          <w:i/>
          <w:iCs/>
          <w:sz w:val="18"/>
          <w:szCs w:val="18"/>
          <w:lang w:val="en-IE"/>
        </w:rPr>
        <w:t>WS</w:t>
      </w:r>
      <w:r w:rsidR="00D55B5B" w:rsidRPr="00D55B5B">
        <w:rPr>
          <w:sz w:val="18"/>
          <w:szCs w:val="18"/>
          <w:lang w:val="en-IE"/>
        </w:rPr>
        <w:t xml:space="preserve"> v </w:t>
      </w:r>
      <w:r w:rsidR="00D55B5B" w:rsidRPr="00D55B5B">
        <w:rPr>
          <w:i/>
          <w:iCs/>
          <w:sz w:val="18"/>
          <w:szCs w:val="18"/>
          <w:lang w:val="en-IE"/>
        </w:rPr>
        <w:t>Commission</w:t>
      </w:r>
      <w:r w:rsidR="00D55B5B" w:rsidRPr="00D55B5B">
        <w:rPr>
          <w:sz w:val="18"/>
          <w:szCs w:val="18"/>
          <w:lang w:val="en-IE"/>
        </w:rPr>
        <w:t>, T-90/25, EU:T:2025:955</w:t>
      </w:r>
      <w:r w:rsidR="00D55B5B">
        <w:rPr>
          <w:sz w:val="18"/>
          <w:szCs w:val="18"/>
          <w:lang w:val="en-IE"/>
        </w:rPr>
        <w:t xml:space="preserve">; </w:t>
      </w:r>
      <w:r w:rsidR="00D55B5B" w:rsidRPr="00D55B5B">
        <w:rPr>
          <w:sz w:val="18"/>
          <w:szCs w:val="18"/>
          <w:lang w:val="en-IE"/>
        </w:rPr>
        <w:t xml:space="preserve">of 16 May 2025, </w:t>
      </w:r>
      <w:r w:rsidR="00D55B5B" w:rsidRPr="00D55B5B">
        <w:rPr>
          <w:i/>
          <w:iCs/>
          <w:sz w:val="18"/>
          <w:szCs w:val="18"/>
          <w:lang w:val="en-IE"/>
        </w:rPr>
        <w:t>Rizza</w:t>
      </w:r>
      <w:r w:rsidR="00D55B5B" w:rsidRPr="00D55B5B">
        <w:rPr>
          <w:sz w:val="18"/>
          <w:szCs w:val="18"/>
          <w:lang w:val="en-IE"/>
        </w:rPr>
        <w:t xml:space="preserve"> v </w:t>
      </w:r>
      <w:r w:rsidR="00D55B5B" w:rsidRPr="00D55B5B">
        <w:rPr>
          <w:i/>
          <w:iCs/>
          <w:sz w:val="18"/>
          <w:szCs w:val="18"/>
          <w:lang w:val="en-IE"/>
        </w:rPr>
        <w:t>Commission</w:t>
      </w:r>
      <w:r w:rsidR="00D55B5B" w:rsidRPr="00D55B5B">
        <w:rPr>
          <w:sz w:val="18"/>
          <w:szCs w:val="18"/>
          <w:lang w:val="en-IE"/>
        </w:rPr>
        <w:t>, T-118/25</w:t>
      </w:r>
      <w:r w:rsidR="00D55B5B">
        <w:rPr>
          <w:sz w:val="18"/>
          <w:szCs w:val="18"/>
          <w:lang w:val="en-IE"/>
        </w:rPr>
        <w:t xml:space="preserve">; </w:t>
      </w:r>
      <w:r w:rsidR="00D55B5B" w:rsidRPr="00D55B5B">
        <w:rPr>
          <w:sz w:val="18"/>
          <w:szCs w:val="18"/>
          <w:lang w:val="en-IE"/>
        </w:rPr>
        <w:t xml:space="preserve">of 11 February 2025, </w:t>
      </w:r>
      <w:r w:rsidR="00D55B5B" w:rsidRPr="00D55B5B">
        <w:rPr>
          <w:i/>
          <w:iCs/>
          <w:sz w:val="18"/>
          <w:szCs w:val="18"/>
          <w:lang w:val="en-IE"/>
        </w:rPr>
        <w:t>Reverbel</w:t>
      </w:r>
      <w:r w:rsidR="00D55B5B" w:rsidRPr="00D55B5B">
        <w:rPr>
          <w:sz w:val="18"/>
          <w:szCs w:val="18"/>
          <w:lang w:val="en-IE"/>
        </w:rPr>
        <w:t xml:space="preserve"> v </w:t>
      </w:r>
      <w:r w:rsidR="00D55B5B" w:rsidRPr="00D55B5B">
        <w:rPr>
          <w:i/>
          <w:iCs/>
          <w:sz w:val="18"/>
          <w:szCs w:val="18"/>
          <w:lang w:val="en-IE"/>
        </w:rPr>
        <w:t>Commission</w:t>
      </w:r>
      <w:r w:rsidR="00D55B5B" w:rsidRPr="00D55B5B">
        <w:rPr>
          <w:sz w:val="18"/>
          <w:szCs w:val="18"/>
          <w:lang w:val="en-IE"/>
        </w:rPr>
        <w:t>, T-178/24, EU:T:2025:173</w:t>
      </w:r>
      <w:r w:rsidR="00D55B5B">
        <w:rPr>
          <w:sz w:val="18"/>
          <w:szCs w:val="18"/>
          <w:lang w:val="en-IE"/>
        </w:rPr>
        <w:t xml:space="preserve">; </w:t>
      </w:r>
      <w:r w:rsidR="00D55B5B" w:rsidRPr="00D55B5B">
        <w:rPr>
          <w:sz w:val="18"/>
          <w:szCs w:val="18"/>
          <w:lang w:val="en-IE"/>
        </w:rPr>
        <w:t xml:space="preserve">of 18 September 2025, </w:t>
      </w:r>
      <w:r w:rsidR="00D55B5B" w:rsidRPr="00D55B5B">
        <w:rPr>
          <w:i/>
          <w:iCs/>
          <w:sz w:val="18"/>
          <w:szCs w:val="18"/>
          <w:lang w:val="en-IE"/>
        </w:rPr>
        <w:t>Onescu</w:t>
      </w:r>
      <w:r w:rsidR="00D55B5B" w:rsidRPr="00D55B5B">
        <w:rPr>
          <w:sz w:val="18"/>
          <w:szCs w:val="18"/>
          <w:lang w:val="en-IE"/>
        </w:rPr>
        <w:t xml:space="preserve"> v </w:t>
      </w:r>
      <w:r w:rsidR="00D55B5B" w:rsidRPr="00D55B5B">
        <w:rPr>
          <w:i/>
          <w:iCs/>
          <w:sz w:val="18"/>
          <w:szCs w:val="18"/>
          <w:lang w:val="en-IE"/>
        </w:rPr>
        <w:t>OLAF</w:t>
      </w:r>
      <w:r w:rsidR="00D55B5B" w:rsidRPr="00D55B5B">
        <w:rPr>
          <w:sz w:val="18"/>
          <w:szCs w:val="18"/>
          <w:lang w:val="en-IE"/>
        </w:rPr>
        <w:t>, T-299/25</w:t>
      </w:r>
      <w:r w:rsidR="00D55B5B">
        <w:rPr>
          <w:sz w:val="18"/>
          <w:szCs w:val="18"/>
          <w:lang w:val="en-IE"/>
        </w:rPr>
        <w:t xml:space="preserve">; </w:t>
      </w:r>
      <w:r w:rsidR="00D55B5B" w:rsidRPr="00D55B5B">
        <w:rPr>
          <w:sz w:val="18"/>
          <w:szCs w:val="18"/>
          <w:lang w:val="en-IE"/>
        </w:rPr>
        <w:t xml:space="preserve">of 16 July 2025, </w:t>
      </w:r>
      <w:r w:rsidR="00D55B5B" w:rsidRPr="00D55B5B">
        <w:rPr>
          <w:i/>
          <w:iCs/>
          <w:sz w:val="18"/>
          <w:szCs w:val="18"/>
          <w:lang w:val="en-IE"/>
        </w:rPr>
        <w:t>Onescu</w:t>
      </w:r>
      <w:r w:rsidR="00D55B5B" w:rsidRPr="00D55B5B">
        <w:rPr>
          <w:sz w:val="18"/>
          <w:szCs w:val="18"/>
          <w:lang w:val="en-IE"/>
        </w:rPr>
        <w:t xml:space="preserve"> v </w:t>
      </w:r>
      <w:r w:rsidR="00D55B5B" w:rsidRPr="00D55B5B">
        <w:rPr>
          <w:i/>
          <w:iCs/>
          <w:sz w:val="18"/>
          <w:szCs w:val="18"/>
          <w:lang w:val="en-IE"/>
        </w:rPr>
        <w:t>OLAF</w:t>
      </w:r>
      <w:r w:rsidR="00D55B5B" w:rsidRPr="00D55B5B">
        <w:rPr>
          <w:sz w:val="18"/>
          <w:szCs w:val="18"/>
          <w:lang w:val="en-IE"/>
        </w:rPr>
        <w:t>, T-299/25 R</w:t>
      </w:r>
      <w:r w:rsidR="00D55B5B">
        <w:rPr>
          <w:sz w:val="18"/>
          <w:szCs w:val="18"/>
          <w:lang w:val="en-IE"/>
        </w:rPr>
        <w:t xml:space="preserve">; </w:t>
      </w:r>
      <w:r w:rsidR="00D55B5B" w:rsidRPr="00D55B5B">
        <w:rPr>
          <w:sz w:val="18"/>
          <w:szCs w:val="18"/>
          <w:lang w:val="en-IE"/>
        </w:rPr>
        <w:t xml:space="preserve">of 7 January 2025, </w:t>
      </w:r>
      <w:r w:rsidR="00D55B5B" w:rsidRPr="00D55B5B">
        <w:rPr>
          <w:i/>
          <w:iCs/>
          <w:sz w:val="18"/>
          <w:szCs w:val="18"/>
          <w:lang w:val="en-IE"/>
        </w:rPr>
        <w:t>Compass-Datenbank</w:t>
      </w:r>
      <w:r w:rsidR="00D55B5B" w:rsidRPr="00D55B5B">
        <w:rPr>
          <w:sz w:val="18"/>
          <w:szCs w:val="18"/>
          <w:lang w:val="en-IE"/>
        </w:rPr>
        <w:t xml:space="preserve"> v </w:t>
      </w:r>
      <w:r w:rsidR="00D55B5B" w:rsidRPr="00D55B5B">
        <w:rPr>
          <w:i/>
          <w:iCs/>
          <w:sz w:val="18"/>
          <w:szCs w:val="18"/>
          <w:lang w:val="en-IE"/>
        </w:rPr>
        <w:t>Commission</w:t>
      </w:r>
      <w:r w:rsidR="00D55B5B" w:rsidRPr="00D55B5B">
        <w:rPr>
          <w:sz w:val="18"/>
          <w:szCs w:val="18"/>
          <w:lang w:val="en-IE"/>
        </w:rPr>
        <w:t>, T-350/24, EU:T:2025:20</w:t>
      </w:r>
      <w:r w:rsidR="00D55B5B">
        <w:rPr>
          <w:sz w:val="18"/>
          <w:szCs w:val="18"/>
          <w:lang w:val="en-IE"/>
        </w:rPr>
        <w:t>;</w:t>
      </w:r>
      <w:r w:rsidR="00D55B5B" w:rsidRPr="00D55B5B">
        <w:rPr>
          <w:sz w:val="18"/>
          <w:szCs w:val="18"/>
          <w:lang w:val="en-IE"/>
        </w:rPr>
        <w:t xml:space="preserve"> of 14 April 2025,</w:t>
      </w:r>
      <w:r w:rsidR="00697B0A">
        <w:rPr>
          <w:sz w:val="18"/>
          <w:szCs w:val="18"/>
          <w:lang w:val="en-IE"/>
        </w:rPr>
        <w:t xml:space="preserve"> </w:t>
      </w:r>
      <w:r w:rsidR="00D55B5B" w:rsidRPr="00D55B5B">
        <w:rPr>
          <w:i/>
          <w:iCs/>
          <w:sz w:val="18"/>
          <w:szCs w:val="18"/>
          <w:lang w:val="en-IE"/>
        </w:rPr>
        <w:t>Molitorisová</w:t>
      </w:r>
      <w:r w:rsidR="00D55B5B" w:rsidRPr="00D55B5B">
        <w:rPr>
          <w:sz w:val="18"/>
          <w:szCs w:val="18"/>
          <w:lang w:val="en-IE"/>
        </w:rPr>
        <w:t xml:space="preserve"> v </w:t>
      </w:r>
      <w:r w:rsidR="00D55B5B" w:rsidRPr="00D55B5B">
        <w:rPr>
          <w:i/>
          <w:iCs/>
          <w:sz w:val="18"/>
          <w:szCs w:val="18"/>
          <w:lang w:val="en-IE"/>
        </w:rPr>
        <w:t>Commission</w:t>
      </w:r>
      <w:r w:rsidR="00D55B5B" w:rsidRPr="00D55B5B">
        <w:rPr>
          <w:sz w:val="18"/>
          <w:szCs w:val="18"/>
          <w:lang w:val="en-IE"/>
        </w:rPr>
        <w:t>, T-353/24</w:t>
      </w:r>
      <w:r w:rsidR="00D55B5B">
        <w:rPr>
          <w:sz w:val="18"/>
          <w:szCs w:val="18"/>
          <w:lang w:val="en-IE"/>
        </w:rPr>
        <w:t xml:space="preserve">; </w:t>
      </w:r>
      <w:r w:rsidR="00D55B5B" w:rsidRPr="00D55B5B">
        <w:rPr>
          <w:sz w:val="18"/>
          <w:szCs w:val="18"/>
          <w:lang w:val="en-IE"/>
        </w:rPr>
        <w:t xml:space="preserve">of 20 August 2025, </w:t>
      </w:r>
      <w:r w:rsidR="00D55B5B" w:rsidRPr="00D55B5B">
        <w:rPr>
          <w:i/>
          <w:iCs/>
          <w:sz w:val="18"/>
          <w:szCs w:val="18"/>
          <w:lang w:val="en-IE"/>
        </w:rPr>
        <w:t>APEDA and O'Connor</w:t>
      </w:r>
      <w:r w:rsidR="00D55B5B" w:rsidRPr="00D55B5B">
        <w:rPr>
          <w:sz w:val="18"/>
          <w:szCs w:val="18"/>
          <w:lang w:val="en-IE"/>
        </w:rPr>
        <w:t xml:space="preserve"> v </w:t>
      </w:r>
      <w:r w:rsidR="00D55B5B" w:rsidRPr="00D55B5B">
        <w:rPr>
          <w:i/>
          <w:iCs/>
          <w:sz w:val="18"/>
          <w:szCs w:val="18"/>
          <w:lang w:val="en-IE"/>
        </w:rPr>
        <w:t>Commission</w:t>
      </w:r>
      <w:r w:rsidR="00D55B5B" w:rsidRPr="00D55B5B">
        <w:rPr>
          <w:sz w:val="18"/>
          <w:szCs w:val="18"/>
          <w:lang w:val="en-IE"/>
        </w:rPr>
        <w:t>, T-458/24</w:t>
      </w:r>
      <w:r w:rsidR="00D55B5B">
        <w:rPr>
          <w:sz w:val="18"/>
          <w:szCs w:val="18"/>
          <w:lang w:val="en-IE"/>
        </w:rPr>
        <w:t xml:space="preserve">; </w:t>
      </w:r>
      <w:r w:rsidR="00D55B5B" w:rsidRPr="00D55B5B">
        <w:rPr>
          <w:sz w:val="18"/>
          <w:szCs w:val="18"/>
          <w:lang w:val="en-IE"/>
        </w:rPr>
        <w:t xml:space="preserve">of 27 January 2025, </w:t>
      </w:r>
      <w:r w:rsidR="00D55B5B" w:rsidRPr="00D55B5B">
        <w:rPr>
          <w:i/>
          <w:iCs/>
          <w:sz w:val="18"/>
          <w:szCs w:val="18"/>
          <w:lang w:val="en-IE"/>
        </w:rPr>
        <w:t>Pech</w:t>
      </w:r>
      <w:r w:rsidR="00D55B5B" w:rsidRPr="00D55B5B">
        <w:rPr>
          <w:sz w:val="18"/>
          <w:szCs w:val="18"/>
          <w:lang w:val="en-IE"/>
        </w:rPr>
        <w:t xml:space="preserve"> v </w:t>
      </w:r>
      <w:r w:rsidR="00D55B5B" w:rsidRPr="00D55B5B">
        <w:rPr>
          <w:i/>
          <w:iCs/>
          <w:sz w:val="18"/>
          <w:szCs w:val="18"/>
          <w:lang w:val="en-IE"/>
        </w:rPr>
        <w:t>Commission</w:t>
      </w:r>
      <w:r w:rsidR="00D55B5B" w:rsidRPr="00D55B5B">
        <w:rPr>
          <w:sz w:val="18"/>
          <w:szCs w:val="18"/>
          <w:lang w:val="en-IE"/>
        </w:rPr>
        <w:t>, T-485/24</w:t>
      </w:r>
      <w:r w:rsidR="00D55B5B">
        <w:rPr>
          <w:sz w:val="18"/>
          <w:szCs w:val="18"/>
          <w:lang w:val="en-IE"/>
        </w:rPr>
        <w:t xml:space="preserve">; </w:t>
      </w:r>
      <w:r w:rsidR="00D55B5B" w:rsidRPr="00D55B5B">
        <w:rPr>
          <w:sz w:val="18"/>
          <w:szCs w:val="18"/>
          <w:lang w:val="en-IE"/>
        </w:rPr>
        <w:t xml:space="preserve">of 16 June 2025, </w:t>
      </w:r>
      <w:r w:rsidR="00D55B5B" w:rsidRPr="00D55B5B">
        <w:rPr>
          <w:i/>
          <w:iCs/>
          <w:sz w:val="18"/>
          <w:szCs w:val="18"/>
          <w:lang w:val="en-IE"/>
        </w:rPr>
        <w:t>Reclaim and Martínez González</w:t>
      </w:r>
      <w:r w:rsidR="00D55B5B" w:rsidRPr="00D55B5B">
        <w:rPr>
          <w:sz w:val="18"/>
          <w:szCs w:val="18"/>
          <w:lang w:val="en-IE"/>
        </w:rPr>
        <w:t xml:space="preserve"> v </w:t>
      </w:r>
      <w:r w:rsidR="00D55B5B" w:rsidRPr="00D55B5B">
        <w:rPr>
          <w:i/>
          <w:iCs/>
          <w:sz w:val="18"/>
          <w:szCs w:val="18"/>
          <w:lang w:val="en-IE"/>
        </w:rPr>
        <w:t>Commission</w:t>
      </w:r>
      <w:r w:rsidR="00D55B5B" w:rsidRPr="00D55B5B">
        <w:rPr>
          <w:sz w:val="18"/>
          <w:szCs w:val="18"/>
          <w:lang w:val="en-IE"/>
        </w:rPr>
        <w:t>, T-546/24</w:t>
      </w:r>
      <w:r w:rsidR="00D55B5B">
        <w:rPr>
          <w:sz w:val="18"/>
          <w:szCs w:val="18"/>
          <w:lang w:val="en-IE"/>
        </w:rPr>
        <w:t xml:space="preserve">; </w:t>
      </w:r>
      <w:r w:rsidR="00D55B5B" w:rsidRPr="00D55B5B">
        <w:rPr>
          <w:sz w:val="18"/>
          <w:szCs w:val="18"/>
          <w:lang w:val="en-IE"/>
        </w:rPr>
        <w:t xml:space="preserve">of 20 March 2025, </w:t>
      </w:r>
      <w:r w:rsidR="00D55B5B" w:rsidRPr="00D55B5B">
        <w:rPr>
          <w:i/>
          <w:iCs/>
          <w:sz w:val="18"/>
          <w:szCs w:val="18"/>
          <w:lang w:val="en-IE"/>
        </w:rPr>
        <w:t>Public.Resource.Org and Right to Know</w:t>
      </w:r>
      <w:r w:rsidR="00D55B5B" w:rsidRPr="00D55B5B">
        <w:rPr>
          <w:sz w:val="18"/>
          <w:szCs w:val="18"/>
          <w:lang w:val="en-IE"/>
        </w:rPr>
        <w:t xml:space="preserve"> v </w:t>
      </w:r>
      <w:r w:rsidR="00D55B5B" w:rsidRPr="00D55B5B">
        <w:rPr>
          <w:i/>
          <w:iCs/>
          <w:sz w:val="18"/>
          <w:szCs w:val="18"/>
          <w:lang w:val="en-IE"/>
        </w:rPr>
        <w:t>Commission</w:t>
      </w:r>
      <w:r w:rsidR="00D55B5B" w:rsidRPr="00D55B5B">
        <w:rPr>
          <w:sz w:val="18"/>
          <w:szCs w:val="18"/>
          <w:lang w:val="en-IE"/>
        </w:rPr>
        <w:t>, T-580/24.</w:t>
      </w:r>
    </w:p>
  </w:footnote>
  <w:footnote w:id="25">
    <w:p w14:paraId="3B9A550B" w14:textId="2C13A68C" w:rsidR="00977980" w:rsidRPr="0041312C" w:rsidRDefault="00977980" w:rsidP="004F2FDA">
      <w:pPr>
        <w:pStyle w:val="FootnoteText"/>
        <w:ind w:left="284" w:hanging="284"/>
        <w:rPr>
          <w:iCs/>
          <w:sz w:val="18"/>
          <w:szCs w:val="18"/>
          <w:lang w:val="en-IE"/>
        </w:rPr>
      </w:pPr>
      <w:r w:rsidRPr="001B59F8">
        <w:rPr>
          <w:rStyle w:val="FootnoteReference"/>
          <w:sz w:val="18"/>
          <w:szCs w:val="18"/>
          <w:lang w:val="en-IE"/>
        </w:rPr>
        <w:footnoteRef/>
      </w:r>
      <w:r w:rsidR="004F2FDA">
        <w:rPr>
          <w:sz w:val="18"/>
          <w:szCs w:val="18"/>
          <w:lang w:val="en-IE"/>
        </w:rPr>
        <w:tab/>
      </w:r>
      <w:r w:rsidRPr="001B59F8">
        <w:rPr>
          <w:sz w:val="18"/>
          <w:szCs w:val="18"/>
          <w:lang w:val="en-IE"/>
        </w:rPr>
        <w:t>Judgment in</w:t>
      </w:r>
      <w:r>
        <w:rPr>
          <w:sz w:val="18"/>
          <w:szCs w:val="18"/>
          <w:lang w:val="en-IE"/>
        </w:rPr>
        <w:t xml:space="preserve"> </w:t>
      </w:r>
      <w:r w:rsidRPr="00977980">
        <w:rPr>
          <w:i/>
          <w:iCs/>
          <w:sz w:val="18"/>
          <w:szCs w:val="18"/>
          <w:lang w:val="en-IE"/>
        </w:rPr>
        <w:t>Huhtamaki Holding</w:t>
      </w:r>
      <w:r w:rsidRPr="00977980">
        <w:rPr>
          <w:sz w:val="18"/>
          <w:szCs w:val="18"/>
          <w:lang w:val="en-IE"/>
        </w:rPr>
        <w:t xml:space="preserve"> v </w:t>
      </w:r>
      <w:r w:rsidRPr="00977980">
        <w:rPr>
          <w:i/>
          <w:iCs/>
          <w:sz w:val="18"/>
          <w:szCs w:val="18"/>
          <w:lang w:val="en-IE"/>
        </w:rPr>
        <w:t>Commission</w:t>
      </w:r>
      <w:r w:rsidRPr="00977980">
        <w:rPr>
          <w:sz w:val="18"/>
          <w:szCs w:val="18"/>
          <w:lang w:val="en-IE"/>
        </w:rPr>
        <w:t xml:space="preserve">, T-225/24, </w:t>
      </w:r>
      <w:r w:rsidRPr="00977980">
        <w:rPr>
          <w:i/>
          <w:sz w:val="18"/>
          <w:szCs w:val="18"/>
          <w:lang w:val="en-IE"/>
        </w:rPr>
        <w:t>op.cit</w:t>
      </w:r>
      <w:r w:rsidR="0041312C">
        <w:rPr>
          <w:i/>
          <w:sz w:val="18"/>
          <w:szCs w:val="18"/>
          <w:lang w:val="en-IE"/>
        </w:rPr>
        <w:t>.</w:t>
      </w:r>
      <w:r w:rsidR="0041312C">
        <w:rPr>
          <w:sz w:val="18"/>
          <w:szCs w:val="18"/>
          <w:lang w:val="en-IE"/>
        </w:rPr>
        <w:t xml:space="preserve">; order in </w:t>
      </w:r>
      <w:r w:rsidR="0041312C" w:rsidRPr="0041312C">
        <w:rPr>
          <w:i/>
          <w:iCs/>
          <w:sz w:val="18"/>
          <w:szCs w:val="18"/>
          <w:lang w:val="en-IE"/>
        </w:rPr>
        <w:t>Onescu</w:t>
      </w:r>
      <w:r w:rsidR="0041312C" w:rsidRPr="0041312C">
        <w:rPr>
          <w:sz w:val="18"/>
          <w:szCs w:val="18"/>
          <w:lang w:val="en-IE"/>
        </w:rPr>
        <w:t xml:space="preserve"> v </w:t>
      </w:r>
      <w:r w:rsidR="0041312C" w:rsidRPr="0041312C">
        <w:rPr>
          <w:i/>
          <w:iCs/>
          <w:sz w:val="18"/>
          <w:szCs w:val="18"/>
          <w:lang w:val="en-IE"/>
        </w:rPr>
        <w:t>OLAF</w:t>
      </w:r>
      <w:r w:rsidR="0041312C" w:rsidRPr="0041312C">
        <w:rPr>
          <w:sz w:val="18"/>
          <w:szCs w:val="18"/>
          <w:lang w:val="en-IE"/>
        </w:rPr>
        <w:t>, T-299/25</w:t>
      </w:r>
      <w:r w:rsidR="0041312C">
        <w:rPr>
          <w:sz w:val="18"/>
          <w:szCs w:val="18"/>
          <w:lang w:val="en-IE"/>
        </w:rPr>
        <w:t xml:space="preserve">, </w:t>
      </w:r>
      <w:r w:rsidR="0041312C" w:rsidRPr="00977980">
        <w:rPr>
          <w:i/>
          <w:sz w:val="18"/>
          <w:szCs w:val="18"/>
          <w:lang w:val="en-IE"/>
        </w:rPr>
        <w:t>op.cit</w:t>
      </w:r>
      <w:r w:rsidR="0041312C">
        <w:rPr>
          <w:i/>
          <w:sz w:val="18"/>
          <w:szCs w:val="18"/>
          <w:lang w:val="en-IE"/>
        </w:rPr>
        <w:t>.</w:t>
      </w:r>
    </w:p>
  </w:footnote>
  <w:footnote w:id="26">
    <w:p w14:paraId="434688B5" w14:textId="6F026B72" w:rsidR="00977980" w:rsidRPr="001B59F8" w:rsidRDefault="00977980" w:rsidP="004F2FDA">
      <w:pPr>
        <w:pStyle w:val="FootnoteText"/>
        <w:ind w:left="284" w:hanging="284"/>
        <w:rPr>
          <w:sz w:val="18"/>
          <w:szCs w:val="18"/>
          <w:lang w:val="en-IE"/>
        </w:rPr>
      </w:pPr>
      <w:r w:rsidRPr="001B59F8">
        <w:rPr>
          <w:rStyle w:val="FootnoteReference"/>
          <w:sz w:val="18"/>
          <w:szCs w:val="18"/>
          <w:lang w:val="en-IE"/>
        </w:rPr>
        <w:footnoteRef/>
      </w:r>
      <w:r w:rsidR="004F2FDA">
        <w:rPr>
          <w:sz w:val="18"/>
          <w:szCs w:val="18"/>
          <w:lang w:val="en-IE"/>
        </w:rPr>
        <w:tab/>
      </w:r>
      <w:r w:rsidRPr="002F0A8B">
        <w:rPr>
          <w:sz w:val="18"/>
          <w:szCs w:val="18"/>
          <w:lang w:val="en-IE"/>
        </w:rPr>
        <w:t>Judgments in</w:t>
      </w:r>
      <w:r>
        <w:rPr>
          <w:sz w:val="18"/>
          <w:szCs w:val="18"/>
          <w:lang w:val="en-IE"/>
        </w:rPr>
        <w:t xml:space="preserve"> </w:t>
      </w:r>
      <w:r w:rsidRPr="00977980">
        <w:rPr>
          <w:i/>
          <w:iCs/>
          <w:sz w:val="18"/>
          <w:szCs w:val="18"/>
          <w:lang w:val="en-IE"/>
        </w:rPr>
        <w:t>eClear</w:t>
      </w:r>
      <w:r w:rsidRPr="00977980">
        <w:rPr>
          <w:sz w:val="18"/>
          <w:szCs w:val="18"/>
          <w:lang w:val="en-IE"/>
        </w:rPr>
        <w:t xml:space="preserve"> v </w:t>
      </w:r>
      <w:r w:rsidRPr="00977980">
        <w:rPr>
          <w:i/>
          <w:iCs/>
          <w:sz w:val="18"/>
          <w:szCs w:val="18"/>
          <w:lang w:val="en-IE"/>
        </w:rPr>
        <w:t>Commission</w:t>
      </w:r>
      <w:r w:rsidRPr="00977980">
        <w:rPr>
          <w:sz w:val="18"/>
          <w:szCs w:val="18"/>
          <w:lang w:val="en-IE"/>
        </w:rPr>
        <w:t>, T-127/23</w:t>
      </w:r>
      <w:r>
        <w:rPr>
          <w:sz w:val="18"/>
          <w:szCs w:val="18"/>
          <w:lang w:val="en-IE"/>
        </w:rPr>
        <w:t xml:space="preserve">, </w:t>
      </w:r>
      <w:r w:rsidRPr="001B59F8">
        <w:rPr>
          <w:i/>
          <w:sz w:val="18"/>
          <w:szCs w:val="18"/>
          <w:lang w:val="en-IE"/>
        </w:rPr>
        <w:t>op.cit</w:t>
      </w:r>
      <w:r w:rsidRPr="001B59F8">
        <w:rPr>
          <w:sz w:val="18"/>
          <w:szCs w:val="18"/>
          <w:lang w:val="en-IE"/>
        </w:rPr>
        <w:t>.</w:t>
      </w:r>
      <w:r>
        <w:rPr>
          <w:sz w:val="18"/>
          <w:szCs w:val="18"/>
          <w:lang w:val="en-IE"/>
        </w:rPr>
        <w:t xml:space="preserve">; </w:t>
      </w:r>
      <w:r w:rsidRPr="00977980">
        <w:rPr>
          <w:i/>
          <w:iCs/>
          <w:sz w:val="18"/>
          <w:szCs w:val="18"/>
          <w:lang w:val="en-IE"/>
        </w:rPr>
        <w:t>Zver</w:t>
      </w:r>
      <w:r w:rsidRPr="00977980">
        <w:rPr>
          <w:sz w:val="18"/>
          <w:szCs w:val="18"/>
          <w:lang w:val="en-IE"/>
        </w:rPr>
        <w:t xml:space="preserve"> v </w:t>
      </w:r>
      <w:r w:rsidRPr="00977980">
        <w:rPr>
          <w:i/>
          <w:iCs/>
          <w:sz w:val="18"/>
          <w:szCs w:val="18"/>
          <w:lang w:val="en-IE"/>
        </w:rPr>
        <w:t>Commission</w:t>
      </w:r>
      <w:r w:rsidRPr="00977980">
        <w:rPr>
          <w:sz w:val="18"/>
          <w:szCs w:val="18"/>
          <w:lang w:val="en-IE"/>
        </w:rPr>
        <w:t xml:space="preserve">, T-235/24, </w:t>
      </w:r>
      <w:r w:rsidRPr="001B59F8">
        <w:rPr>
          <w:i/>
          <w:sz w:val="18"/>
          <w:szCs w:val="18"/>
          <w:lang w:val="en-IE"/>
        </w:rPr>
        <w:t>op.cit</w:t>
      </w:r>
      <w:r w:rsidRPr="001B59F8">
        <w:rPr>
          <w:sz w:val="18"/>
          <w:szCs w:val="18"/>
          <w:lang w:val="en-IE"/>
        </w:rPr>
        <w:t>.</w:t>
      </w:r>
      <w:r>
        <w:rPr>
          <w:sz w:val="18"/>
          <w:szCs w:val="18"/>
          <w:lang w:val="en-IE"/>
        </w:rPr>
        <w:t xml:space="preserve">; </w:t>
      </w:r>
      <w:r w:rsidRPr="00977980">
        <w:rPr>
          <w:i/>
          <w:iCs/>
          <w:sz w:val="18"/>
          <w:szCs w:val="18"/>
          <w:lang w:val="en-IE"/>
        </w:rPr>
        <w:t>Smart Kid</w:t>
      </w:r>
      <w:r w:rsidRPr="00977980">
        <w:rPr>
          <w:sz w:val="18"/>
          <w:szCs w:val="18"/>
          <w:lang w:val="en-IE"/>
        </w:rPr>
        <w:t xml:space="preserve"> v </w:t>
      </w:r>
      <w:r w:rsidRPr="00977980">
        <w:rPr>
          <w:i/>
          <w:iCs/>
          <w:sz w:val="18"/>
          <w:szCs w:val="18"/>
          <w:lang w:val="en-IE"/>
        </w:rPr>
        <w:t>Commission</w:t>
      </w:r>
      <w:r w:rsidRPr="00977980">
        <w:rPr>
          <w:sz w:val="18"/>
          <w:szCs w:val="18"/>
          <w:lang w:val="en-IE"/>
        </w:rPr>
        <w:t xml:space="preserve">, T-337/24, </w:t>
      </w:r>
      <w:r w:rsidRPr="001B59F8">
        <w:rPr>
          <w:i/>
          <w:sz w:val="18"/>
          <w:szCs w:val="18"/>
          <w:lang w:val="en-IE"/>
        </w:rPr>
        <w:t>op.cit</w:t>
      </w:r>
      <w:r w:rsidRPr="001B59F8">
        <w:rPr>
          <w:sz w:val="18"/>
          <w:szCs w:val="18"/>
          <w:lang w:val="en-IE"/>
        </w:rPr>
        <w:t>.</w:t>
      </w:r>
    </w:p>
  </w:footnote>
  <w:footnote w:id="27">
    <w:p w14:paraId="11AE51FD" w14:textId="2E3B5B04" w:rsidR="00FF4D5B" w:rsidRPr="001B59F8" w:rsidRDefault="00FF4D5B" w:rsidP="004F2FDA">
      <w:pPr>
        <w:pStyle w:val="FootnoteText"/>
        <w:ind w:left="284" w:hanging="284"/>
        <w:rPr>
          <w:sz w:val="18"/>
          <w:szCs w:val="18"/>
          <w:lang w:val="en-IE"/>
        </w:rPr>
      </w:pPr>
      <w:r w:rsidRPr="001B59F8">
        <w:rPr>
          <w:rStyle w:val="FootnoteReference"/>
          <w:sz w:val="18"/>
          <w:szCs w:val="18"/>
          <w:lang w:val="en-IE"/>
        </w:rPr>
        <w:footnoteRef/>
      </w:r>
      <w:r w:rsidR="004F2FDA">
        <w:rPr>
          <w:sz w:val="18"/>
          <w:szCs w:val="18"/>
          <w:lang w:val="en-IE"/>
        </w:rPr>
        <w:tab/>
      </w:r>
      <w:r w:rsidRPr="002F0A8B">
        <w:rPr>
          <w:sz w:val="18"/>
          <w:szCs w:val="18"/>
          <w:lang w:val="en-IE"/>
        </w:rPr>
        <w:t>Judgments in</w:t>
      </w:r>
      <w:r>
        <w:rPr>
          <w:sz w:val="18"/>
          <w:szCs w:val="18"/>
          <w:lang w:val="en-IE"/>
        </w:rPr>
        <w:t xml:space="preserve"> </w:t>
      </w:r>
      <w:r w:rsidRPr="00FF4D5B">
        <w:rPr>
          <w:i/>
          <w:iCs/>
          <w:sz w:val="18"/>
          <w:szCs w:val="18"/>
          <w:lang w:val="en-IE"/>
        </w:rPr>
        <w:t>Stevi and The New York Times</w:t>
      </w:r>
      <w:r w:rsidRPr="00FF4D5B">
        <w:rPr>
          <w:sz w:val="18"/>
          <w:szCs w:val="18"/>
          <w:lang w:val="en-IE"/>
        </w:rPr>
        <w:t xml:space="preserve"> v </w:t>
      </w:r>
      <w:r w:rsidRPr="00FF4D5B">
        <w:rPr>
          <w:i/>
          <w:iCs/>
          <w:sz w:val="18"/>
          <w:szCs w:val="18"/>
          <w:lang w:val="en-IE"/>
        </w:rPr>
        <w:t>Commission</w:t>
      </w:r>
      <w:r w:rsidRPr="00FF4D5B">
        <w:rPr>
          <w:sz w:val="18"/>
          <w:szCs w:val="18"/>
          <w:lang w:val="en-IE"/>
        </w:rPr>
        <w:t>, T-36/23,</w:t>
      </w:r>
      <w:r>
        <w:rPr>
          <w:sz w:val="18"/>
          <w:szCs w:val="18"/>
          <w:lang w:val="en-IE"/>
        </w:rPr>
        <w:t xml:space="preserve"> </w:t>
      </w:r>
      <w:r w:rsidRPr="001B59F8">
        <w:rPr>
          <w:i/>
          <w:sz w:val="18"/>
          <w:szCs w:val="18"/>
          <w:lang w:val="en-IE"/>
        </w:rPr>
        <w:t>op.cit</w:t>
      </w:r>
      <w:r w:rsidRPr="001B59F8">
        <w:rPr>
          <w:sz w:val="18"/>
          <w:szCs w:val="18"/>
          <w:lang w:val="en-IE"/>
        </w:rPr>
        <w:t>.</w:t>
      </w:r>
      <w:r>
        <w:rPr>
          <w:sz w:val="18"/>
          <w:szCs w:val="18"/>
          <w:lang w:val="en-IE"/>
        </w:rPr>
        <w:t xml:space="preserve">; </w:t>
      </w:r>
      <w:r w:rsidRPr="00FF4D5B">
        <w:rPr>
          <w:i/>
          <w:iCs/>
          <w:sz w:val="18"/>
          <w:szCs w:val="18"/>
          <w:lang w:val="en-IE"/>
        </w:rPr>
        <w:t>Smart Kid</w:t>
      </w:r>
      <w:r w:rsidRPr="00FF4D5B">
        <w:rPr>
          <w:sz w:val="18"/>
          <w:szCs w:val="18"/>
          <w:lang w:val="en-IE"/>
        </w:rPr>
        <w:t xml:space="preserve"> v </w:t>
      </w:r>
      <w:r w:rsidRPr="00FF4D5B">
        <w:rPr>
          <w:i/>
          <w:iCs/>
          <w:sz w:val="18"/>
          <w:szCs w:val="18"/>
          <w:lang w:val="en-IE"/>
        </w:rPr>
        <w:t>Commission</w:t>
      </w:r>
      <w:r w:rsidRPr="00FF4D5B">
        <w:rPr>
          <w:sz w:val="18"/>
          <w:szCs w:val="18"/>
          <w:lang w:val="en-IE"/>
        </w:rPr>
        <w:t xml:space="preserve">, T-227/24, </w:t>
      </w:r>
      <w:r w:rsidRPr="001B59F8">
        <w:rPr>
          <w:i/>
          <w:sz w:val="18"/>
          <w:szCs w:val="18"/>
          <w:lang w:val="en-IE"/>
        </w:rPr>
        <w:t>op.cit</w:t>
      </w:r>
      <w:r>
        <w:rPr>
          <w:sz w:val="18"/>
          <w:szCs w:val="18"/>
          <w:lang w:val="en-IE"/>
        </w:rPr>
        <w:t>.</w:t>
      </w:r>
    </w:p>
  </w:footnote>
  <w:footnote w:id="28">
    <w:p w14:paraId="7D41F161" w14:textId="6F6684FB" w:rsidR="0041312C" w:rsidRPr="0041312C" w:rsidRDefault="0041312C" w:rsidP="004F2FDA">
      <w:pPr>
        <w:pStyle w:val="FootnoteText"/>
        <w:ind w:left="284" w:hanging="284"/>
        <w:rPr>
          <w:sz w:val="18"/>
          <w:szCs w:val="18"/>
        </w:rPr>
      </w:pPr>
      <w:r w:rsidRPr="0041312C">
        <w:rPr>
          <w:rStyle w:val="FootnoteReference"/>
          <w:sz w:val="18"/>
          <w:szCs w:val="18"/>
          <w:lang w:val="en-IE"/>
        </w:rPr>
        <w:footnoteRef/>
      </w:r>
      <w:r w:rsidR="004F2FDA">
        <w:rPr>
          <w:sz w:val="18"/>
          <w:szCs w:val="18"/>
          <w:lang w:val="en-IE"/>
        </w:rPr>
        <w:tab/>
      </w:r>
      <w:r w:rsidRPr="0041312C">
        <w:rPr>
          <w:sz w:val="18"/>
          <w:szCs w:val="18"/>
          <w:lang w:val="en-IE"/>
        </w:rPr>
        <w:t xml:space="preserve">Orders in </w:t>
      </w:r>
      <w:r w:rsidRPr="0041312C">
        <w:rPr>
          <w:i/>
          <w:iCs/>
          <w:sz w:val="18"/>
          <w:szCs w:val="18"/>
          <w:lang w:val="en-IE"/>
        </w:rPr>
        <w:t>WS</w:t>
      </w:r>
      <w:r w:rsidRPr="0041312C">
        <w:rPr>
          <w:sz w:val="18"/>
          <w:szCs w:val="18"/>
          <w:lang w:val="en-IE"/>
        </w:rPr>
        <w:t xml:space="preserve"> v </w:t>
      </w:r>
      <w:r w:rsidRPr="0041312C">
        <w:rPr>
          <w:i/>
          <w:iCs/>
          <w:sz w:val="18"/>
          <w:szCs w:val="18"/>
          <w:lang w:val="en-IE"/>
        </w:rPr>
        <w:t>Commission</w:t>
      </w:r>
      <w:r w:rsidRPr="0041312C">
        <w:rPr>
          <w:sz w:val="18"/>
          <w:szCs w:val="18"/>
          <w:lang w:val="en-IE"/>
        </w:rPr>
        <w:t xml:space="preserve">, T-90/25, </w:t>
      </w:r>
      <w:r w:rsidRPr="0041312C">
        <w:rPr>
          <w:i/>
          <w:sz w:val="18"/>
          <w:szCs w:val="18"/>
          <w:lang w:val="en-IE"/>
        </w:rPr>
        <w:t>op.cit</w:t>
      </w:r>
      <w:r w:rsidRPr="0041312C">
        <w:rPr>
          <w:sz w:val="18"/>
          <w:szCs w:val="18"/>
          <w:lang w:val="en-IE"/>
        </w:rPr>
        <w:t xml:space="preserve">.; </w:t>
      </w:r>
      <w:r w:rsidRPr="0041312C">
        <w:rPr>
          <w:i/>
          <w:iCs/>
          <w:sz w:val="18"/>
          <w:szCs w:val="18"/>
          <w:lang w:val="en-IE"/>
        </w:rPr>
        <w:t>Reverbel</w:t>
      </w:r>
      <w:r w:rsidRPr="0041312C">
        <w:rPr>
          <w:sz w:val="18"/>
          <w:szCs w:val="18"/>
          <w:lang w:val="en-IE"/>
        </w:rPr>
        <w:t xml:space="preserve"> v </w:t>
      </w:r>
      <w:r w:rsidRPr="0041312C">
        <w:rPr>
          <w:i/>
          <w:iCs/>
          <w:sz w:val="18"/>
          <w:szCs w:val="18"/>
          <w:lang w:val="en-IE"/>
        </w:rPr>
        <w:t>Commission</w:t>
      </w:r>
      <w:r w:rsidRPr="0041312C">
        <w:rPr>
          <w:sz w:val="18"/>
          <w:szCs w:val="18"/>
          <w:lang w:val="en-IE"/>
        </w:rPr>
        <w:t xml:space="preserve">, T-178/24, </w:t>
      </w:r>
      <w:r w:rsidRPr="0041312C">
        <w:rPr>
          <w:i/>
          <w:sz w:val="18"/>
          <w:szCs w:val="18"/>
          <w:lang w:val="en-IE"/>
        </w:rPr>
        <w:t>op.cit</w:t>
      </w:r>
      <w:r w:rsidRPr="0041312C">
        <w:rPr>
          <w:sz w:val="18"/>
          <w:szCs w:val="18"/>
          <w:lang w:val="en-IE"/>
        </w:rPr>
        <w:t xml:space="preserve">.; </w:t>
      </w:r>
      <w:r w:rsidRPr="0041312C">
        <w:rPr>
          <w:i/>
          <w:iCs/>
          <w:sz w:val="18"/>
          <w:szCs w:val="18"/>
          <w:lang w:val="en-IE"/>
        </w:rPr>
        <w:t>Compass-Datenbank</w:t>
      </w:r>
      <w:r w:rsidRPr="0041312C">
        <w:rPr>
          <w:sz w:val="18"/>
          <w:szCs w:val="18"/>
          <w:lang w:val="en-IE"/>
        </w:rPr>
        <w:t xml:space="preserve"> v </w:t>
      </w:r>
      <w:r w:rsidRPr="0041312C">
        <w:rPr>
          <w:i/>
          <w:iCs/>
          <w:sz w:val="18"/>
          <w:szCs w:val="18"/>
          <w:lang w:val="en-IE"/>
        </w:rPr>
        <w:t>Commission</w:t>
      </w:r>
      <w:r w:rsidRPr="0041312C">
        <w:rPr>
          <w:sz w:val="18"/>
          <w:szCs w:val="18"/>
          <w:lang w:val="en-IE"/>
        </w:rPr>
        <w:t xml:space="preserve">, T-350/24, </w:t>
      </w:r>
      <w:r w:rsidRPr="0041312C">
        <w:rPr>
          <w:i/>
          <w:sz w:val="18"/>
          <w:szCs w:val="18"/>
          <w:lang w:val="en-IE"/>
        </w:rPr>
        <w:t>op.cit</w:t>
      </w:r>
      <w:r w:rsidRPr="0041312C">
        <w:rPr>
          <w:sz w:val="18"/>
          <w:szCs w:val="18"/>
          <w:lang w:val="en-IE"/>
        </w:rPr>
        <w:t xml:space="preserve">.; </w:t>
      </w:r>
      <w:r w:rsidRPr="0041312C">
        <w:rPr>
          <w:i/>
          <w:iCs/>
          <w:sz w:val="18"/>
          <w:szCs w:val="18"/>
          <w:lang w:val="en-IE"/>
        </w:rPr>
        <w:t>Pech</w:t>
      </w:r>
      <w:r w:rsidRPr="0041312C">
        <w:rPr>
          <w:sz w:val="18"/>
          <w:szCs w:val="18"/>
          <w:lang w:val="en-IE"/>
        </w:rPr>
        <w:t xml:space="preserve"> v </w:t>
      </w:r>
      <w:r w:rsidRPr="0041312C">
        <w:rPr>
          <w:i/>
          <w:iCs/>
          <w:sz w:val="18"/>
          <w:szCs w:val="18"/>
          <w:lang w:val="en-IE"/>
        </w:rPr>
        <w:t>Commission</w:t>
      </w:r>
      <w:r w:rsidRPr="0041312C">
        <w:rPr>
          <w:sz w:val="18"/>
          <w:szCs w:val="18"/>
          <w:lang w:val="en-IE"/>
        </w:rPr>
        <w:t xml:space="preserve">, T-485/24, </w:t>
      </w:r>
      <w:r w:rsidRPr="0041312C">
        <w:rPr>
          <w:i/>
          <w:sz w:val="18"/>
          <w:szCs w:val="18"/>
          <w:lang w:val="en-IE"/>
        </w:rPr>
        <w:t>op.cit</w:t>
      </w:r>
      <w:r w:rsidRPr="0041312C">
        <w:rPr>
          <w:sz w:val="18"/>
          <w:szCs w:val="18"/>
          <w:lang w:val="en-IE"/>
        </w:rPr>
        <w:t xml:space="preserve">.; </w:t>
      </w:r>
      <w:r w:rsidRPr="0041312C">
        <w:rPr>
          <w:i/>
          <w:iCs/>
          <w:sz w:val="18"/>
          <w:szCs w:val="18"/>
          <w:lang w:val="en-IE"/>
        </w:rPr>
        <w:t>Reclaim and Martínez González</w:t>
      </w:r>
      <w:r w:rsidRPr="0041312C">
        <w:rPr>
          <w:sz w:val="18"/>
          <w:szCs w:val="18"/>
          <w:lang w:val="en-IE"/>
        </w:rPr>
        <w:t xml:space="preserve"> v </w:t>
      </w:r>
      <w:r w:rsidRPr="0041312C">
        <w:rPr>
          <w:i/>
          <w:iCs/>
          <w:sz w:val="18"/>
          <w:szCs w:val="18"/>
          <w:lang w:val="en-IE"/>
        </w:rPr>
        <w:t>Commission</w:t>
      </w:r>
      <w:r w:rsidRPr="0041312C">
        <w:rPr>
          <w:sz w:val="18"/>
          <w:szCs w:val="18"/>
          <w:lang w:val="en-IE"/>
        </w:rPr>
        <w:t>, T-546/24</w:t>
      </w:r>
      <w:r w:rsidR="00697B0A">
        <w:rPr>
          <w:sz w:val="18"/>
          <w:szCs w:val="18"/>
          <w:lang w:val="en-IE"/>
        </w:rPr>
        <w:t>,</w:t>
      </w:r>
      <w:r w:rsidRPr="0041312C">
        <w:rPr>
          <w:sz w:val="18"/>
          <w:szCs w:val="18"/>
          <w:lang w:val="en-IE"/>
        </w:rPr>
        <w:t xml:space="preserve"> </w:t>
      </w:r>
      <w:r w:rsidRPr="0041312C">
        <w:rPr>
          <w:i/>
          <w:sz w:val="18"/>
          <w:szCs w:val="18"/>
          <w:lang w:val="en-IE"/>
        </w:rPr>
        <w:t>op.cit</w:t>
      </w:r>
      <w:r w:rsidRPr="0041312C">
        <w:rPr>
          <w:sz w:val="18"/>
          <w:szCs w:val="18"/>
          <w:lang w:val="en-IE"/>
        </w:rPr>
        <w:t>.</w:t>
      </w:r>
    </w:p>
  </w:footnote>
  <w:footnote w:id="29">
    <w:p w14:paraId="79B92F71" w14:textId="1EB66311" w:rsidR="0041312C" w:rsidRPr="0041312C" w:rsidRDefault="0041312C" w:rsidP="004F2FDA">
      <w:pPr>
        <w:pStyle w:val="FootnoteText"/>
        <w:ind w:left="284" w:hanging="284"/>
        <w:rPr>
          <w:sz w:val="18"/>
          <w:szCs w:val="18"/>
        </w:rPr>
      </w:pPr>
      <w:r w:rsidRPr="001B59F8">
        <w:rPr>
          <w:rStyle w:val="FootnoteReference"/>
          <w:sz w:val="18"/>
          <w:szCs w:val="18"/>
          <w:lang w:val="en-IE"/>
        </w:rPr>
        <w:footnoteRef/>
      </w:r>
      <w:r w:rsidR="004F2FDA">
        <w:rPr>
          <w:sz w:val="18"/>
          <w:szCs w:val="18"/>
          <w:lang w:val="en-IE"/>
        </w:rPr>
        <w:tab/>
      </w:r>
      <w:r w:rsidRPr="0041312C">
        <w:rPr>
          <w:sz w:val="18"/>
          <w:szCs w:val="18"/>
          <w:lang w:val="en-IE"/>
        </w:rPr>
        <w:t xml:space="preserve">Orders in </w:t>
      </w:r>
      <w:r w:rsidRPr="0041312C">
        <w:rPr>
          <w:i/>
          <w:iCs/>
          <w:sz w:val="18"/>
          <w:szCs w:val="18"/>
          <w:lang w:val="en-IE"/>
        </w:rPr>
        <w:t>Rizza</w:t>
      </w:r>
      <w:r w:rsidRPr="0041312C">
        <w:rPr>
          <w:sz w:val="18"/>
          <w:szCs w:val="18"/>
          <w:lang w:val="en-IE"/>
        </w:rPr>
        <w:t xml:space="preserve"> v </w:t>
      </w:r>
      <w:r w:rsidRPr="0041312C">
        <w:rPr>
          <w:i/>
          <w:iCs/>
          <w:sz w:val="18"/>
          <w:szCs w:val="18"/>
          <w:lang w:val="en-IE"/>
        </w:rPr>
        <w:t>Commission</w:t>
      </w:r>
      <w:r w:rsidRPr="0041312C">
        <w:rPr>
          <w:sz w:val="18"/>
          <w:szCs w:val="18"/>
          <w:lang w:val="en-IE"/>
        </w:rPr>
        <w:t xml:space="preserve">, T-118/25, </w:t>
      </w:r>
      <w:r w:rsidRPr="0041312C">
        <w:rPr>
          <w:i/>
          <w:sz w:val="18"/>
          <w:szCs w:val="18"/>
          <w:lang w:val="en-IE"/>
        </w:rPr>
        <w:t>op.cit</w:t>
      </w:r>
      <w:r w:rsidRPr="0041312C">
        <w:rPr>
          <w:sz w:val="18"/>
          <w:szCs w:val="18"/>
          <w:lang w:val="en-IE"/>
        </w:rPr>
        <w:t xml:space="preserve">.; </w:t>
      </w:r>
      <w:r w:rsidRPr="0041312C">
        <w:rPr>
          <w:i/>
          <w:iCs/>
          <w:sz w:val="18"/>
          <w:szCs w:val="18"/>
        </w:rPr>
        <w:t>Public.Resource.Org and Right to Know</w:t>
      </w:r>
      <w:r w:rsidRPr="0041312C">
        <w:rPr>
          <w:sz w:val="18"/>
          <w:szCs w:val="18"/>
        </w:rPr>
        <w:t xml:space="preserve"> v </w:t>
      </w:r>
      <w:r w:rsidRPr="0041312C">
        <w:rPr>
          <w:i/>
          <w:iCs/>
          <w:sz w:val="18"/>
          <w:szCs w:val="18"/>
        </w:rPr>
        <w:t>Commission</w:t>
      </w:r>
      <w:r w:rsidRPr="0041312C">
        <w:rPr>
          <w:sz w:val="18"/>
          <w:szCs w:val="18"/>
        </w:rPr>
        <w:t>, T-580/24</w:t>
      </w:r>
      <w:r>
        <w:rPr>
          <w:sz w:val="18"/>
          <w:szCs w:val="18"/>
        </w:rPr>
        <w:t xml:space="preserve">, </w:t>
      </w:r>
      <w:r w:rsidRPr="0041312C">
        <w:rPr>
          <w:i/>
          <w:sz w:val="18"/>
          <w:szCs w:val="18"/>
          <w:lang w:val="en-IE"/>
        </w:rPr>
        <w:t>op.cit</w:t>
      </w:r>
      <w:r w:rsidRPr="0041312C">
        <w:rPr>
          <w:sz w:val="18"/>
          <w:szCs w:val="18"/>
          <w:lang w:val="en-IE"/>
        </w:rPr>
        <w:t>.</w:t>
      </w:r>
    </w:p>
  </w:footnote>
  <w:footnote w:id="30">
    <w:p w14:paraId="370E0C26" w14:textId="5781F1BD" w:rsidR="002163C2" w:rsidRPr="0041312C" w:rsidRDefault="002163C2" w:rsidP="004F2FDA">
      <w:pPr>
        <w:pStyle w:val="FootnoteText"/>
        <w:ind w:left="284" w:hanging="284"/>
        <w:rPr>
          <w:sz w:val="18"/>
          <w:szCs w:val="18"/>
        </w:rPr>
      </w:pPr>
      <w:r w:rsidRPr="001B59F8">
        <w:rPr>
          <w:rStyle w:val="FootnoteReference"/>
          <w:sz w:val="18"/>
          <w:szCs w:val="18"/>
          <w:lang w:val="en-IE"/>
        </w:rPr>
        <w:footnoteRef/>
      </w:r>
      <w:r w:rsidR="004F2FDA">
        <w:rPr>
          <w:sz w:val="18"/>
          <w:szCs w:val="18"/>
          <w:lang w:val="en-IE"/>
        </w:rPr>
        <w:tab/>
      </w:r>
      <w:r w:rsidRPr="0041312C">
        <w:rPr>
          <w:sz w:val="18"/>
          <w:szCs w:val="18"/>
          <w:lang w:val="en-IE"/>
        </w:rPr>
        <w:t>Order in</w:t>
      </w:r>
      <w:r>
        <w:rPr>
          <w:sz w:val="18"/>
          <w:szCs w:val="18"/>
          <w:lang w:val="en-IE"/>
        </w:rPr>
        <w:t xml:space="preserve"> </w:t>
      </w:r>
      <w:r w:rsidRPr="002163C2">
        <w:rPr>
          <w:i/>
          <w:iCs/>
          <w:sz w:val="18"/>
          <w:szCs w:val="18"/>
          <w:lang w:val="en-IE"/>
        </w:rPr>
        <w:t>APEDA and O'Connor</w:t>
      </w:r>
      <w:r w:rsidRPr="002163C2">
        <w:rPr>
          <w:sz w:val="18"/>
          <w:szCs w:val="18"/>
          <w:lang w:val="en-IE"/>
        </w:rPr>
        <w:t xml:space="preserve"> v </w:t>
      </w:r>
      <w:r w:rsidRPr="002163C2">
        <w:rPr>
          <w:i/>
          <w:iCs/>
          <w:sz w:val="18"/>
          <w:szCs w:val="18"/>
          <w:lang w:val="en-IE"/>
        </w:rPr>
        <w:t>Commission</w:t>
      </w:r>
      <w:r w:rsidRPr="002163C2">
        <w:rPr>
          <w:sz w:val="18"/>
          <w:szCs w:val="18"/>
          <w:lang w:val="en-IE"/>
        </w:rPr>
        <w:t>, T-70/25</w:t>
      </w:r>
      <w:r>
        <w:rPr>
          <w:sz w:val="18"/>
          <w:szCs w:val="18"/>
        </w:rPr>
        <w:t xml:space="preserve">, </w:t>
      </w:r>
      <w:r w:rsidRPr="0041312C">
        <w:rPr>
          <w:i/>
          <w:sz w:val="18"/>
          <w:szCs w:val="18"/>
          <w:lang w:val="en-IE"/>
        </w:rPr>
        <w:t>op.cit</w:t>
      </w:r>
      <w:r w:rsidRPr="0041312C">
        <w:rPr>
          <w:sz w:val="18"/>
          <w:szCs w:val="18"/>
          <w:lang w:val="en-IE"/>
        </w:rPr>
        <w:t>.</w:t>
      </w:r>
    </w:p>
  </w:footnote>
  <w:footnote w:id="31">
    <w:p w14:paraId="3BB2B5C8" w14:textId="0BF16E40" w:rsidR="002163C2" w:rsidRPr="0041312C" w:rsidRDefault="002163C2" w:rsidP="004F2FDA">
      <w:pPr>
        <w:pStyle w:val="FootnoteText"/>
        <w:ind w:left="284" w:hanging="284"/>
        <w:rPr>
          <w:sz w:val="18"/>
          <w:szCs w:val="18"/>
        </w:rPr>
      </w:pPr>
      <w:r w:rsidRPr="001B59F8">
        <w:rPr>
          <w:rStyle w:val="FootnoteReference"/>
          <w:sz w:val="18"/>
          <w:szCs w:val="18"/>
          <w:lang w:val="en-IE"/>
        </w:rPr>
        <w:footnoteRef/>
      </w:r>
      <w:r w:rsidR="004F2FDA">
        <w:rPr>
          <w:sz w:val="18"/>
          <w:szCs w:val="18"/>
          <w:lang w:val="en-IE"/>
        </w:rPr>
        <w:tab/>
      </w:r>
      <w:r w:rsidRPr="0041312C">
        <w:rPr>
          <w:sz w:val="18"/>
          <w:szCs w:val="18"/>
          <w:lang w:val="en-IE"/>
        </w:rPr>
        <w:t>Order in</w:t>
      </w:r>
      <w:r>
        <w:rPr>
          <w:sz w:val="18"/>
          <w:szCs w:val="18"/>
          <w:lang w:val="en-IE"/>
        </w:rPr>
        <w:t xml:space="preserve"> </w:t>
      </w:r>
      <w:r w:rsidRPr="002163C2">
        <w:rPr>
          <w:i/>
          <w:iCs/>
          <w:sz w:val="18"/>
          <w:szCs w:val="18"/>
          <w:lang w:val="en-IE"/>
        </w:rPr>
        <w:t>Onescu</w:t>
      </w:r>
      <w:r w:rsidRPr="002163C2">
        <w:rPr>
          <w:sz w:val="18"/>
          <w:szCs w:val="18"/>
          <w:lang w:val="en-IE"/>
        </w:rPr>
        <w:t xml:space="preserve"> v </w:t>
      </w:r>
      <w:r w:rsidRPr="002163C2">
        <w:rPr>
          <w:i/>
          <w:iCs/>
          <w:sz w:val="18"/>
          <w:szCs w:val="18"/>
          <w:lang w:val="en-IE"/>
        </w:rPr>
        <w:t>OLAF</w:t>
      </w:r>
      <w:r w:rsidRPr="002163C2">
        <w:rPr>
          <w:sz w:val="18"/>
          <w:szCs w:val="18"/>
          <w:lang w:val="en-IE"/>
        </w:rPr>
        <w:t>, T-299/25 R</w:t>
      </w:r>
      <w:r>
        <w:rPr>
          <w:sz w:val="18"/>
          <w:szCs w:val="18"/>
          <w:lang w:val="en-IE"/>
        </w:rPr>
        <w:t xml:space="preserve">, </w:t>
      </w:r>
      <w:r w:rsidRPr="0041312C">
        <w:rPr>
          <w:i/>
          <w:sz w:val="18"/>
          <w:szCs w:val="18"/>
          <w:lang w:val="en-IE"/>
        </w:rPr>
        <w:t>op.cit</w:t>
      </w:r>
      <w:r w:rsidRPr="0041312C">
        <w:rPr>
          <w:sz w:val="18"/>
          <w:szCs w:val="18"/>
          <w:lang w:val="en-IE"/>
        </w:rPr>
        <w:t>.</w:t>
      </w:r>
    </w:p>
  </w:footnote>
  <w:footnote w:id="32">
    <w:p w14:paraId="2E1628F5" w14:textId="3877B992" w:rsidR="002163C2" w:rsidRPr="0041312C" w:rsidRDefault="002163C2" w:rsidP="004F2FDA">
      <w:pPr>
        <w:pStyle w:val="FootnoteText"/>
        <w:ind w:left="284" w:hanging="284"/>
        <w:rPr>
          <w:sz w:val="18"/>
          <w:szCs w:val="18"/>
        </w:rPr>
      </w:pPr>
      <w:r w:rsidRPr="001B59F8">
        <w:rPr>
          <w:rStyle w:val="FootnoteReference"/>
          <w:sz w:val="18"/>
          <w:szCs w:val="18"/>
          <w:lang w:val="en-IE"/>
        </w:rPr>
        <w:footnoteRef/>
      </w:r>
      <w:r w:rsidR="004F2FDA">
        <w:rPr>
          <w:sz w:val="18"/>
          <w:szCs w:val="18"/>
          <w:lang w:val="en-IE"/>
        </w:rPr>
        <w:tab/>
      </w:r>
      <w:r w:rsidRPr="0041312C">
        <w:rPr>
          <w:sz w:val="18"/>
          <w:szCs w:val="18"/>
          <w:lang w:val="en-IE"/>
        </w:rPr>
        <w:t>Order in</w:t>
      </w:r>
      <w:r>
        <w:rPr>
          <w:sz w:val="18"/>
          <w:szCs w:val="18"/>
          <w:lang w:val="en-IE"/>
        </w:rPr>
        <w:t xml:space="preserve"> </w:t>
      </w:r>
      <w:r w:rsidRPr="002163C2">
        <w:rPr>
          <w:i/>
          <w:iCs/>
          <w:sz w:val="18"/>
          <w:szCs w:val="18"/>
          <w:lang w:val="en-IE"/>
        </w:rPr>
        <w:t>Molitorisová</w:t>
      </w:r>
      <w:r w:rsidRPr="002163C2">
        <w:rPr>
          <w:sz w:val="18"/>
          <w:szCs w:val="18"/>
          <w:lang w:val="en-IE"/>
        </w:rPr>
        <w:t xml:space="preserve"> v </w:t>
      </w:r>
      <w:r w:rsidRPr="002163C2">
        <w:rPr>
          <w:i/>
          <w:iCs/>
          <w:sz w:val="18"/>
          <w:szCs w:val="18"/>
          <w:lang w:val="en-IE"/>
        </w:rPr>
        <w:t>Commission</w:t>
      </w:r>
      <w:r w:rsidRPr="002163C2">
        <w:rPr>
          <w:sz w:val="18"/>
          <w:szCs w:val="18"/>
          <w:lang w:val="en-IE"/>
        </w:rPr>
        <w:t>, T-353/24</w:t>
      </w:r>
      <w:r>
        <w:rPr>
          <w:sz w:val="18"/>
          <w:szCs w:val="18"/>
          <w:lang w:val="en-IE"/>
        </w:rPr>
        <w:t xml:space="preserve">, </w:t>
      </w:r>
      <w:r w:rsidRPr="0041312C">
        <w:rPr>
          <w:i/>
          <w:sz w:val="18"/>
          <w:szCs w:val="18"/>
          <w:lang w:val="en-IE"/>
        </w:rPr>
        <w:t>op.cit</w:t>
      </w:r>
      <w:r w:rsidRPr="0041312C">
        <w:rPr>
          <w:sz w:val="18"/>
          <w:szCs w:val="18"/>
          <w:lang w:val="en-IE"/>
        </w:rPr>
        <w:t>.</w:t>
      </w:r>
    </w:p>
  </w:footnote>
  <w:footnote w:id="33">
    <w:p w14:paraId="3914984F" w14:textId="5FCC5319" w:rsidR="002163C2" w:rsidRPr="0041312C" w:rsidRDefault="002163C2" w:rsidP="004F2FDA">
      <w:pPr>
        <w:pStyle w:val="FootnoteText"/>
        <w:ind w:left="284" w:hanging="284"/>
        <w:rPr>
          <w:sz w:val="18"/>
          <w:szCs w:val="18"/>
        </w:rPr>
      </w:pPr>
      <w:r w:rsidRPr="001B59F8">
        <w:rPr>
          <w:rStyle w:val="FootnoteReference"/>
          <w:sz w:val="18"/>
          <w:szCs w:val="18"/>
          <w:lang w:val="en-IE"/>
        </w:rPr>
        <w:footnoteRef/>
      </w:r>
      <w:r w:rsidR="004F2FDA">
        <w:rPr>
          <w:sz w:val="18"/>
          <w:szCs w:val="18"/>
          <w:lang w:val="en-IE"/>
        </w:rPr>
        <w:tab/>
      </w:r>
      <w:r w:rsidRPr="0041312C">
        <w:rPr>
          <w:sz w:val="18"/>
          <w:szCs w:val="18"/>
          <w:lang w:val="en-IE"/>
        </w:rPr>
        <w:t>Order in</w:t>
      </w:r>
      <w:r>
        <w:rPr>
          <w:sz w:val="18"/>
          <w:szCs w:val="18"/>
          <w:lang w:val="en-IE"/>
        </w:rPr>
        <w:t xml:space="preserve"> </w:t>
      </w:r>
      <w:r w:rsidRPr="002163C2">
        <w:rPr>
          <w:i/>
          <w:iCs/>
          <w:sz w:val="18"/>
          <w:szCs w:val="18"/>
          <w:lang w:val="en-IE"/>
        </w:rPr>
        <w:t>APEDA and O'Connor</w:t>
      </w:r>
      <w:r w:rsidRPr="002163C2">
        <w:rPr>
          <w:sz w:val="18"/>
          <w:szCs w:val="18"/>
          <w:lang w:val="en-IE"/>
        </w:rPr>
        <w:t xml:space="preserve"> v </w:t>
      </w:r>
      <w:r w:rsidRPr="002163C2">
        <w:rPr>
          <w:i/>
          <w:iCs/>
          <w:sz w:val="18"/>
          <w:szCs w:val="18"/>
          <w:lang w:val="en-IE"/>
        </w:rPr>
        <w:t>Commission</w:t>
      </w:r>
      <w:r w:rsidRPr="002163C2">
        <w:rPr>
          <w:sz w:val="18"/>
          <w:szCs w:val="18"/>
          <w:lang w:val="en-IE"/>
        </w:rPr>
        <w:t>, T-458/24</w:t>
      </w:r>
      <w:r>
        <w:rPr>
          <w:sz w:val="18"/>
          <w:szCs w:val="18"/>
          <w:lang w:val="en-IE"/>
        </w:rPr>
        <w:t>,</w:t>
      </w:r>
      <w:r w:rsidRPr="0041312C">
        <w:rPr>
          <w:sz w:val="18"/>
          <w:szCs w:val="18"/>
          <w:lang w:val="en-IE"/>
        </w:rPr>
        <w:t xml:space="preserve"> </w:t>
      </w:r>
      <w:r w:rsidRPr="0041312C">
        <w:rPr>
          <w:i/>
          <w:sz w:val="18"/>
          <w:szCs w:val="18"/>
          <w:lang w:val="en-IE"/>
        </w:rPr>
        <w:t>op.cit</w:t>
      </w:r>
      <w:r w:rsidRPr="0041312C">
        <w:rPr>
          <w:sz w:val="18"/>
          <w:szCs w:val="18"/>
          <w:lang w:val="en-IE"/>
        </w:rPr>
        <w:t>.</w:t>
      </w:r>
    </w:p>
  </w:footnote>
  <w:footnote w:id="34">
    <w:p w14:paraId="082910E5" w14:textId="65F14198" w:rsidR="00C81CC6" w:rsidRPr="0041312C" w:rsidRDefault="00C81CC6" w:rsidP="004F2FDA">
      <w:pPr>
        <w:pStyle w:val="FootnoteText"/>
        <w:ind w:left="284" w:hanging="284"/>
        <w:rPr>
          <w:iCs/>
          <w:sz w:val="18"/>
          <w:szCs w:val="18"/>
          <w:lang w:val="en-IE"/>
        </w:rPr>
      </w:pPr>
      <w:r w:rsidRPr="001B59F8">
        <w:rPr>
          <w:rStyle w:val="FootnoteReference"/>
          <w:sz w:val="18"/>
          <w:szCs w:val="18"/>
          <w:lang w:val="en-IE"/>
        </w:rPr>
        <w:footnoteRef/>
      </w:r>
      <w:r w:rsidR="004F2FDA">
        <w:rPr>
          <w:sz w:val="18"/>
          <w:szCs w:val="18"/>
          <w:lang w:val="en-IE"/>
        </w:rPr>
        <w:tab/>
      </w:r>
      <w:r w:rsidRPr="001B59F8">
        <w:rPr>
          <w:sz w:val="18"/>
          <w:szCs w:val="18"/>
          <w:lang w:val="en-IE"/>
        </w:rPr>
        <w:t>Judgment in</w:t>
      </w:r>
      <w:r>
        <w:rPr>
          <w:sz w:val="18"/>
          <w:szCs w:val="18"/>
          <w:lang w:val="en-IE"/>
        </w:rPr>
        <w:t xml:space="preserve"> </w:t>
      </w:r>
      <w:r w:rsidRPr="00977980">
        <w:rPr>
          <w:i/>
          <w:iCs/>
          <w:sz w:val="18"/>
          <w:szCs w:val="18"/>
          <w:lang w:val="en-IE"/>
        </w:rPr>
        <w:t>Smart Kid</w:t>
      </w:r>
      <w:r w:rsidRPr="00977980">
        <w:rPr>
          <w:sz w:val="18"/>
          <w:szCs w:val="18"/>
          <w:lang w:val="en-IE"/>
        </w:rPr>
        <w:t xml:space="preserve"> v </w:t>
      </w:r>
      <w:r w:rsidRPr="00977980">
        <w:rPr>
          <w:i/>
          <w:iCs/>
          <w:sz w:val="18"/>
          <w:szCs w:val="18"/>
          <w:lang w:val="en-IE"/>
        </w:rPr>
        <w:t>Commission</w:t>
      </w:r>
      <w:r w:rsidRPr="00977980">
        <w:rPr>
          <w:sz w:val="18"/>
          <w:szCs w:val="18"/>
          <w:lang w:val="en-IE"/>
        </w:rPr>
        <w:t xml:space="preserve">, T-337/24, </w:t>
      </w:r>
      <w:r w:rsidRPr="001B59F8">
        <w:rPr>
          <w:i/>
          <w:sz w:val="18"/>
          <w:szCs w:val="18"/>
          <w:lang w:val="en-IE"/>
        </w:rPr>
        <w:t>op.cit</w:t>
      </w:r>
      <w:r w:rsidRPr="001B59F8">
        <w:rPr>
          <w:sz w:val="18"/>
          <w:szCs w:val="18"/>
          <w:lang w:val="en-IE"/>
        </w:rPr>
        <w:t>.</w:t>
      </w:r>
      <w:r>
        <w:rPr>
          <w:sz w:val="18"/>
          <w:szCs w:val="18"/>
          <w:lang w:val="en-IE"/>
        </w:rPr>
        <w:t xml:space="preserve"> Paragraphs </w:t>
      </w:r>
      <w:r w:rsidR="000E305A">
        <w:rPr>
          <w:sz w:val="18"/>
          <w:szCs w:val="18"/>
          <w:lang w:val="en-IE"/>
        </w:rPr>
        <w:t>40-42, 49-54</w:t>
      </w:r>
      <w:r w:rsidR="00CA2B33">
        <w:rPr>
          <w:sz w:val="18"/>
          <w:szCs w:val="18"/>
          <w:lang w:val="en-IE"/>
        </w:rPr>
        <w:t xml:space="preserve"> and</w:t>
      </w:r>
      <w:r w:rsidR="000E305A">
        <w:rPr>
          <w:sz w:val="18"/>
          <w:szCs w:val="18"/>
          <w:lang w:val="en-IE"/>
        </w:rPr>
        <w:t xml:space="preserve"> 61-67</w:t>
      </w:r>
      <w:r>
        <w:rPr>
          <w:i/>
          <w:sz w:val="18"/>
          <w:szCs w:val="18"/>
          <w:lang w:val="en-IE"/>
        </w:rPr>
        <w:t>.</w:t>
      </w:r>
    </w:p>
  </w:footnote>
  <w:footnote w:id="35">
    <w:p w14:paraId="216458D3" w14:textId="67721591" w:rsidR="00C81CC6" w:rsidRPr="0041312C" w:rsidRDefault="00C81CC6" w:rsidP="004F2FDA">
      <w:pPr>
        <w:pStyle w:val="FootnoteText"/>
        <w:ind w:left="284" w:hanging="284"/>
        <w:rPr>
          <w:iCs/>
          <w:sz w:val="18"/>
          <w:szCs w:val="18"/>
          <w:lang w:val="en-IE"/>
        </w:rPr>
      </w:pPr>
      <w:r w:rsidRPr="001B59F8">
        <w:rPr>
          <w:rStyle w:val="FootnoteReference"/>
          <w:sz w:val="18"/>
          <w:szCs w:val="18"/>
          <w:lang w:val="en-IE"/>
        </w:rPr>
        <w:footnoteRef/>
      </w:r>
      <w:r w:rsidR="004F2FDA">
        <w:rPr>
          <w:sz w:val="18"/>
          <w:szCs w:val="18"/>
          <w:lang w:val="en-IE"/>
        </w:rPr>
        <w:tab/>
      </w:r>
      <w:r w:rsidRPr="001B59F8">
        <w:rPr>
          <w:sz w:val="18"/>
          <w:szCs w:val="18"/>
          <w:lang w:val="en-IE"/>
        </w:rPr>
        <w:t>Judgment</w:t>
      </w:r>
      <w:r w:rsidR="005136D7">
        <w:rPr>
          <w:sz w:val="18"/>
          <w:szCs w:val="18"/>
          <w:lang w:val="en-IE"/>
        </w:rPr>
        <w:t>s</w:t>
      </w:r>
      <w:r w:rsidRPr="001B59F8">
        <w:rPr>
          <w:sz w:val="18"/>
          <w:szCs w:val="18"/>
          <w:lang w:val="en-IE"/>
        </w:rPr>
        <w:t xml:space="preserve"> in</w:t>
      </w:r>
      <w:r w:rsidR="000E305A">
        <w:rPr>
          <w:sz w:val="18"/>
          <w:szCs w:val="18"/>
          <w:lang w:val="en-IE"/>
        </w:rPr>
        <w:t xml:space="preserve"> </w:t>
      </w:r>
      <w:r w:rsidR="000E305A" w:rsidRPr="00FF4D5B">
        <w:rPr>
          <w:i/>
          <w:iCs/>
          <w:sz w:val="18"/>
          <w:szCs w:val="18"/>
          <w:lang w:val="en-IE"/>
        </w:rPr>
        <w:t>Smart Kid</w:t>
      </w:r>
      <w:r w:rsidR="000E305A" w:rsidRPr="00FF4D5B">
        <w:rPr>
          <w:sz w:val="18"/>
          <w:szCs w:val="18"/>
          <w:lang w:val="en-IE"/>
        </w:rPr>
        <w:t xml:space="preserve"> v </w:t>
      </w:r>
      <w:r w:rsidR="000E305A" w:rsidRPr="00FF4D5B">
        <w:rPr>
          <w:i/>
          <w:iCs/>
          <w:sz w:val="18"/>
          <w:szCs w:val="18"/>
          <w:lang w:val="en-IE"/>
        </w:rPr>
        <w:t>Commission</w:t>
      </w:r>
      <w:r w:rsidR="000E305A" w:rsidRPr="00FF4D5B">
        <w:rPr>
          <w:sz w:val="18"/>
          <w:szCs w:val="18"/>
          <w:lang w:val="en-IE"/>
        </w:rPr>
        <w:t xml:space="preserve">, T-227/24, </w:t>
      </w:r>
      <w:r w:rsidR="000E305A" w:rsidRPr="001B59F8">
        <w:rPr>
          <w:i/>
          <w:sz w:val="18"/>
          <w:szCs w:val="18"/>
          <w:lang w:val="en-IE"/>
        </w:rPr>
        <w:t>op.cit</w:t>
      </w:r>
      <w:r w:rsidR="000E305A">
        <w:rPr>
          <w:sz w:val="18"/>
          <w:szCs w:val="18"/>
          <w:lang w:val="en-IE"/>
        </w:rPr>
        <w:t>. Paragraphs 38-39, 46,</w:t>
      </w:r>
      <w:r w:rsidR="00324B5E">
        <w:rPr>
          <w:sz w:val="18"/>
          <w:szCs w:val="18"/>
          <w:lang w:val="en-IE"/>
        </w:rPr>
        <w:t xml:space="preserve"> 56-60,</w:t>
      </w:r>
      <w:r w:rsidR="000E305A">
        <w:rPr>
          <w:sz w:val="18"/>
          <w:szCs w:val="18"/>
          <w:lang w:val="en-IE"/>
        </w:rPr>
        <w:t xml:space="preserve"> </w:t>
      </w:r>
      <w:r w:rsidR="00324B5E">
        <w:rPr>
          <w:sz w:val="18"/>
          <w:szCs w:val="18"/>
          <w:lang w:val="en-IE"/>
        </w:rPr>
        <w:t>64-66, 72-79</w:t>
      </w:r>
      <w:r w:rsidR="00CA2B33">
        <w:rPr>
          <w:sz w:val="18"/>
          <w:szCs w:val="18"/>
          <w:lang w:val="en-IE"/>
        </w:rPr>
        <w:t xml:space="preserve"> and </w:t>
      </w:r>
      <w:r w:rsidR="00324B5E">
        <w:rPr>
          <w:sz w:val="18"/>
          <w:szCs w:val="18"/>
          <w:lang w:val="en-IE"/>
        </w:rPr>
        <w:t>80-88</w:t>
      </w:r>
      <w:r w:rsidR="005136D7">
        <w:rPr>
          <w:sz w:val="18"/>
          <w:szCs w:val="18"/>
          <w:lang w:val="en-IE"/>
        </w:rPr>
        <w:t xml:space="preserve">; </w:t>
      </w:r>
      <w:r w:rsidR="005136D7" w:rsidRPr="00977980">
        <w:rPr>
          <w:i/>
          <w:iCs/>
          <w:sz w:val="18"/>
          <w:szCs w:val="18"/>
          <w:lang w:val="en-IE"/>
        </w:rPr>
        <w:t>eClear</w:t>
      </w:r>
      <w:r w:rsidR="005136D7" w:rsidRPr="00977980">
        <w:rPr>
          <w:sz w:val="18"/>
          <w:szCs w:val="18"/>
          <w:lang w:val="en-IE"/>
        </w:rPr>
        <w:t xml:space="preserve"> v </w:t>
      </w:r>
      <w:r w:rsidR="005136D7" w:rsidRPr="00977980">
        <w:rPr>
          <w:i/>
          <w:iCs/>
          <w:sz w:val="18"/>
          <w:szCs w:val="18"/>
          <w:lang w:val="en-IE"/>
        </w:rPr>
        <w:t>Commission</w:t>
      </w:r>
      <w:r w:rsidR="005136D7" w:rsidRPr="00977980">
        <w:rPr>
          <w:sz w:val="18"/>
          <w:szCs w:val="18"/>
          <w:lang w:val="en-IE"/>
        </w:rPr>
        <w:t>, T-127/23</w:t>
      </w:r>
      <w:r w:rsidR="005136D7">
        <w:rPr>
          <w:sz w:val="18"/>
          <w:szCs w:val="18"/>
          <w:lang w:val="en-IE"/>
        </w:rPr>
        <w:t xml:space="preserve">, </w:t>
      </w:r>
      <w:r w:rsidR="005136D7" w:rsidRPr="001B59F8">
        <w:rPr>
          <w:i/>
          <w:sz w:val="18"/>
          <w:szCs w:val="18"/>
          <w:lang w:val="en-IE"/>
        </w:rPr>
        <w:t>op.cit</w:t>
      </w:r>
      <w:r w:rsidR="005136D7" w:rsidRPr="001B59F8">
        <w:rPr>
          <w:sz w:val="18"/>
          <w:szCs w:val="18"/>
          <w:lang w:val="en-IE"/>
        </w:rPr>
        <w:t>.</w:t>
      </w:r>
      <w:r w:rsidR="005136D7" w:rsidRPr="00324B5E">
        <w:rPr>
          <w:sz w:val="18"/>
          <w:szCs w:val="18"/>
          <w:lang w:val="en-IE"/>
        </w:rPr>
        <w:t xml:space="preserve"> Paragraphs</w:t>
      </w:r>
      <w:r w:rsidR="005136D7">
        <w:rPr>
          <w:sz w:val="18"/>
          <w:szCs w:val="18"/>
          <w:lang w:val="en-IE"/>
        </w:rPr>
        <w:t xml:space="preserve"> 86-92.</w:t>
      </w:r>
    </w:p>
  </w:footnote>
  <w:footnote w:id="36">
    <w:p w14:paraId="086B285D" w14:textId="39C6AC11" w:rsidR="00C81CC6" w:rsidRPr="00324B5E" w:rsidRDefault="00C81CC6" w:rsidP="004F2FDA">
      <w:pPr>
        <w:pStyle w:val="FootnoteText"/>
        <w:ind w:left="284" w:hanging="284"/>
        <w:rPr>
          <w:iCs/>
          <w:sz w:val="18"/>
          <w:szCs w:val="18"/>
          <w:lang w:val="en-IE"/>
        </w:rPr>
      </w:pPr>
      <w:r w:rsidRPr="001B59F8">
        <w:rPr>
          <w:rStyle w:val="FootnoteReference"/>
          <w:sz w:val="18"/>
          <w:szCs w:val="18"/>
          <w:lang w:val="en-IE"/>
        </w:rPr>
        <w:footnoteRef/>
      </w:r>
      <w:r w:rsidR="004F2FDA">
        <w:rPr>
          <w:sz w:val="18"/>
          <w:szCs w:val="18"/>
          <w:lang w:val="en-IE"/>
        </w:rPr>
        <w:tab/>
      </w:r>
      <w:r w:rsidRPr="00324B5E">
        <w:rPr>
          <w:sz w:val="18"/>
          <w:szCs w:val="18"/>
          <w:lang w:val="en-IE"/>
        </w:rPr>
        <w:t>Judgment in</w:t>
      </w:r>
      <w:r w:rsidR="00324B5E" w:rsidRPr="00324B5E">
        <w:rPr>
          <w:sz w:val="18"/>
          <w:szCs w:val="18"/>
          <w:lang w:val="en-IE"/>
        </w:rPr>
        <w:t xml:space="preserve"> </w:t>
      </w:r>
      <w:r w:rsidR="00324B5E" w:rsidRPr="00324B5E">
        <w:rPr>
          <w:i/>
          <w:iCs/>
          <w:sz w:val="18"/>
          <w:szCs w:val="18"/>
          <w:lang w:val="en-IE"/>
        </w:rPr>
        <w:t>Zver</w:t>
      </w:r>
      <w:r w:rsidR="00324B5E" w:rsidRPr="00324B5E">
        <w:rPr>
          <w:sz w:val="18"/>
          <w:szCs w:val="18"/>
          <w:lang w:val="en-IE"/>
        </w:rPr>
        <w:t xml:space="preserve"> v </w:t>
      </w:r>
      <w:r w:rsidR="00324B5E" w:rsidRPr="00324B5E">
        <w:rPr>
          <w:i/>
          <w:iCs/>
          <w:sz w:val="18"/>
          <w:szCs w:val="18"/>
          <w:lang w:val="en-IE"/>
        </w:rPr>
        <w:t>Commission</w:t>
      </w:r>
      <w:r w:rsidR="00324B5E" w:rsidRPr="00324B5E">
        <w:rPr>
          <w:sz w:val="18"/>
          <w:szCs w:val="18"/>
          <w:lang w:val="en-IE"/>
        </w:rPr>
        <w:t xml:space="preserve">, T-235/24, </w:t>
      </w:r>
      <w:r w:rsidR="00324B5E" w:rsidRPr="00324B5E">
        <w:rPr>
          <w:i/>
          <w:sz w:val="18"/>
          <w:szCs w:val="18"/>
          <w:lang w:val="en-IE"/>
        </w:rPr>
        <w:t>op.cit</w:t>
      </w:r>
      <w:r w:rsidR="00324B5E" w:rsidRPr="00324B5E">
        <w:rPr>
          <w:sz w:val="18"/>
          <w:szCs w:val="18"/>
          <w:lang w:val="en-IE"/>
        </w:rPr>
        <w:t xml:space="preserve">. Paragraphs </w:t>
      </w:r>
      <w:r w:rsidR="00324B5E">
        <w:rPr>
          <w:sz w:val="18"/>
          <w:szCs w:val="18"/>
          <w:lang w:val="en-IE"/>
        </w:rPr>
        <w:t>96-98</w:t>
      </w:r>
      <w:r w:rsidR="00CA2B33">
        <w:rPr>
          <w:sz w:val="18"/>
          <w:szCs w:val="18"/>
          <w:lang w:val="en-IE"/>
        </w:rPr>
        <w:t xml:space="preserve"> and </w:t>
      </w:r>
      <w:r w:rsidR="00324B5E">
        <w:rPr>
          <w:sz w:val="18"/>
          <w:szCs w:val="18"/>
          <w:lang w:val="en-IE"/>
        </w:rPr>
        <w:t>103-107</w:t>
      </w:r>
      <w:r w:rsidRPr="00324B5E">
        <w:rPr>
          <w:i/>
          <w:sz w:val="18"/>
          <w:szCs w:val="18"/>
          <w:lang w:val="en-IE"/>
        </w:rPr>
        <w:t>.</w:t>
      </w:r>
    </w:p>
  </w:footnote>
  <w:footnote w:id="37">
    <w:p w14:paraId="05418D73" w14:textId="1894302D" w:rsidR="00F1333D" w:rsidRPr="00324B5E" w:rsidRDefault="00F1333D" w:rsidP="004F2FDA">
      <w:pPr>
        <w:pStyle w:val="FootnoteText"/>
        <w:ind w:left="284" w:hanging="284"/>
        <w:rPr>
          <w:iCs/>
          <w:sz w:val="18"/>
          <w:szCs w:val="18"/>
          <w:lang w:val="en-IE"/>
        </w:rPr>
      </w:pPr>
      <w:r w:rsidRPr="001B59F8">
        <w:rPr>
          <w:rStyle w:val="FootnoteReference"/>
          <w:sz w:val="18"/>
          <w:szCs w:val="18"/>
          <w:lang w:val="en-IE"/>
        </w:rPr>
        <w:footnoteRef/>
      </w:r>
      <w:r w:rsidR="004F2FDA">
        <w:rPr>
          <w:sz w:val="18"/>
          <w:szCs w:val="18"/>
          <w:lang w:val="en-IE"/>
        </w:rPr>
        <w:tab/>
      </w:r>
      <w:r w:rsidRPr="00324B5E">
        <w:rPr>
          <w:sz w:val="18"/>
          <w:szCs w:val="18"/>
          <w:lang w:val="en-IE"/>
        </w:rPr>
        <w:t xml:space="preserve">Judgment in </w:t>
      </w:r>
      <w:r w:rsidRPr="00977980">
        <w:rPr>
          <w:i/>
          <w:iCs/>
          <w:sz w:val="18"/>
          <w:szCs w:val="18"/>
          <w:lang w:val="en-IE"/>
        </w:rPr>
        <w:t>eClear</w:t>
      </w:r>
      <w:r w:rsidRPr="00977980">
        <w:rPr>
          <w:sz w:val="18"/>
          <w:szCs w:val="18"/>
          <w:lang w:val="en-IE"/>
        </w:rPr>
        <w:t xml:space="preserve"> v </w:t>
      </w:r>
      <w:r w:rsidRPr="00977980">
        <w:rPr>
          <w:i/>
          <w:iCs/>
          <w:sz w:val="18"/>
          <w:szCs w:val="18"/>
          <w:lang w:val="en-IE"/>
        </w:rPr>
        <w:t>Commission</w:t>
      </w:r>
      <w:r w:rsidRPr="00977980">
        <w:rPr>
          <w:sz w:val="18"/>
          <w:szCs w:val="18"/>
          <w:lang w:val="en-IE"/>
        </w:rPr>
        <w:t>, T-127/23</w:t>
      </w:r>
      <w:r>
        <w:rPr>
          <w:sz w:val="18"/>
          <w:szCs w:val="18"/>
          <w:lang w:val="en-IE"/>
        </w:rPr>
        <w:t xml:space="preserve">, </w:t>
      </w:r>
      <w:r w:rsidRPr="001B59F8">
        <w:rPr>
          <w:i/>
          <w:sz w:val="18"/>
          <w:szCs w:val="18"/>
          <w:lang w:val="en-IE"/>
        </w:rPr>
        <w:t>op.cit</w:t>
      </w:r>
      <w:r w:rsidRPr="001B59F8">
        <w:rPr>
          <w:sz w:val="18"/>
          <w:szCs w:val="18"/>
          <w:lang w:val="en-IE"/>
        </w:rPr>
        <w:t>.</w:t>
      </w:r>
      <w:r w:rsidRPr="00324B5E">
        <w:rPr>
          <w:sz w:val="18"/>
          <w:szCs w:val="18"/>
          <w:lang w:val="en-IE"/>
        </w:rPr>
        <w:t xml:space="preserve"> Paragraphs </w:t>
      </w:r>
      <w:r>
        <w:rPr>
          <w:sz w:val="18"/>
          <w:szCs w:val="18"/>
          <w:lang w:val="en-IE"/>
        </w:rPr>
        <w:t>46-48, 76-77</w:t>
      </w:r>
      <w:r w:rsidR="00CA2B33">
        <w:rPr>
          <w:sz w:val="18"/>
          <w:szCs w:val="18"/>
          <w:lang w:val="en-IE"/>
        </w:rPr>
        <w:t xml:space="preserve"> and </w:t>
      </w:r>
      <w:r w:rsidR="005136D7">
        <w:rPr>
          <w:sz w:val="18"/>
          <w:szCs w:val="18"/>
          <w:lang w:val="en-IE"/>
        </w:rPr>
        <w:t>101-102</w:t>
      </w:r>
      <w:r w:rsidRPr="00324B5E">
        <w:rPr>
          <w:i/>
          <w:sz w:val="18"/>
          <w:szCs w:val="18"/>
          <w:lang w:val="en-IE"/>
        </w:rPr>
        <w:t>.</w:t>
      </w:r>
    </w:p>
  </w:footnote>
  <w:footnote w:id="38">
    <w:p w14:paraId="21513CA5" w14:textId="5B2A8686" w:rsidR="00F1333D" w:rsidRPr="00324B5E" w:rsidRDefault="00F1333D" w:rsidP="004F2FDA">
      <w:pPr>
        <w:pStyle w:val="FootnoteText"/>
        <w:ind w:left="284" w:hanging="284"/>
        <w:rPr>
          <w:iCs/>
          <w:sz w:val="18"/>
          <w:szCs w:val="18"/>
          <w:lang w:val="en-IE"/>
        </w:rPr>
      </w:pPr>
      <w:r w:rsidRPr="001B59F8">
        <w:rPr>
          <w:rStyle w:val="FootnoteReference"/>
          <w:sz w:val="18"/>
          <w:szCs w:val="18"/>
          <w:lang w:val="en-IE"/>
        </w:rPr>
        <w:footnoteRef/>
      </w:r>
      <w:r w:rsidR="004F2FDA">
        <w:rPr>
          <w:sz w:val="18"/>
          <w:szCs w:val="18"/>
          <w:lang w:val="en-IE"/>
        </w:rPr>
        <w:tab/>
      </w:r>
      <w:r w:rsidRPr="00324B5E">
        <w:rPr>
          <w:sz w:val="18"/>
          <w:szCs w:val="18"/>
          <w:lang w:val="en-IE"/>
        </w:rPr>
        <w:t>Judgment in</w:t>
      </w:r>
      <w:r w:rsidR="005136D7">
        <w:rPr>
          <w:sz w:val="18"/>
          <w:szCs w:val="18"/>
          <w:lang w:val="en-IE"/>
        </w:rPr>
        <w:t xml:space="preserve"> </w:t>
      </w:r>
      <w:r w:rsidR="005136D7" w:rsidRPr="005136D7">
        <w:rPr>
          <w:i/>
          <w:iCs/>
          <w:sz w:val="18"/>
          <w:szCs w:val="18"/>
          <w:lang w:val="en-IE"/>
        </w:rPr>
        <w:t>Stevi and The New York Times</w:t>
      </w:r>
      <w:r w:rsidR="005136D7" w:rsidRPr="005136D7">
        <w:rPr>
          <w:sz w:val="18"/>
          <w:szCs w:val="18"/>
          <w:lang w:val="en-IE"/>
        </w:rPr>
        <w:t xml:space="preserve"> v </w:t>
      </w:r>
      <w:r w:rsidR="005136D7" w:rsidRPr="005136D7">
        <w:rPr>
          <w:i/>
          <w:iCs/>
          <w:sz w:val="18"/>
          <w:szCs w:val="18"/>
          <w:lang w:val="en-IE"/>
        </w:rPr>
        <w:t>Commission</w:t>
      </w:r>
      <w:r w:rsidR="005136D7" w:rsidRPr="005136D7">
        <w:rPr>
          <w:sz w:val="18"/>
          <w:szCs w:val="18"/>
          <w:lang w:val="en-IE"/>
        </w:rPr>
        <w:t>, T-36/23</w:t>
      </w:r>
      <w:r w:rsidRPr="00324B5E">
        <w:rPr>
          <w:sz w:val="18"/>
          <w:szCs w:val="18"/>
          <w:lang w:val="en-IE"/>
        </w:rPr>
        <w:t xml:space="preserve">, </w:t>
      </w:r>
      <w:r w:rsidRPr="00324B5E">
        <w:rPr>
          <w:i/>
          <w:sz w:val="18"/>
          <w:szCs w:val="18"/>
          <w:lang w:val="en-IE"/>
        </w:rPr>
        <w:t>op.cit</w:t>
      </w:r>
      <w:r w:rsidRPr="00324B5E">
        <w:rPr>
          <w:sz w:val="18"/>
          <w:szCs w:val="18"/>
          <w:lang w:val="en-IE"/>
        </w:rPr>
        <w:t xml:space="preserve">. Paragraphs </w:t>
      </w:r>
      <w:r w:rsidR="005136D7">
        <w:rPr>
          <w:sz w:val="18"/>
          <w:szCs w:val="18"/>
          <w:lang w:val="en-IE"/>
        </w:rPr>
        <w:t>38-41, 45-48, 57-60, 67-68, 72-73, 79</w:t>
      </w:r>
      <w:r w:rsidR="00CA2B33">
        <w:rPr>
          <w:sz w:val="18"/>
          <w:szCs w:val="18"/>
          <w:lang w:val="en-IE"/>
        </w:rPr>
        <w:t xml:space="preserve"> and</w:t>
      </w:r>
      <w:r w:rsidR="005136D7">
        <w:rPr>
          <w:sz w:val="18"/>
          <w:szCs w:val="18"/>
          <w:lang w:val="en-IE"/>
        </w:rPr>
        <w:t xml:space="preserve"> 81-85</w:t>
      </w:r>
      <w:r w:rsidRPr="00324B5E">
        <w:rPr>
          <w:i/>
          <w:sz w:val="18"/>
          <w:szCs w:val="18"/>
          <w:lang w:val="en-IE"/>
        </w:rPr>
        <w:t>.</w:t>
      </w:r>
    </w:p>
  </w:footnote>
  <w:footnote w:id="39">
    <w:p w14:paraId="2FE44E93" w14:textId="511D798D" w:rsidR="000E305A" w:rsidRPr="0041312C" w:rsidRDefault="000E305A" w:rsidP="004F2FDA">
      <w:pPr>
        <w:pStyle w:val="FootnoteText"/>
        <w:ind w:left="284" w:hanging="284"/>
        <w:rPr>
          <w:iCs/>
          <w:sz w:val="18"/>
          <w:szCs w:val="18"/>
          <w:lang w:val="en-IE"/>
        </w:rPr>
      </w:pPr>
      <w:r w:rsidRPr="001B59F8">
        <w:rPr>
          <w:rStyle w:val="FootnoteReference"/>
          <w:sz w:val="18"/>
          <w:szCs w:val="18"/>
          <w:lang w:val="en-IE"/>
        </w:rPr>
        <w:footnoteRef/>
      </w:r>
      <w:r w:rsidR="004F2FDA">
        <w:rPr>
          <w:sz w:val="18"/>
          <w:szCs w:val="18"/>
          <w:lang w:val="en-IE"/>
        </w:rPr>
        <w:tab/>
      </w:r>
      <w:r w:rsidRPr="001B59F8">
        <w:rPr>
          <w:sz w:val="18"/>
          <w:szCs w:val="18"/>
          <w:lang w:val="en-IE"/>
        </w:rPr>
        <w:t>Judgment in</w:t>
      </w:r>
      <w:r>
        <w:rPr>
          <w:sz w:val="18"/>
          <w:szCs w:val="18"/>
          <w:lang w:val="en-IE"/>
        </w:rPr>
        <w:t xml:space="preserve"> </w:t>
      </w:r>
      <w:r w:rsidRPr="00977980">
        <w:rPr>
          <w:i/>
          <w:iCs/>
          <w:sz w:val="18"/>
          <w:szCs w:val="18"/>
          <w:lang w:val="en-IE"/>
        </w:rPr>
        <w:t>Smart Kid</w:t>
      </w:r>
      <w:r w:rsidRPr="00977980">
        <w:rPr>
          <w:sz w:val="18"/>
          <w:szCs w:val="18"/>
          <w:lang w:val="en-IE"/>
        </w:rPr>
        <w:t xml:space="preserve"> v </w:t>
      </w:r>
      <w:r w:rsidRPr="00977980">
        <w:rPr>
          <w:i/>
          <w:iCs/>
          <w:sz w:val="18"/>
          <w:szCs w:val="18"/>
          <w:lang w:val="en-IE"/>
        </w:rPr>
        <w:t>Commission</w:t>
      </w:r>
      <w:r w:rsidRPr="00977980">
        <w:rPr>
          <w:sz w:val="18"/>
          <w:szCs w:val="18"/>
          <w:lang w:val="en-IE"/>
        </w:rPr>
        <w:t xml:space="preserve">, T-337/24, </w:t>
      </w:r>
      <w:r w:rsidRPr="001B59F8">
        <w:rPr>
          <w:i/>
          <w:sz w:val="18"/>
          <w:szCs w:val="18"/>
          <w:lang w:val="en-IE"/>
        </w:rPr>
        <w:t>op.cit</w:t>
      </w:r>
      <w:r w:rsidRPr="001B59F8">
        <w:rPr>
          <w:sz w:val="18"/>
          <w:szCs w:val="18"/>
          <w:lang w:val="en-IE"/>
        </w:rPr>
        <w:t>.</w:t>
      </w:r>
      <w:r>
        <w:rPr>
          <w:sz w:val="18"/>
          <w:szCs w:val="18"/>
          <w:lang w:val="en-IE"/>
        </w:rPr>
        <w:t xml:space="preserve"> Paragraphs 33-37</w:t>
      </w:r>
      <w:r>
        <w:rPr>
          <w:i/>
          <w:sz w:val="18"/>
          <w:szCs w:val="18"/>
          <w:lang w:val="en-IE"/>
        </w:rPr>
        <w:t>.</w:t>
      </w:r>
    </w:p>
  </w:footnote>
  <w:footnote w:id="40">
    <w:p w14:paraId="3C17255D" w14:textId="3BAC6147" w:rsidR="00780D09" w:rsidRPr="0035691F" w:rsidRDefault="00780D09" w:rsidP="004F2FDA">
      <w:pPr>
        <w:pStyle w:val="FootnoteText"/>
        <w:ind w:left="284" w:hanging="284"/>
        <w:rPr>
          <w:sz w:val="18"/>
          <w:szCs w:val="18"/>
          <w:lang w:val="en-IE"/>
        </w:rPr>
      </w:pPr>
      <w:r w:rsidRPr="001B59F8">
        <w:rPr>
          <w:rStyle w:val="FootnoteReference"/>
          <w:sz w:val="18"/>
          <w:szCs w:val="18"/>
          <w:lang w:val="en-IE"/>
        </w:rPr>
        <w:footnoteRef/>
      </w:r>
      <w:r w:rsidR="004F2FDA">
        <w:rPr>
          <w:sz w:val="18"/>
          <w:szCs w:val="18"/>
          <w:lang w:val="en-IE"/>
        </w:rPr>
        <w:tab/>
      </w:r>
      <w:r w:rsidRPr="0035691F">
        <w:rPr>
          <w:sz w:val="18"/>
          <w:szCs w:val="18"/>
          <w:lang w:val="en-IE"/>
        </w:rPr>
        <w:t>Cases</w:t>
      </w:r>
      <w:r w:rsidR="003A7CEC" w:rsidRPr="003A7CEC">
        <w:rPr>
          <w:sz w:val="18"/>
          <w:szCs w:val="18"/>
          <w:lang w:val="en-IE"/>
        </w:rPr>
        <w:t xml:space="preserve"> </w:t>
      </w:r>
      <w:r w:rsidR="003A7CEC" w:rsidRPr="003A7CEC">
        <w:rPr>
          <w:i/>
          <w:iCs/>
          <w:sz w:val="18"/>
          <w:szCs w:val="18"/>
          <w:lang w:val="en-IE"/>
        </w:rPr>
        <w:t>Public.Resource.Org and Right to Know</w:t>
      </w:r>
      <w:r w:rsidR="003A7CEC" w:rsidRPr="003A7CEC">
        <w:rPr>
          <w:sz w:val="18"/>
          <w:szCs w:val="18"/>
          <w:lang w:val="en-IE"/>
        </w:rPr>
        <w:t xml:space="preserve"> v </w:t>
      </w:r>
      <w:r w:rsidR="003A7CEC" w:rsidRPr="003A7CEC">
        <w:rPr>
          <w:i/>
          <w:iCs/>
          <w:sz w:val="18"/>
          <w:szCs w:val="18"/>
          <w:lang w:val="en-IE"/>
        </w:rPr>
        <w:t>Commission</w:t>
      </w:r>
      <w:r w:rsidR="003A7CEC">
        <w:rPr>
          <w:sz w:val="18"/>
          <w:szCs w:val="18"/>
          <w:lang w:val="en-IE"/>
        </w:rPr>
        <w:t xml:space="preserve">, </w:t>
      </w:r>
      <w:r w:rsidR="003A7CEC" w:rsidRPr="003A7CEC">
        <w:rPr>
          <w:sz w:val="18"/>
          <w:szCs w:val="18"/>
          <w:lang w:val="en-IE"/>
        </w:rPr>
        <w:t>T-53/25</w:t>
      </w:r>
      <w:r w:rsidR="003A7CEC">
        <w:rPr>
          <w:sz w:val="18"/>
          <w:szCs w:val="18"/>
          <w:lang w:val="en-IE"/>
        </w:rPr>
        <w:t xml:space="preserve">; </w:t>
      </w:r>
      <w:r w:rsidR="003A7CEC" w:rsidRPr="003A7CEC">
        <w:rPr>
          <w:i/>
          <w:iCs/>
          <w:sz w:val="18"/>
          <w:szCs w:val="18"/>
          <w:lang w:val="en-IE"/>
        </w:rPr>
        <w:t>APEDA and O'Connor</w:t>
      </w:r>
      <w:r w:rsidR="003A7CEC" w:rsidRPr="003A7CEC">
        <w:rPr>
          <w:sz w:val="18"/>
          <w:szCs w:val="18"/>
          <w:lang w:val="en-IE"/>
        </w:rPr>
        <w:t xml:space="preserve"> v </w:t>
      </w:r>
      <w:r w:rsidR="003A7CEC" w:rsidRPr="003A7CEC">
        <w:rPr>
          <w:i/>
          <w:iCs/>
          <w:sz w:val="18"/>
          <w:szCs w:val="18"/>
          <w:lang w:val="en-IE"/>
        </w:rPr>
        <w:t>Commission</w:t>
      </w:r>
      <w:r w:rsidR="003A7CEC">
        <w:rPr>
          <w:sz w:val="18"/>
          <w:szCs w:val="18"/>
          <w:lang w:val="en-IE"/>
        </w:rPr>
        <w:t xml:space="preserve">, </w:t>
      </w:r>
      <w:r w:rsidR="003A7CEC" w:rsidRPr="003A7CEC">
        <w:rPr>
          <w:sz w:val="18"/>
          <w:szCs w:val="18"/>
          <w:lang w:val="en-IE"/>
        </w:rPr>
        <w:t>T-70/25</w:t>
      </w:r>
      <w:r w:rsidR="006E7CC6">
        <w:rPr>
          <w:sz w:val="18"/>
          <w:szCs w:val="18"/>
        </w:rPr>
        <w:t xml:space="preserve">, </w:t>
      </w:r>
      <w:r w:rsidR="006E7CC6" w:rsidRPr="0041312C">
        <w:rPr>
          <w:i/>
          <w:sz w:val="18"/>
          <w:szCs w:val="18"/>
          <w:lang w:val="en-IE"/>
        </w:rPr>
        <w:t>op.cit</w:t>
      </w:r>
      <w:r w:rsidR="006E7CC6" w:rsidRPr="0041312C">
        <w:rPr>
          <w:sz w:val="18"/>
          <w:szCs w:val="18"/>
          <w:lang w:val="en-IE"/>
        </w:rPr>
        <w:t>.</w:t>
      </w:r>
      <w:r w:rsidR="003A7CEC">
        <w:rPr>
          <w:sz w:val="18"/>
          <w:szCs w:val="18"/>
          <w:lang w:val="en-IE"/>
        </w:rPr>
        <w:t xml:space="preserve">; </w:t>
      </w:r>
      <w:r w:rsidR="003A7CEC" w:rsidRPr="003A7CEC">
        <w:rPr>
          <w:i/>
          <w:iCs/>
          <w:sz w:val="18"/>
          <w:szCs w:val="18"/>
          <w:lang w:val="en-IE"/>
        </w:rPr>
        <w:t>WS</w:t>
      </w:r>
      <w:r w:rsidR="003A7CEC" w:rsidRPr="003A7CEC">
        <w:rPr>
          <w:sz w:val="18"/>
          <w:szCs w:val="18"/>
          <w:lang w:val="en-IE"/>
        </w:rPr>
        <w:t xml:space="preserve"> v </w:t>
      </w:r>
      <w:r w:rsidR="003A7CEC" w:rsidRPr="003A7CEC">
        <w:rPr>
          <w:i/>
          <w:iCs/>
          <w:sz w:val="18"/>
          <w:szCs w:val="18"/>
          <w:lang w:val="en-IE"/>
        </w:rPr>
        <w:t>Commission</w:t>
      </w:r>
      <w:r w:rsidR="003A7CEC">
        <w:rPr>
          <w:sz w:val="18"/>
          <w:szCs w:val="18"/>
          <w:lang w:val="en-IE"/>
        </w:rPr>
        <w:t xml:space="preserve">, </w:t>
      </w:r>
      <w:r w:rsidR="003A7CEC" w:rsidRPr="003A7CEC">
        <w:rPr>
          <w:sz w:val="18"/>
          <w:szCs w:val="18"/>
          <w:lang w:val="en-IE"/>
        </w:rPr>
        <w:t>T-90/25</w:t>
      </w:r>
      <w:r w:rsidR="003A7CEC">
        <w:rPr>
          <w:sz w:val="18"/>
          <w:szCs w:val="18"/>
          <w:lang w:val="en-IE"/>
        </w:rPr>
        <w:t xml:space="preserve">; </w:t>
      </w:r>
      <w:r w:rsidR="003A7CEC" w:rsidRPr="003A7CEC">
        <w:rPr>
          <w:i/>
          <w:iCs/>
          <w:sz w:val="18"/>
          <w:szCs w:val="18"/>
          <w:lang w:val="en-IE"/>
        </w:rPr>
        <w:t>Rizza</w:t>
      </w:r>
      <w:r w:rsidR="003A7CEC" w:rsidRPr="003A7CEC">
        <w:rPr>
          <w:sz w:val="18"/>
          <w:szCs w:val="18"/>
          <w:lang w:val="en-IE"/>
        </w:rPr>
        <w:t xml:space="preserve"> v </w:t>
      </w:r>
      <w:r w:rsidR="003A7CEC" w:rsidRPr="003A7CEC">
        <w:rPr>
          <w:i/>
          <w:iCs/>
          <w:sz w:val="18"/>
          <w:szCs w:val="18"/>
          <w:lang w:val="en-IE"/>
        </w:rPr>
        <w:t>Commission</w:t>
      </w:r>
      <w:r w:rsidR="003A7CEC">
        <w:rPr>
          <w:sz w:val="18"/>
          <w:szCs w:val="18"/>
          <w:lang w:val="en-IE"/>
        </w:rPr>
        <w:t xml:space="preserve">, </w:t>
      </w:r>
      <w:r w:rsidR="003A7CEC" w:rsidRPr="003A7CEC">
        <w:rPr>
          <w:sz w:val="18"/>
          <w:szCs w:val="18"/>
          <w:lang w:val="en-IE"/>
        </w:rPr>
        <w:t>T-118/25</w:t>
      </w:r>
      <w:r w:rsidR="006E7CC6" w:rsidRPr="0041312C">
        <w:rPr>
          <w:sz w:val="18"/>
          <w:szCs w:val="18"/>
          <w:lang w:val="en-IE"/>
        </w:rPr>
        <w:t xml:space="preserve">, </w:t>
      </w:r>
      <w:r w:rsidR="006E7CC6" w:rsidRPr="0041312C">
        <w:rPr>
          <w:i/>
          <w:sz w:val="18"/>
          <w:szCs w:val="18"/>
          <w:lang w:val="en-IE"/>
        </w:rPr>
        <w:t>op.cit</w:t>
      </w:r>
      <w:r w:rsidR="006E7CC6" w:rsidRPr="0041312C">
        <w:rPr>
          <w:sz w:val="18"/>
          <w:szCs w:val="18"/>
          <w:lang w:val="en-IE"/>
        </w:rPr>
        <w:t>.</w:t>
      </w:r>
      <w:r w:rsidR="003A7CEC">
        <w:rPr>
          <w:sz w:val="18"/>
          <w:szCs w:val="18"/>
          <w:lang w:val="en-IE"/>
        </w:rPr>
        <w:t xml:space="preserve">; </w:t>
      </w:r>
      <w:r w:rsidR="003A7CEC" w:rsidRPr="003A7CEC">
        <w:rPr>
          <w:i/>
          <w:iCs/>
          <w:sz w:val="18"/>
          <w:szCs w:val="18"/>
          <w:lang w:val="en-IE"/>
        </w:rPr>
        <w:t>Nouwen</w:t>
      </w:r>
      <w:r w:rsidR="003A7CEC" w:rsidRPr="003A7CEC">
        <w:rPr>
          <w:sz w:val="18"/>
          <w:szCs w:val="18"/>
          <w:lang w:val="en-IE"/>
        </w:rPr>
        <w:t xml:space="preserve"> v </w:t>
      </w:r>
      <w:r w:rsidR="003A7CEC" w:rsidRPr="003A7CEC">
        <w:rPr>
          <w:i/>
          <w:iCs/>
          <w:sz w:val="18"/>
          <w:szCs w:val="18"/>
          <w:lang w:val="en-IE"/>
        </w:rPr>
        <w:t>Commission</w:t>
      </w:r>
      <w:r w:rsidR="003A7CEC">
        <w:rPr>
          <w:sz w:val="18"/>
          <w:szCs w:val="18"/>
          <w:lang w:val="en-IE"/>
        </w:rPr>
        <w:t xml:space="preserve">, </w:t>
      </w:r>
      <w:r w:rsidR="003A7CEC" w:rsidRPr="003A7CEC">
        <w:rPr>
          <w:sz w:val="18"/>
          <w:szCs w:val="18"/>
          <w:lang w:val="en-IE"/>
        </w:rPr>
        <w:t>T-132/25</w:t>
      </w:r>
      <w:r w:rsidR="003A7CEC">
        <w:rPr>
          <w:sz w:val="18"/>
          <w:szCs w:val="18"/>
          <w:lang w:val="en-IE"/>
        </w:rPr>
        <w:t xml:space="preserve">; </w:t>
      </w:r>
      <w:r w:rsidR="003A7CEC" w:rsidRPr="003A7CEC">
        <w:rPr>
          <w:i/>
          <w:iCs/>
          <w:sz w:val="18"/>
          <w:szCs w:val="18"/>
          <w:lang w:val="en-IE"/>
        </w:rPr>
        <w:t>De Capitani and Others</w:t>
      </w:r>
      <w:r w:rsidR="003A7CEC" w:rsidRPr="003A7CEC">
        <w:rPr>
          <w:sz w:val="18"/>
          <w:szCs w:val="18"/>
          <w:lang w:val="en-IE"/>
        </w:rPr>
        <w:t xml:space="preserve"> v </w:t>
      </w:r>
      <w:r w:rsidR="003A7CEC" w:rsidRPr="003A7CEC">
        <w:rPr>
          <w:i/>
          <w:iCs/>
          <w:sz w:val="18"/>
          <w:szCs w:val="18"/>
          <w:lang w:val="en-IE"/>
        </w:rPr>
        <w:t>Commission</w:t>
      </w:r>
      <w:r w:rsidR="003A7CEC">
        <w:rPr>
          <w:sz w:val="18"/>
          <w:szCs w:val="18"/>
          <w:lang w:val="en-IE"/>
        </w:rPr>
        <w:t>,</w:t>
      </w:r>
      <w:r w:rsidR="003A7CEC" w:rsidRPr="003A7CEC">
        <w:rPr>
          <w:sz w:val="18"/>
          <w:szCs w:val="18"/>
          <w:lang w:val="en-IE"/>
        </w:rPr>
        <w:t xml:space="preserve"> T-146/25</w:t>
      </w:r>
      <w:r w:rsidR="003A7CEC">
        <w:rPr>
          <w:sz w:val="18"/>
          <w:szCs w:val="18"/>
          <w:lang w:val="en-IE"/>
        </w:rPr>
        <w:t>;</w:t>
      </w:r>
      <w:r w:rsidR="003A7CEC" w:rsidRPr="003A7CEC">
        <w:rPr>
          <w:sz w:val="18"/>
          <w:szCs w:val="18"/>
          <w:lang w:val="en-IE"/>
        </w:rPr>
        <w:t xml:space="preserve"> </w:t>
      </w:r>
      <w:r w:rsidR="003A7CEC" w:rsidRPr="003A7CEC">
        <w:rPr>
          <w:i/>
          <w:iCs/>
          <w:sz w:val="18"/>
          <w:szCs w:val="18"/>
          <w:lang w:val="en-IE"/>
        </w:rPr>
        <w:t>Rizza</w:t>
      </w:r>
      <w:r w:rsidR="003A7CEC" w:rsidRPr="003A7CEC">
        <w:rPr>
          <w:sz w:val="18"/>
          <w:szCs w:val="18"/>
          <w:lang w:val="en-IE"/>
        </w:rPr>
        <w:t xml:space="preserve"> v </w:t>
      </w:r>
      <w:r w:rsidR="003A7CEC" w:rsidRPr="003A7CEC">
        <w:rPr>
          <w:i/>
          <w:iCs/>
          <w:sz w:val="18"/>
          <w:szCs w:val="18"/>
          <w:lang w:val="en-IE"/>
        </w:rPr>
        <w:t>Commission</w:t>
      </w:r>
      <w:r w:rsidR="003A7CEC">
        <w:rPr>
          <w:sz w:val="18"/>
          <w:szCs w:val="18"/>
          <w:lang w:val="en-IE"/>
        </w:rPr>
        <w:t xml:space="preserve">, </w:t>
      </w:r>
      <w:r w:rsidR="003A7CEC" w:rsidRPr="003A7CEC">
        <w:rPr>
          <w:sz w:val="18"/>
          <w:szCs w:val="18"/>
          <w:lang w:val="en-IE"/>
        </w:rPr>
        <w:t>T-205/25</w:t>
      </w:r>
      <w:r w:rsidR="003A7CEC">
        <w:rPr>
          <w:sz w:val="18"/>
          <w:szCs w:val="18"/>
          <w:lang w:val="en-IE"/>
        </w:rPr>
        <w:t xml:space="preserve">; </w:t>
      </w:r>
      <w:r w:rsidR="003A7CEC" w:rsidRPr="003A7CEC">
        <w:rPr>
          <w:i/>
          <w:iCs/>
          <w:sz w:val="18"/>
          <w:szCs w:val="18"/>
          <w:lang w:val="en-IE"/>
        </w:rPr>
        <w:t>Galić</w:t>
      </w:r>
      <w:r w:rsidR="003A7CEC" w:rsidRPr="003A7CEC">
        <w:rPr>
          <w:sz w:val="18"/>
          <w:szCs w:val="18"/>
          <w:lang w:val="en-IE"/>
        </w:rPr>
        <w:t xml:space="preserve"> v </w:t>
      </w:r>
      <w:r w:rsidR="003A7CEC" w:rsidRPr="003A7CEC">
        <w:rPr>
          <w:i/>
          <w:iCs/>
          <w:sz w:val="18"/>
          <w:szCs w:val="18"/>
          <w:lang w:val="en-IE"/>
        </w:rPr>
        <w:t>Commission</w:t>
      </w:r>
      <w:r w:rsidR="003A7CEC">
        <w:rPr>
          <w:sz w:val="18"/>
          <w:szCs w:val="18"/>
          <w:lang w:val="en-IE"/>
        </w:rPr>
        <w:t>,</w:t>
      </w:r>
      <w:r w:rsidR="003A7CEC" w:rsidRPr="003A7CEC">
        <w:rPr>
          <w:sz w:val="18"/>
          <w:szCs w:val="18"/>
          <w:lang w:val="en-IE"/>
        </w:rPr>
        <w:t xml:space="preserve"> T-276/25</w:t>
      </w:r>
      <w:r w:rsidR="003A7CEC">
        <w:rPr>
          <w:sz w:val="18"/>
          <w:szCs w:val="18"/>
          <w:lang w:val="en-IE"/>
        </w:rPr>
        <w:t>;</w:t>
      </w:r>
      <w:r w:rsidR="00901B23">
        <w:rPr>
          <w:sz w:val="18"/>
          <w:szCs w:val="18"/>
          <w:lang w:val="en-IE"/>
        </w:rPr>
        <w:t xml:space="preserve"> </w:t>
      </w:r>
      <w:r w:rsidR="00901B23" w:rsidRPr="00901B23">
        <w:rPr>
          <w:i/>
          <w:iCs/>
          <w:sz w:val="18"/>
          <w:szCs w:val="18"/>
          <w:lang w:val="en-IE"/>
        </w:rPr>
        <w:t>Onescu</w:t>
      </w:r>
      <w:r w:rsidR="00901B23" w:rsidRPr="00901B23">
        <w:rPr>
          <w:sz w:val="18"/>
          <w:szCs w:val="18"/>
          <w:lang w:val="en-IE"/>
        </w:rPr>
        <w:t xml:space="preserve"> v </w:t>
      </w:r>
      <w:r w:rsidR="00901B23" w:rsidRPr="00901B23">
        <w:rPr>
          <w:i/>
          <w:iCs/>
          <w:sz w:val="18"/>
          <w:szCs w:val="18"/>
          <w:lang w:val="en-IE"/>
        </w:rPr>
        <w:t>OLAF</w:t>
      </w:r>
      <w:r w:rsidR="00901B23">
        <w:rPr>
          <w:sz w:val="18"/>
          <w:szCs w:val="18"/>
          <w:lang w:val="en-IE"/>
        </w:rPr>
        <w:t xml:space="preserve">, </w:t>
      </w:r>
      <w:r w:rsidR="00901B23" w:rsidRPr="00901B23">
        <w:rPr>
          <w:sz w:val="18"/>
          <w:szCs w:val="18"/>
          <w:lang w:val="en-IE"/>
        </w:rPr>
        <w:t>T-299/25</w:t>
      </w:r>
      <w:r w:rsidR="006E7CC6">
        <w:rPr>
          <w:sz w:val="18"/>
          <w:szCs w:val="18"/>
          <w:lang w:val="en-IE"/>
        </w:rPr>
        <w:t xml:space="preserve">, </w:t>
      </w:r>
      <w:r w:rsidR="006E7CC6" w:rsidRPr="0041312C">
        <w:rPr>
          <w:i/>
          <w:sz w:val="18"/>
          <w:szCs w:val="18"/>
          <w:lang w:val="en-IE"/>
        </w:rPr>
        <w:t>op.cit</w:t>
      </w:r>
      <w:r w:rsidR="006E7CC6" w:rsidRPr="0041312C">
        <w:rPr>
          <w:sz w:val="18"/>
          <w:szCs w:val="18"/>
          <w:lang w:val="en-IE"/>
        </w:rPr>
        <w:t>.</w:t>
      </w:r>
      <w:r w:rsidR="00901B23">
        <w:rPr>
          <w:sz w:val="18"/>
          <w:szCs w:val="18"/>
          <w:lang w:val="en-IE"/>
        </w:rPr>
        <w:t xml:space="preserve">; </w:t>
      </w:r>
      <w:r w:rsidR="00901B23" w:rsidRPr="00901B23">
        <w:rPr>
          <w:i/>
          <w:iCs/>
          <w:sz w:val="18"/>
          <w:szCs w:val="18"/>
          <w:lang w:val="en-IE"/>
        </w:rPr>
        <w:t>Pakistan and Altius</w:t>
      </w:r>
      <w:r w:rsidR="00901B23" w:rsidRPr="00901B23">
        <w:rPr>
          <w:sz w:val="18"/>
          <w:szCs w:val="18"/>
          <w:lang w:val="en-IE"/>
        </w:rPr>
        <w:t xml:space="preserve"> v </w:t>
      </w:r>
      <w:r w:rsidR="00901B23" w:rsidRPr="00901B23">
        <w:rPr>
          <w:i/>
          <w:iCs/>
          <w:sz w:val="18"/>
          <w:szCs w:val="18"/>
          <w:lang w:val="en-IE"/>
        </w:rPr>
        <w:t>Commission</w:t>
      </w:r>
      <w:r w:rsidR="00901B23">
        <w:rPr>
          <w:sz w:val="18"/>
          <w:szCs w:val="18"/>
          <w:lang w:val="en-IE"/>
        </w:rPr>
        <w:t xml:space="preserve">, </w:t>
      </w:r>
      <w:r w:rsidR="00901B23" w:rsidRPr="00901B23">
        <w:rPr>
          <w:sz w:val="18"/>
          <w:szCs w:val="18"/>
          <w:lang w:val="en-IE"/>
        </w:rPr>
        <w:t>T-360/25</w:t>
      </w:r>
      <w:r w:rsidR="00901B23">
        <w:rPr>
          <w:sz w:val="18"/>
          <w:szCs w:val="18"/>
          <w:lang w:val="en-IE"/>
        </w:rPr>
        <w:t xml:space="preserve">; </w:t>
      </w:r>
      <w:r w:rsidR="00901B23" w:rsidRPr="00901B23">
        <w:rPr>
          <w:i/>
          <w:iCs/>
          <w:sz w:val="18"/>
          <w:szCs w:val="18"/>
          <w:lang w:val="en-IE"/>
        </w:rPr>
        <w:t>Wölken</w:t>
      </w:r>
      <w:r w:rsidR="00901B23" w:rsidRPr="00901B23">
        <w:rPr>
          <w:sz w:val="18"/>
          <w:szCs w:val="18"/>
          <w:lang w:val="en-IE"/>
        </w:rPr>
        <w:t xml:space="preserve"> v </w:t>
      </w:r>
      <w:r w:rsidR="00901B23" w:rsidRPr="00901B23">
        <w:rPr>
          <w:i/>
          <w:iCs/>
          <w:sz w:val="18"/>
          <w:szCs w:val="18"/>
          <w:lang w:val="en-IE"/>
        </w:rPr>
        <w:t>Commission</w:t>
      </w:r>
      <w:r w:rsidR="00901B23">
        <w:rPr>
          <w:sz w:val="18"/>
          <w:szCs w:val="18"/>
          <w:lang w:val="en-IE"/>
        </w:rPr>
        <w:t xml:space="preserve">, </w:t>
      </w:r>
      <w:r w:rsidR="00901B23" w:rsidRPr="00901B23">
        <w:rPr>
          <w:sz w:val="18"/>
          <w:szCs w:val="18"/>
          <w:lang w:val="en-IE"/>
        </w:rPr>
        <w:t>T-483/25</w:t>
      </w:r>
      <w:r w:rsidR="00901B23">
        <w:rPr>
          <w:sz w:val="18"/>
          <w:szCs w:val="18"/>
          <w:lang w:val="en-IE"/>
        </w:rPr>
        <w:t xml:space="preserve">; </w:t>
      </w:r>
      <w:r w:rsidR="00901B23" w:rsidRPr="00901B23">
        <w:rPr>
          <w:i/>
          <w:iCs/>
          <w:sz w:val="18"/>
          <w:szCs w:val="18"/>
          <w:lang w:val="en-IE"/>
        </w:rPr>
        <w:t>Access Info Europe</w:t>
      </w:r>
      <w:r w:rsidR="00901B23" w:rsidRPr="00901B23">
        <w:rPr>
          <w:sz w:val="18"/>
          <w:szCs w:val="18"/>
          <w:lang w:val="en-IE"/>
        </w:rPr>
        <w:t xml:space="preserve"> v </w:t>
      </w:r>
      <w:r w:rsidR="00901B23" w:rsidRPr="00901B23">
        <w:rPr>
          <w:i/>
          <w:iCs/>
          <w:sz w:val="18"/>
          <w:szCs w:val="18"/>
          <w:lang w:val="en-IE"/>
        </w:rPr>
        <w:t>Commission</w:t>
      </w:r>
      <w:r w:rsidR="00901B23">
        <w:rPr>
          <w:sz w:val="18"/>
          <w:szCs w:val="18"/>
          <w:lang w:val="en-IE"/>
        </w:rPr>
        <w:t xml:space="preserve">, </w:t>
      </w:r>
      <w:r w:rsidR="00901B23" w:rsidRPr="00901B23">
        <w:rPr>
          <w:sz w:val="18"/>
          <w:szCs w:val="18"/>
          <w:lang w:val="en-IE"/>
        </w:rPr>
        <w:t>T-507/25</w:t>
      </w:r>
      <w:r w:rsidR="00901B23">
        <w:rPr>
          <w:sz w:val="18"/>
          <w:szCs w:val="18"/>
          <w:lang w:val="en-IE"/>
        </w:rPr>
        <w:t xml:space="preserve">; </w:t>
      </w:r>
      <w:r w:rsidR="00901B23" w:rsidRPr="00901B23">
        <w:rPr>
          <w:i/>
          <w:iCs/>
          <w:sz w:val="18"/>
          <w:szCs w:val="18"/>
          <w:lang w:val="en-IE"/>
        </w:rPr>
        <w:t>Mowi Poland</w:t>
      </w:r>
      <w:r w:rsidR="00901B23" w:rsidRPr="00901B23">
        <w:rPr>
          <w:sz w:val="18"/>
          <w:szCs w:val="18"/>
          <w:lang w:val="en-IE"/>
        </w:rPr>
        <w:t xml:space="preserve"> v </w:t>
      </w:r>
      <w:r w:rsidR="00901B23" w:rsidRPr="00901B23">
        <w:rPr>
          <w:i/>
          <w:iCs/>
          <w:sz w:val="18"/>
          <w:szCs w:val="18"/>
          <w:lang w:val="en-IE"/>
        </w:rPr>
        <w:t>Commission</w:t>
      </w:r>
      <w:r w:rsidR="00901B23">
        <w:rPr>
          <w:sz w:val="18"/>
          <w:szCs w:val="18"/>
          <w:lang w:val="en-IE"/>
        </w:rPr>
        <w:t xml:space="preserve">, </w:t>
      </w:r>
      <w:r w:rsidR="00901B23" w:rsidRPr="00901B23">
        <w:rPr>
          <w:sz w:val="18"/>
          <w:szCs w:val="18"/>
          <w:lang w:val="en-IE"/>
        </w:rPr>
        <w:t>T-567/25</w:t>
      </w:r>
      <w:r w:rsidR="00901B23">
        <w:rPr>
          <w:sz w:val="18"/>
          <w:szCs w:val="18"/>
          <w:lang w:val="en-IE"/>
        </w:rPr>
        <w:t xml:space="preserve">; </w:t>
      </w:r>
      <w:r w:rsidR="00901B23" w:rsidRPr="00901B23">
        <w:rPr>
          <w:i/>
          <w:iCs/>
          <w:sz w:val="18"/>
          <w:szCs w:val="18"/>
          <w:lang w:val="en-IE"/>
        </w:rPr>
        <w:t>De Capitani</w:t>
      </w:r>
      <w:r w:rsidR="00901B23" w:rsidRPr="00901B23">
        <w:rPr>
          <w:sz w:val="18"/>
          <w:szCs w:val="18"/>
          <w:lang w:val="en-IE"/>
        </w:rPr>
        <w:t xml:space="preserve"> v </w:t>
      </w:r>
      <w:r w:rsidR="00901B23" w:rsidRPr="00901B23">
        <w:rPr>
          <w:i/>
          <w:iCs/>
          <w:sz w:val="18"/>
          <w:szCs w:val="18"/>
          <w:lang w:val="en-IE"/>
        </w:rPr>
        <w:t>Commission</w:t>
      </w:r>
      <w:r w:rsidR="00901B23">
        <w:rPr>
          <w:sz w:val="18"/>
          <w:szCs w:val="18"/>
          <w:lang w:val="en-IE"/>
        </w:rPr>
        <w:t xml:space="preserve">, </w:t>
      </w:r>
      <w:r w:rsidR="00901B23" w:rsidRPr="00901B23">
        <w:rPr>
          <w:sz w:val="18"/>
          <w:szCs w:val="18"/>
          <w:lang w:val="en-IE"/>
        </w:rPr>
        <w:t>T-621/25</w:t>
      </w:r>
      <w:r w:rsidR="00901B23">
        <w:rPr>
          <w:sz w:val="18"/>
          <w:szCs w:val="18"/>
          <w:lang w:val="en-IE"/>
        </w:rPr>
        <w:t xml:space="preserve">; </w:t>
      </w:r>
      <w:r w:rsidR="00901B23" w:rsidRPr="00901B23">
        <w:rPr>
          <w:i/>
          <w:iCs/>
          <w:sz w:val="18"/>
          <w:szCs w:val="18"/>
          <w:lang w:val="en-IE"/>
        </w:rPr>
        <w:t>ClientEarth</w:t>
      </w:r>
      <w:r w:rsidR="00901B23" w:rsidRPr="00901B23">
        <w:rPr>
          <w:sz w:val="18"/>
          <w:szCs w:val="18"/>
          <w:lang w:val="en-IE"/>
        </w:rPr>
        <w:t xml:space="preserve"> v </w:t>
      </w:r>
      <w:r w:rsidR="00901B23" w:rsidRPr="00901B23">
        <w:rPr>
          <w:i/>
          <w:iCs/>
          <w:sz w:val="18"/>
          <w:szCs w:val="18"/>
          <w:lang w:val="en-IE"/>
        </w:rPr>
        <w:t>Commission</w:t>
      </w:r>
      <w:r w:rsidR="00901B23">
        <w:rPr>
          <w:sz w:val="18"/>
          <w:szCs w:val="18"/>
          <w:lang w:val="en-IE"/>
        </w:rPr>
        <w:t xml:space="preserve">, </w:t>
      </w:r>
      <w:r w:rsidR="00901B23" w:rsidRPr="00901B23">
        <w:rPr>
          <w:sz w:val="18"/>
          <w:szCs w:val="18"/>
          <w:lang w:val="en-IE"/>
        </w:rPr>
        <w:t>T-641/25</w:t>
      </w:r>
      <w:r w:rsidR="00901B23">
        <w:rPr>
          <w:sz w:val="18"/>
          <w:szCs w:val="18"/>
          <w:lang w:val="en-IE"/>
        </w:rPr>
        <w:t xml:space="preserve">; </w:t>
      </w:r>
      <w:r w:rsidR="00901B23" w:rsidRPr="00901B23">
        <w:rPr>
          <w:i/>
          <w:iCs/>
          <w:sz w:val="18"/>
          <w:szCs w:val="18"/>
          <w:lang w:val="en-IE"/>
        </w:rPr>
        <w:t>Wölken</w:t>
      </w:r>
      <w:r w:rsidR="00901B23" w:rsidRPr="00901B23">
        <w:rPr>
          <w:sz w:val="18"/>
          <w:szCs w:val="18"/>
          <w:lang w:val="en-IE"/>
        </w:rPr>
        <w:t xml:space="preserve"> v </w:t>
      </w:r>
      <w:r w:rsidR="00901B23" w:rsidRPr="00901B23">
        <w:rPr>
          <w:i/>
          <w:iCs/>
          <w:sz w:val="18"/>
          <w:szCs w:val="18"/>
          <w:lang w:val="en-IE"/>
        </w:rPr>
        <w:t>Commission</w:t>
      </w:r>
      <w:r w:rsidR="00901B23">
        <w:rPr>
          <w:sz w:val="18"/>
          <w:szCs w:val="18"/>
          <w:lang w:val="en-IE"/>
        </w:rPr>
        <w:t xml:space="preserve">, </w:t>
      </w:r>
      <w:r w:rsidR="00901B23" w:rsidRPr="00901B23">
        <w:rPr>
          <w:sz w:val="18"/>
          <w:szCs w:val="18"/>
          <w:lang w:val="en-IE"/>
        </w:rPr>
        <w:t>T-662/25</w:t>
      </w:r>
      <w:r w:rsidR="00901B23">
        <w:rPr>
          <w:sz w:val="18"/>
          <w:szCs w:val="18"/>
          <w:lang w:val="en-IE"/>
        </w:rPr>
        <w:t xml:space="preserve">; </w:t>
      </w:r>
      <w:r w:rsidR="00901B23" w:rsidRPr="00901B23">
        <w:rPr>
          <w:i/>
          <w:iCs/>
          <w:sz w:val="18"/>
          <w:szCs w:val="18"/>
          <w:lang w:val="en-IE"/>
        </w:rPr>
        <w:t>ClientEarth</w:t>
      </w:r>
      <w:r w:rsidR="00901B23" w:rsidRPr="00901B23">
        <w:rPr>
          <w:sz w:val="18"/>
          <w:szCs w:val="18"/>
          <w:lang w:val="en-IE"/>
        </w:rPr>
        <w:t xml:space="preserve"> v </w:t>
      </w:r>
      <w:r w:rsidR="00901B23" w:rsidRPr="00901B23">
        <w:rPr>
          <w:i/>
          <w:iCs/>
          <w:sz w:val="18"/>
          <w:szCs w:val="18"/>
          <w:lang w:val="en-IE"/>
        </w:rPr>
        <w:t>Commission</w:t>
      </w:r>
      <w:r w:rsidR="00901B23">
        <w:rPr>
          <w:sz w:val="18"/>
          <w:szCs w:val="18"/>
          <w:lang w:val="en-IE"/>
        </w:rPr>
        <w:t>,</w:t>
      </w:r>
      <w:r w:rsidR="00901B23" w:rsidRPr="00901B23">
        <w:rPr>
          <w:sz w:val="18"/>
          <w:szCs w:val="18"/>
          <w:lang w:val="en-IE"/>
        </w:rPr>
        <w:t xml:space="preserve"> T-738/25</w:t>
      </w:r>
      <w:r w:rsidR="00901B23">
        <w:rPr>
          <w:sz w:val="18"/>
          <w:szCs w:val="18"/>
          <w:lang w:val="en-IE"/>
        </w:rPr>
        <w:t xml:space="preserve">; </w:t>
      </w:r>
      <w:r w:rsidR="00901B23" w:rsidRPr="00901B23">
        <w:rPr>
          <w:i/>
          <w:iCs/>
          <w:sz w:val="18"/>
          <w:szCs w:val="18"/>
          <w:lang w:val="en-IE"/>
        </w:rPr>
        <w:t>Wölken</w:t>
      </w:r>
      <w:r w:rsidR="00901B23" w:rsidRPr="00901B23">
        <w:rPr>
          <w:sz w:val="18"/>
          <w:szCs w:val="18"/>
          <w:lang w:val="en-IE"/>
        </w:rPr>
        <w:t xml:space="preserve"> v </w:t>
      </w:r>
      <w:r w:rsidR="00901B23" w:rsidRPr="00901B23">
        <w:rPr>
          <w:i/>
          <w:iCs/>
          <w:sz w:val="18"/>
          <w:szCs w:val="18"/>
          <w:lang w:val="en-IE"/>
        </w:rPr>
        <w:t>Commission</w:t>
      </w:r>
      <w:r w:rsidR="00901B23">
        <w:rPr>
          <w:sz w:val="18"/>
          <w:szCs w:val="18"/>
          <w:lang w:val="en-IE"/>
        </w:rPr>
        <w:t xml:space="preserve">, </w:t>
      </w:r>
      <w:r w:rsidR="00901B23" w:rsidRPr="00901B23">
        <w:rPr>
          <w:sz w:val="18"/>
          <w:szCs w:val="18"/>
          <w:lang w:val="en-IE"/>
        </w:rPr>
        <w:t>T-784/25</w:t>
      </w:r>
      <w:r w:rsidR="00901B23">
        <w:rPr>
          <w:sz w:val="18"/>
          <w:szCs w:val="18"/>
          <w:lang w:val="en-IE"/>
        </w:rPr>
        <w:t>.</w:t>
      </w:r>
    </w:p>
  </w:footnote>
  <w:footnote w:id="41">
    <w:p w14:paraId="5F0130BB" w14:textId="6B3F3562" w:rsidR="00780D09" w:rsidRPr="00637BC3" w:rsidRDefault="00780D09" w:rsidP="004F2FDA">
      <w:pPr>
        <w:pStyle w:val="FootnoteText"/>
        <w:ind w:left="284" w:hanging="284"/>
        <w:rPr>
          <w:sz w:val="18"/>
          <w:szCs w:val="18"/>
          <w:lang w:val="en-IE"/>
        </w:rPr>
      </w:pPr>
      <w:r w:rsidRPr="001B59F8">
        <w:rPr>
          <w:rStyle w:val="FootnoteReference"/>
          <w:sz w:val="18"/>
          <w:szCs w:val="18"/>
          <w:lang w:val="en-IE"/>
        </w:rPr>
        <w:footnoteRef/>
      </w:r>
      <w:r w:rsidR="004F2FDA">
        <w:rPr>
          <w:sz w:val="18"/>
          <w:szCs w:val="18"/>
          <w:lang w:val="en-IE"/>
        </w:rPr>
        <w:tab/>
      </w:r>
      <w:r w:rsidR="00C92B80" w:rsidRPr="00637BC3">
        <w:rPr>
          <w:sz w:val="18"/>
          <w:szCs w:val="18"/>
          <w:lang w:val="en-IE"/>
        </w:rPr>
        <w:t>Case</w:t>
      </w:r>
      <w:r w:rsidR="006E7CC6">
        <w:rPr>
          <w:sz w:val="18"/>
          <w:szCs w:val="18"/>
          <w:lang w:val="en-IE"/>
        </w:rPr>
        <w:t xml:space="preserve">s </w:t>
      </w:r>
      <w:r w:rsidR="006E7CC6" w:rsidRPr="003A7CEC">
        <w:rPr>
          <w:i/>
          <w:iCs/>
          <w:sz w:val="18"/>
          <w:szCs w:val="18"/>
          <w:lang w:val="en-IE"/>
        </w:rPr>
        <w:t>APEDA and O'Connor</w:t>
      </w:r>
      <w:r w:rsidR="006E7CC6" w:rsidRPr="003A7CEC">
        <w:rPr>
          <w:sz w:val="18"/>
          <w:szCs w:val="18"/>
          <w:lang w:val="en-IE"/>
        </w:rPr>
        <w:t xml:space="preserve"> v </w:t>
      </w:r>
      <w:r w:rsidR="006E7CC6" w:rsidRPr="003A7CEC">
        <w:rPr>
          <w:i/>
          <w:iCs/>
          <w:sz w:val="18"/>
          <w:szCs w:val="18"/>
          <w:lang w:val="en-IE"/>
        </w:rPr>
        <w:t>Commission</w:t>
      </w:r>
      <w:r w:rsidR="006E7CC6">
        <w:rPr>
          <w:sz w:val="18"/>
          <w:szCs w:val="18"/>
          <w:lang w:val="en-IE"/>
        </w:rPr>
        <w:t xml:space="preserve">, </w:t>
      </w:r>
      <w:r w:rsidR="006E7CC6" w:rsidRPr="003A7CEC">
        <w:rPr>
          <w:sz w:val="18"/>
          <w:szCs w:val="18"/>
          <w:lang w:val="en-IE"/>
        </w:rPr>
        <w:t>T-70/25</w:t>
      </w:r>
      <w:r w:rsidR="006E7CC6">
        <w:rPr>
          <w:sz w:val="18"/>
          <w:szCs w:val="18"/>
        </w:rPr>
        <w:t xml:space="preserve">, </w:t>
      </w:r>
      <w:r w:rsidR="006E7CC6" w:rsidRPr="0041312C">
        <w:rPr>
          <w:i/>
          <w:sz w:val="18"/>
          <w:szCs w:val="18"/>
          <w:lang w:val="en-IE"/>
        </w:rPr>
        <w:t>op.cit</w:t>
      </w:r>
      <w:r w:rsidR="006E7CC6" w:rsidRPr="0041312C">
        <w:rPr>
          <w:sz w:val="18"/>
          <w:szCs w:val="18"/>
          <w:lang w:val="en-IE"/>
        </w:rPr>
        <w:t>.</w:t>
      </w:r>
      <w:r w:rsidR="006E7CC6">
        <w:rPr>
          <w:sz w:val="18"/>
          <w:szCs w:val="18"/>
          <w:lang w:val="en-IE"/>
        </w:rPr>
        <w:t>;</w:t>
      </w:r>
      <w:r w:rsidR="005B58E5">
        <w:rPr>
          <w:sz w:val="18"/>
          <w:szCs w:val="18"/>
          <w:lang w:val="en-IE"/>
        </w:rPr>
        <w:t xml:space="preserve"> </w:t>
      </w:r>
      <w:r w:rsidR="006E7CC6" w:rsidRPr="003A7CEC">
        <w:rPr>
          <w:i/>
          <w:iCs/>
          <w:sz w:val="18"/>
          <w:szCs w:val="18"/>
          <w:lang w:val="en-IE"/>
        </w:rPr>
        <w:t>Rizza</w:t>
      </w:r>
      <w:r w:rsidR="006E7CC6" w:rsidRPr="003A7CEC">
        <w:rPr>
          <w:sz w:val="18"/>
          <w:szCs w:val="18"/>
          <w:lang w:val="en-IE"/>
        </w:rPr>
        <w:t xml:space="preserve"> v </w:t>
      </w:r>
      <w:r w:rsidR="006E7CC6" w:rsidRPr="003A7CEC">
        <w:rPr>
          <w:i/>
          <w:iCs/>
          <w:sz w:val="18"/>
          <w:szCs w:val="18"/>
          <w:lang w:val="en-IE"/>
        </w:rPr>
        <w:t>Commission</w:t>
      </w:r>
      <w:r w:rsidR="006E7CC6">
        <w:rPr>
          <w:sz w:val="18"/>
          <w:szCs w:val="18"/>
          <w:lang w:val="en-IE"/>
        </w:rPr>
        <w:t xml:space="preserve">, </w:t>
      </w:r>
      <w:r w:rsidR="006E7CC6" w:rsidRPr="003A7CEC">
        <w:rPr>
          <w:sz w:val="18"/>
          <w:szCs w:val="18"/>
          <w:lang w:val="en-IE"/>
        </w:rPr>
        <w:t>T-118/25</w:t>
      </w:r>
      <w:r w:rsidR="006E7CC6" w:rsidRPr="0041312C">
        <w:rPr>
          <w:sz w:val="18"/>
          <w:szCs w:val="18"/>
          <w:lang w:val="en-IE"/>
        </w:rPr>
        <w:t xml:space="preserve">, </w:t>
      </w:r>
      <w:r w:rsidR="006E7CC6" w:rsidRPr="0041312C">
        <w:rPr>
          <w:i/>
          <w:sz w:val="18"/>
          <w:szCs w:val="18"/>
          <w:lang w:val="en-IE"/>
        </w:rPr>
        <w:t>op.cit</w:t>
      </w:r>
      <w:r w:rsidR="006E7CC6" w:rsidRPr="0041312C">
        <w:rPr>
          <w:sz w:val="18"/>
          <w:szCs w:val="18"/>
          <w:lang w:val="en-IE"/>
        </w:rPr>
        <w:t>.</w:t>
      </w:r>
      <w:r w:rsidR="006E7CC6">
        <w:rPr>
          <w:sz w:val="18"/>
          <w:szCs w:val="18"/>
          <w:lang w:val="en-IE"/>
        </w:rPr>
        <w:t xml:space="preserve">; </w:t>
      </w:r>
      <w:r w:rsidR="006E7CC6" w:rsidRPr="00901B23">
        <w:rPr>
          <w:i/>
          <w:iCs/>
          <w:sz w:val="18"/>
          <w:szCs w:val="18"/>
          <w:lang w:val="en-IE"/>
        </w:rPr>
        <w:t>Onescu</w:t>
      </w:r>
      <w:r w:rsidR="006E7CC6" w:rsidRPr="00901B23">
        <w:rPr>
          <w:sz w:val="18"/>
          <w:szCs w:val="18"/>
          <w:lang w:val="en-IE"/>
        </w:rPr>
        <w:t xml:space="preserve"> v </w:t>
      </w:r>
      <w:r w:rsidR="006E7CC6" w:rsidRPr="00901B23">
        <w:rPr>
          <w:i/>
          <w:iCs/>
          <w:sz w:val="18"/>
          <w:szCs w:val="18"/>
          <w:lang w:val="en-IE"/>
        </w:rPr>
        <w:t>OLAF</w:t>
      </w:r>
      <w:r w:rsidR="006E7CC6">
        <w:rPr>
          <w:sz w:val="18"/>
          <w:szCs w:val="18"/>
          <w:lang w:val="en-IE"/>
        </w:rPr>
        <w:t xml:space="preserve">, </w:t>
      </w:r>
      <w:r w:rsidR="006E7CC6" w:rsidRPr="00901B23">
        <w:rPr>
          <w:sz w:val="18"/>
          <w:szCs w:val="18"/>
          <w:lang w:val="en-IE"/>
        </w:rPr>
        <w:t>T-299/25</w:t>
      </w:r>
      <w:r w:rsidR="006E7CC6">
        <w:rPr>
          <w:sz w:val="18"/>
          <w:szCs w:val="18"/>
          <w:lang w:val="en-IE"/>
        </w:rPr>
        <w:t xml:space="preserve">, </w:t>
      </w:r>
      <w:r w:rsidR="006E7CC6" w:rsidRPr="0041312C">
        <w:rPr>
          <w:i/>
          <w:sz w:val="18"/>
          <w:szCs w:val="18"/>
          <w:lang w:val="en-IE"/>
        </w:rPr>
        <w:t>op.cit</w:t>
      </w:r>
      <w:r w:rsidR="006E7CC6" w:rsidRPr="0041312C">
        <w:rPr>
          <w:sz w:val="18"/>
          <w:szCs w:val="18"/>
          <w:lang w:val="en-IE"/>
        </w:rPr>
        <w:t>.</w:t>
      </w:r>
    </w:p>
  </w:footnote>
  <w:footnote w:id="42">
    <w:p w14:paraId="4F1C60E3" w14:textId="7A071FCE" w:rsidR="009B2E80" w:rsidRPr="006E7CC6" w:rsidRDefault="009B2E80" w:rsidP="004F2FDA">
      <w:pPr>
        <w:pStyle w:val="FootnoteText"/>
        <w:ind w:left="284" w:hanging="284"/>
        <w:rPr>
          <w:sz w:val="18"/>
          <w:szCs w:val="18"/>
          <w:lang w:val="en-IE"/>
        </w:rPr>
      </w:pPr>
      <w:r w:rsidRPr="001B59F8">
        <w:rPr>
          <w:rStyle w:val="FootnoteReference"/>
          <w:sz w:val="18"/>
          <w:szCs w:val="18"/>
          <w:lang w:val="en-IE"/>
        </w:rPr>
        <w:footnoteRef/>
      </w:r>
      <w:r w:rsidR="004F2FDA">
        <w:rPr>
          <w:sz w:val="18"/>
          <w:szCs w:val="18"/>
          <w:lang w:val="en-IE"/>
        </w:rPr>
        <w:tab/>
      </w:r>
      <w:r w:rsidRPr="006E7CC6">
        <w:rPr>
          <w:sz w:val="18"/>
          <w:szCs w:val="18"/>
          <w:lang w:val="en-IE"/>
        </w:rPr>
        <w:t>Case</w:t>
      </w:r>
      <w:r w:rsidR="006E7CC6" w:rsidRPr="006E7CC6">
        <w:rPr>
          <w:sz w:val="18"/>
          <w:szCs w:val="18"/>
          <w:lang w:val="en-IE"/>
        </w:rPr>
        <w:t xml:space="preserve"> </w:t>
      </w:r>
      <w:r w:rsidR="006E7CC6" w:rsidRPr="006E7CC6">
        <w:rPr>
          <w:i/>
          <w:iCs/>
          <w:sz w:val="18"/>
          <w:szCs w:val="18"/>
          <w:lang w:val="en-IE"/>
        </w:rPr>
        <w:t>Molitorisová</w:t>
      </w:r>
      <w:r w:rsidR="006E7CC6" w:rsidRPr="006E7CC6">
        <w:rPr>
          <w:sz w:val="18"/>
          <w:szCs w:val="18"/>
          <w:lang w:val="en-IE"/>
        </w:rPr>
        <w:t xml:space="preserve"> v </w:t>
      </w:r>
      <w:r w:rsidR="006E7CC6" w:rsidRPr="006E7CC6">
        <w:rPr>
          <w:i/>
          <w:iCs/>
          <w:sz w:val="18"/>
          <w:szCs w:val="18"/>
          <w:lang w:val="en-IE"/>
        </w:rPr>
        <w:t>Commission</w:t>
      </w:r>
      <w:r w:rsidR="006E7CC6" w:rsidRPr="006E7CC6">
        <w:rPr>
          <w:sz w:val="18"/>
          <w:szCs w:val="18"/>
          <w:lang w:val="en-IE"/>
        </w:rPr>
        <w:t>, C-396/25 P</w:t>
      </w:r>
      <w:r w:rsidR="00FA0B48" w:rsidRPr="006E7CC6">
        <w:rPr>
          <w:sz w:val="18"/>
          <w:szCs w:val="18"/>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40041" w14:textId="77777777" w:rsidR="00167B6C" w:rsidRPr="00167B6C" w:rsidRDefault="00167B6C" w:rsidP="00167B6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94D01" w14:textId="77777777" w:rsidR="00167B6C" w:rsidRPr="00167B6C" w:rsidRDefault="00167B6C" w:rsidP="00167B6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6DAD8" w14:textId="77777777" w:rsidR="00167B6C" w:rsidRPr="00167B6C" w:rsidRDefault="00167B6C" w:rsidP="00167B6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EE115" w14:textId="77777777" w:rsidR="008B0271" w:rsidRDefault="008B02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85DB8" w14:textId="77777777" w:rsidR="008B0271" w:rsidRDefault="008B02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D2DBA" w14:textId="77777777" w:rsidR="008B0271" w:rsidRDefault="008B02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679B2"/>
    <w:multiLevelType w:val="hybridMultilevel"/>
    <w:tmpl w:val="CC3E0390"/>
    <w:lvl w:ilvl="0" w:tplc="819A67D0">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3339429C"/>
    <w:multiLevelType w:val="hybridMultilevel"/>
    <w:tmpl w:val="33163204"/>
    <w:lvl w:ilvl="0" w:tplc="819A67D0">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5C26F71"/>
    <w:multiLevelType w:val="multilevel"/>
    <w:tmpl w:val="DAFEFAF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2"/>
    <w:lvlOverride w:ilvl="0">
      <w:lvl w:ilvl="0">
        <w:start w:val="1"/>
        <w:numFmt w:val="decimal"/>
        <w:lvlRestart w:val="0"/>
        <w:pStyle w:val="Heading1"/>
        <w:lvlText w:val="%1."/>
        <w:lvlJc w:val="left"/>
        <w:pPr>
          <w:tabs>
            <w:tab w:val="num" w:pos="850"/>
          </w:tabs>
          <w:ind w:left="850" w:hanging="850"/>
        </w:pPr>
        <w:rPr>
          <w:rFonts w:hint="default"/>
        </w:rPr>
      </w:lvl>
    </w:lvlOverride>
    <w:lvlOverride w:ilvl="1">
      <w:lvl w:ilvl="1">
        <w:start w:val="1"/>
        <w:numFmt w:val="decimal"/>
        <w:pStyle w:val="Heading2"/>
        <w:lvlText w:val="%1.%2."/>
        <w:lvlJc w:val="left"/>
        <w:pPr>
          <w:tabs>
            <w:tab w:val="num" w:pos="850"/>
          </w:tabs>
          <w:ind w:left="850" w:hanging="623"/>
        </w:pPr>
        <w:rPr>
          <w:rFonts w:hint="default"/>
          <w:b w:val="0"/>
          <w:color w:val="auto"/>
        </w:rPr>
      </w:lvl>
    </w:lvlOverride>
    <w:lvlOverride w:ilvl="2">
      <w:lvl w:ilvl="2">
        <w:start w:val="1"/>
        <w:numFmt w:val="decimal"/>
        <w:pStyle w:val="Heading3"/>
        <w:lvlText w:val="%1.%2.%3."/>
        <w:lvlJc w:val="left"/>
        <w:pPr>
          <w:tabs>
            <w:tab w:val="num" w:pos="850"/>
          </w:tabs>
          <w:ind w:left="850" w:hanging="850"/>
        </w:pPr>
        <w:rPr>
          <w:rFonts w:hint="default"/>
        </w:rPr>
      </w:lvl>
    </w:lvlOverride>
    <w:lvlOverride w:ilvl="3">
      <w:lvl w:ilvl="3">
        <w:start w:val="1"/>
        <w:numFmt w:val="decimal"/>
        <w:pStyle w:val="Heading4"/>
        <w:lvlText w:val="%1.%2.%3.%4."/>
        <w:lvlJc w:val="left"/>
        <w:pPr>
          <w:tabs>
            <w:tab w:val="num" w:pos="850"/>
          </w:tabs>
          <w:ind w:left="850" w:hanging="850"/>
        </w:pPr>
        <w:rPr>
          <w:rFonts w:hint="default"/>
        </w:rPr>
      </w:lvl>
    </w:lvlOverride>
    <w:lvlOverride w:ilvl="4">
      <w:lvl w:ilvl="4">
        <w:start w:val="1"/>
        <w:numFmt w:val="lowerLetter"/>
        <w:lvlText w:val="(%5)"/>
        <w:lvlJc w:val="left"/>
        <w:pPr>
          <w:tabs>
            <w:tab w:val="num" w:pos="1800"/>
          </w:tabs>
          <w:ind w:left="1800" w:hanging="360"/>
        </w:pPr>
        <w:rPr>
          <w:rFonts w:hint="default"/>
        </w:rPr>
      </w:lvl>
    </w:lvlOverride>
    <w:lvlOverride w:ilvl="5">
      <w:lvl w:ilvl="5">
        <w:start w:val="1"/>
        <w:numFmt w:val="lowerRoman"/>
        <w:lvlText w:val="(%6)"/>
        <w:lvlJc w:val="left"/>
        <w:pPr>
          <w:tabs>
            <w:tab w:val="num" w:pos="2160"/>
          </w:tabs>
          <w:ind w:left="2160" w:hanging="360"/>
        </w:pPr>
        <w:rPr>
          <w:rFonts w:hint="default"/>
        </w:rPr>
      </w:lvl>
    </w:lvlOverride>
    <w:lvlOverride w:ilvl="6">
      <w:lvl w:ilvl="6">
        <w:start w:val="1"/>
        <w:numFmt w:val="decimal"/>
        <w:lvlText w:val="%7."/>
        <w:lvlJc w:val="left"/>
        <w:pPr>
          <w:tabs>
            <w:tab w:val="num" w:pos="2520"/>
          </w:tabs>
          <w:ind w:left="2520" w:hanging="360"/>
        </w:pPr>
        <w:rPr>
          <w:rFonts w:hint="default"/>
        </w:rPr>
      </w:lvl>
    </w:lvlOverride>
    <w:lvlOverride w:ilvl="7">
      <w:lvl w:ilvl="7">
        <w:start w:val="1"/>
        <w:numFmt w:val="lowerLetter"/>
        <w:lvlText w:val="%8."/>
        <w:lvlJc w:val="left"/>
        <w:pPr>
          <w:tabs>
            <w:tab w:val="num" w:pos="2880"/>
          </w:tabs>
          <w:ind w:left="2880" w:hanging="360"/>
        </w:pPr>
        <w:rPr>
          <w:rFonts w:hint="default"/>
        </w:rPr>
      </w:lvl>
    </w:lvlOverride>
    <w:lvlOverride w:ilvl="8">
      <w:lvl w:ilvl="8">
        <w:start w:val="1"/>
        <w:numFmt w:val="lowerRoman"/>
        <w:lvlText w:val="%9."/>
        <w:lvlJc w:val="left"/>
        <w:pPr>
          <w:tabs>
            <w:tab w:val="num" w:pos="3240"/>
          </w:tabs>
          <w:ind w:left="3240" w:hanging="360"/>
        </w:pPr>
        <w:rPr>
          <w:rFonts w:hint="default"/>
        </w:rPr>
      </w:lvl>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F686BBB7-4C7B-4C3E-AA53-D219E978A901"/>
    <w:docVar w:name="LW_COVERPAGE_TYPE" w:val="1"/>
    <w:docVar w:name="LW_CROSSREFERENCE" w:val="&lt;UNUSED&gt;"/>
    <w:docVar w:name="LW_DATE.ADOPT.CP_ISODATE" w:val="&lt;EMPTY&gt;"/>
    <w:docVar w:name="LW_DocType" w:val="NORMAL"/>
    <w:docVar w:name="LW_EMISSION" w:val="11.6.2026"/>
    <w:docVar w:name="LW_EMISSION_ISODATE" w:val="2026-06-11"/>
    <w:docVar w:name="LW_EMISSION_LOCATION" w:val="BRX"/>
    <w:docVar w:name="LW_EMISSION_PREFIX" w:val="Brussels, "/>
    <w:docVar w:name="LW_EMISSION_SUFFIX" w:val=" "/>
    <w:docVar w:name="LW_ID_DOCTYPE_NONLW" w:val="CP-003"/>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7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application in 2025 of Regulation (EC) No 1049/2001 regarding public access to European Parliament, Council and Commission documents"/>
    <w:docVar w:name="LW_TYPE.DOC.CP" w:val="REPORT FROM THE COMMISSION"/>
    <w:docVar w:name="LW_TYPEACTEPRINCIPAL.CP" w:val="&lt;UNUSED&gt;"/>
    <w:docVar w:name="LwApiVersions" w:val="LW4CoDe 1.24.5.0; LW 9.2, Build 20251112"/>
  </w:docVars>
  <w:rsids>
    <w:rsidRoot w:val="00B9074F"/>
    <w:rsid w:val="00002FEC"/>
    <w:rsid w:val="00004AAB"/>
    <w:rsid w:val="00011693"/>
    <w:rsid w:val="00011E1A"/>
    <w:rsid w:val="00017D9C"/>
    <w:rsid w:val="000215A2"/>
    <w:rsid w:val="00021885"/>
    <w:rsid w:val="00021922"/>
    <w:rsid w:val="00026824"/>
    <w:rsid w:val="0003769D"/>
    <w:rsid w:val="00040E12"/>
    <w:rsid w:val="00042707"/>
    <w:rsid w:val="00045106"/>
    <w:rsid w:val="000508A9"/>
    <w:rsid w:val="00056053"/>
    <w:rsid w:val="00056831"/>
    <w:rsid w:val="0005774F"/>
    <w:rsid w:val="00063527"/>
    <w:rsid w:val="00064C56"/>
    <w:rsid w:val="00065832"/>
    <w:rsid w:val="0006611F"/>
    <w:rsid w:val="000830EA"/>
    <w:rsid w:val="00083819"/>
    <w:rsid w:val="00084E37"/>
    <w:rsid w:val="000872D4"/>
    <w:rsid w:val="00087727"/>
    <w:rsid w:val="00091E91"/>
    <w:rsid w:val="000937A8"/>
    <w:rsid w:val="0009420E"/>
    <w:rsid w:val="00096BCE"/>
    <w:rsid w:val="000A2274"/>
    <w:rsid w:val="000A44FE"/>
    <w:rsid w:val="000A51BC"/>
    <w:rsid w:val="000A54E0"/>
    <w:rsid w:val="000A7102"/>
    <w:rsid w:val="000B0D67"/>
    <w:rsid w:val="000B20B8"/>
    <w:rsid w:val="000B2601"/>
    <w:rsid w:val="000B3482"/>
    <w:rsid w:val="000B6111"/>
    <w:rsid w:val="000C503F"/>
    <w:rsid w:val="000C5B2A"/>
    <w:rsid w:val="000C7680"/>
    <w:rsid w:val="000D7F0F"/>
    <w:rsid w:val="000E05B6"/>
    <w:rsid w:val="000E1A0F"/>
    <w:rsid w:val="000E305A"/>
    <w:rsid w:val="000E3696"/>
    <w:rsid w:val="000E5C44"/>
    <w:rsid w:val="000E7B5B"/>
    <w:rsid w:val="000F03A4"/>
    <w:rsid w:val="001046F8"/>
    <w:rsid w:val="001059C7"/>
    <w:rsid w:val="00106938"/>
    <w:rsid w:val="00107AE2"/>
    <w:rsid w:val="001173D9"/>
    <w:rsid w:val="001175A4"/>
    <w:rsid w:val="00123AE3"/>
    <w:rsid w:val="00127596"/>
    <w:rsid w:val="001300B2"/>
    <w:rsid w:val="0013572C"/>
    <w:rsid w:val="00137F92"/>
    <w:rsid w:val="00140EE0"/>
    <w:rsid w:val="00142CBD"/>
    <w:rsid w:val="00151933"/>
    <w:rsid w:val="0015478D"/>
    <w:rsid w:val="00154805"/>
    <w:rsid w:val="0015678E"/>
    <w:rsid w:val="00157984"/>
    <w:rsid w:val="00157A96"/>
    <w:rsid w:val="00161CCA"/>
    <w:rsid w:val="00162A37"/>
    <w:rsid w:val="00166632"/>
    <w:rsid w:val="00167523"/>
    <w:rsid w:val="00167B6C"/>
    <w:rsid w:val="00171DB6"/>
    <w:rsid w:val="00173567"/>
    <w:rsid w:val="00175379"/>
    <w:rsid w:val="00176481"/>
    <w:rsid w:val="00182688"/>
    <w:rsid w:val="00182777"/>
    <w:rsid w:val="0018307F"/>
    <w:rsid w:val="00184461"/>
    <w:rsid w:val="00186E09"/>
    <w:rsid w:val="001919A6"/>
    <w:rsid w:val="001A112D"/>
    <w:rsid w:val="001A6595"/>
    <w:rsid w:val="001B0CE0"/>
    <w:rsid w:val="001B1DF5"/>
    <w:rsid w:val="001B20D5"/>
    <w:rsid w:val="001B3B01"/>
    <w:rsid w:val="001B59F8"/>
    <w:rsid w:val="001C2572"/>
    <w:rsid w:val="001C4163"/>
    <w:rsid w:val="001C4323"/>
    <w:rsid w:val="001C654F"/>
    <w:rsid w:val="001C67B6"/>
    <w:rsid w:val="001C7A10"/>
    <w:rsid w:val="001D61D1"/>
    <w:rsid w:val="001E0FAD"/>
    <w:rsid w:val="001E5EFE"/>
    <w:rsid w:val="001F211B"/>
    <w:rsid w:val="001F5C11"/>
    <w:rsid w:val="001F630D"/>
    <w:rsid w:val="001F681A"/>
    <w:rsid w:val="001F71EA"/>
    <w:rsid w:val="001F775E"/>
    <w:rsid w:val="00201164"/>
    <w:rsid w:val="00201C72"/>
    <w:rsid w:val="00207D61"/>
    <w:rsid w:val="00211720"/>
    <w:rsid w:val="00214C23"/>
    <w:rsid w:val="002163C2"/>
    <w:rsid w:val="00216945"/>
    <w:rsid w:val="002202DA"/>
    <w:rsid w:val="00220388"/>
    <w:rsid w:val="00226438"/>
    <w:rsid w:val="0022784F"/>
    <w:rsid w:val="00227E94"/>
    <w:rsid w:val="00231F3D"/>
    <w:rsid w:val="00232F96"/>
    <w:rsid w:val="00235EA7"/>
    <w:rsid w:val="00236422"/>
    <w:rsid w:val="0024241F"/>
    <w:rsid w:val="00244C29"/>
    <w:rsid w:val="0025329E"/>
    <w:rsid w:val="00254044"/>
    <w:rsid w:val="00254DC1"/>
    <w:rsid w:val="00262104"/>
    <w:rsid w:val="00270012"/>
    <w:rsid w:val="002701B7"/>
    <w:rsid w:val="002723F6"/>
    <w:rsid w:val="00280C1C"/>
    <w:rsid w:val="00283498"/>
    <w:rsid w:val="0028725F"/>
    <w:rsid w:val="00295AB6"/>
    <w:rsid w:val="00296C56"/>
    <w:rsid w:val="002A0005"/>
    <w:rsid w:val="002A061A"/>
    <w:rsid w:val="002A4FC6"/>
    <w:rsid w:val="002B39A5"/>
    <w:rsid w:val="002B60A5"/>
    <w:rsid w:val="002C1BCB"/>
    <w:rsid w:val="002C20C6"/>
    <w:rsid w:val="002C5C35"/>
    <w:rsid w:val="002D4CD9"/>
    <w:rsid w:val="002D5AD8"/>
    <w:rsid w:val="002D748E"/>
    <w:rsid w:val="002E0900"/>
    <w:rsid w:val="002F0A8B"/>
    <w:rsid w:val="002F49CE"/>
    <w:rsid w:val="002F65D7"/>
    <w:rsid w:val="002F78B9"/>
    <w:rsid w:val="00302ADB"/>
    <w:rsid w:val="00303027"/>
    <w:rsid w:val="00303559"/>
    <w:rsid w:val="003049A9"/>
    <w:rsid w:val="00306AAB"/>
    <w:rsid w:val="0031689E"/>
    <w:rsid w:val="00316CBC"/>
    <w:rsid w:val="00317EF9"/>
    <w:rsid w:val="003224BE"/>
    <w:rsid w:val="00324B5E"/>
    <w:rsid w:val="003257AC"/>
    <w:rsid w:val="00327FCA"/>
    <w:rsid w:val="00330283"/>
    <w:rsid w:val="00332567"/>
    <w:rsid w:val="00336852"/>
    <w:rsid w:val="00340974"/>
    <w:rsid w:val="00345D7B"/>
    <w:rsid w:val="00350093"/>
    <w:rsid w:val="00350EC4"/>
    <w:rsid w:val="00352DDC"/>
    <w:rsid w:val="0035691F"/>
    <w:rsid w:val="00356FAB"/>
    <w:rsid w:val="0036758A"/>
    <w:rsid w:val="00373E7F"/>
    <w:rsid w:val="00374C18"/>
    <w:rsid w:val="00376E46"/>
    <w:rsid w:val="0038342D"/>
    <w:rsid w:val="00385513"/>
    <w:rsid w:val="00387958"/>
    <w:rsid w:val="0039203C"/>
    <w:rsid w:val="00392DFD"/>
    <w:rsid w:val="00393733"/>
    <w:rsid w:val="00395B02"/>
    <w:rsid w:val="003A2545"/>
    <w:rsid w:val="003A3949"/>
    <w:rsid w:val="003A49B8"/>
    <w:rsid w:val="003A7CEC"/>
    <w:rsid w:val="003B5A9B"/>
    <w:rsid w:val="003B5BB4"/>
    <w:rsid w:val="003B5DD0"/>
    <w:rsid w:val="003B7D25"/>
    <w:rsid w:val="003C1AB6"/>
    <w:rsid w:val="003C4CA0"/>
    <w:rsid w:val="003D315B"/>
    <w:rsid w:val="003D5BBC"/>
    <w:rsid w:val="003E35DD"/>
    <w:rsid w:val="003E6FAC"/>
    <w:rsid w:val="003E7895"/>
    <w:rsid w:val="003F1431"/>
    <w:rsid w:val="003F16BA"/>
    <w:rsid w:val="003F62A3"/>
    <w:rsid w:val="004013D8"/>
    <w:rsid w:val="004015AE"/>
    <w:rsid w:val="00401976"/>
    <w:rsid w:val="00401FA2"/>
    <w:rsid w:val="00402EF7"/>
    <w:rsid w:val="00405B92"/>
    <w:rsid w:val="0041039E"/>
    <w:rsid w:val="0041312C"/>
    <w:rsid w:val="00414020"/>
    <w:rsid w:val="00422515"/>
    <w:rsid w:val="004237FF"/>
    <w:rsid w:val="004260B3"/>
    <w:rsid w:val="004261FE"/>
    <w:rsid w:val="00430352"/>
    <w:rsid w:val="0043620A"/>
    <w:rsid w:val="00440636"/>
    <w:rsid w:val="00441D8E"/>
    <w:rsid w:val="00441ECA"/>
    <w:rsid w:val="00447FC6"/>
    <w:rsid w:val="0045168C"/>
    <w:rsid w:val="0045327F"/>
    <w:rsid w:val="00455B32"/>
    <w:rsid w:val="00455BF8"/>
    <w:rsid w:val="004621E3"/>
    <w:rsid w:val="00462345"/>
    <w:rsid w:val="00462D84"/>
    <w:rsid w:val="004663BF"/>
    <w:rsid w:val="00484E8A"/>
    <w:rsid w:val="00487BF7"/>
    <w:rsid w:val="00491DA6"/>
    <w:rsid w:val="004A12F7"/>
    <w:rsid w:val="004A532F"/>
    <w:rsid w:val="004B75CA"/>
    <w:rsid w:val="004C1792"/>
    <w:rsid w:val="004C3F67"/>
    <w:rsid w:val="004C7874"/>
    <w:rsid w:val="004D615B"/>
    <w:rsid w:val="004E0C1E"/>
    <w:rsid w:val="004E23C5"/>
    <w:rsid w:val="004E512F"/>
    <w:rsid w:val="004F19A0"/>
    <w:rsid w:val="004F2FDA"/>
    <w:rsid w:val="004F3934"/>
    <w:rsid w:val="004F532F"/>
    <w:rsid w:val="004F561C"/>
    <w:rsid w:val="004F65C5"/>
    <w:rsid w:val="005003CB"/>
    <w:rsid w:val="00503D35"/>
    <w:rsid w:val="005129DE"/>
    <w:rsid w:val="005136D7"/>
    <w:rsid w:val="0051494B"/>
    <w:rsid w:val="0051655E"/>
    <w:rsid w:val="0052200A"/>
    <w:rsid w:val="00525991"/>
    <w:rsid w:val="0052699D"/>
    <w:rsid w:val="005300CF"/>
    <w:rsid w:val="00535349"/>
    <w:rsid w:val="0053790D"/>
    <w:rsid w:val="005409C0"/>
    <w:rsid w:val="005434B6"/>
    <w:rsid w:val="0054559D"/>
    <w:rsid w:val="005500BC"/>
    <w:rsid w:val="00553A0A"/>
    <w:rsid w:val="00553C96"/>
    <w:rsid w:val="00560494"/>
    <w:rsid w:val="00572C92"/>
    <w:rsid w:val="00580FDD"/>
    <w:rsid w:val="005838EC"/>
    <w:rsid w:val="0059128F"/>
    <w:rsid w:val="00591EAB"/>
    <w:rsid w:val="00592C57"/>
    <w:rsid w:val="00593A63"/>
    <w:rsid w:val="00594326"/>
    <w:rsid w:val="005A4686"/>
    <w:rsid w:val="005A4D3E"/>
    <w:rsid w:val="005A4F96"/>
    <w:rsid w:val="005A5478"/>
    <w:rsid w:val="005A586A"/>
    <w:rsid w:val="005B58E5"/>
    <w:rsid w:val="005B74DC"/>
    <w:rsid w:val="005C1977"/>
    <w:rsid w:val="005D0F15"/>
    <w:rsid w:val="005D2FA0"/>
    <w:rsid w:val="005D6658"/>
    <w:rsid w:val="005E2753"/>
    <w:rsid w:val="005E35BF"/>
    <w:rsid w:val="005E767C"/>
    <w:rsid w:val="005F0214"/>
    <w:rsid w:val="005F445C"/>
    <w:rsid w:val="00602B64"/>
    <w:rsid w:val="006049D3"/>
    <w:rsid w:val="00605E23"/>
    <w:rsid w:val="00606BF1"/>
    <w:rsid w:val="00610819"/>
    <w:rsid w:val="006145B5"/>
    <w:rsid w:val="006156DA"/>
    <w:rsid w:val="006161D3"/>
    <w:rsid w:val="006176E4"/>
    <w:rsid w:val="00623C70"/>
    <w:rsid w:val="00626934"/>
    <w:rsid w:val="00627A63"/>
    <w:rsid w:val="00627BC0"/>
    <w:rsid w:val="006313F9"/>
    <w:rsid w:val="006363EB"/>
    <w:rsid w:val="00636E0B"/>
    <w:rsid w:val="00637BC3"/>
    <w:rsid w:val="00643B8B"/>
    <w:rsid w:val="006456F2"/>
    <w:rsid w:val="0065196C"/>
    <w:rsid w:val="00651B11"/>
    <w:rsid w:val="006548B0"/>
    <w:rsid w:val="006561AD"/>
    <w:rsid w:val="006664DA"/>
    <w:rsid w:val="00675A68"/>
    <w:rsid w:val="006761C5"/>
    <w:rsid w:val="00690566"/>
    <w:rsid w:val="00690E04"/>
    <w:rsid w:val="006977C8"/>
    <w:rsid w:val="00697B0A"/>
    <w:rsid w:val="006A16C1"/>
    <w:rsid w:val="006A539B"/>
    <w:rsid w:val="006A5B39"/>
    <w:rsid w:val="006A6810"/>
    <w:rsid w:val="006A7758"/>
    <w:rsid w:val="006B00D1"/>
    <w:rsid w:val="006B0D04"/>
    <w:rsid w:val="006B2FCD"/>
    <w:rsid w:val="006B56F2"/>
    <w:rsid w:val="006C1D6D"/>
    <w:rsid w:val="006C7514"/>
    <w:rsid w:val="006D46CC"/>
    <w:rsid w:val="006E17BC"/>
    <w:rsid w:val="006E6835"/>
    <w:rsid w:val="006E7CC6"/>
    <w:rsid w:val="006F25AC"/>
    <w:rsid w:val="006F44C8"/>
    <w:rsid w:val="006F4621"/>
    <w:rsid w:val="006F4DDF"/>
    <w:rsid w:val="006F56D2"/>
    <w:rsid w:val="00700D54"/>
    <w:rsid w:val="007025E7"/>
    <w:rsid w:val="00703297"/>
    <w:rsid w:val="00703F6A"/>
    <w:rsid w:val="007052C7"/>
    <w:rsid w:val="00707368"/>
    <w:rsid w:val="00713AE1"/>
    <w:rsid w:val="0072346F"/>
    <w:rsid w:val="00724DF7"/>
    <w:rsid w:val="00727AD9"/>
    <w:rsid w:val="00730357"/>
    <w:rsid w:val="00731B64"/>
    <w:rsid w:val="00734602"/>
    <w:rsid w:val="007350D6"/>
    <w:rsid w:val="0073682B"/>
    <w:rsid w:val="00737571"/>
    <w:rsid w:val="007414F1"/>
    <w:rsid w:val="00742A2A"/>
    <w:rsid w:val="00744A7F"/>
    <w:rsid w:val="00745A6D"/>
    <w:rsid w:val="00746C2C"/>
    <w:rsid w:val="00747D85"/>
    <w:rsid w:val="00750A05"/>
    <w:rsid w:val="007541A8"/>
    <w:rsid w:val="00754FC3"/>
    <w:rsid w:val="00755EB1"/>
    <w:rsid w:val="007560DF"/>
    <w:rsid w:val="00761FA9"/>
    <w:rsid w:val="0076370F"/>
    <w:rsid w:val="007670A6"/>
    <w:rsid w:val="007710A7"/>
    <w:rsid w:val="0077225B"/>
    <w:rsid w:val="00775621"/>
    <w:rsid w:val="00777179"/>
    <w:rsid w:val="00777FF5"/>
    <w:rsid w:val="00780D09"/>
    <w:rsid w:val="0078170E"/>
    <w:rsid w:val="00783BCA"/>
    <w:rsid w:val="00785125"/>
    <w:rsid w:val="0078789F"/>
    <w:rsid w:val="00792FF4"/>
    <w:rsid w:val="007938AE"/>
    <w:rsid w:val="00796F2E"/>
    <w:rsid w:val="007A1C9B"/>
    <w:rsid w:val="007A222C"/>
    <w:rsid w:val="007A622F"/>
    <w:rsid w:val="007A6CC1"/>
    <w:rsid w:val="007B4F25"/>
    <w:rsid w:val="007B7B28"/>
    <w:rsid w:val="007B7B92"/>
    <w:rsid w:val="007C3238"/>
    <w:rsid w:val="007D078B"/>
    <w:rsid w:val="007D32EF"/>
    <w:rsid w:val="007D36D3"/>
    <w:rsid w:val="007D60B6"/>
    <w:rsid w:val="007D66D7"/>
    <w:rsid w:val="007E425E"/>
    <w:rsid w:val="007F13C3"/>
    <w:rsid w:val="007F1D75"/>
    <w:rsid w:val="007F348C"/>
    <w:rsid w:val="007F42D2"/>
    <w:rsid w:val="007F5868"/>
    <w:rsid w:val="0080054E"/>
    <w:rsid w:val="00804A3E"/>
    <w:rsid w:val="00810310"/>
    <w:rsid w:val="00816CCB"/>
    <w:rsid w:val="00816DF4"/>
    <w:rsid w:val="00817E29"/>
    <w:rsid w:val="0082144C"/>
    <w:rsid w:val="00823153"/>
    <w:rsid w:val="00826446"/>
    <w:rsid w:val="00836450"/>
    <w:rsid w:val="00852F30"/>
    <w:rsid w:val="00856EA6"/>
    <w:rsid w:val="00857E34"/>
    <w:rsid w:val="0086142B"/>
    <w:rsid w:val="008627DC"/>
    <w:rsid w:val="008645FF"/>
    <w:rsid w:val="0087030B"/>
    <w:rsid w:val="008711AC"/>
    <w:rsid w:val="008773D8"/>
    <w:rsid w:val="008860E4"/>
    <w:rsid w:val="00887011"/>
    <w:rsid w:val="00893112"/>
    <w:rsid w:val="00896231"/>
    <w:rsid w:val="00896EC3"/>
    <w:rsid w:val="00897A53"/>
    <w:rsid w:val="008A2CB7"/>
    <w:rsid w:val="008A5A3E"/>
    <w:rsid w:val="008A6A35"/>
    <w:rsid w:val="008B0271"/>
    <w:rsid w:val="008B429D"/>
    <w:rsid w:val="008B4402"/>
    <w:rsid w:val="008B63E9"/>
    <w:rsid w:val="008D0DBC"/>
    <w:rsid w:val="008D1A24"/>
    <w:rsid w:val="008D60F1"/>
    <w:rsid w:val="008D6599"/>
    <w:rsid w:val="008E4BB5"/>
    <w:rsid w:val="00900D40"/>
    <w:rsid w:val="00901B23"/>
    <w:rsid w:val="00903996"/>
    <w:rsid w:val="0090420F"/>
    <w:rsid w:val="00905E8A"/>
    <w:rsid w:val="00907C27"/>
    <w:rsid w:val="009105A6"/>
    <w:rsid w:val="00912EF8"/>
    <w:rsid w:val="00916A34"/>
    <w:rsid w:val="0092184E"/>
    <w:rsid w:val="00921EEE"/>
    <w:rsid w:val="0092367B"/>
    <w:rsid w:val="009261A2"/>
    <w:rsid w:val="00926ACA"/>
    <w:rsid w:val="00931055"/>
    <w:rsid w:val="00936DA4"/>
    <w:rsid w:val="00937B37"/>
    <w:rsid w:val="00940144"/>
    <w:rsid w:val="00943EA4"/>
    <w:rsid w:val="00944E39"/>
    <w:rsid w:val="00952101"/>
    <w:rsid w:val="009543DF"/>
    <w:rsid w:val="009602BC"/>
    <w:rsid w:val="0096030C"/>
    <w:rsid w:val="00967270"/>
    <w:rsid w:val="00970FEC"/>
    <w:rsid w:val="0097416D"/>
    <w:rsid w:val="00977980"/>
    <w:rsid w:val="00980DC2"/>
    <w:rsid w:val="00983054"/>
    <w:rsid w:val="00983A12"/>
    <w:rsid w:val="00983C66"/>
    <w:rsid w:val="00984143"/>
    <w:rsid w:val="00984485"/>
    <w:rsid w:val="009912B3"/>
    <w:rsid w:val="00996CEA"/>
    <w:rsid w:val="009A2C17"/>
    <w:rsid w:val="009B2E80"/>
    <w:rsid w:val="009B4FA4"/>
    <w:rsid w:val="009B4FB4"/>
    <w:rsid w:val="009D0174"/>
    <w:rsid w:val="009D0660"/>
    <w:rsid w:val="009D08B0"/>
    <w:rsid w:val="009D4176"/>
    <w:rsid w:val="009D69DC"/>
    <w:rsid w:val="009F0B8F"/>
    <w:rsid w:val="009F5051"/>
    <w:rsid w:val="00A013B6"/>
    <w:rsid w:val="00A017DC"/>
    <w:rsid w:val="00A03B93"/>
    <w:rsid w:val="00A0553F"/>
    <w:rsid w:val="00A070E6"/>
    <w:rsid w:val="00A11B66"/>
    <w:rsid w:val="00A16B64"/>
    <w:rsid w:val="00A22ABD"/>
    <w:rsid w:val="00A22F4D"/>
    <w:rsid w:val="00A3481D"/>
    <w:rsid w:val="00A43C5B"/>
    <w:rsid w:val="00A44732"/>
    <w:rsid w:val="00A478CA"/>
    <w:rsid w:val="00A54D66"/>
    <w:rsid w:val="00A56BB7"/>
    <w:rsid w:val="00A608C3"/>
    <w:rsid w:val="00A61F8A"/>
    <w:rsid w:val="00A64C71"/>
    <w:rsid w:val="00A705E7"/>
    <w:rsid w:val="00A72E56"/>
    <w:rsid w:val="00A753E8"/>
    <w:rsid w:val="00A80D77"/>
    <w:rsid w:val="00A840F6"/>
    <w:rsid w:val="00A96E15"/>
    <w:rsid w:val="00AA15CE"/>
    <w:rsid w:val="00AA17B1"/>
    <w:rsid w:val="00AA34F8"/>
    <w:rsid w:val="00AA5E76"/>
    <w:rsid w:val="00AB0514"/>
    <w:rsid w:val="00AB4A02"/>
    <w:rsid w:val="00AB5FEE"/>
    <w:rsid w:val="00AB7BE4"/>
    <w:rsid w:val="00AC0100"/>
    <w:rsid w:val="00AC06FA"/>
    <w:rsid w:val="00AC1DE1"/>
    <w:rsid w:val="00AC44FD"/>
    <w:rsid w:val="00AC6878"/>
    <w:rsid w:val="00AD014A"/>
    <w:rsid w:val="00AD03B1"/>
    <w:rsid w:val="00AD1B60"/>
    <w:rsid w:val="00AD5779"/>
    <w:rsid w:val="00AD76A6"/>
    <w:rsid w:val="00AE5408"/>
    <w:rsid w:val="00AF242E"/>
    <w:rsid w:val="00AF2874"/>
    <w:rsid w:val="00AF3291"/>
    <w:rsid w:val="00AF5067"/>
    <w:rsid w:val="00AF582D"/>
    <w:rsid w:val="00AF7A4C"/>
    <w:rsid w:val="00B07EEC"/>
    <w:rsid w:val="00B12EA2"/>
    <w:rsid w:val="00B145BF"/>
    <w:rsid w:val="00B156E7"/>
    <w:rsid w:val="00B167C0"/>
    <w:rsid w:val="00B20F2E"/>
    <w:rsid w:val="00B2144B"/>
    <w:rsid w:val="00B23ED8"/>
    <w:rsid w:val="00B24190"/>
    <w:rsid w:val="00B30E77"/>
    <w:rsid w:val="00B36593"/>
    <w:rsid w:val="00B40556"/>
    <w:rsid w:val="00B41886"/>
    <w:rsid w:val="00B52E6E"/>
    <w:rsid w:val="00B54BCB"/>
    <w:rsid w:val="00B60669"/>
    <w:rsid w:val="00B7024A"/>
    <w:rsid w:val="00B77364"/>
    <w:rsid w:val="00B82886"/>
    <w:rsid w:val="00B84BE6"/>
    <w:rsid w:val="00B85485"/>
    <w:rsid w:val="00B86DDA"/>
    <w:rsid w:val="00B9074F"/>
    <w:rsid w:val="00B91319"/>
    <w:rsid w:val="00B917E1"/>
    <w:rsid w:val="00B93935"/>
    <w:rsid w:val="00BA0D6E"/>
    <w:rsid w:val="00BA4D28"/>
    <w:rsid w:val="00BB0D71"/>
    <w:rsid w:val="00BB0F1F"/>
    <w:rsid w:val="00BB1807"/>
    <w:rsid w:val="00BB3A84"/>
    <w:rsid w:val="00BC433A"/>
    <w:rsid w:val="00BC6608"/>
    <w:rsid w:val="00BD1927"/>
    <w:rsid w:val="00BD2A03"/>
    <w:rsid w:val="00BD5701"/>
    <w:rsid w:val="00BD7B2B"/>
    <w:rsid w:val="00BE07C4"/>
    <w:rsid w:val="00BE11A1"/>
    <w:rsid w:val="00BE11BA"/>
    <w:rsid w:val="00BE6490"/>
    <w:rsid w:val="00BF0DF3"/>
    <w:rsid w:val="00BF5208"/>
    <w:rsid w:val="00C048E7"/>
    <w:rsid w:val="00C05976"/>
    <w:rsid w:val="00C06445"/>
    <w:rsid w:val="00C140AF"/>
    <w:rsid w:val="00C20513"/>
    <w:rsid w:val="00C2306F"/>
    <w:rsid w:val="00C25E04"/>
    <w:rsid w:val="00C303FC"/>
    <w:rsid w:val="00C32A5D"/>
    <w:rsid w:val="00C332B2"/>
    <w:rsid w:val="00C3487C"/>
    <w:rsid w:val="00C371F8"/>
    <w:rsid w:val="00C402B3"/>
    <w:rsid w:val="00C42906"/>
    <w:rsid w:val="00C43DBD"/>
    <w:rsid w:val="00C44C46"/>
    <w:rsid w:val="00C529DD"/>
    <w:rsid w:val="00C5606C"/>
    <w:rsid w:val="00C565D5"/>
    <w:rsid w:val="00C57178"/>
    <w:rsid w:val="00C57334"/>
    <w:rsid w:val="00C60E0B"/>
    <w:rsid w:val="00C61612"/>
    <w:rsid w:val="00C62C6E"/>
    <w:rsid w:val="00C64719"/>
    <w:rsid w:val="00C64F74"/>
    <w:rsid w:val="00C677AD"/>
    <w:rsid w:val="00C70546"/>
    <w:rsid w:val="00C727D2"/>
    <w:rsid w:val="00C739E5"/>
    <w:rsid w:val="00C75AA3"/>
    <w:rsid w:val="00C77626"/>
    <w:rsid w:val="00C81CC6"/>
    <w:rsid w:val="00C820D0"/>
    <w:rsid w:val="00C844EB"/>
    <w:rsid w:val="00C845B1"/>
    <w:rsid w:val="00C90595"/>
    <w:rsid w:val="00C91579"/>
    <w:rsid w:val="00C92B80"/>
    <w:rsid w:val="00C9557E"/>
    <w:rsid w:val="00C97EBA"/>
    <w:rsid w:val="00CA15E3"/>
    <w:rsid w:val="00CA2B33"/>
    <w:rsid w:val="00CC07BB"/>
    <w:rsid w:val="00CC7867"/>
    <w:rsid w:val="00CD0FA7"/>
    <w:rsid w:val="00CD2FF0"/>
    <w:rsid w:val="00CD68DB"/>
    <w:rsid w:val="00CD6F74"/>
    <w:rsid w:val="00CE22EA"/>
    <w:rsid w:val="00CE23C8"/>
    <w:rsid w:val="00CF2E55"/>
    <w:rsid w:val="00CF2E6E"/>
    <w:rsid w:val="00CF4928"/>
    <w:rsid w:val="00D00134"/>
    <w:rsid w:val="00D01304"/>
    <w:rsid w:val="00D078F5"/>
    <w:rsid w:val="00D44EF9"/>
    <w:rsid w:val="00D54E40"/>
    <w:rsid w:val="00D55B5B"/>
    <w:rsid w:val="00D5713B"/>
    <w:rsid w:val="00D57C3C"/>
    <w:rsid w:val="00D60D5B"/>
    <w:rsid w:val="00D61319"/>
    <w:rsid w:val="00D65007"/>
    <w:rsid w:val="00D65B63"/>
    <w:rsid w:val="00D72B09"/>
    <w:rsid w:val="00D74AD2"/>
    <w:rsid w:val="00D74D04"/>
    <w:rsid w:val="00D7627A"/>
    <w:rsid w:val="00D7684A"/>
    <w:rsid w:val="00D8252D"/>
    <w:rsid w:val="00D87E0C"/>
    <w:rsid w:val="00D935FD"/>
    <w:rsid w:val="00DB25F6"/>
    <w:rsid w:val="00DB26A6"/>
    <w:rsid w:val="00DB322F"/>
    <w:rsid w:val="00DB42AB"/>
    <w:rsid w:val="00DB5AB8"/>
    <w:rsid w:val="00DB7D87"/>
    <w:rsid w:val="00DC136E"/>
    <w:rsid w:val="00DC15AC"/>
    <w:rsid w:val="00DC1C0F"/>
    <w:rsid w:val="00DC4F5E"/>
    <w:rsid w:val="00DC6285"/>
    <w:rsid w:val="00DC77C9"/>
    <w:rsid w:val="00DD30FA"/>
    <w:rsid w:val="00DD7C39"/>
    <w:rsid w:val="00DE2DA3"/>
    <w:rsid w:val="00DF015C"/>
    <w:rsid w:val="00DF3F71"/>
    <w:rsid w:val="00DF45F0"/>
    <w:rsid w:val="00DF5788"/>
    <w:rsid w:val="00DF618B"/>
    <w:rsid w:val="00DF63F3"/>
    <w:rsid w:val="00E018E4"/>
    <w:rsid w:val="00E01F23"/>
    <w:rsid w:val="00E068B3"/>
    <w:rsid w:val="00E12D3B"/>
    <w:rsid w:val="00E14206"/>
    <w:rsid w:val="00E14F21"/>
    <w:rsid w:val="00E15D4A"/>
    <w:rsid w:val="00E20A12"/>
    <w:rsid w:val="00E25820"/>
    <w:rsid w:val="00E308E8"/>
    <w:rsid w:val="00E32101"/>
    <w:rsid w:val="00E3588E"/>
    <w:rsid w:val="00E40879"/>
    <w:rsid w:val="00E55259"/>
    <w:rsid w:val="00E56E69"/>
    <w:rsid w:val="00E60D34"/>
    <w:rsid w:val="00E64402"/>
    <w:rsid w:val="00E64C88"/>
    <w:rsid w:val="00E661D7"/>
    <w:rsid w:val="00E673DB"/>
    <w:rsid w:val="00E7722F"/>
    <w:rsid w:val="00E8365A"/>
    <w:rsid w:val="00E86B0B"/>
    <w:rsid w:val="00E92563"/>
    <w:rsid w:val="00EA193F"/>
    <w:rsid w:val="00EA585F"/>
    <w:rsid w:val="00EA7023"/>
    <w:rsid w:val="00EA7E1D"/>
    <w:rsid w:val="00EB1D01"/>
    <w:rsid w:val="00EB5F17"/>
    <w:rsid w:val="00EB670D"/>
    <w:rsid w:val="00EC0333"/>
    <w:rsid w:val="00EC380E"/>
    <w:rsid w:val="00EC4740"/>
    <w:rsid w:val="00EC4A29"/>
    <w:rsid w:val="00EC5E89"/>
    <w:rsid w:val="00EC7A26"/>
    <w:rsid w:val="00ED3AFE"/>
    <w:rsid w:val="00ED6F49"/>
    <w:rsid w:val="00ED71CA"/>
    <w:rsid w:val="00EE2059"/>
    <w:rsid w:val="00EE3B3C"/>
    <w:rsid w:val="00EF0C50"/>
    <w:rsid w:val="00EF3345"/>
    <w:rsid w:val="00EF4451"/>
    <w:rsid w:val="00EF60A7"/>
    <w:rsid w:val="00EF6679"/>
    <w:rsid w:val="00F00C85"/>
    <w:rsid w:val="00F015BA"/>
    <w:rsid w:val="00F015D9"/>
    <w:rsid w:val="00F0505C"/>
    <w:rsid w:val="00F06667"/>
    <w:rsid w:val="00F11B62"/>
    <w:rsid w:val="00F1333D"/>
    <w:rsid w:val="00F13578"/>
    <w:rsid w:val="00F148C7"/>
    <w:rsid w:val="00F150FC"/>
    <w:rsid w:val="00F22914"/>
    <w:rsid w:val="00F23443"/>
    <w:rsid w:val="00F26FDA"/>
    <w:rsid w:val="00F31E87"/>
    <w:rsid w:val="00F31FD8"/>
    <w:rsid w:val="00F3385C"/>
    <w:rsid w:val="00F3389A"/>
    <w:rsid w:val="00F55338"/>
    <w:rsid w:val="00F5537C"/>
    <w:rsid w:val="00F628D1"/>
    <w:rsid w:val="00F629C1"/>
    <w:rsid w:val="00F63859"/>
    <w:rsid w:val="00F70DE7"/>
    <w:rsid w:val="00F720E5"/>
    <w:rsid w:val="00F925BD"/>
    <w:rsid w:val="00F977D7"/>
    <w:rsid w:val="00FA0B48"/>
    <w:rsid w:val="00FA17CE"/>
    <w:rsid w:val="00FA1839"/>
    <w:rsid w:val="00FA2294"/>
    <w:rsid w:val="00FA312A"/>
    <w:rsid w:val="00FA369D"/>
    <w:rsid w:val="00FA5B25"/>
    <w:rsid w:val="00FB5A88"/>
    <w:rsid w:val="00FB7A0D"/>
    <w:rsid w:val="00FC1C2B"/>
    <w:rsid w:val="00FC4A26"/>
    <w:rsid w:val="00FD041B"/>
    <w:rsid w:val="00FD3A5C"/>
    <w:rsid w:val="00FD6BC2"/>
    <w:rsid w:val="00FE0D20"/>
    <w:rsid w:val="00FE2623"/>
    <w:rsid w:val="00FE3F60"/>
    <w:rsid w:val="00FE5D9B"/>
    <w:rsid w:val="00FE705E"/>
    <w:rsid w:val="00FE7494"/>
    <w:rsid w:val="00FF4967"/>
    <w:rsid w:val="00FF49AE"/>
    <w:rsid w:val="00FF4D5B"/>
    <w:rsid w:val="00FF7026"/>
    <w:rsid w:val="02305E88"/>
    <w:rsid w:val="229B7FB5"/>
    <w:rsid w:val="575867E9"/>
    <w:rsid w:val="7525939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1137D3"/>
  <w15:chartTrackingRefBased/>
  <w15:docId w15:val="{15CB28A5-C9F3-4885-99CE-2EB4BAC47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E2753"/>
    <w:pPr>
      <w:keepNext/>
      <w:numPr>
        <w:numId w:val="1"/>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Normal"/>
    <w:link w:val="Heading2Char"/>
    <w:qFormat/>
    <w:rsid w:val="005E2753"/>
    <w:pPr>
      <w:keepNext/>
      <w:numPr>
        <w:ilvl w:val="1"/>
        <w:numId w:val="1"/>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Normal"/>
    <w:link w:val="Heading3Char"/>
    <w:qFormat/>
    <w:rsid w:val="005E2753"/>
    <w:pPr>
      <w:keepNext/>
      <w:numPr>
        <w:ilvl w:val="2"/>
        <w:numId w:val="1"/>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Normal"/>
    <w:link w:val="Heading4Char"/>
    <w:qFormat/>
    <w:rsid w:val="005E2753"/>
    <w:pPr>
      <w:keepNext/>
      <w:numPr>
        <w:ilvl w:val="3"/>
        <w:numId w:val="1"/>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B9074F"/>
    <w:rPr>
      <w:color w:val="0000FF"/>
      <w:shd w:val="clear" w:color="auto" w:fill="auto"/>
    </w:rPr>
  </w:style>
  <w:style w:type="paragraph" w:styleId="Header">
    <w:name w:val="header"/>
    <w:basedOn w:val="Normal"/>
    <w:link w:val="HeaderChar"/>
    <w:uiPriority w:val="99"/>
    <w:unhideWhenUsed/>
    <w:rsid w:val="00B907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074F"/>
  </w:style>
  <w:style w:type="paragraph" w:styleId="Footer">
    <w:name w:val="footer"/>
    <w:basedOn w:val="Normal"/>
    <w:link w:val="FooterChar"/>
    <w:uiPriority w:val="99"/>
    <w:unhideWhenUsed/>
    <w:rsid w:val="00B907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074F"/>
  </w:style>
  <w:style w:type="paragraph" w:customStyle="1" w:styleId="Pagedecouverture">
    <w:name w:val="Page de couverture"/>
    <w:basedOn w:val="Normal"/>
    <w:next w:val="Normal"/>
    <w:rsid w:val="00B9074F"/>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B9074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9074F"/>
    <w:rPr>
      <w:rFonts w:ascii="Times New Roman" w:hAnsi="Times New Roman" w:cs="Times New Roman"/>
      <w:sz w:val="24"/>
    </w:rPr>
  </w:style>
  <w:style w:type="paragraph" w:customStyle="1" w:styleId="FooterSensitivity">
    <w:name w:val="Footer Sensitivity"/>
    <w:basedOn w:val="Normal"/>
    <w:link w:val="FooterSensitivityChar"/>
    <w:rsid w:val="00B9074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9074F"/>
    <w:rPr>
      <w:rFonts w:ascii="Times New Roman" w:hAnsi="Times New Roman" w:cs="Times New Roman"/>
      <w:b/>
      <w:sz w:val="32"/>
    </w:rPr>
  </w:style>
  <w:style w:type="paragraph" w:customStyle="1" w:styleId="HeaderCoverPage">
    <w:name w:val="Header Cover Page"/>
    <w:basedOn w:val="Normal"/>
    <w:link w:val="HeaderCoverPageChar"/>
    <w:rsid w:val="00B9074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9074F"/>
    <w:rPr>
      <w:rFonts w:ascii="Times New Roman" w:hAnsi="Times New Roman" w:cs="Times New Roman"/>
      <w:sz w:val="24"/>
    </w:rPr>
  </w:style>
  <w:style w:type="paragraph" w:customStyle="1" w:styleId="HeaderSensitivity">
    <w:name w:val="Header Sensitivity"/>
    <w:basedOn w:val="Normal"/>
    <w:link w:val="HeaderSensitivityChar"/>
    <w:rsid w:val="00B9074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9074F"/>
    <w:rPr>
      <w:rFonts w:ascii="Times New Roman" w:hAnsi="Times New Roman" w:cs="Times New Roman"/>
      <w:b/>
      <w:sz w:val="32"/>
    </w:rPr>
  </w:style>
  <w:style w:type="paragraph" w:customStyle="1" w:styleId="HeaderSensitivityRight">
    <w:name w:val="Header Sensitivity Right"/>
    <w:basedOn w:val="Normal"/>
    <w:link w:val="HeaderSensitivityRightChar"/>
    <w:rsid w:val="00B9074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9074F"/>
    <w:rPr>
      <w:rFonts w:ascii="Times New Roman" w:hAnsi="Times New Roman" w:cs="Times New Roman"/>
      <w:sz w:val="28"/>
    </w:rPr>
  </w:style>
  <w:style w:type="character" w:customStyle="1" w:styleId="Heading1Char">
    <w:name w:val="Heading 1 Char"/>
    <w:basedOn w:val="DefaultParagraphFont"/>
    <w:link w:val="Heading1"/>
    <w:rsid w:val="005E2753"/>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sid w:val="005E2753"/>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sid w:val="005E275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sid w:val="005E2753"/>
    <w:rPr>
      <w:rFonts w:ascii="Times New Roman" w:eastAsia="Times New Roman" w:hAnsi="Times New Roman" w:cs="Times New Roman"/>
      <w:bCs/>
      <w:sz w:val="24"/>
      <w:szCs w:val="28"/>
    </w:rPr>
  </w:style>
  <w:style w:type="character" w:styleId="FootnoteReference">
    <w:name w:val="footnote reference"/>
    <w:aliases w:val="Footnote number,Footnote symbol,note TESI,Ref,de nota al pie,(NECG) Footnote Reference,fr,Footnote Reference1,Footnote Reference11,o,Footnote,Footnote Reference Superscript,Footnote reference number,Footnote Reference Number,FR,FR1,R"/>
    <w:link w:val="Nota"/>
    <w:uiPriority w:val="99"/>
    <w:qFormat/>
    <w:rsid w:val="005E2753"/>
    <w:rPr>
      <w:vertAlign w:val="superscript"/>
    </w:rPr>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fn,stile 1,Märk"/>
    <w:basedOn w:val="Normal"/>
    <w:link w:val="FootnoteTextChar"/>
    <w:uiPriority w:val="99"/>
    <w:qFormat/>
    <w:rsid w:val="005E2753"/>
    <w:pPr>
      <w:spacing w:after="0" w:line="240" w:lineRule="auto"/>
      <w:ind w:left="720" w:hanging="720"/>
      <w:jc w:val="both"/>
    </w:pPr>
    <w:rPr>
      <w:rFonts w:ascii="Times New Roman" w:eastAsia="Times New Roman" w:hAnsi="Times New Roman" w:cs="Times New Roman"/>
      <w:sz w:val="20"/>
      <w:szCs w:val="20"/>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fn Char,stile 1 Char,Märk Char"/>
    <w:basedOn w:val="DefaultParagraphFont"/>
    <w:link w:val="FootnoteText"/>
    <w:uiPriority w:val="99"/>
    <w:qFormat/>
    <w:rsid w:val="005E2753"/>
    <w:rPr>
      <w:rFonts w:ascii="Times New Roman" w:eastAsia="Times New Roman" w:hAnsi="Times New Roman" w:cs="Times New Roman"/>
      <w:sz w:val="20"/>
      <w:szCs w:val="20"/>
    </w:rPr>
  </w:style>
  <w:style w:type="paragraph" w:styleId="TOC1">
    <w:name w:val="toc 1"/>
    <w:basedOn w:val="Normal"/>
    <w:next w:val="Normal"/>
    <w:uiPriority w:val="39"/>
    <w:rsid w:val="005E2753"/>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uiPriority w:val="39"/>
    <w:rsid w:val="005E2753"/>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uiPriority w:val="39"/>
    <w:rsid w:val="005E2753"/>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Heading">
    <w:name w:val="TOC Heading"/>
    <w:basedOn w:val="Normal"/>
    <w:next w:val="Normal"/>
    <w:uiPriority w:val="39"/>
    <w:qFormat/>
    <w:rsid w:val="005E2753"/>
    <w:pPr>
      <w:spacing w:before="120" w:after="240" w:line="240" w:lineRule="auto"/>
      <w:jc w:val="center"/>
    </w:pPr>
    <w:rPr>
      <w:rFonts w:ascii="Times New Roman" w:eastAsia="Times New Roman" w:hAnsi="Times New Roman" w:cs="Times New Roman"/>
      <w:b/>
      <w:sz w:val="28"/>
      <w:szCs w:val="24"/>
    </w:rPr>
  </w:style>
  <w:style w:type="character" w:styleId="Hyperlink">
    <w:name w:val="Hyperlink"/>
    <w:uiPriority w:val="99"/>
    <w:rsid w:val="005E2753"/>
    <w:rPr>
      <w:color w:val="0000FF"/>
      <w:u w:val="single"/>
      <w:shd w:val="clear" w:color="auto" w:fill="auto"/>
    </w:rPr>
  </w:style>
  <w:style w:type="character" w:styleId="CommentReference">
    <w:name w:val="annotation reference"/>
    <w:uiPriority w:val="99"/>
    <w:rsid w:val="005E2753"/>
    <w:rPr>
      <w:sz w:val="16"/>
      <w:shd w:val="clear" w:color="auto" w:fill="auto"/>
    </w:rPr>
  </w:style>
  <w:style w:type="paragraph" w:styleId="ListParagraph">
    <w:name w:val="List Paragraph"/>
    <w:basedOn w:val="Normal"/>
    <w:uiPriority w:val="34"/>
    <w:qFormat/>
    <w:rsid w:val="005E2753"/>
    <w:pPr>
      <w:spacing w:after="0" w:line="240" w:lineRule="auto"/>
      <w:ind w:left="720"/>
    </w:pPr>
    <w:rPr>
      <w:rFonts w:ascii="Calibri" w:eastAsia="Times New Roman" w:hAnsi="Calibri" w:cs="Times New Roman"/>
      <w:lang w:val="fr-FR"/>
    </w:rPr>
  </w:style>
  <w:style w:type="paragraph" w:styleId="NormalWeb">
    <w:name w:val="Normal (Web)"/>
    <w:basedOn w:val="Normal"/>
    <w:uiPriority w:val="99"/>
    <w:unhideWhenUsed/>
    <w:rsid w:val="005E2753"/>
    <w:rPr>
      <w:rFonts w:ascii="Times New Roman" w:hAnsi="Times New Roman" w:cs="Times New Roman"/>
      <w:sz w:val="24"/>
      <w:szCs w:val="24"/>
    </w:rPr>
  </w:style>
  <w:style w:type="character" w:customStyle="1" w:styleId="outputecliaff">
    <w:name w:val="outputecliaff"/>
    <w:basedOn w:val="DefaultParagraphFont"/>
    <w:rsid w:val="005E2753"/>
  </w:style>
  <w:style w:type="paragraph" w:customStyle="1" w:styleId="Nota">
    <w:name w:val="Nota"/>
    <w:aliases w:val="Char1,Appel note de bas de p,Style 6,Signature Ch,stylish,number,F,styl"/>
    <w:basedOn w:val="Normal"/>
    <w:link w:val="FootnoteReference"/>
    <w:uiPriority w:val="99"/>
    <w:rsid w:val="005E2753"/>
    <w:pPr>
      <w:spacing w:before="120" w:after="160" w:line="240" w:lineRule="exact"/>
      <w:jc w:val="both"/>
    </w:pPr>
    <w:rPr>
      <w:vertAlign w:val="superscript"/>
    </w:rPr>
  </w:style>
  <w:style w:type="paragraph" w:styleId="CommentText">
    <w:name w:val="annotation text"/>
    <w:basedOn w:val="Normal"/>
    <w:link w:val="CommentTextChar"/>
    <w:uiPriority w:val="99"/>
    <w:unhideWhenUsed/>
    <w:rsid w:val="00FC1C2B"/>
    <w:pPr>
      <w:spacing w:line="240" w:lineRule="auto"/>
    </w:pPr>
    <w:rPr>
      <w:sz w:val="20"/>
      <w:szCs w:val="20"/>
    </w:rPr>
  </w:style>
  <w:style w:type="character" w:customStyle="1" w:styleId="CommentTextChar">
    <w:name w:val="Comment Text Char"/>
    <w:basedOn w:val="DefaultParagraphFont"/>
    <w:link w:val="CommentText"/>
    <w:uiPriority w:val="99"/>
    <w:rsid w:val="00FC1C2B"/>
    <w:rPr>
      <w:sz w:val="20"/>
      <w:szCs w:val="20"/>
    </w:rPr>
  </w:style>
  <w:style w:type="paragraph" w:styleId="CommentSubject">
    <w:name w:val="annotation subject"/>
    <w:basedOn w:val="CommentText"/>
    <w:next w:val="CommentText"/>
    <w:link w:val="CommentSubjectChar"/>
    <w:uiPriority w:val="99"/>
    <w:semiHidden/>
    <w:unhideWhenUsed/>
    <w:rsid w:val="00FC1C2B"/>
    <w:rPr>
      <w:b/>
      <w:bCs/>
    </w:rPr>
  </w:style>
  <w:style w:type="character" w:customStyle="1" w:styleId="CommentSubjectChar">
    <w:name w:val="Comment Subject Char"/>
    <w:basedOn w:val="CommentTextChar"/>
    <w:link w:val="CommentSubject"/>
    <w:uiPriority w:val="99"/>
    <w:semiHidden/>
    <w:rsid w:val="00FC1C2B"/>
    <w:rPr>
      <w:b/>
      <w:bCs/>
      <w:sz w:val="20"/>
      <w:szCs w:val="20"/>
    </w:rPr>
  </w:style>
  <w:style w:type="paragraph" w:styleId="BalloonText">
    <w:name w:val="Balloon Text"/>
    <w:basedOn w:val="Normal"/>
    <w:link w:val="BalloonTextChar"/>
    <w:uiPriority w:val="99"/>
    <w:semiHidden/>
    <w:unhideWhenUsed/>
    <w:rsid w:val="00E12D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D3B"/>
    <w:rPr>
      <w:rFonts w:ascii="Segoe UI" w:hAnsi="Segoe UI" w:cs="Segoe UI"/>
      <w:sz w:val="18"/>
      <w:szCs w:val="18"/>
    </w:rPr>
  </w:style>
  <w:style w:type="character" w:styleId="FollowedHyperlink">
    <w:name w:val="FollowedHyperlink"/>
    <w:basedOn w:val="DefaultParagraphFont"/>
    <w:uiPriority w:val="99"/>
    <w:semiHidden/>
    <w:unhideWhenUsed/>
    <w:rsid w:val="00A017DC"/>
    <w:rPr>
      <w:color w:val="800080" w:themeColor="followedHyperlink"/>
      <w:u w:val="single"/>
    </w:rPr>
  </w:style>
  <w:style w:type="paragraph" w:styleId="Revision">
    <w:name w:val="Revision"/>
    <w:hidden/>
    <w:uiPriority w:val="99"/>
    <w:semiHidden/>
    <w:rsid w:val="002D748E"/>
    <w:pPr>
      <w:spacing w:after="0" w:line="240" w:lineRule="auto"/>
    </w:pPr>
  </w:style>
  <w:style w:type="character" w:customStyle="1" w:styleId="UnresolvedMention">
    <w:name w:val="Unresolved Mention"/>
    <w:basedOn w:val="DefaultParagraphFont"/>
    <w:uiPriority w:val="99"/>
    <w:semiHidden/>
    <w:unhideWhenUsed/>
    <w:rsid w:val="00931055"/>
    <w:rPr>
      <w:color w:val="605E5C"/>
      <w:shd w:val="clear" w:color="auto" w:fill="E1DFDD"/>
    </w:rPr>
  </w:style>
  <w:style w:type="paragraph" w:customStyle="1" w:styleId="Languesfaisantfoi">
    <w:name w:val="Langues faisant foi"/>
    <w:basedOn w:val="Normal"/>
    <w:next w:val="Normal"/>
    <w:rsid w:val="007F42D2"/>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7F42D2"/>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7F42D2"/>
    <w:pPr>
      <w:spacing w:after="0"/>
    </w:pPr>
  </w:style>
  <w:style w:type="paragraph" w:customStyle="1" w:styleId="IntrtEEEPagedecouverture">
    <w:name w:val="Intérêt EEE (Page de couverture)"/>
    <w:basedOn w:val="IntrtEEE"/>
    <w:next w:val="Normal"/>
    <w:rsid w:val="007F42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0830">
      <w:bodyDiv w:val="1"/>
      <w:marLeft w:val="0"/>
      <w:marRight w:val="0"/>
      <w:marTop w:val="0"/>
      <w:marBottom w:val="0"/>
      <w:divBdr>
        <w:top w:val="none" w:sz="0" w:space="0" w:color="auto"/>
        <w:left w:val="none" w:sz="0" w:space="0" w:color="auto"/>
        <w:bottom w:val="none" w:sz="0" w:space="0" w:color="auto"/>
        <w:right w:val="none" w:sz="0" w:space="0" w:color="auto"/>
      </w:divBdr>
    </w:div>
    <w:div w:id="56512682">
      <w:bodyDiv w:val="1"/>
      <w:marLeft w:val="0"/>
      <w:marRight w:val="0"/>
      <w:marTop w:val="0"/>
      <w:marBottom w:val="0"/>
      <w:divBdr>
        <w:top w:val="none" w:sz="0" w:space="0" w:color="auto"/>
        <w:left w:val="none" w:sz="0" w:space="0" w:color="auto"/>
        <w:bottom w:val="none" w:sz="0" w:space="0" w:color="auto"/>
        <w:right w:val="none" w:sz="0" w:space="0" w:color="auto"/>
      </w:divBdr>
    </w:div>
    <w:div w:id="133179194">
      <w:bodyDiv w:val="1"/>
      <w:marLeft w:val="0"/>
      <w:marRight w:val="0"/>
      <w:marTop w:val="0"/>
      <w:marBottom w:val="0"/>
      <w:divBdr>
        <w:top w:val="none" w:sz="0" w:space="0" w:color="auto"/>
        <w:left w:val="none" w:sz="0" w:space="0" w:color="auto"/>
        <w:bottom w:val="none" w:sz="0" w:space="0" w:color="auto"/>
        <w:right w:val="none" w:sz="0" w:space="0" w:color="auto"/>
      </w:divBdr>
    </w:div>
    <w:div w:id="188221348">
      <w:bodyDiv w:val="1"/>
      <w:marLeft w:val="0"/>
      <w:marRight w:val="0"/>
      <w:marTop w:val="0"/>
      <w:marBottom w:val="0"/>
      <w:divBdr>
        <w:top w:val="none" w:sz="0" w:space="0" w:color="auto"/>
        <w:left w:val="none" w:sz="0" w:space="0" w:color="auto"/>
        <w:bottom w:val="none" w:sz="0" w:space="0" w:color="auto"/>
        <w:right w:val="none" w:sz="0" w:space="0" w:color="auto"/>
      </w:divBdr>
    </w:div>
    <w:div w:id="240066226">
      <w:bodyDiv w:val="1"/>
      <w:marLeft w:val="0"/>
      <w:marRight w:val="0"/>
      <w:marTop w:val="0"/>
      <w:marBottom w:val="0"/>
      <w:divBdr>
        <w:top w:val="none" w:sz="0" w:space="0" w:color="auto"/>
        <w:left w:val="none" w:sz="0" w:space="0" w:color="auto"/>
        <w:bottom w:val="none" w:sz="0" w:space="0" w:color="auto"/>
        <w:right w:val="none" w:sz="0" w:space="0" w:color="auto"/>
      </w:divBdr>
    </w:div>
    <w:div w:id="275017257">
      <w:bodyDiv w:val="1"/>
      <w:marLeft w:val="0"/>
      <w:marRight w:val="0"/>
      <w:marTop w:val="0"/>
      <w:marBottom w:val="0"/>
      <w:divBdr>
        <w:top w:val="none" w:sz="0" w:space="0" w:color="auto"/>
        <w:left w:val="none" w:sz="0" w:space="0" w:color="auto"/>
        <w:bottom w:val="none" w:sz="0" w:space="0" w:color="auto"/>
        <w:right w:val="none" w:sz="0" w:space="0" w:color="auto"/>
      </w:divBdr>
    </w:div>
    <w:div w:id="294794643">
      <w:bodyDiv w:val="1"/>
      <w:marLeft w:val="0"/>
      <w:marRight w:val="0"/>
      <w:marTop w:val="0"/>
      <w:marBottom w:val="0"/>
      <w:divBdr>
        <w:top w:val="none" w:sz="0" w:space="0" w:color="auto"/>
        <w:left w:val="none" w:sz="0" w:space="0" w:color="auto"/>
        <w:bottom w:val="none" w:sz="0" w:space="0" w:color="auto"/>
        <w:right w:val="none" w:sz="0" w:space="0" w:color="auto"/>
      </w:divBdr>
    </w:div>
    <w:div w:id="314455760">
      <w:bodyDiv w:val="1"/>
      <w:marLeft w:val="0"/>
      <w:marRight w:val="0"/>
      <w:marTop w:val="0"/>
      <w:marBottom w:val="0"/>
      <w:divBdr>
        <w:top w:val="none" w:sz="0" w:space="0" w:color="auto"/>
        <w:left w:val="none" w:sz="0" w:space="0" w:color="auto"/>
        <w:bottom w:val="none" w:sz="0" w:space="0" w:color="auto"/>
        <w:right w:val="none" w:sz="0" w:space="0" w:color="auto"/>
      </w:divBdr>
    </w:div>
    <w:div w:id="329869295">
      <w:bodyDiv w:val="1"/>
      <w:marLeft w:val="0"/>
      <w:marRight w:val="0"/>
      <w:marTop w:val="0"/>
      <w:marBottom w:val="0"/>
      <w:divBdr>
        <w:top w:val="none" w:sz="0" w:space="0" w:color="auto"/>
        <w:left w:val="none" w:sz="0" w:space="0" w:color="auto"/>
        <w:bottom w:val="none" w:sz="0" w:space="0" w:color="auto"/>
        <w:right w:val="none" w:sz="0" w:space="0" w:color="auto"/>
      </w:divBdr>
    </w:div>
    <w:div w:id="384763036">
      <w:bodyDiv w:val="1"/>
      <w:marLeft w:val="0"/>
      <w:marRight w:val="0"/>
      <w:marTop w:val="0"/>
      <w:marBottom w:val="0"/>
      <w:divBdr>
        <w:top w:val="none" w:sz="0" w:space="0" w:color="auto"/>
        <w:left w:val="none" w:sz="0" w:space="0" w:color="auto"/>
        <w:bottom w:val="none" w:sz="0" w:space="0" w:color="auto"/>
        <w:right w:val="none" w:sz="0" w:space="0" w:color="auto"/>
      </w:divBdr>
    </w:div>
    <w:div w:id="392044680">
      <w:bodyDiv w:val="1"/>
      <w:marLeft w:val="0"/>
      <w:marRight w:val="0"/>
      <w:marTop w:val="0"/>
      <w:marBottom w:val="0"/>
      <w:divBdr>
        <w:top w:val="none" w:sz="0" w:space="0" w:color="auto"/>
        <w:left w:val="none" w:sz="0" w:space="0" w:color="auto"/>
        <w:bottom w:val="none" w:sz="0" w:space="0" w:color="auto"/>
        <w:right w:val="none" w:sz="0" w:space="0" w:color="auto"/>
      </w:divBdr>
    </w:div>
    <w:div w:id="409624458">
      <w:bodyDiv w:val="1"/>
      <w:marLeft w:val="0"/>
      <w:marRight w:val="0"/>
      <w:marTop w:val="0"/>
      <w:marBottom w:val="0"/>
      <w:divBdr>
        <w:top w:val="none" w:sz="0" w:space="0" w:color="auto"/>
        <w:left w:val="none" w:sz="0" w:space="0" w:color="auto"/>
        <w:bottom w:val="none" w:sz="0" w:space="0" w:color="auto"/>
        <w:right w:val="none" w:sz="0" w:space="0" w:color="auto"/>
      </w:divBdr>
    </w:div>
    <w:div w:id="542520149">
      <w:bodyDiv w:val="1"/>
      <w:marLeft w:val="0"/>
      <w:marRight w:val="0"/>
      <w:marTop w:val="0"/>
      <w:marBottom w:val="0"/>
      <w:divBdr>
        <w:top w:val="none" w:sz="0" w:space="0" w:color="auto"/>
        <w:left w:val="none" w:sz="0" w:space="0" w:color="auto"/>
        <w:bottom w:val="none" w:sz="0" w:space="0" w:color="auto"/>
        <w:right w:val="none" w:sz="0" w:space="0" w:color="auto"/>
      </w:divBdr>
    </w:div>
    <w:div w:id="582834872">
      <w:bodyDiv w:val="1"/>
      <w:marLeft w:val="0"/>
      <w:marRight w:val="0"/>
      <w:marTop w:val="0"/>
      <w:marBottom w:val="0"/>
      <w:divBdr>
        <w:top w:val="none" w:sz="0" w:space="0" w:color="auto"/>
        <w:left w:val="none" w:sz="0" w:space="0" w:color="auto"/>
        <w:bottom w:val="none" w:sz="0" w:space="0" w:color="auto"/>
        <w:right w:val="none" w:sz="0" w:space="0" w:color="auto"/>
      </w:divBdr>
    </w:div>
    <w:div w:id="604928210">
      <w:bodyDiv w:val="1"/>
      <w:marLeft w:val="0"/>
      <w:marRight w:val="0"/>
      <w:marTop w:val="0"/>
      <w:marBottom w:val="0"/>
      <w:divBdr>
        <w:top w:val="none" w:sz="0" w:space="0" w:color="auto"/>
        <w:left w:val="none" w:sz="0" w:space="0" w:color="auto"/>
        <w:bottom w:val="none" w:sz="0" w:space="0" w:color="auto"/>
        <w:right w:val="none" w:sz="0" w:space="0" w:color="auto"/>
      </w:divBdr>
    </w:div>
    <w:div w:id="635260388">
      <w:bodyDiv w:val="1"/>
      <w:marLeft w:val="0"/>
      <w:marRight w:val="0"/>
      <w:marTop w:val="0"/>
      <w:marBottom w:val="0"/>
      <w:divBdr>
        <w:top w:val="none" w:sz="0" w:space="0" w:color="auto"/>
        <w:left w:val="none" w:sz="0" w:space="0" w:color="auto"/>
        <w:bottom w:val="none" w:sz="0" w:space="0" w:color="auto"/>
        <w:right w:val="none" w:sz="0" w:space="0" w:color="auto"/>
      </w:divBdr>
    </w:div>
    <w:div w:id="705329508">
      <w:bodyDiv w:val="1"/>
      <w:marLeft w:val="0"/>
      <w:marRight w:val="0"/>
      <w:marTop w:val="0"/>
      <w:marBottom w:val="0"/>
      <w:divBdr>
        <w:top w:val="none" w:sz="0" w:space="0" w:color="auto"/>
        <w:left w:val="none" w:sz="0" w:space="0" w:color="auto"/>
        <w:bottom w:val="none" w:sz="0" w:space="0" w:color="auto"/>
        <w:right w:val="none" w:sz="0" w:space="0" w:color="auto"/>
      </w:divBdr>
    </w:div>
    <w:div w:id="705522982">
      <w:bodyDiv w:val="1"/>
      <w:marLeft w:val="0"/>
      <w:marRight w:val="0"/>
      <w:marTop w:val="0"/>
      <w:marBottom w:val="0"/>
      <w:divBdr>
        <w:top w:val="none" w:sz="0" w:space="0" w:color="auto"/>
        <w:left w:val="none" w:sz="0" w:space="0" w:color="auto"/>
        <w:bottom w:val="none" w:sz="0" w:space="0" w:color="auto"/>
        <w:right w:val="none" w:sz="0" w:space="0" w:color="auto"/>
      </w:divBdr>
    </w:div>
    <w:div w:id="710765556">
      <w:bodyDiv w:val="1"/>
      <w:marLeft w:val="0"/>
      <w:marRight w:val="0"/>
      <w:marTop w:val="0"/>
      <w:marBottom w:val="0"/>
      <w:divBdr>
        <w:top w:val="none" w:sz="0" w:space="0" w:color="auto"/>
        <w:left w:val="none" w:sz="0" w:space="0" w:color="auto"/>
        <w:bottom w:val="none" w:sz="0" w:space="0" w:color="auto"/>
        <w:right w:val="none" w:sz="0" w:space="0" w:color="auto"/>
      </w:divBdr>
    </w:div>
    <w:div w:id="728379306">
      <w:bodyDiv w:val="1"/>
      <w:marLeft w:val="0"/>
      <w:marRight w:val="0"/>
      <w:marTop w:val="0"/>
      <w:marBottom w:val="0"/>
      <w:divBdr>
        <w:top w:val="none" w:sz="0" w:space="0" w:color="auto"/>
        <w:left w:val="none" w:sz="0" w:space="0" w:color="auto"/>
        <w:bottom w:val="none" w:sz="0" w:space="0" w:color="auto"/>
        <w:right w:val="none" w:sz="0" w:space="0" w:color="auto"/>
      </w:divBdr>
    </w:div>
    <w:div w:id="728964998">
      <w:bodyDiv w:val="1"/>
      <w:marLeft w:val="0"/>
      <w:marRight w:val="0"/>
      <w:marTop w:val="0"/>
      <w:marBottom w:val="0"/>
      <w:divBdr>
        <w:top w:val="none" w:sz="0" w:space="0" w:color="auto"/>
        <w:left w:val="none" w:sz="0" w:space="0" w:color="auto"/>
        <w:bottom w:val="none" w:sz="0" w:space="0" w:color="auto"/>
        <w:right w:val="none" w:sz="0" w:space="0" w:color="auto"/>
      </w:divBdr>
      <w:divsChild>
        <w:div w:id="323050206">
          <w:marLeft w:val="0"/>
          <w:marRight w:val="0"/>
          <w:marTop w:val="0"/>
          <w:marBottom w:val="0"/>
          <w:divBdr>
            <w:top w:val="none" w:sz="0" w:space="0" w:color="auto"/>
            <w:left w:val="none" w:sz="0" w:space="0" w:color="auto"/>
            <w:bottom w:val="none" w:sz="0" w:space="0" w:color="auto"/>
            <w:right w:val="none" w:sz="0" w:space="0" w:color="auto"/>
          </w:divBdr>
          <w:divsChild>
            <w:div w:id="893976973">
              <w:marLeft w:val="0"/>
              <w:marRight w:val="0"/>
              <w:marTop w:val="0"/>
              <w:marBottom w:val="0"/>
              <w:divBdr>
                <w:top w:val="none" w:sz="0" w:space="0" w:color="auto"/>
                <w:left w:val="none" w:sz="0" w:space="0" w:color="auto"/>
                <w:bottom w:val="none" w:sz="0" w:space="0" w:color="auto"/>
                <w:right w:val="none" w:sz="0" w:space="0" w:color="auto"/>
              </w:divBdr>
              <w:divsChild>
                <w:div w:id="985624928">
                  <w:marLeft w:val="0"/>
                  <w:marRight w:val="0"/>
                  <w:marTop w:val="0"/>
                  <w:marBottom w:val="30"/>
                  <w:divBdr>
                    <w:top w:val="none" w:sz="0" w:space="0" w:color="auto"/>
                    <w:left w:val="none" w:sz="0" w:space="0" w:color="auto"/>
                    <w:bottom w:val="none" w:sz="0" w:space="0" w:color="auto"/>
                    <w:right w:val="none" w:sz="0" w:space="0" w:color="auto"/>
                  </w:divBdr>
                </w:div>
                <w:div w:id="1145511552">
                  <w:marLeft w:val="0"/>
                  <w:marRight w:val="0"/>
                  <w:marTop w:val="0"/>
                  <w:marBottom w:val="0"/>
                  <w:divBdr>
                    <w:top w:val="none" w:sz="0" w:space="0" w:color="auto"/>
                    <w:left w:val="none" w:sz="0" w:space="0" w:color="auto"/>
                    <w:bottom w:val="none" w:sz="0" w:space="0" w:color="auto"/>
                    <w:right w:val="none" w:sz="0" w:space="0" w:color="auto"/>
                  </w:divBdr>
                  <w:divsChild>
                    <w:div w:id="63657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449839">
          <w:marLeft w:val="0"/>
          <w:marRight w:val="0"/>
          <w:marTop w:val="0"/>
          <w:marBottom w:val="0"/>
          <w:divBdr>
            <w:top w:val="none" w:sz="0" w:space="0" w:color="auto"/>
            <w:left w:val="none" w:sz="0" w:space="0" w:color="auto"/>
            <w:bottom w:val="none" w:sz="0" w:space="0" w:color="auto"/>
            <w:right w:val="none" w:sz="0" w:space="0" w:color="auto"/>
          </w:divBdr>
        </w:div>
      </w:divsChild>
    </w:div>
    <w:div w:id="758526842">
      <w:bodyDiv w:val="1"/>
      <w:marLeft w:val="0"/>
      <w:marRight w:val="0"/>
      <w:marTop w:val="0"/>
      <w:marBottom w:val="0"/>
      <w:divBdr>
        <w:top w:val="none" w:sz="0" w:space="0" w:color="auto"/>
        <w:left w:val="none" w:sz="0" w:space="0" w:color="auto"/>
        <w:bottom w:val="none" w:sz="0" w:space="0" w:color="auto"/>
        <w:right w:val="none" w:sz="0" w:space="0" w:color="auto"/>
      </w:divBdr>
    </w:div>
    <w:div w:id="771050644">
      <w:bodyDiv w:val="1"/>
      <w:marLeft w:val="0"/>
      <w:marRight w:val="0"/>
      <w:marTop w:val="0"/>
      <w:marBottom w:val="0"/>
      <w:divBdr>
        <w:top w:val="none" w:sz="0" w:space="0" w:color="auto"/>
        <w:left w:val="none" w:sz="0" w:space="0" w:color="auto"/>
        <w:bottom w:val="none" w:sz="0" w:space="0" w:color="auto"/>
        <w:right w:val="none" w:sz="0" w:space="0" w:color="auto"/>
      </w:divBdr>
    </w:div>
    <w:div w:id="819926043">
      <w:bodyDiv w:val="1"/>
      <w:marLeft w:val="0"/>
      <w:marRight w:val="0"/>
      <w:marTop w:val="0"/>
      <w:marBottom w:val="0"/>
      <w:divBdr>
        <w:top w:val="none" w:sz="0" w:space="0" w:color="auto"/>
        <w:left w:val="none" w:sz="0" w:space="0" w:color="auto"/>
        <w:bottom w:val="none" w:sz="0" w:space="0" w:color="auto"/>
        <w:right w:val="none" w:sz="0" w:space="0" w:color="auto"/>
      </w:divBdr>
    </w:div>
    <w:div w:id="854808981">
      <w:bodyDiv w:val="1"/>
      <w:marLeft w:val="0"/>
      <w:marRight w:val="0"/>
      <w:marTop w:val="0"/>
      <w:marBottom w:val="0"/>
      <w:divBdr>
        <w:top w:val="none" w:sz="0" w:space="0" w:color="auto"/>
        <w:left w:val="none" w:sz="0" w:space="0" w:color="auto"/>
        <w:bottom w:val="none" w:sz="0" w:space="0" w:color="auto"/>
        <w:right w:val="none" w:sz="0" w:space="0" w:color="auto"/>
      </w:divBdr>
    </w:div>
    <w:div w:id="862010517">
      <w:bodyDiv w:val="1"/>
      <w:marLeft w:val="0"/>
      <w:marRight w:val="0"/>
      <w:marTop w:val="0"/>
      <w:marBottom w:val="0"/>
      <w:divBdr>
        <w:top w:val="none" w:sz="0" w:space="0" w:color="auto"/>
        <w:left w:val="none" w:sz="0" w:space="0" w:color="auto"/>
        <w:bottom w:val="none" w:sz="0" w:space="0" w:color="auto"/>
        <w:right w:val="none" w:sz="0" w:space="0" w:color="auto"/>
      </w:divBdr>
    </w:div>
    <w:div w:id="894008507">
      <w:bodyDiv w:val="1"/>
      <w:marLeft w:val="0"/>
      <w:marRight w:val="0"/>
      <w:marTop w:val="0"/>
      <w:marBottom w:val="0"/>
      <w:divBdr>
        <w:top w:val="none" w:sz="0" w:space="0" w:color="auto"/>
        <w:left w:val="none" w:sz="0" w:space="0" w:color="auto"/>
        <w:bottom w:val="none" w:sz="0" w:space="0" w:color="auto"/>
        <w:right w:val="none" w:sz="0" w:space="0" w:color="auto"/>
      </w:divBdr>
    </w:div>
    <w:div w:id="916017022">
      <w:bodyDiv w:val="1"/>
      <w:marLeft w:val="0"/>
      <w:marRight w:val="0"/>
      <w:marTop w:val="0"/>
      <w:marBottom w:val="0"/>
      <w:divBdr>
        <w:top w:val="none" w:sz="0" w:space="0" w:color="auto"/>
        <w:left w:val="none" w:sz="0" w:space="0" w:color="auto"/>
        <w:bottom w:val="none" w:sz="0" w:space="0" w:color="auto"/>
        <w:right w:val="none" w:sz="0" w:space="0" w:color="auto"/>
      </w:divBdr>
    </w:div>
    <w:div w:id="946083890">
      <w:bodyDiv w:val="1"/>
      <w:marLeft w:val="0"/>
      <w:marRight w:val="0"/>
      <w:marTop w:val="0"/>
      <w:marBottom w:val="0"/>
      <w:divBdr>
        <w:top w:val="none" w:sz="0" w:space="0" w:color="auto"/>
        <w:left w:val="none" w:sz="0" w:space="0" w:color="auto"/>
        <w:bottom w:val="none" w:sz="0" w:space="0" w:color="auto"/>
        <w:right w:val="none" w:sz="0" w:space="0" w:color="auto"/>
      </w:divBdr>
    </w:div>
    <w:div w:id="957444874">
      <w:bodyDiv w:val="1"/>
      <w:marLeft w:val="0"/>
      <w:marRight w:val="0"/>
      <w:marTop w:val="0"/>
      <w:marBottom w:val="0"/>
      <w:divBdr>
        <w:top w:val="none" w:sz="0" w:space="0" w:color="auto"/>
        <w:left w:val="none" w:sz="0" w:space="0" w:color="auto"/>
        <w:bottom w:val="none" w:sz="0" w:space="0" w:color="auto"/>
        <w:right w:val="none" w:sz="0" w:space="0" w:color="auto"/>
      </w:divBdr>
    </w:div>
    <w:div w:id="975797060">
      <w:bodyDiv w:val="1"/>
      <w:marLeft w:val="0"/>
      <w:marRight w:val="0"/>
      <w:marTop w:val="0"/>
      <w:marBottom w:val="0"/>
      <w:divBdr>
        <w:top w:val="none" w:sz="0" w:space="0" w:color="auto"/>
        <w:left w:val="none" w:sz="0" w:space="0" w:color="auto"/>
        <w:bottom w:val="none" w:sz="0" w:space="0" w:color="auto"/>
        <w:right w:val="none" w:sz="0" w:space="0" w:color="auto"/>
      </w:divBdr>
    </w:div>
    <w:div w:id="988677168">
      <w:bodyDiv w:val="1"/>
      <w:marLeft w:val="0"/>
      <w:marRight w:val="0"/>
      <w:marTop w:val="0"/>
      <w:marBottom w:val="0"/>
      <w:divBdr>
        <w:top w:val="none" w:sz="0" w:space="0" w:color="auto"/>
        <w:left w:val="none" w:sz="0" w:space="0" w:color="auto"/>
        <w:bottom w:val="none" w:sz="0" w:space="0" w:color="auto"/>
        <w:right w:val="none" w:sz="0" w:space="0" w:color="auto"/>
      </w:divBdr>
    </w:div>
    <w:div w:id="1006900601">
      <w:bodyDiv w:val="1"/>
      <w:marLeft w:val="0"/>
      <w:marRight w:val="0"/>
      <w:marTop w:val="0"/>
      <w:marBottom w:val="0"/>
      <w:divBdr>
        <w:top w:val="none" w:sz="0" w:space="0" w:color="auto"/>
        <w:left w:val="none" w:sz="0" w:space="0" w:color="auto"/>
        <w:bottom w:val="none" w:sz="0" w:space="0" w:color="auto"/>
        <w:right w:val="none" w:sz="0" w:space="0" w:color="auto"/>
      </w:divBdr>
    </w:div>
    <w:div w:id="1010987830">
      <w:bodyDiv w:val="1"/>
      <w:marLeft w:val="0"/>
      <w:marRight w:val="0"/>
      <w:marTop w:val="0"/>
      <w:marBottom w:val="0"/>
      <w:divBdr>
        <w:top w:val="none" w:sz="0" w:space="0" w:color="auto"/>
        <w:left w:val="none" w:sz="0" w:space="0" w:color="auto"/>
        <w:bottom w:val="none" w:sz="0" w:space="0" w:color="auto"/>
        <w:right w:val="none" w:sz="0" w:space="0" w:color="auto"/>
      </w:divBdr>
    </w:div>
    <w:div w:id="1020083621">
      <w:bodyDiv w:val="1"/>
      <w:marLeft w:val="0"/>
      <w:marRight w:val="0"/>
      <w:marTop w:val="0"/>
      <w:marBottom w:val="0"/>
      <w:divBdr>
        <w:top w:val="none" w:sz="0" w:space="0" w:color="auto"/>
        <w:left w:val="none" w:sz="0" w:space="0" w:color="auto"/>
        <w:bottom w:val="none" w:sz="0" w:space="0" w:color="auto"/>
        <w:right w:val="none" w:sz="0" w:space="0" w:color="auto"/>
      </w:divBdr>
    </w:div>
    <w:div w:id="1038091044">
      <w:bodyDiv w:val="1"/>
      <w:marLeft w:val="0"/>
      <w:marRight w:val="0"/>
      <w:marTop w:val="0"/>
      <w:marBottom w:val="0"/>
      <w:divBdr>
        <w:top w:val="none" w:sz="0" w:space="0" w:color="auto"/>
        <w:left w:val="none" w:sz="0" w:space="0" w:color="auto"/>
        <w:bottom w:val="none" w:sz="0" w:space="0" w:color="auto"/>
        <w:right w:val="none" w:sz="0" w:space="0" w:color="auto"/>
      </w:divBdr>
    </w:div>
    <w:div w:id="1057626116">
      <w:bodyDiv w:val="1"/>
      <w:marLeft w:val="0"/>
      <w:marRight w:val="0"/>
      <w:marTop w:val="0"/>
      <w:marBottom w:val="0"/>
      <w:divBdr>
        <w:top w:val="none" w:sz="0" w:space="0" w:color="auto"/>
        <w:left w:val="none" w:sz="0" w:space="0" w:color="auto"/>
        <w:bottom w:val="none" w:sz="0" w:space="0" w:color="auto"/>
        <w:right w:val="none" w:sz="0" w:space="0" w:color="auto"/>
      </w:divBdr>
    </w:div>
    <w:div w:id="1212572754">
      <w:bodyDiv w:val="1"/>
      <w:marLeft w:val="0"/>
      <w:marRight w:val="0"/>
      <w:marTop w:val="0"/>
      <w:marBottom w:val="0"/>
      <w:divBdr>
        <w:top w:val="none" w:sz="0" w:space="0" w:color="auto"/>
        <w:left w:val="none" w:sz="0" w:space="0" w:color="auto"/>
        <w:bottom w:val="none" w:sz="0" w:space="0" w:color="auto"/>
        <w:right w:val="none" w:sz="0" w:space="0" w:color="auto"/>
      </w:divBdr>
    </w:div>
    <w:div w:id="1213614585">
      <w:bodyDiv w:val="1"/>
      <w:marLeft w:val="0"/>
      <w:marRight w:val="0"/>
      <w:marTop w:val="0"/>
      <w:marBottom w:val="0"/>
      <w:divBdr>
        <w:top w:val="none" w:sz="0" w:space="0" w:color="auto"/>
        <w:left w:val="none" w:sz="0" w:space="0" w:color="auto"/>
        <w:bottom w:val="none" w:sz="0" w:space="0" w:color="auto"/>
        <w:right w:val="none" w:sz="0" w:space="0" w:color="auto"/>
      </w:divBdr>
    </w:div>
    <w:div w:id="1289438693">
      <w:bodyDiv w:val="1"/>
      <w:marLeft w:val="0"/>
      <w:marRight w:val="0"/>
      <w:marTop w:val="0"/>
      <w:marBottom w:val="0"/>
      <w:divBdr>
        <w:top w:val="none" w:sz="0" w:space="0" w:color="auto"/>
        <w:left w:val="none" w:sz="0" w:space="0" w:color="auto"/>
        <w:bottom w:val="none" w:sz="0" w:space="0" w:color="auto"/>
        <w:right w:val="none" w:sz="0" w:space="0" w:color="auto"/>
      </w:divBdr>
    </w:div>
    <w:div w:id="1303340348">
      <w:bodyDiv w:val="1"/>
      <w:marLeft w:val="0"/>
      <w:marRight w:val="0"/>
      <w:marTop w:val="0"/>
      <w:marBottom w:val="0"/>
      <w:divBdr>
        <w:top w:val="none" w:sz="0" w:space="0" w:color="auto"/>
        <w:left w:val="none" w:sz="0" w:space="0" w:color="auto"/>
        <w:bottom w:val="none" w:sz="0" w:space="0" w:color="auto"/>
        <w:right w:val="none" w:sz="0" w:space="0" w:color="auto"/>
      </w:divBdr>
    </w:div>
    <w:div w:id="1310942625">
      <w:bodyDiv w:val="1"/>
      <w:marLeft w:val="0"/>
      <w:marRight w:val="0"/>
      <w:marTop w:val="0"/>
      <w:marBottom w:val="0"/>
      <w:divBdr>
        <w:top w:val="none" w:sz="0" w:space="0" w:color="auto"/>
        <w:left w:val="none" w:sz="0" w:space="0" w:color="auto"/>
        <w:bottom w:val="none" w:sz="0" w:space="0" w:color="auto"/>
        <w:right w:val="none" w:sz="0" w:space="0" w:color="auto"/>
      </w:divBdr>
    </w:div>
    <w:div w:id="1328899681">
      <w:bodyDiv w:val="1"/>
      <w:marLeft w:val="0"/>
      <w:marRight w:val="0"/>
      <w:marTop w:val="0"/>
      <w:marBottom w:val="0"/>
      <w:divBdr>
        <w:top w:val="none" w:sz="0" w:space="0" w:color="auto"/>
        <w:left w:val="none" w:sz="0" w:space="0" w:color="auto"/>
        <w:bottom w:val="none" w:sz="0" w:space="0" w:color="auto"/>
        <w:right w:val="none" w:sz="0" w:space="0" w:color="auto"/>
      </w:divBdr>
    </w:div>
    <w:div w:id="1373772993">
      <w:bodyDiv w:val="1"/>
      <w:marLeft w:val="0"/>
      <w:marRight w:val="0"/>
      <w:marTop w:val="0"/>
      <w:marBottom w:val="0"/>
      <w:divBdr>
        <w:top w:val="none" w:sz="0" w:space="0" w:color="auto"/>
        <w:left w:val="none" w:sz="0" w:space="0" w:color="auto"/>
        <w:bottom w:val="none" w:sz="0" w:space="0" w:color="auto"/>
        <w:right w:val="none" w:sz="0" w:space="0" w:color="auto"/>
      </w:divBdr>
    </w:div>
    <w:div w:id="1378313679">
      <w:bodyDiv w:val="1"/>
      <w:marLeft w:val="0"/>
      <w:marRight w:val="0"/>
      <w:marTop w:val="0"/>
      <w:marBottom w:val="0"/>
      <w:divBdr>
        <w:top w:val="none" w:sz="0" w:space="0" w:color="auto"/>
        <w:left w:val="none" w:sz="0" w:space="0" w:color="auto"/>
        <w:bottom w:val="none" w:sz="0" w:space="0" w:color="auto"/>
        <w:right w:val="none" w:sz="0" w:space="0" w:color="auto"/>
      </w:divBdr>
    </w:div>
    <w:div w:id="1433940337">
      <w:bodyDiv w:val="1"/>
      <w:marLeft w:val="0"/>
      <w:marRight w:val="0"/>
      <w:marTop w:val="0"/>
      <w:marBottom w:val="0"/>
      <w:divBdr>
        <w:top w:val="none" w:sz="0" w:space="0" w:color="auto"/>
        <w:left w:val="none" w:sz="0" w:space="0" w:color="auto"/>
        <w:bottom w:val="none" w:sz="0" w:space="0" w:color="auto"/>
        <w:right w:val="none" w:sz="0" w:space="0" w:color="auto"/>
      </w:divBdr>
    </w:div>
    <w:div w:id="1482842917">
      <w:bodyDiv w:val="1"/>
      <w:marLeft w:val="0"/>
      <w:marRight w:val="0"/>
      <w:marTop w:val="0"/>
      <w:marBottom w:val="0"/>
      <w:divBdr>
        <w:top w:val="none" w:sz="0" w:space="0" w:color="auto"/>
        <w:left w:val="none" w:sz="0" w:space="0" w:color="auto"/>
        <w:bottom w:val="none" w:sz="0" w:space="0" w:color="auto"/>
        <w:right w:val="none" w:sz="0" w:space="0" w:color="auto"/>
      </w:divBdr>
    </w:div>
    <w:div w:id="1490092808">
      <w:bodyDiv w:val="1"/>
      <w:marLeft w:val="0"/>
      <w:marRight w:val="0"/>
      <w:marTop w:val="0"/>
      <w:marBottom w:val="0"/>
      <w:divBdr>
        <w:top w:val="none" w:sz="0" w:space="0" w:color="auto"/>
        <w:left w:val="none" w:sz="0" w:space="0" w:color="auto"/>
        <w:bottom w:val="none" w:sz="0" w:space="0" w:color="auto"/>
        <w:right w:val="none" w:sz="0" w:space="0" w:color="auto"/>
      </w:divBdr>
    </w:div>
    <w:div w:id="1511719731">
      <w:bodyDiv w:val="1"/>
      <w:marLeft w:val="0"/>
      <w:marRight w:val="0"/>
      <w:marTop w:val="0"/>
      <w:marBottom w:val="0"/>
      <w:divBdr>
        <w:top w:val="none" w:sz="0" w:space="0" w:color="auto"/>
        <w:left w:val="none" w:sz="0" w:space="0" w:color="auto"/>
        <w:bottom w:val="none" w:sz="0" w:space="0" w:color="auto"/>
        <w:right w:val="none" w:sz="0" w:space="0" w:color="auto"/>
      </w:divBdr>
    </w:div>
    <w:div w:id="1511947555">
      <w:bodyDiv w:val="1"/>
      <w:marLeft w:val="0"/>
      <w:marRight w:val="0"/>
      <w:marTop w:val="0"/>
      <w:marBottom w:val="0"/>
      <w:divBdr>
        <w:top w:val="none" w:sz="0" w:space="0" w:color="auto"/>
        <w:left w:val="none" w:sz="0" w:space="0" w:color="auto"/>
        <w:bottom w:val="none" w:sz="0" w:space="0" w:color="auto"/>
        <w:right w:val="none" w:sz="0" w:space="0" w:color="auto"/>
      </w:divBdr>
    </w:div>
    <w:div w:id="1523856374">
      <w:bodyDiv w:val="1"/>
      <w:marLeft w:val="0"/>
      <w:marRight w:val="0"/>
      <w:marTop w:val="0"/>
      <w:marBottom w:val="0"/>
      <w:divBdr>
        <w:top w:val="none" w:sz="0" w:space="0" w:color="auto"/>
        <w:left w:val="none" w:sz="0" w:space="0" w:color="auto"/>
        <w:bottom w:val="none" w:sz="0" w:space="0" w:color="auto"/>
        <w:right w:val="none" w:sz="0" w:space="0" w:color="auto"/>
      </w:divBdr>
    </w:div>
    <w:div w:id="1605649938">
      <w:bodyDiv w:val="1"/>
      <w:marLeft w:val="0"/>
      <w:marRight w:val="0"/>
      <w:marTop w:val="0"/>
      <w:marBottom w:val="0"/>
      <w:divBdr>
        <w:top w:val="none" w:sz="0" w:space="0" w:color="auto"/>
        <w:left w:val="none" w:sz="0" w:space="0" w:color="auto"/>
        <w:bottom w:val="none" w:sz="0" w:space="0" w:color="auto"/>
        <w:right w:val="none" w:sz="0" w:space="0" w:color="auto"/>
      </w:divBdr>
    </w:div>
    <w:div w:id="1606384484">
      <w:bodyDiv w:val="1"/>
      <w:marLeft w:val="0"/>
      <w:marRight w:val="0"/>
      <w:marTop w:val="0"/>
      <w:marBottom w:val="0"/>
      <w:divBdr>
        <w:top w:val="none" w:sz="0" w:space="0" w:color="auto"/>
        <w:left w:val="none" w:sz="0" w:space="0" w:color="auto"/>
        <w:bottom w:val="none" w:sz="0" w:space="0" w:color="auto"/>
        <w:right w:val="none" w:sz="0" w:space="0" w:color="auto"/>
      </w:divBdr>
    </w:div>
    <w:div w:id="1667128537">
      <w:bodyDiv w:val="1"/>
      <w:marLeft w:val="0"/>
      <w:marRight w:val="0"/>
      <w:marTop w:val="0"/>
      <w:marBottom w:val="0"/>
      <w:divBdr>
        <w:top w:val="none" w:sz="0" w:space="0" w:color="auto"/>
        <w:left w:val="none" w:sz="0" w:space="0" w:color="auto"/>
        <w:bottom w:val="none" w:sz="0" w:space="0" w:color="auto"/>
        <w:right w:val="none" w:sz="0" w:space="0" w:color="auto"/>
      </w:divBdr>
    </w:div>
    <w:div w:id="1667247292">
      <w:bodyDiv w:val="1"/>
      <w:marLeft w:val="0"/>
      <w:marRight w:val="0"/>
      <w:marTop w:val="0"/>
      <w:marBottom w:val="0"/>
      <w:divBdr>
        <w:top w:val="none" w:sz="0" w:space="0" w:color="auto"/>
        <w:left w:val="none" w:sz="0" w:space="0" w:color="auto"/>
        <w:bottom w:val="none" w:sz="0" w:space="0" w:color="auto"/>
        <w:right w:val="none" w:sz="0" w:space="0" w:color="auto"/>
      </w:divBdr>
    </w:div>
    <w:div w:id="1807965334">
      <w:bodyDiv w:val="1"/>
      <w:marLeft w:val="0"/>
      <w:marRight w:val="0"/>
      <w:marTop w:val="0"/>
      <w:marBottom w:val="0"/>
      <w:divBdr>
        <w:top w:val="none" w:sz="0" w:space="0" w:color="auto"/>
        <w:left w:val="none" w:sz="0" w:space="0" w:color="auto"/>
        <w:bottom w:val="none" w:sz="0" w:space="0" w:color="auto"/>
        <w:right w:val="none" w:sz="0" w:space="0" w:color="auto"/>
      </w:divBdr>
    </w:div>
    <w:div w:id="1813790258">
      <w:bodyDiv w:val="1"/>
      <w:marLeft w:val="0"/>
      <w:marRight w:val="0"/>
      <w:marTop w:val="0"/>
      <w:marBottom w:val="0"/>
      <w:divBdr>
        <w:top w:val="none" w:sz="0" w:space="0" w:color="auto"/>
        <w:left w:val="none" w:sz="0" w:space="0" w:color="auto"/>
        <w:bottom w:val="none" w:sz="0" w:space="0" w:color="auto"/>
        <w:right w:val="none" w:sz="0" w:space="0" w:color="auto"/>
      </w:divBdr>
    </w:div>
    <w:div w:id="1864394591">
      <w:bodyDiv w:val="1"/>
      <w:marLeft w:val="0"/>
      <w:marRight w:val="0"/>
      <w:marTop w:val="0"/>
      <w:marBottom w:val="0"/>
      <w:divBdr>
        <w:top w:val="none" w:sz="0" w:space="0" w:color="auto"/>
        <w:left w:val="none" w:sz="0" w:space="0" w:color="auto"/>
        <w:bottom w:val="none" w:sz="0" w:space="0" w:color="auto"/>
        <w:right w:val="none" w:sz="0" w:space="0" w:color="auto"/>
      </w:divBdr>
    </w:div>
    <w:div w:id="1924684511">
      <w:bodyDiv w:val="1"/>
      <w:marLeft w:val="0"/>
      <w:marRight w:val="0"/>
      <w:marTop w:val="0"/>
      <w:marBottom w:val="0"/>
      <w:divBdr>
        <w:top w:val="none" w:sz="0" w:space="0" w:color="auto"/>
        <w:left w:val="none" w:sz="0" w:space="0" w:color="auto"/>
        <w:bottom w:val="none" w:sz="0" w:space="0" w:color="auto"/>
        <w:right w:val="none" w:sz="0" w:space="0" w:color="auto"/>
      </w:divBdr>
    </w:div>
    <w:div w:id="1933931020">
      <w:bodyDiv w:val="1"/>
      <w:marLeft w:val="0"/>
      <w:marRight w:val="0"/>
      <w:marTop w:val="0"/>
      <w:marBottom w:val="0"/>
      <w:divBdr>
        <w:top w:val="none" w:sz="0" w:space="0" w:color="auto"/>
        <w:left w:val="none" w:sz="0" w:space="0" w:color="auto"/>
        <w:bottom w:val="none" w:sz="0" w:space="0" w:color="auto"/>
        <w:right w:val="none" w:sz="0" w:space="0" w:color="auto"/>
      </w:divBdr>
    </w:div>
    <w:div w:id="1953434916">
      <w:bodyDiv w:val="1"/>
      <w:marLeft w:val="0"/>
      <w:marRight w:val="0"/>
      <w:marTop w:val="0"/>
      <w:marBottom w:val="0"/>
      <w:divBdr>
        <w:top w:val="none" w:sz="0" w:space="0" w:color="auto"/>
        <w:left w:val="none" w:sz="0" w:space="0" w:color="auto"/>
        <w:bottom w:val="none" w:sz="0" w:space="0" w:color="auto"/>
        <w:right w:val="none" w:sz="0" w:space="0" w:color="auto"/>
      </w:divBdr>
    </w:div>
    <w:div w:id="1973365494">
      <w:bodyDiv w:val="1"/>
      <w:marLeft w:val="0"/>
      <w:marRight w:val="0"/>
      <w:marTop w:val="0"/>
      <w:marBottom w:val="0"/>
      <w:divBdr>
        <w:top w:val="none" w:sz="0" w:space="0" w:color="auto"/>
        <w:left w:val="none" w:sz="0" w:space="0" w:color="auto"/>
        <w:bottom w:val="none" w:sz="0" w:space="0" w:color="auto"/>
        <w:right w:val="none" w:sz="0" w:space="0" w:color="auto"/>
      </w:divBdr>
    </w:div>
    <w:div w:id="2023167580">
      <w:bodyDiv w:val="1"/>
      <w:marLeft w:val="0"/>
      <w:marRight w:val="0"/>
      <w:marTop w:val="0"/>
      <w:marBottom w:val="0"/>
      <w:divBdr>
        <w:top w:val="none" w:sz="0" w:space="0" w:color="auto"/>
        <w:left w:val="none" w:sz="0" w:space="0" w:color="auto"/>
        <w:bottom w:val="none" w:sz="0" w:space="0" w:color="auto"/>
        <w:right w:val="none" w:sz="0" w:space="0" w:color="auto"/>
      </w:divBdr>
    </w:div>
    <w:div w:id="2025814256">
      <w:bodyDiv w:val="1"/>
      <w:marLeft w:val="0"/>
      <w:marRight w:val="0"/>
      <w:marTop w:val="0"/>
      <w:marBottom w:val="0"/>
      <w:divBdr>
        <w:top w:val="none" w:sz="0" w:space="0" w:color="auto"/>
        <w:left w:val="none" w:sz="0" w:space="0" w:color="auto"/>
        <w:bottom w:val="none" w:sz="0" w:space="0" w:color="auto"/>
        <w:right w:val="none" w:sz="0" w:space="0" w:color="auto"/>
      </w:divBdr>
    </w:div>
    <w:div w:id="2090031210">
      <w:bodyDiv w:val="1"/>
      <w:marLeft w:val="0"/>
      <w:marRight w:val="0"/>
      <w:marTop w:val="0"/>
      <w:marBottom w:val="0"/>
      <w:divBdr>
        <w:top w:val="none" w:sz="0" w:space="0" w:color="auto"/>
        <w:left w:val="none" w:sz="0" w:space="0" w:color="auto"/>
        <w:bottom w:val="none" w:sz="0" w:space="0" w:color="auto"/>
        <w:right w:val="none" w:sz="0" w:space="0" w:color="auto"/>
      </w:divBdr>
    </w:div>
    <w:div w:id="2106267930">
      <w:bodyDiv w:val="1"/>
      <w:marLeft w:val="0"/>
      <w:marRight w:val="0"/>
      <w:marTop w:val="0"/>
      <w:marBottom w:val="0"/>
      <w:divBdr>
        <w:top w:val="none" w:sz="0" w:space="0" w:color="auto"/>
        <w:left w:val="none" w:sz="0" w:space="0" w:color="auto"/>
        <w:bottom w:val="none" w:sz="0" w:space="0" w:color="auto"/>
        <w:right w:val="none" w:sz="0" w:space="0" w:color="auto"/>
      </w:divBdr>
    </w:div>
    <w:div w:id="213490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chart" Target="charts/chart4.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chart" Target="charts/chart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3.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hart" Target="charts/chart8.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4/3080/oj" TargetMode="External"/><Relationship Id="rId13" Type="http://schemas.openxmlformats.org/officeDocument/2006/relationships/hyperlink" Target="https://www.ombudsman.europa.eu/en/case/en/65469" TargetMode="External"/><Relationship Id="rId18" Type="http://schemas.openxmlformats.org/officeDocument/2006/relationships/hyperlink" Target="https://www.ombudsman.europa.eu/en/case/en/68195" TargetMode="External"/><Relationship Id="rId3" Type="http://schemas.openxmlformats.org/officeDocument/2006/relationships/hyperlink" Target="https://commission.europa.eu/priorities-2024-2029/democracy-and-our-values_en" TargetMode="External"/><Relationship Id="rId7" Type="http://schemas.openxmlformats.org/officeDocument/2006/relationships/hyperlink" Target="https://eur-lex.europa.eu/" TargetMode="External"/><Relationship Id="rId12" Type="http://schemas.openxmlformats.org/officeDocument/2006/relationships/hyperlink" Target="https://www.ombudsman.europa.eu/en/case/en/64317" TargetMode="External"/><Relationship Id="rId17" Type="http://schemas.openxmlformats.org/officeDocument/2006/relationships/hyperlink" Target="https://www.ombudsman.europa.eu/en/case/en/67020" TargetMode="External"/><Relationship Id="rId2" Type="http://schemas.openxmlformats.org/officeDocument/2006/relationships/hyperlink" Target="https://commission.europa.eu/about/organisation/college-commissioners_en" TargetMode="External"/><Relationship Id="rId16" Type="http://schemas.openxmlformats.org/officeDocument/2006/relationships/hyperlink" Target="https://www.ombudsman.europa.eu/en/case/en/66916" TargetMode="External"/><Relationship Id="rId1" Type="http://schemas.openxmlformats.org/officeDocument/2006/relationships/hyperlink" Target="https://commission.europa.eu/document/download/e6cd4328-673c-4e7a-8683-f63ffb2cf648_en" TargetMode="External"/><Relationship Id="rId6" Type="http://schemas.openxmlformats.org/officeDocument/2006/relationships/hyperlink" Target="https://commission.europa.eu/about-european-commission/service-standards-and-principles/transparency/access-documents/how-access-commission-documents_en" TargetMode="External"/><Relationship Id="rId11" Type="http://schemas.openxmlformats.org/officeDocument/2006/relationships/hyperlink" Target="https://ec.europa.eu/transparency/documents-register/" TargetMode="External"/><Relationship Id="rId5" Type="http://schemas.openxmlformats.org/officeDocument/2006/relationships/hyperlink" Target="https://commission.europa.eu/about/service-standards-and-principles/transparency/how-access-commission-documents" TargetMode="External"/><Relationship Id="rId15" Type="http://schemas.openxmlformats.org/officeDocument/2006/relationships/hyperlink" Target="https://www.ombudsman.europa.eu/en/case/en/64691" TargetMode="External"/><Relationship Id="rId10" Type="http://schemas.openxmlformats.org/officeDocument/2006/relationships/hyperlink" Target="https://commission.europa.eu/about-european-commission/service-standards-and-principles/transparency/access-documents/how-access-commission-documents_en" TargetMode="External"/><Relationship Id="rId19" Type="http://schemas.openxmlformats.org/officeDocument/2006/relationships/hyperlink" Target="https://www.ombudsman.europa.eu/en/case/en/67261" TargetMode="External"/><Relationship Id="rId4" Type="http://schemas.openxmlformats.org/officeDocument/2006/relationships/hyperlink" Target="https://ec.europa.eu/transparency/documents-request/home" TargetMode="External"/><Relationship Id="rId9" Type="http://schemas.openxmlformats.org/officeDocument/2006/relationships/hyperlink" Target="https://commission.europa.eu/about/service-standards-and-principles/transparency/how-access-commission-documents" TargetMode="External"/><Relationship Id="rId14" Type="http://schemas.openxmlformats.org/officeDocument/2006/relationships/hyperlink" Target="https://www.ombudsman.europa.eu/en/case/en/66373"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GB" sz="1600" b="1" i="0" kern="1200" cap="all" spc="120" baseline="0">
                <a:solidFill>
                  <a:srgbClr val="595959"/>
                </a:solidFill>
                <a:effectLst/>
              </a:rPr>
              <a:t>INITIAL APPLICATIONS</a:t>
            </a:r>
            <a:endParaRPr lang="en-GB">
              <a:effectLst/>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2.5941315063120772E-2"/>
          <c:y val="0.18634457457279016"/>
          <c:w val="0.9481173698737585"/>
          <c:h val="0.62862128719314558"/>
        </c:manualLayout>
      </c:layout>
      <c:barChart>
        <c:barDir val="col"/>
        <c:grouping val="clustered"/>
        <c:varyColors val="0"/>
        <c:ser>
          <c:idx val="0"/>
          <c:order val="0"/>
          <c:tx>
            <c:strRef>
              <c:f>'3.1 Number of Applications'!$C$3</c:f>
              <c:strCache>
                <c:ptCount val="1"/>
                <c:pt idx="0">
                  <c:v>Applications registered</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'3.1 Number of Applications'!$D$2:$H$2</c:f>
              <c:numCache>
                <c:formatCode>General</c:formatCode>
                <c:ptCount val="5"/>
                <c:pt idx="0">
                  <c:v>2021</c:v>
                </c:pt>
                <c:pt idx="1">
                  <c:v>2022</c:v>
                </c:pt>
                <c:pt idx="2">
                  <c:v>2023</c:v>
                </c:pt>
                <c:pt idx="3">
                  <c:v>2024</c:v>
                </c:pt>
                <c:pt idx="4">
                  <c:v>2025</c:v>
                </c:pt>
              </c:numCache>
            </c:numRef>
          </c:cat>
          <c:val>
            <c:numRef>
              <c:f>'3.1 Number of Applications'!$D$3:$H$3</c:f>
              <c:numCache>
                <c:formatCode>#,##0</c:formatCode>
                <c:ptCount val="5"/>
                <c:pt idx="0">
                  <c:v>8420</c:v>
                </c:pt>
                <c:pt idx="1">
                  <c:v>7410</c:v>
                </c:pt>
                <c:pt idx="2">
                  <c:v>7274</c:v>
                </c:pt>
                <c:pt idx="3">
                  <c:v>6938</c:v>
                </c:pt>
                <c:pt idx="4">
                  <c:v>6434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5A57-4E2A-90B7-1422641BC883}"/>
            </c:ext>
          </c:extLst>
        </c:ser>
        <c:ser>
          <c:idx val="1"/>
          <c:order val="1"/>
          <c:tx>
            <c:strRef>
              <c:f>'3.1 Number of Applications'!$C$4</c:f>
              <c:strCache>
                <c:ptCount val="1"/>
                <c:pt idx="0">
                  <c:v>Regulation 1049/2001 replies</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'3.1 Number of Applications'!$D$2:$H$2</c:f>
              <c:numCache>
                <c:formatCode>General</c:formatCode>
                <c:ptCount val="5"/>
                <c:pt idx="0">
                  <c:v>2021</c:v>
                </c:pt>
                <c:pt idx="1">
                  <c:v>2022</c:v>
                </c:pt>
                <c:pt idx="2">
                  <c:v>2023</c:v>
                </c:pt>
                <c:pt idx="3">
                  <c:v>2024</c:v>
                </c:pt>
                <c:pt idx="4">
                  <c:v>2025</c:v>
                </c:pt>
              </c:numCache>
            </c:numRef>
          </c:cat>
          <c:val>
            <c:numRef>
              <c:f>'3.1 Number of Applications'!$D$4:$H$4</c:f>
              <c:numCache>
                <c:formatCode>#,##0</c:formatCode>
                <c:ptCount val="5"/>
                <c:pt idx="0">
                  <c:v>8280</c:v>
                </c:pt>
                <c:pt idx="1">
                  <c:v>7503</c:v>
                </c:pt>
                <c:pt idx="2">
                  <c:v>6469</c:v>
                </c:pt>
                <c:pt idx="3">
                  <c:v>5542</c:v>
                </c:pt>
                <c:pt idx="4">
                  <c:v>4471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5A57-4E2A-90B7-1422641BC883}"/>
            </c:ext>
          </c:extLst>
        </c:ser>
        <c:ser>
          <c:idx val="2"/>
          <c:order val="2"/>
          <c:tx>
            <c:strRef>
              <c:f>'3.1 Number of Applications'!$C$5</c:f>
              <c:strCache>
                <c:ptCount val="1"/>
                <c:pt idx="0">
                  <c:v>Other replies</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'3.1 Number of Applications'!$D$2:$H$2</c:f>
              <c:numCache>
                <c:formatCode>General</c:formatCode>
                <c:ptCount val="5"/>
                <c:pt idx="0">
                  <c:v>2021</c:v>
                </c:pt>
                <c:pt idx="1">
                  <c:v>2022</c:v>
                </c:pt>
                <c:pt idx="2">
                  <c:v>2023</c:v>
                </c:pt>
                <c:pt idx="3">
                  <c:v>2024</c:v>
                </c:pt>
                <c:pt idx="4">
                  <c:v>2025</c:v>
                </c:pt>
              </c:numCache>
            </c:numRef>
          </c:cat>
          <c:val>
            <c:numRef>
              <c:f>'3.1 Number of Applications'!$D$5:$H$5</c:f>
              <c:numCache>
                <c:formatCode>#,##0</c:formatCode>
                <c:ptCount val="5"/>
                <c:pt idx="0">
                  <c:v>861</c:v>
                </c:pt>
                <c:pt idx="1">
                  <c:v>1146</c:v>
                </c:pt>
                <c:pt idx="2">
                  <c:v>1268</c:v>
                </c:pt>
                <c:pt idx="3">
                  <c:v>1321</c:v>
                </c:pt>
                <c:pt idx="4">
                  <c:v>1937</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5A57-4E2A-90B7-1422641BC883}"/>
            </c:ext>
          </c:extLst>
        </c:ser>
        <c:dLbls>
          <c:dLblPos val="outEnd"/>
          <c:showLegendKey val="0"/>
          <c:showVal val="1"/>
          <c:showCatName val="0"/>
          <c:showSerName val="0"/>
          <c:showPercent val="0"/>
          <c:showBubbleSize val="0"/>
        </c:dLbls>
        <c:gapWidth val="444"/>
        <c:overlap val="-90"/>
        <c:axId val="608858368"/>
        <c:axId val="608848200"/>
      </c:barChart>
      <c:catAx>
        <c:axId val="608858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608848200"/>
        <c:crosses val="autoZero"/>
        <c:auto val="1"/>
        <c:lblAlgn val="ctr"/>
        <c:lblOffset val="100"/>
        <c:noMultiLvlLbl val="0"/>
      </c:catAx>
      <c:valAx>
        <c:axId val="608848200"/>
        <c:scaling>
          <c:orientation val="minMax"/>
        </c:scaling>
        <c:delete val="1"/>
        <c:axPos val="l"/>
        <c:numFmt formatCode="#,##0" sourceLinked="1"/>
        <c:majorTickMark val="none"/>
        <c:minorTickMark val="none"/>
        <c:tickLblPos val="nextTo"/>
        <c:crossAx val="608858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GB" sz="1600" b="1" i="0" kern="1200" cap="all" spc="120" baseline="0">
                <a:solidFill>
                  <a:srgbClr val="595959"/>
                </a:solidFill>
                <a:effectLst/>
              </a:rPr>
              <a:t>CONFIRMATORY APPLICATIONS</a:t>
            </a:r>
            <a:endParaRPr lang="en-GB">
              <a:effectLst/>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2.5941315063120772E-2"/>
          <c:y val="0.18634457457279016"/>
          <c:w val="0.9481173698737585"/>
          <c:h val="0.62862128719314558"/>
        </c:manualLayout>
      </c:layout>
      <c:barChart>
        <c:barDir val="col"/>
        <c:grouping val="clustered"/>
        <c:varyColors val="0"/>
        <c:ser>
          <c:idx val="0"/>
          <c:order val="0"/>
          <c:tx>
            <c:strRef>
              <c:f>'3.1 Number of Applications'!$M$3</c:f>
              <c:strCache>
                <c:ptCount val="1"/>
                <c:pt idx="0">
                  <c:v>Applications registered</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'3.1 Number of Applications'!$N$2:$R$2</c:f>
              <c:numCache>
                <c:formatCode>General</c:formatCode>
                <c:ptCount val="5"/>
                <c:pt idx="0">
                  <c:v>2021</c:v>
                </c:pt>
                <c:pt idx="1">
                  <c:v>2022</c:v>
                </c:pt>
                <c:pt idx="2">
                  <c:v>2023</c:v>
                </c:pt>
                <c:pt idx="3">
                  <c:v>2024</c:v>
                </c:pt>
                <c:pt idx="4">
                  <c:v>2025</c:v>
                </c:pt>
              </c:numCache>
            </c:numRef>
          </c:cat>
          <c:val>
            <c:numRef>
              <c:f>'3.1 Number of Applications'!$N$3:$R$3</c:f>
              <c:numCache>
                <c:formatCode>General</c:formatCode>
                <c:ptCount val="5"/>
                <c:pt idx="0">
                  <c:v>355</c:v>
                </c:pt>
                <c:pt idx="1">
                  <c:v>418</c:v>
                </c:pt>
                <c:pt idx="2">
                  <c:v>599</c:v>
                </c:pt>
                <c:pt idx="3">
                  <c:v>641</c:v>
                </c:pt>
                <c:pt idx="4">
                  <c:v>697</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E56A-4633-8066-DB533633678A}"/>
            </c:ext>
          </c:extLst>
        </c:ser>
        <c:ser>
          <c:idx val="1"/>
          <c:order val="1"/>
          <c:tx>
            <c:strRef>
              <c:f>'3.1 Number of Applications'!$M$4</c:f>
              <c:strCache>
                <c:ptCount val="1"/>
                <c:pt idx="0">
                  <c:v>Regulation 1049/2001 replies</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'3.1 Number of Applications'!$N$2:$R$2</c:f>
              <c:numCache>
                <c:formatCode>General</c:formatCode>
                <c:ptCount val="5"/>
                <c:pt idx="0">
                  <c:v>2021</c:v>
                </c:pt>
                <c:pt idx="1">
                  <c:v>2022</c:v>
                </c:pt>
                <c:pt idx="2">
                  <c:v>2023</c:v>
                </c:pt>
                <c:pt idx="3">
                  <c:v>2024</c:v>
                </c:pt>
                <c:pt idx="4">
                  <c:v>2025</c:v>
                </c:pt>
              </c:numCache>
            </c:numRef>
          </c:cat>
          <c:val>
            <c:numRef>
              <c:f>'3.1 Number of Applications'!$N$4:$R$4</c:f>
              <c:numCache>
                <c:formatCode>General</c:formatCode>
                <c:ptCount val="5"/>
                <c:pt idx="0">
                  <c:v>247</c:v>
                </c:pt>
                <c:pt idx="1">
                  <c:v>296</c:v>
                </c:pt>
                <c:pt idx="2">
                  <c:v>366</c:v>
                </c:pt>
                <c:pt idx="3">
                  <c:v>305</c:v>
                </c:pt>
                <c:pt idx="4">
                  <c:v>384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E56A-4633-8066-DB533633678A}"/>
            </c:ext>
          </c:extLst>
        </c:ser>
        <c:ser>
          <c:idx val="2"/>
          <c:order val="2"/>
          <c:tx>
            <c:strRef>
              <c:f>'3.1 Number of Applications'!$M$5</c:f>
              <c:strCache>
                <c:ptCount val="1"/>
                <c:pt idx="0">
                  <c:v>Other replies</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'3.1 Number of Applications'!$N$2:$R$2</c:f>
              <c:numCache>
                <c:formatCode>General</c:formatCode>
                <c:ptCount val="5"/>
                <c:pt idx="0">
                  <c:v>2021</c:v>
                </c:pt>
                <c:pt idx="1">
                  <c:v>2022</c:v>
                </c:pt>
                <c:pt idx="2">
                  <c:v>2023</c:v>
                </c:pt>
                <c:pt idx="3">
                  <c:v>2024</c:v>
                </c:pt>
                <c:pt idx="4">
                  <c:v>2025</c:v>
                </c:pt>
              </c:numCache>
            </c:numRef>
          </c:cat>
          <c:val>
            <c:numRef>
              <c:f>'3.1 Number of Applications'!$N$5:$R$5</c:f>
              <c:numCache>
                <c:formatCode>General</c:formatCode>
                <c:ptCount val="5"/>
                <c:pt idx="0">
                  <c:v>50</c:v>
                </c:pt>
                <c:pt idx="1">
                  <c:v>102</c:v>
                </c:pt>
                <c:pt idx="2">
                  <c:v>27</c:v>
                </c:pt>
                <c:pt idx="3">
                  <c:v>209</c:v>
                </c:pt>
                <c:pt idx="4">
                  <c:v>297</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E56A-4633-8066-DB533633678A}"/>
            </c:ext>
          </c:extLst>
        </c:ser>
        <c:dLbls>
          <c:dLblPos val="outEnd"/>
          <c:showLegendKey val="0"/>
          <c:showVal val="1"/>
          <c:showCatName val="0"/>
          <c:showSerName val="0"/>
          <c:showPercent val="0"/>
          <c:showBubbleSize val="0"/>
        </c:dLbls>
        <c:gapWidth val="444"/>
        <c:overlap val="-90"/>
        <c:axId val="608858368"/>
        <c:axId val="608848200"/>
      </c:barChart>
      <c:catAx>
        <c:axId val="608858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608848200"/>
        <c:crosses val="autoZero"/>
        <c:auto val="1"/>
        <c:lblAlgn val="ctr"/>
        <c:lblOffset val="100"/>
        <c:noMultiLvlLbl val="0"/>
      </c:catAx>
      <c:valAx>
        <c:axId val="608848200"/>
        <c:scaling>
          <c:orientation val="minMax"/>
        </c:scaling>
        <c:delete val="1"/>
        <c:axPos val="l"/>
        <c:numFmt formatCode="General" sourceLinked="1"/>
        <c:majorTickMark val="none"/>
        <c:minorTickMark val="none"/>
        <c:tickLblPos val="nextTo"/>
        <c:crossAx val="608858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GB" sz="1600" b="1" i="0" u="none" strike="noStrike" cap="all" normalizeH="0" baseline="0"/>
              <a:t>INITIAL APPLICATIONS 2025</a:t>
            </a:r>
            <a:endParaRPr lang="en-GB"/>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2.5921704946796489E-2"/>
          <c:y val="0.19952465315899789"/>
          <c:w val="0.94815659010640707"/>
          <c:h val="0.63714473749875233"/>
        </c:manualLayout>
      </c:layout>
      <c:barChart>
        <c:barDir val="col"/>
        <c:grouping val="clustered"/>
        <c:varyColors val="1"/>
        <c:ser>
          <c:idx val="0"/>
          <c:order val="0"/>
          <c:tx>
            <c:strRef>
              <c:f>'3.2 Number initials appl per DG'!$H$3</c:f>
              <c:strCache>
                <c:ptCount val="1"/>
                <c:pt idx="0">
                  <c:v>%</c:v>
                </c:pt>
              </c:strCache>
            </c:strRef>
          </c:tx>
          <c:invertIfNegative val="0"/>
          <c:dPt>
            <c:idx val="0"/>
            <c:invertIfNegative val="0"/>
            <c:bubble3D val="0"/>
            <c:spPr>
              <a:solidFill>
                <a:schemeClr val="accent1"/>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94A-41F0-95DB-CE22AED53605}"/>
              </c:ext>
            </c:extLst>
          </c:dPt>
          <c:dPt>
            <c:idx val="1"/>
            <c:invertIfNegative val="0"/>
            <c:bubble3D val="0"/>
            <c:spPr>
              <a:solidFill>
                <a:schemeClr val="accent2"/>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194A-41F0-95DB-CE22AED53605}"/>
              </c:ext>
            </c:extLst>
          </c:dPt>
          <c:dPt>
            <c:idx val="2"/>
            <c:invertIfNegative val="0"/>
            <c:bubble3D val="0"/>
            <c:spPr>
              <a:solidFill>
                <a:schemeClr val="accent3"/>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194A-41F0-95DB-CE22AED53605}"/>
              </c:ext>
            </c:extLst>
          </c:dPt>
          <c:dPt>
            <c:idx val="3"/>
            <c:invertIfNegative val="0"/>
            <c:bubble3D val="0"/>
            <c:spPr>
              <a:solidFill>
                <a:schemeClr val="accent4"/>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194A-41F0-95DB-CE22AED53605}"/>
              </c:ext>
            </c:extLst>
          </c:dPt>
          <c:dPt>
            <c:idx val="4"/>
            <c:invertIfNegative val="0"/>
            <c:bubble3D val="0"/>
            <c:spPr>
              <a:solidFill>
                <a:schemeClr val="accent5"/>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194A-41F0-95DB-CE22AED53605}"/>
              </c:ext>
            </c:extLst>
          </c:dPt>
          <c:dPt>
            <c:idx val="5"/>
            <c:invertIfNegative val="0"/>
            <c:bubble3D val="0"/>
            <c:spPr>
              <a:solidFill>
                <a:schemeClr val="accent6"/>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194A-41F0-95DB-CE22AED53605}"/>
              </c:ext>
            </c:extLst>
          </c:dPt>
          <c:dPt>
            <c:idx val="6"/>
            <c:invertIfNegative val="0"/>
            <c:bubble3D val="0"/>
            <c:spPr>
              <a:solidFill>
                <a:schemeClr val="accent1">
                  <a:lumMod val="6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194A-41F0-95DB-CE22AED53605}"/>
              </c:ext>
            </c:extLst>
          </c:dPt>
          <c:dPt>
            <c:idx val="7"/>
            <c:invertIfNegative val="0"/>
            <c:bubble3D val="0"/>
            <c:spPr>
              <a:solidFill>
                <a:schemeClr val="accent2">
                  <a:lumMod val="6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194A-41F0-95DB-CE22AED53605}"/>
              </c:ext>
            </c:extLst>
          </c:dPt>
          <c:dPt>
            <c:idx val="8"/>
            <c:invertIfNegative val="0"/>
            <c:bubble3D val="0"/>
            <c:spPr>
              <a:solidFill>
                <a:schemeClr val="accent3">
                  <a:lumMod val="6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194A-41F0-95DB-CE22AED53605}"/>
              </c:ext>
            </c:extLst>
          </c:dPt>
          <c:dPt>
            <c:idx val="9"/>
            <c:invertIfNegative val="0"/>
            <c:bubble3D val="0"/>
            <c:spPr>
              <a:solidFill>
                <a:schemeClr val="accent4">
                  <a:lumMod val="6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194A-41F0-95DB-CE22AED53605}"/>
              </c:ext>
            </c:extLst>
          </c:dPt>
          <c:dPt>
            <c:idx val="10"/>
            <c:invertIfNegative val="0"/>
            <c:bubble3D val="0"/>
            <c:spPr>
              <a:solidFill>
                <a:schemeClr val="accent5">
                  <a:lumMod val="6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194A-41F0-95DB-CE22AED53605}"/>
              </c:ext>
            </c:extLst>
          </c:dPt>
          <c:dPt>
            <c:idx val="11"/>
            <c:invertIfNegative val="0"/>
            <c:bubble3D val="0"/>
            <c:spPr>
              <a:solidFill>
                <a:schemeClr val="accent6">
                  <a:lumMod val="6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194A-41F0-95DB-CE22AED53605}"/>
              </c:ext>
            </c:extLst>
          </c:dPt>
          <c:dPt>
            <c:idx val="12"/>
            <c:invertIfNegative val="0"/>
            <c:bubble3D val="0"/>
            <c:spPr>
              <a:solidFill>
                <a:schemeClr val="accent1">
                  <a:lumMod val="80000"/>
                  <a:lumOff val="2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194A-41F0-95DB-CE22AED53605}"/>
              </c:ext>
            </c:extLst>
          </c:dPt>
          <c:dPt>
            <c:idx val="13"/>
            <c:invertIfNegative val="0"/>
            <c:bubble3D val="0"/>
            <c:spPr>
              <a:solidFill>
                <a:schemeClr val="accent2">
                  <a:lumMod val="80000"/>
                  <a:lumOff val="2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194A-41F0-95DB-CE22AED53605}"/>
              </c:ext>
            </c:extLst>
          </c:dPt>
          <c:dPt>
            <c:idx val="14"/>
            <c:invertIfNegative val="0"/>
            <c:bubble3D val="0"/>
            <c:spPr>
              <a:solidFill>
                <a:schemeClr val="accent3">
                  <a:lumMod val="80000"/>
                  <a:lumOff val="2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194A-41F0-95DB-CE22AED53605}"/>
              </c:ext>
            </c:extLst>
          </c:dPt>
          <c:dPt>
            <c:idx val="15"/>
            <c:invertIfNegative val="0"/>
            <c:bubble3D val="0"/>
            <c:spPr>
              <a:solidFill>
                <a:schemeClr val="accent4">
                  <a:lumMod val="80000"/>
                  <a:lumOff val="2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194A-41F0-95DB-CE22AED53605}"/>
              </c:ext>
            </c:extLst>
          </c:dPt>
          <c:dPt>
            <c:idx val="16"/>
            <c:invertIfNegative val="0"/>
            <c:bubble3D val="0"/>
            <c:spPr>
              <a:solidFill>
                <a:schemeClr val="accent5">
                  <a:lumMod val="80000"/>
                  <a:lumOff val="2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194A-41F0-95DB-CE22AED53605}"/>
              </c:ext>
            </c:extLst>
          </c:dPt>
          <c:dPt>
            <c:idx val="17"/>
            <c:invertIfNegative val="0"/>
            <c:bubble3D val="0"/>
            <c:spPr>
              <a:solidFill>
                <a:schemeClr val="accent6">
                  <a:lumMod val="80000"/>
                  <a:lumOff val="2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194A-41F0-95DB-CE22AED53605}"/>
              </c:ext>
            </c:extLst>
          </c:dPt>
          <c:dPt>
            <c:idx val="18"/>
            <c:invertIfNegative val="0"/>
            <c:bubble3D val="0"/>
            <c:spPr>
              <a:solidFill>
                <a:schemeClr val="accent1">
                  <a:lumMod val="8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194A-41F0-95DB-CE22AED53605}"/>
              </c:ext>
            </c:extLst>
          </c:dPt>
          <c:dPt>
            <c:idx val="19"/>
            <c:invertIfNegative val="0"/>
            <c:bubble3D val="0"/>
            <c:spPr>
              <a:solidFill>
                <a:schemeClr val="accent2">
                  <a:lumMod val="8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194A-41F0-95DB-CE22AED53605}"/>
              </c:ext>
            </c:extLst>
          </c:dPt>
          <c:dPt>
            <c:idx val="20"/>
            <c:invertIfNegative val="0"/>
            <c:bubble3D val="0"/>
            <c:spPr>
              <a:solidFill>
                <a:schemeClr val="accent3">
                  <a:lumMod val="8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194A-41F0-95DB-CE22AED53605}"/>
              </c:ext>
            </c:extLst>
          </c:dPt>
          <c:dPt>
            <c:idx val="21"/>
            <c:invertIfNegative val="0"/>
            <c:bubble3D val="0"/>
            <c:spPr>
              <a:solidFill>
                <a:schemeClr val="accent4">
                  <a:lumMod val="8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194A-41F0-95DB-CE22AED53605}"/>
              </c:ext>
            </c:extLst>
          </c:dPt>
          <c:dPt>
            <c:idx val="22"/>
            <c:invertIfNegative val="0"/>
            <c:bubble3D val="0"/>
            <c:spPr>
              <a:solidFill>
                <a:schemeClr val="accent5">
                  <a:lumMod val="8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194A-41F0-95DB-CE22AED53605}"/>
              </c:ext>
            </c:extLst>
          </c:dPt>
          <c:dPt>
            <c:idx val="23"/>
            <c:invertIfNegative val="0"/>
            <c:bubble3D val="0"/>
            <c:spPr>
              <a:solidFill>
                <a:schemeClr val="accent6">
                  <a:lumMod val="8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194A-41F0-95DB-CE22AED53605}"/>
              </c:ext>
            </c:extLst>
          </c:dPt>
          <c:dPt>
            <c:idx val="24"/>
            <c:invertIfNegative val="0"/>
            <c:bubble3D val="0"/>
            <c:spPr>
              <a:solidFill>
                <a:schemeClr val="accent1">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194A-41F0-95DB-CE22AED53605}"/>
              </c:ext>
            </c:extLst>
          </c:dPt>
          <c:dPt>
            <c:idx val="25"/>
            <c:invertIfNegative val="0"/>
            <c:bubble3D val="0"/>
            <c:spPr>
              <a:solidFill>
                <a:schemeClr val="accent2">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194A-41F0-95DB-CE22AED53605}"/>
              </c:ext>
            </c:extLst>
          </c:dPt>
          <c:dPt>
            <c:idx val="26"/>
            <c:invertIfNegative val="0"/>
            <c:bubble3D val="0"/>
            <c:spPr>
              <a:solidFill>
                <a:schemeClr val="accent3">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194A-41F0-95DB-CE22AED53605}"/>
              </c:ext>
            </c:extLst>
          </c:dPt>
          <c:dPt>
            <c:idx val="27"/>
            <c:invertIfNegative val="0"/>
            <c:bubble3D val="0"/>
            <c:spPr>
              <a:solidFill>
                <a:schemeClr val="accent4">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194A-41F0-95DB-CE22AED53605}"/>
              </c:ext>
            </c:extLst>
          </c:dPt>
          <c:dPt>
            <c:idx val="28"/>
            <c:invertIfNegative val="0"/>
            <c:bubble3D val="0"/>
            <c:spPr>
              <a:solidFill>
                <a:schemeClr val="accent5">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194A-41F0-95DB-CE22AED53605}"/>
              </c:ext>
            </c:extLst>
          </c:dPt>
          <c:dPt>
            <c:idx val="29"/>
            <c:invertIfNegative val="0"/>
            <c:bubble3D val="0"/>
            <c:spPr>
              <a:solidFill>
                <a:schemeClr val="accent6">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194A-41F0-95DB-CE22AED53605}"/>
              </c:ext>
            </c:extLst>
          </c:dPt>
          <c:dPt>
            <c:idx val="30"/>
            <c:invertIfNegative val="0"/>
            <c:bubble3D val="0"/>
            <c:spPr>
              <a:solidFill>
                <a:schemeClr val="accent1">
                  <a:lumMod val="5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194A-41F0-95DB-CE22AED53605}"/>
              </c:ext>
            </c:extLst>
          </c:dPt>
          <c:dPt>
            <c:idx val="31"/>
            <c:invertIfNegative val="0"/>
            <c:bubble3D val="0"/>
            <c:spPr>
              <a:solidFill>
                <a:schemeClr val="accent2">
                  <a:lumMod val="5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194A-41F0-95DB-CE22AED53605}"/>
              </c:ext>
            </c:extLst>
          </c:dPt>
          <c:dPt>
            <c:idx val="32"/>
            <c:invertIfNegative val="0"/>
            <c:bubble3D val="0"/>
            <c:spPr>
              <a:solidFill>
                <a:schemeClr val="accent3">
                  <a:lumMod val="5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194A-41F0-95DB-CE22AED53605}"/>
              </c:ext>
            </c:extLst>
          </c:dPt>
          <c:dPt>
            <c:idx val="33"/>
            <c:invertIfNegative val="0"/>
            <c:bubble3D val="0"/>
            <c:spPr>
              <a:solidFill>
                <a:schemeClr val="accent4">
                  <a:lumMod val="5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194A-41F0-95DB-CE22AED53605}"/>
              </c:ext>
            </c:extLst>
          </c:dPt>
          <c:dPt>
            <c:idx val="34"/>
            <c:invertIfNegative val="0"/>
            <c:bubble3D val="0"/>
            <c:spPr>
              <a:solidFill>
                <a:schemeClr val="accent5">
                  <a:lumMod val="5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194A-41F0-95DB-CE22AED53605}"/>
              </c:ext>
            </c:extLst>
          </c:dPt>
          <c:dPt>
            <c:idx val="35"/>
            <c:invertIfNegative val="0"/>
            <c:bubble3D val="0"/>
            <c:spPr>
              <a:solidFill>
                <a:schemeClr val="accent6">
                  <a:lumMod val="5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194A-41F0-95DB-CE22AED53605}"/>
              </c:ext>
            </c:extLst>
          </c:dPt>
          <c:dPt>
            <c:idx val="36"/>
            <c:invertIfNegative val="0"/>
            <c:bubble3D val="0"/>
            <c:spPr>
              <a:solidFill>
                <a:schemeClr val="accent1">
                  <a:lumMod val="70000"/>
                  <a:lumOff val="3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194A-41F0-95DB-CE22AED53605}"/>
              </c:ext>
            </c:extLst>
          </c:dPt>
          <c:dPt>
            <c:idx val="37"/>
            <c:invertIfNegative val="0"/>
            <c:bubble3D val="0"/>
            <c:spPr>
              <a:solidFill>
                <a:schemeClr val="accent2">
                  <a:lumMod val="70000"/>
                  <a:lumOff val="3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194A-41F0-95DB-CE22AED53605}"/>
              </c:ext>
            </c:extLst>
          </c:dPt>
          <c:dPt>
            <c:idx val="38"/>
            <c:invertIfNegative val="0"/>
            <c:bubble3D val="0"/>
            <c:spPr>
              <a:solidFill>
                <a:schemeClr val="accent3">
                  <a:lumMod val="70000"/>
                  <a:lumOff val="3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194A-41F0-95DB-CE22AED53605}"/>
              </c:ext>
            </c:extLst>
          </c:dPt>
          <c:dPt>
            <c:idx val="39"/>
            <c:invertIfNegative val="0"/>
            <c:bubble3D val="0"/>
            <c:spPr>
              <a:solidFill>
                <a:schemeClr val="accent4">
                  <a:lumMod val="70000"/>
                  <a:lumOff val="3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194A-41F0-95DB-CE22AED53605}"/>
              </c:ext>
            </c:extLst>
          </c:dPt>
          <c:dPt>
            <c:idx val="40"/>
            <c:invertIfNegative val="0"/>
            <c:bubble3D val="0"/>
            <c:spPr>
              <a:solidFill>
                <a:schemeClr val="accent5">
                  <a:lumMod val="70000"/>
                  <a:lumOff val="3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194A-41F0-95DB-CE22AED53605}"/>
              </c:ext>
            </c:extLst>
          </c:dPt>
          <c:dPt>
            <c:idx val="41"/>
            <c:invertIfNegative val="0"/>
            <c:bubble3D val="0"/>
            <c:spPr>
              <a:solidFill>
                <a:schemeClr val="accent6">
                  <a:lumMod val="70000"/>
                  <a:lumOff val="3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194A-41F0-95DB-CE22AED53605}"/>
              </c:ext>
            </c:extLst>
          </c:dPt>
          <c:dPt>
            <c:idx val="42"/>
            <c:invertIfNegative val="0"/>
            <c:bubble3D val="0"/>
            <c:spPr>
              <a:solidFill>
                <a:schemeClr val="accent1">
                  <a:lumMod val="7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194A-41F0-95DB-CE22AED53605}"/>
              </c:ext>
            </c:extLst>
          </c:dPt>
          <c:dPt>
            <c:idx val="43"/>
            <c:invertIfNegative val="0"/>
            <c:bubble3D val="0"/>
            <c:spPr>
              <a:solidFill>
                <a:schemeClr val="accent2">
                  <a:lumMod val="7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194A-41F0-95DB-CE22AED53605}"/>
              </c:ext>
            </c:extLst>
          </c:dPt>
          <c:dPt>
            <c:idx val="44"/>
            <c:invertIfNegative val="0"/>
            <c:bubble3D val="0"/>
            <c:spPr>
              <a:solidFill>
                <a:schemeClr val="accent3">
                  <a:lumMod val="7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194A-41F0-95DB-CE22AED53605}"/>
              </c:ext>
            </c:extLst>
          </c:dPt>
          <c:dPt>
            <c:idx val="45"/>
            <c:invertIfNegative val="0"/>
            <c:bubble3D val="0"/>
            <c:spPr>
              <a:solidFill>
                <a:schemeClr val="accent4">
                  <a:lumMod val="7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B-194A-41F0-95DB-CE22AED53605}"/>
              </c:ext>
            </c:extLst>
          </c:dPt>
          <c:dPt>
            <c:idx val="46"/>
            <c:invertIfNegative val="0"/>
            <c:bubble3D val="0"/>
            <c:spPr>
              <a:solidFill>
                <a:schemeClr val="accent5">
                  <a:lumMod val="7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D-194A-41F0-95DB-CE22AED53605}"/>
              </c:ext>
            </c:extLst>
          </c:dPt>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'3.2 Number initials appl per DG'!$F$4:$F$50</c:f>
              <c:strCache>
                <c:ptCount val="47"/>
                <c:pt idx="0">
                  <c:v>SG</c:v>
                </c:pt>
                <c:pt idx="1">
                  <c:v>SG REF.</c:v>
                </c:pt>
                <c:pt idx="2">
                  <c:v>SJ</c:v>
                </c:pt>
                <c:pt idx="3">
                  <c:v>COMM</c:v>
                </c:pt>
                <c:pt idx="4">
                  <c:v>IDEA</c:v>
                </c:pt>
                <c:pt idx="5">
                  <c:v>BUDG</c:v>
                </c:pt>
                <c:pt idx="6">
                  <c:v>HR</c:v>
                </c:pt>
                <c:pt idx="7">
                  <c:v>DIGIT</c:v>
                </c:pt>
                <c:pt idx="8">
                  <c:v>IAS</c:v>
                </c:pt>
                <c:pt idx="9">
                  <c:v>OLAF</c:v>
                </c:pt>
                <c:pt idx="10">
                  <c:v>ECFIN</c:v>
                </c:pt>
                <c:pt idx="11">
                  <c:v>GROW</c:v>
                </c:pt>
                <c:pt idx="12">
                  <c:v>DEFIS</c:v>
                </c:pt>
                <c:pt idx="13">
                  <c:v>COMP</c:v>
                </c:pt>
                <c:pt idx="14">
                  <c:v>EMPL</c:v>
                </c:pt>
                <c:pt idx="15">
                  <c:v>AGRI</c:v>
                </c:pt>
                <c:pt idx="16">
                  <c:v>MOVE</c:v>
                </c:pt>
                <c:pt idx="17">
                  <c:v>ENER</c:v>
                </c:pt>
                <c:pt idx="18">
                  <c:v>ENV</c:v>
                </c:pt>
                <c:pt idx="19">
                  <c:v>CLIMA</c:v>
                </c:pt>
                <c:pt idx="20">
                  <c:v>RTD</c:v>
                </c:pt>
                <c:pt idx="21">
                  <c:v>CNECT</c:v>
                </c:pt>
                <c:pt idx="22">
                  <c:v>JRC</c:v>
                </c:pt>
                <c:pt idx="23">
                  <c:v>MARE</c:v>
                </c:pt>
                <c:pt idx="24">
                  <c:v>FISMA</c:v>
                </c:pt>
                <c:pt idx="25">
                  <c:v>REGIO</c:v>
                </c:pt>
                <c:pt idx="26">
                  <c:v>TAXUD</c:v>
                </c:pt>
                <c:pt idx="27">
                  <c:v>EAC</c:v>
                </c:pt>
                <c:pt idx="28">
                  <c:v>SANTE</c:v>
                </c:pt>
                <c:pt idx="29">
                  <c:v>HERA</c:v>
                </c:pt>
                <c:pt idx="30">
                  <c:v>HOME</c:v>
                </c:pt>
                <c:pt idx="31">
                  <c:v>JUST</c:v>
                </c:pt>
                <c:pt idx="32">
                  <c:v>TRADE</c:v>
                </c:pt>
                <c:pt idx="33">
                  <c:v>ENEST</c:v>
                </c:pt>
                <c:pt idx="34">
                  <c:v>MENA</c:v>
                </c:pt>
                <c:pt idx="35">
                  <c:v>NEAR</c:v>
                </c:pt>
                <c:pt idx="36">
                  <c:v>INTPA</c:v>
                </c:pt>
                <c:pt idx="37">
                  <c:v>ECHO</c:v>
                </c:pt>
                <c:pt idx="38">
                  <c:v>ESTAT</c:v>
                </c:pt>
                <c:pt idx="39">
                  <c:v>SCIC</c:v>
                </c:pt>
                <c:pt idx="40">
                  <c:v>DGT</c:v>
                </c:pt>
                <c:pt idx="41">
                  <c:v>OP</c:v>
                </c:pt>
                <c:pt idx="42">
                  <c:v>FPI</c:v>
                </c:pt>
                <c:pt idx="43">
                  <c:v>PMO</c:v>
                </c:pt>
                <c:pt idx="44">
                  <c:v>OIB</c:v>
                </c:pt>
                <c:pt idx="45">
                  <c:v>OIL</c:v>
                </c:pt>
                <c:pt idx="46">
                  <c:v>EPSO</c:v>
                </c:pt>
              </c:strCache>
            </c:strRef>
          </c:cat>
          <c:val>
            <c:numRef>
              <c:f>'3.2 Number initials appl per DG'!$H$4:$H$50</c:f>
              <c:numCache>
                <c:formatCode>0.0%</c:formatCode>
                <c:ptCount val="47"/>
                <c:pt idx="0">
                  <c:v>0.12465029530618589</c:v>
                </c:pt>
                <c:pt idx="1">
                  <c:v>7.1495181846440783E-3</c:v>
                </c:pt>
                <c:pt idx="2">
                  <c:v>2.5334162262977931E-2</c:v>
                </c:pt>
                <c:pt idx="3">
                  <c:v>4.1964563257693502E-3</c:v>
                </c:pt>
                <c:pt idx="4">
                  <c:v>6.2169723344731112E-4</c:v>
                </c:pt>
                <c:pt idx="5">
                  <c:v>1.3521914827479017E-2</c:v>
                </c:pt>
                <c:pt idx="6">
                  <c:v>1.9583462853590302E-2</c:v>
                </c:pt>
                <c:pt idx="7">
                  <c:v>1.0413428660242462E-2</c:v>
                </c:pt>
                <c:pt idx="8">
                  <c:v>1.0879701585327945E-3</c:v>
                </c:pt>
                <c:pt idx="9">
                  <c:v>3.5747590923220392E-3</c:v>
                </c:pt>
                <c:pt idx="10">
                  <c:v>1.1035125893689773E-2</c:v>
                </c:pt>
                <c:pt idx="11">
                  <c:v>0.14267951507615792</c:v>
                </c:pt>
                <c:pt idx="12">
                  <c:v>1.4765309294373641E-2</c:v>
                </c:pt>
                <c:pt idx="13">
                  <c:v>4.8336959900528442E-2</c:v>
                </c:pt>
                <c:pt idx="14">
                  <c:v>1.2900217594031706E-2</c:v>
                </c:pt>
                <c:pt idx="15">
                  <c:v>1.9738887161952129E-2</c:v>
                </c:pt>
                <c:pt idx="16">
                  <c:v>1.7096673919801058E-2</c:v>
                </c:pt>
                <c:pt idx="17">
                  <c:v>3.4970469381411254E-2</c:v>
                </c:pt>
                <c:pt idx="18">
                  <c:v>5.7196145477152627E-2</c:v>
                </c:pt>
                <c:pt idx="19">
                  <c:v>2.5955859496425242E-2</c:v>
                </c:pt>
                <c:pt idx="20">
                  <c:v>1.9738887161952129E-2</c:v>
                </c:pt>
                <c:pt idx="21">
                  <c:v>5.5641902393534351E-2</c:v>
                </c:pt>
                <c:pt idx="22">
                  <c:v>3.5747590923220392E-3</c:v>
                </c:pt>
                <c:pt idx="23">
                  <c:v>1.196767174386074E-2</c:v>
                </c:pt>
                <c:pt idx="24">
                  <c:v>2.5178737954616101E-2</c:v>
                </c:pt>
                <c:pt idx="25">
                  <c:v>1.196767174386074E-2</c:v>
                </c:pt>
                <c:pt idx="26">
                  <c:v>3.1395710289089211E-2</c:v>
                </c:pt>
                <c:pt idx="27">
                  <c:v>8.2374883431768735E-3</c:v>
                </c:pt>
                <c:pt idx="28">
                  <c:v>6.0615480261112839E-2</c:v>
                </c:pt>
                <c:pt idx="29">
                  <c:v>2.9530618588747282E-3</c:v>
                </c:pt>
                <c:pt idx="30">
                  <c:v>3.4037923531240286E-2</c:v>
                </c:pt>
                <c:pt idx="31">
                  <c:v>3.1240285980727384E-2</c:v>
                </c:pt>
                <c:pt idx="32">
                  <c:v>3.5592166614858561E-2</c:v>
                </c:pt>
                <c:pt idx="33">
                  <c:v>1.834006838669568E-2</c:v>
                </c:pt>
                <c:pt idx="34">
                  <c:v>1.0568852968604289E-2</c:v>
                </c:pt>
                <c:pt idx="35">
                  <c:v>1.0879701585327945E-3</c:v>
                </c:pt>
                <c:pt idx="36">
                  <c:v>1.8650917003419334E-2</c:v>
                </c:pt>
                <c:pt idx="37">
                  <c:v>4.6627292508548334E-3</c:v>
                </c:pt>
                <c:pt idx="38">
                  <c:v>2.4867889337892445E-3</c:v>
                </c:pt>
                <c:pt idx="39">
                  <c:v>9.3254585017096673E-4</c:v>
                </c:pt>
                <c:pt idx="40">
                  <c:v>9.3254585017096673E-4</c:v>
                </c:pt>
                <c:pt idx="41">
                  <c:v>1.554243083618278E-3</c:v>
                </c:pt>
                <c:pt idx="42">
                  <c:v>5.4398507926639731E-3</c:v>
                </c:pt>
                <c:pt idx="43">
                  <c:v>2.9530618588747282E-3</c:v>
                </c:pt>
                <c:pt idx="44">
                  <c:v>1.554243083618278E-3</c:v>
                </c:pt>
                <c:pt idx="45">
                  <c:v>0</c:v>
                </c:pt>
                <c:pt idx="46">
                  <c:v>3.8856077090456947E-3</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E-194A-41F0-95DB-CE22AED53605}"/>
            </c:ext>
          </c:extLst>
        </c:ser>
        <c:dLbls>
          <c:dLblPos val="outEnd"/>
          <c:showLegendKey val="0"/>
          <c:showVal val="1"/>
          <c:showCatName val="0"/>
          <c:showSerName val="0"/>
          <c:showPercent val="0"/>
          <c:showBubbleSize val="0"/>
        </c:dLbls>
        <c:gapWidth val="37"/>
        <c:overlap val="-90"/>
        <c:axId val="374013904"/>
        <c:axId val="374010952"/>
      </c:barChart>
      <c:catAx>
        <c:axId val="374013904"/>
        <c:scaling>
          <c:orientation val="minMax"/>
        </c:scaling>
        <c:delete val="0"/>
        <c:axPos val="b"/>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700" b="0" i="0" u="none" strike="noStrike" kern="1200" cap="all" spc="120" normalizeH="0" baseline="0">
                <a:solidFill>
                  <a:schemeClr val="tx1">
                    <a:lumMod val="65000"/>
                    <a:lumOff val="35000"/>
                  </a:schemeClr>
                </a:solidFill>
                <a:latin typeface="+mn-lt"/>
                <a:ea typeface="+mn-ea"/>
                <a:cs typeface="+mn-cs"/>
              </a:defRPr>
            </a:pPr>
            <a:endParaRPr lang="en-US"/>
          </a:p>
        </c:txPr>
        <c:crossAx val="374010952"/>
        <c:crosses val="autoZero"/>
        <c:auto val="1"/>
        <c:lblAlgn val="ctr"/>
        <c:lblOffset val="100"/>
        <c:noMultiLvlLbl val="0"/>
      </c:catAx>
      <c:valAx>
        <c:axId val="374010952"/>
        <c:scaling>
          <c:orientation val="minMax"/>
        </c:scaling>
        <c:delete val="1"/>
        <c:axPos val="l"/>
        <c:numFmt formatCode="0.0%" sourceLinked="1"/>
        <c:majorTickMark val="none"/>
        <c:minorTickMark val="none"/>
        <c:tickLblPos val="nextTo"/>
        <c:crossAx val="374013904"/>
        <c:crosses val="autoZero"/>
        <c:crossBetween val="between"/>
      </c:valAx>
      <c:spPr>
        <a:noFill/>
        <a:ln w="25400">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GB" sz="1600" b="1" i="0" u="none" strike="noStrike" cap="all" normalizeH="0" baseline="0"/>
              <a:t>CONFIRMATORY APPLICATIONS 2025</a:t>
            </a:r>
            <a:r>
              <a:rPr lang="en-GB"/>
              <a:t> </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2.5921704946796489E-2"/>
          <c:y val="0.23362161442385007"/>
          <c:w val="0.94815659010640707"/>
          <c:h val="0.61264112964556239"/>
        </c:manualLayout>
      </c:layout>
      <c:barChart>
        <c:barDir val="col"/>
        <c:grouping val="clustered"/>
        <c:varyColors val="1"/>
        <c:ser>
          <c:idx val="0"/>
          <c:order val="0"/>
          <c:invertIfNegative val="0"/>
          <c:dPt>
            <c:idx val="0"/>
            <c:invertIfNegative val="0"/>
            <c:bubble3D val="0"/>
            <c:spPr>
              <a:solidFill>
                <a:schemeClr val="accent1"/>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23A-406E-80C0-EEB2F73325C1}"/>
              </c:ext>
            </c:extLst>
          </c:dPt>
          <c:dPt>
            <c:idx val="1"/>
            <c:invertIfNegative val="0"/>
            <c:bubble3D val="0"/>
            <c:spPr>
              <a:solidFill>
                <a:schemeClr val="accent2"/>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023A-406E-80C0-EEB2F73325C1}"/>
              </c:ext>
            </c:extLst>
          </c:dPt>
          <c:dPt>
            <c:idx val="2"/>
            <c:invertIfNegative val="0"/>
            <c:bubble3D val="0"/>
            <c:spPr>
              <a:solidFill>
                <a:schemeClr val="accent3"/>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023A-406E-80C0-EEB2F73325C1}"/>
              </c:ext>
            </c:extLst>
          </c:dPt>
          <c:dPt>
            <c:idx val="3"/>
            <c:invertIfNegative val="0"/>
            <c:bubble3D val="0"/>
            <c:spPr>
              <a:solidFill>
                <a:schemeClr val="accent4"/>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023A-406E-80C0-EEB2F73325C1}"/>
              </c:ext>
            </c:extLst>
          </c:dPt>
          <c:dPt>
            <c:idx val="4"/>
            <c:invertIfNegative val="0"/>
            <c:bubble3D val="0"/>
            <c:spPr>
              <a:solidFill>
                <a:schemeClr val="accent5"/>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023A-406E-80C0-EEB2F73325C1}"/>
              </c:ext>
            </c:extLst>
          </c:dPt>
          <c:dPt>
            <c:idx val="5"/>
            <c:invertIfNegative val="0"/>
            <c:bubble3D val="0"/>
            <c:spPr>
              <a:solidFill>
                <a:schemeClr val="accent6"/>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023A-406E-80C0-EEB2F73325C1}"/>
              </c:ext>
            </c:extLst>
          </c:dPt>
          <c:dPt>
            <c:idx val="6"/>
            <c:invertIfNegative val="0"/>
            <c:bubble3D val="0"/>
            <c:spPr>
              <a:solidFill>
                <a:schemeClr val="accent1">
                  <a:lumMod val="6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023A-406E-80C0-EEB2F73325C1}"/>
              </c:ext>
            </c:extLst>
          </c:dPt>
          <c:dPt>
            <c:idx val="7"/>
            <c:invertIfNegative val="0"/>
            <c:bubble3D val="0"/>
            <c:spPr>
              <a:solidFill>
                <a:schemeClr val="accent2">
                  <a:lumMod val="6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023A-406E-80C0-EEB2F73325C1}"/>
              </c:ext>
            </c:extLst>
          </c:dPt>
          <c:dPt>
            <c:idx val="8"/>
            <c:invertIfNegative val="0"/>
            <c:bubble3D val="0"/>
            <c:spPr>
              <a:solidFill>
                <a:schemeClr val="accent3">
                  <a:lumMod val="6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023A-406E-80C0-EEB2F73325C1}"/>
              </c:ext>
            </c:extLst>
          </c:dPt>
          <c:dPt>
            <c:idx val="9"/>
            <c:invertIfNegative val="0"/>
            <c:bubble3D val="0"/>
            <c:spPr>
              <a:solidFill>
                <a:schemeClr val="accent4">
                  <a:lumMod val="6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023A-406E-80C0-EEB2F73325C1}"/>
              </c:ext>
            </c:extLst>
          </c:dPt>
          <c:dPt>
            <c:idx val="10"/>
            <c:invertIfNegative val="0"/>
            <c:bubble3D val="0"/>
            <c:spPr>
              <a:solidFill>
                <a:schemeClr val="accent5">
                  <a:lumMod val="6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023A-406E-80C0-EEB2F73325C1}"/>
              </c:ext>
            </c:extLst>
          </c:dPt>
          <c:dPt>
            <c:idx val="11"/>
            <c:invertIfNegative val="0"/>
            <c:bubble3D val="0"/>
            <c:spPr>
              <a:solidFill>
                <a:schemeClr val="accent6">
                  <a:lumMod val="6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023A-406E-80C0-EEB2F73325C1}"/>
              </c:ext>
            </c:extLst>
          </c:dPt>
          <c:dPt>
            <c:idx val="12"/>
            <c:invertIfNegative val="0"/>
            <c:bubble3D val="0"/>
            <c:spPr>
              <a:solidFill>
                <a:schemeClr val="accent1">
                  <a:lumMod val="80000"/>
                  <a:lumOff val="2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9-023A-406E-80C0-EEB2F73325C1}"/>
              </c:ext>
            </c:extLst>
          </c:dPt>
          <c:dPt>
            <c:idx val="13"/>
            <c:invertIfNegative val="0"/>
            <c:bubble3D val="0"/>
            <c:spPr>
              <a:solidFill>
                <a:schemeClr val="accent2">
                  <a:lumMod val="80000"/>
                  <a:lumOff val="2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B-023A-406E-80C0-EEB2F73325C1}"/>
              </c:ext>
            </c:extLst>
          </c:dPt>
          <c:dPt>
            <c:idx val="14"/>
            <c:invertIfNegative val="0"/>
            <c:bubble3D val="0"/>
            <c:spPr>
              <a:solidFill>
                <a:schemeClr val="accent3">
                  <a:lumMod val="80000"/>
                  <a:lumOff val="2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D-023A-406E-80C0-EEB2F73325C1}"/>
              </c:ext>
            </c:extLst>
          </c:dPt>
          <c:dPt>
            <c:idx val="15"/>
            <c:invertIfNegative val="0"/>
            <c:bubble3D val="0"/>
            <c:spPr>
              <a:solidFill>
                <a:schemeClr val="accent4">
                  <a:lumMod val="80000"/>
                  <a:lumOff val="2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F-023A-406E-80C0-EEB2F73325C1}"/>
              </c:ext>
            </c:extLst>
          </c:dPt>
          <c:dPt>
            <c:idx val="16"/>
            <c:invertIfNegative val="0"/>
            <c:bubble3D val="0"/>
            <c:spPr>
              <a:solidFill>
                <a:schemeClr val="accent5">
                  <a:lumMod val="80000"/>
                  <a:lumOff val="2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1-023A-406E-80C0-EEB2F73325C1}"/>
              </c:ext>
            </c:extLst>
          </c:dPt>
          <c:dPt>
            <c:idx val="17"/>
            <c:invertIfNegative val="0"/>
            <c:bubble3D val="0"/>
            <c:spPr>
              <a:solidFill>
                <a:schemeClr val="accent6">
                  <a:lumMod val="80000"/>
                  <a:lumOff val="2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3-023A-406E-80C0-EEB2F73325C1}"/>
              </c:ext>
            </c:extLst>
          </c:dPt>
          <c:dPt>
            <c:idx val="18"/>
            <c:invertIfNegative val="0"/>
            <c:bubble3D val="0"/>
            <c:spPr>
              <a:solidFill>
                <a:schemeClr val="accent1">
                  <a:lumMod val="8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5-023A-406E-80C0-EEB2F73325C1}"/>
              </c:ext>
            </c:extLst>
          </c:dPt>
          <c:dPt>
            <c:idx val="19"/>
            <c:invertIfNegative val="0"/>
            <c:bubble3D val="0"/>
            <c:spPr>
              <a:solidFill>
                <a:schemeClr val="accent2">
                  <a:lumMod val="8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7-023A-406E-80C0-EEB2F73325C1}"/>
              </c:ext>
            </c:extLst>
          </c:dPt>
          <c:dPt>
            <c:idx val="20"/>
            <c:invertIfNegative val="0"/>
            <c:bubble3D val="0"/>
            <c:spPr>
              <a:solidFill>
                <a:schemeClr val="accent3">
                  <a:lumMod val="8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9-023A-406E-80C0-EEB2F73325C1}"/>
              </c:ext>
            </c:extLst>
          </c:dPt>
          <c:dPt>
            <c:idx val="21"/>
            <c:invertIfNegative val="0"/>
            <c:bubble3D val="0"/>
            <c:spPr>
              <a:solidFill>
                <a:schemeClr val="accent4">
                  <a:lumMod val="8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B-023A-406E-80C0-EEB2F73325C1}"/>
              </c:ext>
            </c:extLst>
          </c:dPt>
          <c:dPt>
            <c:idx val="22"/>
            <c:invertIfNegative val="0"/>
            <c:bubble3D val="0"/>
            <c:spPr>
              <a:solidFill>
                <a:schemeClr val="accent5">
                  <a:lumMod val="8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D-023A-406E-80C0-EEB2F73325C1}"/>
              </c:ext>
            </c:extLst>
          </c:dPt>
          <c:dPt>
            <c:idx val="23"/>
            <c:invertIfNegative val="0"/>
            <c:bubble3D val="0"/>
            <c:spPr>
              <a:solidFill>
                <a:schemeClr val="accent6">
                  <a:lumMod val="8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2F-023A-406E-80C0-EEB2F73325C1}"/>
              </c:ext>
            </c:extLst>
          </c:dPt>
          <c:dPt>
            <c:idx val="24"/>
            <c:invertIfNegative val="0"/>
            <c:bubble3D val="0"/>
            <c:spPr>
              <a:solidFill>
                <a:schemeClr val="accent1">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1-023A-406E-80C0-EEB2F73325C1}"/>
              </c:ext>
            </c:extLst>
          </c:dPt>
          <c:dPt>
            <c:idx val="25"/>
            <c:invertIfNegative val="0"/>
            <c:bubble3D val="0"/>
            <c:spPr>
              <a:solidFill>
                <a:schemeClr val="accent2">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3-023A-406E-80C0-EEB2F73325C1}"/>
              </c:ext>
            </c:extLst>
          </c:dPt>
          <c:dPt>
            <c:idx val="26"/>
            <c:invertIfNegative val="0"/>
            <c:bubble3D val="0"/>
            <c:spPr>
              <a:solidFill>
                <a:schemeClr val="accent3">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5-023A-406E-80C0-EEB2F73325C1}"/>
              </c:ext>
            </c:extLst>
          </c:dPt>
          <c:dPt>
            <c:idx val="27"/>
            <c:invertIfNegative val="0"/>
            <c:bubble3D val="0"/>
            <c:spPr>
              <a:solidFill>
                <a:schemeClr val="accent4">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7-023A-406E-80C0-EEB2F73325C1}"/>
              </c:ext>
            </c:extLst>
          </c:dPt>
          <c:dPt>
            <c:idx val="28"/>
            <c:invertIfNegative val="0"/>
            <c:bubble3D val="0"/>
            <c:spPr>
              <a:solidFill>
                <a:schemeClr val="accent5">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9-023A-406E-80C0-EEB2F73325C1}"/>
              </c:ext>
            </c:extLst>
          </c:dPt>
          <c:dPt>
            <c:idx val="29"/>
            <c:invertIfNegative val="0"/>
            <c:bubble3D val="0"/>
            <c:spPr>
              <a:solidFill>
                <a:schemeClr val="accent6">
                  <a:lumMod val="60000"/>
                  <a:lumOff val="4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B-023A-406E-80C0-EEB2F73325C1}"/>
              </c:ext>
            </c:extLst>
          </c:dPt>
          <c:dPt>
            <c:idx val="30"/>
            <c:invertIfNegative val="0"/>
            <c:bubble3D val="0"/>
            <c:spPr>
              <a:solidFill>
                <a:schemeClr val="accent1">
                  <a:lumMod val="5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D-023A-406E-80C0-EEB2F73325C1}"/>
              </c:ext>
            </c:extLst>
          </c:dPt>
          <c:dPt>
            <c:idx val="31"/>
            <c:invertIfNegative val="0"/>
            <c:bubble3D val="0"/>
            <c:spPr>
              <a:solidFill>
                <a:schemeClr val="accent2">
                  <a:lumMod val="5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3F-023A-406E-80C0-EEB2F73325C1}"/>
              </c:ext>
            </c:extLst>
          </c:dPt>
          <c:dPt>
            <c:idx val="32"/>
            <c:invertIfNegative val="0"/>
            <c:bubble3D val="0"/>
            <c:spPr>
              <a:solidFill>
                <a:schemeClr val="accent3">
                  <a:lumMod val="5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1-023A-406E-80C0-EEB2F73325C1}"/>
              </c:ext>
            </c:extLst>
          </c:dPt>
          <c:dPt>
            <c:idx val="33"/>
            <c:invertIfNegative val="0"/>
            <c:bubble3D val="0"/>
            <c:spPr>
              <a:solidFill>
                <a:schemeClr val="accent4">
                  <a:lumMod val="5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3-023A-406E-80C0-EEB2F73325C1}"/>
              </c:ext>
            </c:extLst>
          </c:dPt>
          <c:dPt>
            <c:idx val="34"/>
            <c:invertIfNegative val="0"/>
            <c:bubble3D val="0"/>
            <c:spPr>
              <a:solidFill>
                <a:schemeClr val="accent5">
                  <a:lumMod val="5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5-023A-406E-80C0-EEB2F73325C1}"/>
              </c:ext>
            </c:extLst>
          </c:dPt>
          <c:dPt>
            <c:idx val="35"/>
            <c:invertIfNegative val="0"/>
            <c:bubble3D val="0"/>
            <c:spPr>
              <a:solidFill>
                <a:schemeClr val="accent6">
                  <a:lumMod val="5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7-023A-406E-80C0-EEB2F73325C1}"/>
              </c:ext>
            </c:extLst>
          </c:dPt>
          <c:dPt>
            <c:idx val="36"/>
            <c:invertIfNegative val="0"/>
            <c:bubble3D val="0"/>
            <c:spPr>
              <a:solidFill>
                <a:schemeClr val="accent1">
                  <a:lumMod val="70000"/>
                  <a:lumOff val="3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9-023A-406E-80C0-EEB2F73325C1}"/>
              </c:ext>
            </c:extLst>
          </c:dPt>
          <c:dPt>
            <c:idx val="37"/>
            <c:invertIfNegative val="0"/>
            <c:bubble3D val="0"/>
            <c:spPr>
              <a:solidFill>
                <a:schemeClr val="accent2">
                  <a:lumMod val="70000"/>
                  <a:lumOff val="3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B-023A-406E-80C0-EEB2F73325C1}"/>
              </c:ext>
            </c:extLst>
          </c:dPt>
          <c:dPt>
            <c:idx val="38"/>
            <c:invertIfNegative val="0"/>
            <c:bubble3D val="0"/>
            <c:spPr>
              <a:solidFill>
                <a:schemeClr val="accent3">
                  <a:lumMod val="70000"/>
                  <a:lumOff val="3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D-023A-406E-80C0-EEB2F73325C1}"/>
              </c:ext>
            </c:extLst>
          </c:dPt>
          <c:dPt>
            <c:idx val="39"/>
            <c:invertIfNegative val="0"/>
            <c:bubble3D val="0"/>
            <c:spPr>
              <a:solidFill>
                <a:schemeClr val="accent4">
                  <a:lumMod val="70000"/>
                  <a:lumOff val="3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4F-023A-406E-80C0-EEB2F73325C1}"/>
              </c:ext>
            </c:extLst>
          </c:dPt>
          <c:dPt>
            <c:idx val="40"/>
            <c:invertIfNegative val="0"/>
            <c:bubble3D val="0"/>
            <c:spPr>
              <a:solidFill>
                <a:schemeClr val="accent5">
                  <a:lumMod val="70000"/>
                  <a:lumOff val="3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1-023A-406E-80C0-EEB2F73325C1}"/>
              </c:ext>
            </c:extLst>
          </c:dPt>
          <c:dPt>
            <c:idx val="41"/>
            <c:invertIfNegative val="0"/>
            <c:bubble3D val="0"/>
            <c:spPr>
              <a:solidFill>
                <a:schemeClr val="accent6">
                  <a:lumMod val="70000"/>
                  <a:lumOff val="3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3-023A-406E-80C0-EEB2F73325C1}"/>
              </c:ext>
            </c:extLst>
          </c:dPt>
          <c:dPt>
            <c:idx val="42"/>
            <c:invertIfNegative val="0"/>
            <c:bubble3D val="0"/>
            <c:spPr>
              <a:solidFill>
                <a:schemeClr val="accent1">
                  <a:lumMod val="7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5-023A-406E-80C0-EEB2F73325C1}"/>
              </c:ext>
            </c:extLst>
          </c:dPt>
          <c:dPt>
            <c:idx val="43"/>
            <c:invertIfNegative val="0"/>
            <c:bubble3D val="0"/>
            <c:spPr>
              <a:solidFill>
                <a:schemeClr val="accent2">
                  <a:lumMod val="7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7-023A-406E-80C0-EEB2F73325C1}"/>
              </c:ext>
            </c:extLst>
          </c:dPt>
          <c:dPt>
            <c:idx val="44"/>
            <c:invertIfNegative val="0"/>
            <c:bubble3D val="0"/>
            <c:spPr>
              <a:solidFill>
                <a:schemeClr val="accent3">
                  <a:lumMod val="7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9-023A-406E-80C0-EEB2F73325C1}"/>
              </c:ext>
            </c:extLst>
          </c:dPt>
          <c:dPt>
            <c:idx val="45"/>
            <c:invertIfNegative val="0"/>
            <c:bubble3D val="0"/>
            <c:spPr>
              <a:solidFill>
                <a:schemeClr val="accent4">
                  <a:lumMod val="7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B-023A-406E-80C0-EEB2F73325C1}"/>
              </c:ext>
            </c:extLst>
          </c:dPt>
          <c:dPt>
            <c:idx val="46"/>
            <c:invertIfNegative val="0"/>
            <c:bubble3D val="0"/>
            <c:spPr>
              <a:solidFill>
                <a:schemeClr val="accent5">
                  <a:lumMod val="70000"/>
                </a:schemeClr>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D-023A-406E-80C0-EEB2F73325C1}"/>
              </c:ext>
            </c:extLst>
          </c:dPt>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'3.2 Number confirmatory per DG '!$E$4:$E$50</c:f>
              <c:strCache>
                <c:ptCount val="47"/>
                <c:pt idx="0">
                  <c:v>SG</c:v>
                </c:pt>
                <c:pt idx="1">
                  <c:v>SG REF.</c:v>
                </c:pt>
                <c:pt idx="2">
                  <c:v>SJ</c:v>
                </c:pt>
                <c:pt idx="3">
                  <c:v>COMM</c:v>
                </c:pt>
                <c:pt idx="4">
                  <c:v>IDEA</c:v>
                </c:pt>
                <c:pt idx="5">
                  <c:v>BUDG</c:v>
                </c:pt>
                <c:pt idx="6">
                  <c:v>HR</c:v>
                </c:pt>
                <c:pt idx="7">
                  <c:v>DIGIT</c:v>
                </c:pt>
                <c:pt idx="8">
                  <c:v>IAS</c:v>
                </c:pt>
                <c:pt idx="9">
                  <c:v>OLAF</c:v>
                </c:pt>
                <c:pt idx="10">
                  <c:v>ECFIN</c:v>
                </c:pt>
                <c:pt idx="11">
                  <c:v>GROW</c:v>
                </c:pt>
                <c:pt idx="12">
                  <c:v>DEFIS</c:v>
                </c:pt>
                <c:pt idx="13">
                  <c:v>COMP</c:v>
                </c:pt>
                <c:pt idx="14">
                  <c:v>EMPL</c:v>
                </c:pt>
                <c:pt idx="15">
                  <c:v>AGRI</c:v>
                </c:pt>
                <c:pt idx="16">
                  <c:v>MOVE</c:v>
                </c:pt>
                <c:pt idx="17">
                  <c:v>ENER</c:v>
                </c:pt>
                <c:pt idx="18">
                  <c:v>ENV</c:v>
                </c:pt>
                <c:pt idx="19">
                  <c:v>CLIMA</c:v>
                </c:pt>
                <c:pt idx="20">
                  <c:v>RTD</c:v>
                </c:pt>
                <c:pt idx="21">
                  <c:v>CNECT</c:v>
                </c:pt>
                <c:pt idx="22">
                  <c:v>JRC</c:v>
                </c:pt>
                <c:pt idx="23">
                  <c:v>MARE</c:v>
                </c:pt>
                <c:pt idx="24">
                  <c:v>FISMA</c:v>
                </c:pt>
                <c:pt idx="25">
                  <c:v>REGIO</c:v>
                </c:pt>
                <c:pt idx="26">
                  <c:v>TAXUD</c:v>
                </c:pt>
                <c:pt idx="27">
                  <c:v>EAC</c:v>
                </c:pt>
                <c:pt idx="28">
                  <c:v>SANTE</c:v>
                </c:pt>
                <c:pt idx="29">
                  <c:v>HERA</c:v>
                </c:pt>
                <c:pt idx="30">
                  <c:v>HOME</c:v>
                </c:pt>
                <c:pt idx="31">
                  <c:v>JUST</c:v>
                </c:pt>
                <c:pt idx="32">
                  <c:v>TRADE</c:v>
                </c:pt>
                <c:pt idx="33">
                  <c:v>ENEST</c:v>
                </c:pt>
                <c:pt idx="34">
                  <c:v>MENA</c:v>
                </c:pt>
                <c:pt idx="35">
                  <c:v>NEAR</c:v>
                </c:pt>
                <c:pt idx="36">
                  <c:v>INTPA</c:v>
                </c:pt>
                <c:pt idx="37">
                  <c:v>ECHO</c:v>
                </c:pt>
                <c:pt idx="38">
                  <c:v>ESTAT</c:v>
                </c:pt>
                <c:pt idx="39">
                  <c:v>SCIC</c:v>
                </c:pt>
                <c:pt idx="40">
                  <c:v>DGT</c:v>
                </c:pt>
                <c:pt idx="41">
                  <c:v>OP</c:v>
                </c:pt>
                <c:pt idx="42">
                  <c:v>FPI</c:v>
                </c:pt>
                <c:pt idx="43">
                  <c:v>PMO</c:v>
                </c:pt>
                <c:pt idx="44">
                  <c:v>OIB</c:v>
                </c:pt>
                <c:pt idx="45">
                  <c:v>OIL</c:v>
                </c:pt>
                <c:pt idx="46">
                  <c:v>EPSO</c:v>
                </c:pt>
              </c:strCache>
            </c:strRef>
          </c:cat>
          <c:val>
            <c:numRef>
              <c:f>'3.2 Number confirmatory per DG '!$G$4:$G$50</c:f>
              <c:numCache>
                <c:formatCode>0.0%</c:formatCode>
                <c:ptCount val="47"/>
                <c:pt idx="0">
                  <c:v>8.0344332855093251E-2</c:v>
                </c:pt>
                <c:pt idx="1">
                  <c:v>2.8694404591104736E-3</c:v>
                </c:pt>
                <c:pt idx="2">
                  <c:v>1.721664275466284E-2</c:v>
                </c:pt>
                <c:pt idx="3">
                  <c:v>1.4347202295552368E-3</c:v>
                </c:pt>
                <c:pt idx="4">
                  <c:v>0</c:v>
                </c:pt>
                <c:pt idx="5">
                  <c:v>8.60832137733142E-3</c:v>
                </c:pt>
                <c:pt idx="6">
                  <c:v>3.443328550932568E-2</c:v>
                </c:pt>
                <c:pt idx="7">
                  <c:v>5.7388809182209472E-3</c:v>
                </c:pt>
                <c:pt idx="8">
                  <c:v>0</c:v>
                </c:pt>
                <c:pt idx="9">
                  <c:v>2.8694404591104736E-3</c:v>
                </c:pt>
                <c:pt idx="10">
                  <c:v>1.1477761836441894E-2</c:v>
                </c:pt>
                <c:pt idx="11">
                  <c:v>0.1291248206599713</c:v>
                </c:pt>
                <c:pt idx="12">
                  <c:v>1.2912482065997131E-2</c:v>
                </c:pt>
                <c:pt idx="13">
                  <c:v>4.878048780487805E-2</c:v>
                </c:pt>
                <c:pt idx="14">
                  <c:v>2.0086083213773313E-2</c:v>
                </c:pt>
                <c:pt idx="15">
                  <c:v>1.4347202295552367E-2</c:v>
                </c:pt>
                <c:pt idx="16">
                  <c:v>1.8651362984218076E-2</c:v>
                </c:pt>
                <c:pt idx="17">
                  <c:v>4.1606886657101862E-2</c:v>
                </c:pt>
                <c:pt idx="18">
                  <c:v>7.3170731707317069E-2</c:v>
                </c:pt>
                <c:pt idx="19">
                  <c:v>7.1736011477761836E-3</c:v>
                </c:pt>
                <c:pt idx="20">
                  <c:v>5.7388809182209472E-3</c:v>
                </c:pt>
                <c:pt idx="21">
                  <c:v>6.3127690100430414E-2</c:v>
                </c:pt>
                <c:pt idx="22">
                  <c:v>0</c:v>
                </c:pt>
                <c:pt idx="23">
                  <c:v>5.7388809182209472E-3</c:v>
                </c:pt>
                <c:pt idx="24">
                  <c:v>2.1520803443328552E-2</c:v>
                </c:pt>
                <c:pt idx="25">
                  <c:v>8.60832137733142E-3</c:v>
                </c:pt>
                <c:pt idx="26">
                  <c:v>2.0086083213773313E-2</c:v>
                </c:pt>
                <c:pt idx="27">
                  <c:v>5.7388809182209472E-3</c:v>
                </c:pt>
                <c:pt idx="28">
                  <c:v>9.3256814921090392E-2</c:v>
                </c:pt>
                <c:pt idx="29">
                  <c:v>4.30416068866571E-3</c:v>
                </c:pt>
                <c:pt idx="30">
                  <c:v>5.5954088952654232E-2</c:v>
                </c:pt>
                <c:pt idx="31">
                  <c:v>4.4476327116212341E-2</c:v>
                </c:pt>
                <c:pt idx="32">
                  <c:v>3.2998565279770443E-2</c:v>
                </c:pt>
                <c:pt idx="33">
                  <c:v>2.5824964131994262E-2</c:v>
                </c:pt>
                <c:pt idx="34">
                  <c:v>2.1520803443328552E-2</c:v>
                </c:pt>
                <c:pt idx="35">
                  <c:v>8.60832137733142E-3</c:v>
                </c:pt>
                <c:pt idx="36">
                  <c:v>1.5781922525107604E-2</c:v>
                </c:pt>
                <c:pt idx="37">
                  <c:v>2.8694404591104736E-3</c:v>
                </c:pt>
                <c:pt idx="38">
                  <c:v>1.4347202295552368E-3</c:v>
                </c:pt>
                <c:pt idx="39">
                  <c:v>0</c:v>
                </c:pt>
                <c:pt idx="40">
                  <c:v>0</c:v>
                </c:pt>
                <c:pt idx="41">
                  <c:v>2.8694404591104736E-3</c:v>
                </c:pt>
                <c:pt idx="42">
                  <c:v>0</c:v>
                </c:pt>
                <c:pt idx="43">
                  <c:v>7.1736011477761836E-3</c:v>
                </c:pt>
                <c:pt idx="44">
                  <c:v>1.4347202295552368E-3</c:v>
                </c:pt>
                <c:pt idx="45">
                  <c:v>0</c:v>
                </c:pt>
                <c:pt idx="46">
                  <c:v>2.0086083213773313E-2</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5E-023A-406E-80C0-EEB2F73325C1}"/>
            </c:ext>
          </c:extLst>
        </c:ser>
        <c:dLbls>
          <c:dLblPos val="outEnd"/>
          <c:showLegendKey val="0"/>
          <c:showVal val="1"/>
          <c:showCatName val="0"/>
          <c:showSerName val="0"/>
          <c:showPercent val="0"/>
          <c:showBubbleSize val="0"/>
        </c:dLbls>
        <c:gapWidth val="37"/>
        <c:overlap val="-90"/>
        <c:axId val="374013904"/>
        <c:axId val="374010952"/>
      </c:barChart>
      <c:catAx>
        <c:axId val="374013904"/>
        <c:scaling>
          <c:orientation val="minMax"/>
        </c:scaling>
        <c:delete val="0"/>
        <c:axPos val="b"/>
        <c:majorGridlines>
          <c:spPr>
            <a:ln w="9525" cap="flat" cmpd="sng" algn="ctr">
              <a:no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700" b="0" i="0" u="none" strike="noStrike" kern="1200" cap="all" spc="120" normalizeH="0" baseline="0">
                <a:solidFill>
                  <a:schemeClr val="tx1">
                    <a:lumMod val="65000"/>
                    <a:lumOff val="35000"/>
                  </a:schemeClr>
                </a:solidFill>
                <a:latin typeface="+mn-lt"/>
                <a:ea typeface="+mn-ea"/>
                <a:cs typeface="+mn-cs"/>
              </a:defRPr>
            </a:pPr>
            <a:endParaRPr lang="en-US"/>
          </a:p>
        </c:txPr>
        <c:crossAx val="374010952"/>
        <c:crosses val="autoZero"/>
        <c:auto val="1"/>
        <c:lblAlgn val="ctr"/>
        <c:lblOffset val="100"/>
        <c:noMultiLvlLbl val="0"/>
      </c:catAx>
      <c:valAx>
        <c:axId val="374010952"/>
        <c:scaling>
          <c:orientation val="minMax"/>
        </c:scaling>
        <c:delete val="1"/>
        <c:axPos val="l"/>
        <c:numFmt formatCode="0.0%" sourceLinked="1"/>
        <c:majorTickMark val="none"/>
        <c:minorTickMark val="none"/>
        <c:tickLblPos val="nextTo"/>
        <c:crossAx val="374013904"/>
        <c:crosses val="autoZero"/>
        <c:crossBetween val="between"/>
      </c:valAx>
      <c:spPr>
        <a:noFill/>
        <a:ln w="25400">
          <a:noFill/>
        </a:ln>
        <a:effectLst/>
      </c:spPr>
    </c:plotArea>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en-GB" sz="1600" b="1"/>
              <a:t>INITIAL STAGE 2025</a:t>
            </a:r>
          </a:p>
        </c:rich>
      </c:tx>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9179644588584197"/>
          <c:y val="0.21289313105354007"/>
          <c:w val="0.61845147777494536"/>
          <c:h val="0.7370865960930163"/>
        </c:manualLayout>
      </c:layout>
      <c:barChart>
        <c:barDir val="bar"/>
        <c:grouping val="clustered"/>
        <c:varyColors val="0"/>
        <c:ser>
          <c:idx val="0"/>
          <c:order val="0"/>
          <c:tx>
            <c:strRef>
              <c:f>'4.1 Types of access provided'!$E$7</c:f>
              <c:strCache>
                <c:ptCount val="1"/>
                <c:pt idx="0">
                  <c:v>2025</c:v>
                </c:pt>
              </c:strCache>
            </c:strRef>
          </c:tx>
          <c:spPr>
            <a:solidFill>
              <a:schemeClr val="accent1"/>
            </a:solidFill>
            <a:ln>
              <a:noFill/>
            </a:ln>
            <a:effectLst/>
          </c:spPr>
          <c:invertIfNegative val="0"/>
          <c:dPt>
            <c:idx val="0"/>
            <c:invertIfNegative val="0"/>
            <c:bubble3D val="0"/>
            <c:spPr>
              <a:solidFill>
                <a:srgbClr val="FF0000"/>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28BD-487A-B39D-5959723E3D72}"/>
              </c:ext>
            </c:extLst>
          </c:dPt>
          <c:dPt>
            <c:idx val="1"/>
            <c:invertIfNegative val="0"/>
            <c:bubble3D val="0"/>
            <c:spPr>
              <a:solidFill>
                <a:srgbClr val="FFC000"/>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28BD-487A-B39D-5959723E3D72}"/>
              </c:ext>
            </c:extLst>
          </c:dPt>
          <c:dPt>
            <c:idx val="2"/>
            <c:invertIfNegative val="0"/>
            <c:bubble3D val="0"/>
            <c:spPr>
              <a:solidFill>
                <a:srgbClr val="00B050"/>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28BD-487A-B39D-5959723E3D7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'4.1 Types of access provided'!$D$9:$D$11</c:f>
              <c:strCache>
                <c:ptCount val="3"/>
                <c:pt idx="0">
                  <c:v>Access refused</c:v>
                </c:pt>
                <c:pt idx="1">
                  <c:v>Partial access</c:v>
                </c:pt>
                <c:pt idx="2">
                  <c:v>Full access</c:v>
                </c:pt>
              </c:strCache>
            </c:strRef>
          </c:cat>
          <c:val>
            <c:numRef>
              <c:f>'4.1 Types of access provided'!$E$9:$E$11</c:f>
              <c:numCache>
                <c:formatCode>0.0%</c:formatCode>
                <c:ptCount val="3"/>
                <c:pt idx="0">
                  <c:v>0.22753440429848126</c:v>
                </c:pt>
                <c:pt idx="1">
                  <c:v>0.48747190087175835</c:v>
                </c:pt>
                <c:pt idx="2">
                  <c:v>0.28499369482976039</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28BD-487A-B39D-5959723E3D72}"/>
            </c:ext>
          </c:extLst>
        </c:ser>
        <c:dLbls>
          <c:dLblPos val="outEnd"/>
          <c:showLegendKey val="0"/>
          <c:showVal val="1"/>
          <c:showCatName val="0"/>
          <c:showSerName val="0"/>
          <c:showPercent val="0"/>
          <c:showBubbleSize val="0"/>
        </c:dLbls>
        <c:gapWidth val="182"/>
        <c:axId val="374013904"/>
        <c:axId val="374010952"/>
      </c:barChart>
      <c:catAx>
        <c:axId val="3740139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374010952"/>
        <c:crosses val="autoZero"/>
        <c:auto val="1"/>
        <c:lblAlgn val="ctr"/>
        <c:lblOffset val="100"/>
        <c:noMultiLvlLbl val="0"/>
      </c:catAx>
      <c:valAx>
        <c:axId val="374010952"/>
        <c:scaling>
          <c:orientation val="minMax"/>
        </c:scaling>
        <c:delete val="1"/>
        <c:axPos val="b"/>
        <c:numFmt formatCode="0.0%" sourceLinked="1"/>
        <c:majorTickMark val="none"/>
        <c:minorTickMark val="none"/>
        <c:tickLblPos val="nextTo"/>
        <c:crossAx val="3740139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r>
              <a:rPr lang="en-GB" sz="1600" b="1"/>
              <a:t>CONFIRMATORY STAGE 2025</a:t>
            </a:r>
          </a:p>
        </c:rich>
      </c:tx>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41184349875504644"/>
          <c:y val="0.23099672094692933"/>
          <c:w val="0.56234683660953011"/>
          <c:h val="0.71625428650304501"/>
        </c:manualLayout>
      </c:layout>
      <c:barChart>
        <c:barDir val="bar"/>
        <c:grouping val="clustered"/>
        <c:varyColors val="0"/>
        <c:ser>
          <c:idx val="0"/>
          <c:order val="0"/>
          <c:tx>
            <c:strRef>
              <c:f>'4.1 Types of access provided'!$O$7</c:f>
              <c:strCache>
                <c:ptCount val="1"/>
                <c:pt idx="0">
                  <c:v>2025</c:v>
                </c:pt>
              </c:strCache>
            </c:strRef>
          </c:tx>
          <c:spPr>
            <a:solidFill>
              <a:schemeClr val="accent1"/>
            </a:solidFill>
            <a:ln>
              <a:noFill/>
            </a:ln>
            <a:effectLst/>
          </c:spPr>
          <c:invertIfNegative val="0"/>
          <c:dPt>
            <c:idx val="0"/>
            <c:invertIfNegative val="0"/>
            <c:bubble3D val="0"/>
            <c:spPr>
              <a:solidFill>
                <a:srgbClr val="FF0000"/>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1643-4F83-87EF-3261540AD449}"/>
              </c:ext>
            </c:extLst>
          </c:dPt>
          <c:dPt>
            <c:idx val="1"/>
            <c:invertIfNegative val="0"/>
            <c:bubble3D val="0"/>
            <c:spPr>
              <a:solidFill>
                <a:srgbClr val="FFC000"/>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1643-4F83-87EF-3261540AD449}"/>
              </c:ext>
            </c:extLst>
          </c:dPt>
          <c:dPt>
            <c:idx val="2"/>
            <c:invertIfNegative val="0"/>
            <c:bubble3D val="0"/>
            <c:spPr>
              <a:solidFill>
                <a:srgbClr val="00B050"/>
              </a:solidFill>
              <a:ln>
                <a:noFill/>
              </a:ln>
              <a:effectLst/>
            </c:spPr>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1643-4F83-87EF-3261540AD44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'4.1 Types of access provided'!$N$9:$N$11</c:f>
              <c:strCache>
                <c:ptCount val="3"/>
                <c:pt idx="0">
                  <c:v>Confirmation of initial reply - no (further partial) access</c:v>
                </c:pt>
                <c:pt idx="1">
                  <c:v>Partial revision - partial access</c:v>
                </c:pt>
                <c:pt idx="2">
                  <c:v>Full revision - full access</c:v>
                </c:pt>
              </c:strCache>
            </c:strRef>
          </c:cat>
          <c:val>
            <c:numRef>
              <c:f>'4.1 Types of access provided'!$O$9:$O$11</c:f>
              <c:numCache>
                <c:formatCode>0.0%</c:formatCode>
                <c:ptCount val="3"/>
                <c:pt idx="0">
                  <c:v>0.34267912772585668</c:v>
                </c:pt>
                <c:pt idx="1">
                  <c:v>0.46260000000000001</c:v>
                </c:pt>
                <c:pt idx="2">
                  <c:v>0.19470404984423675</c:v>
                </c:pt>
              </c:numCache>
            </c:numRef>
          </c:val>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1643-4F83-87EF-3261540AD449}"/>
            </c:ext>
          </c:extLst>
        </c:ser>
        <c:dLbls>
          <c:dLblPos val="outEnd"/>
          <c:showLegendKey val="0"/>
          <c:showVal val="1"/>
          <c:showCatName val="0"/>
          <c:showSerName val="0"/>
          <c:showPercent val="0"/>
          <c:showBubbleSize val="0"/>
        </c:dLbls>
        <c:gapWidth val="182"/>
        <c:axId val="374013904"/>
        <c:axId val="374010952"/>
      </c:barChart>
      <c:catAx>
        <c:axId val="3740139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374010952"/>
        <c:crosses val="autoZero"/>
        <c:auto val="1"/>
        <c:lblAlgn val="ctr"/>
        <c:lblOffset val="100"/>
        <c:noMultiLvlLbl val="0"/>
      </c:catAx>
      <c:valAx>
        <c:axId val="374010952"/>
        <c:scaling>
          <c:orientation val="minMax"/>
        </c:scaling>
        <c:delete val="1"/>
        <c:axPos val="b"/>
        <c:numFmt formatCode="0.0%" sourceLinked="1"/>
        <c:majorTickMark val="none"/>
        <c:minorTickMark val="none"/>
        <c:tickLblPos val="nextTo"/>
        <c:crossAx val="3740139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GB" sz="1600" b="1" i="0" u="none" strike="noStrike" cap="all" normalizeH="0" baseline="0"/>
              <a:t>INITIAL STAGE 2025</a:t>
            </a:r>
            <a:endParaRPr lang="en-GB"/>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7.7821829625841554E-2"/>
          <c:y val="0.27349784399986421"/>
          <c:w val="0.47148802371624821"/>
          <c:h val="0.63085599767428913"/>
        </c:manualLayout>
      </c:layout>
      <c:pieChart>
        <c:varyColors val="1"/>
        <c:ser>
          <c:idx val="0"/>
          <c:order val="0"/>
          <c:tx>
            <c:strRef>
              <c:f>'4.2 Invoked exceptions'!$A$3</c:f>
              <c:strCache>
                <c:ptCount val="1"/>
                <c:pt idx="0">
                  <c:v>INITIAL</c:v>
                </c:pt>
              </c:strCache>
            </c:strRef>
          </c:tx>
          <c:dPt>
            <c:idx val="0"/>
            <c:bubble3D val="0"/>
            <c:spPr>
              <a:solidFill>
                <a:schemeClr val="accent1"/>
              </a:solidFill>
              <a:ln>
                <a:noFill/>
              </a:ln>
              <a:effectLst/>
            </c:spP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B735-4F36-AF0E-9B6D0EFB7EB1}"/>
              </c:ext>
            </c:extLst>
          </c:dPt>
          <c:dPt>
            <c:idx val="1"/>
            <c:bubble3D val="0"/>
            <c:spPr>
              <a:solidFill>
                <a:schemeClr val="accent2"/>
              </a:solidFill>
              <a:ln>
                <a:noFill/>
              </a:ln>
              <a:effectLst/>
            </c:spP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B735-4F36-AF0E-9B6D0EFB7EB1}"/>
              </c:ext>
            </c:extLst>
          </c:dPt>
          <c:dPt>
            <c:idx val="2"/>
            <c:bubble3D val="0"/>
            <c:spPr>
              <a:solidFill>
                <a:schemeClr val="accent5"/>
              </a:solidFill>
              <a:ln>
                <a:noFill/>
              </a:ln>
              <a:effectLst/>
            </c:spP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B735-4F36-AF0E-9B6D0EFB7EB1}"/>
              </c:ext>
            </c:extLst>
          </c:dPt>
          <c:dPt>
            <c:idx val="3"/>
            <c:bubble3D val="0"/>
            <c:spPr>
              <a:solidFill>
                <a:schemeClr val="accent4"/>
              </a:solidFill>
              <a:ln>
                <a:noFill/>
              </a:ln>
              <a:effectLst/>
            </c:spP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B735-4F36-AF0E-9B6D0EFB7EB1}"/>
              </c:ext>
            </c:extLst>
          </c:dPt>
          <c:dPt>
            <c:idx val="4"/>
            <c:bubble3D val="0"/>
            <c:spPr>
              <a:solidFill>
                <a:schemeClr val="accent3"/>
              </a:solidFill>
              <a:ln>
                <a:noFill/>
              </a:ln>
              <a:effectLst/>
            </c:spP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B735-4F36-AF0E-9B6D0EFB7EB1}"/>
              </c:ext>
            </c:extLst>
          </c:dPt>
          <c:dPt>
            <c:idx val="5"/>
            <c:bubble3D val="0"/>
            <c:spPr>
              <a:solidFill>
                <a:schemeClr val="accent6"/>
              </a:solidFill>
              <a:ln>
                <a:noFill/>
              </a:ln>
              <a:effectLst/>
            </c:spP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B735-4F36-AF0E-9B6D0EFB7EB1}"/>
              </c:ext>
            </c:extLst>
          </c:dPt>
          <c:dPt>
            <c:idx val="6"/>
            <c:bubble3D val="0"/>
            <c:spPr>
              <a:solidFill>
                <a:schemeClr val="accent1">
                  <a:lumMod val="60000"/>
                </a:schemeClr>
              </a:solidFill>
              <a:ln>
                <a:noFill/>
              </a:ln>
              <a:effectLst/>
            </c:spP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B735-4F36-AF0E-9B6D0EFB7EB1}"/>
              </c:ext>
            </c:extLst>
          </c:dPt>
          <c:dPt>
            <c:idx val="7"/>
            <c:bubble3D val="0"/>
            <c:spPr>
              <a:solidFill>
                <a:schemeClr val="accent2">
                  <a:lumMod val="60000"/>
                </a:schemeClr>
              </a:solidFill>
              <a:ln>
                <a:noFill/>
              </a:ln>
              <a:effectLst/>
            </c:spP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B735-4F36-AF0E-9B6D0EFB7EB1}"/>
              </c:ext>
            </c:extLst>
          </c:dPt>
          <c:dPt>
            <c:idx val="8"/>
            <c:bubble3D val="0"/>
            <c:spPr>
              <a:solidFill>
                <a:schemeClr val="accent3">
                  <a:lumMod val="60000"/>
                </a:schemeClr>
              </a:solidFill>
              <a:ln>
                <a:noFill/>
              </a:ln>
              <a:effectLst/>
            </c:spP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B735-4F36-AF0E-9B6D0EFB7EB1}"/>
              </c:ext>
            </c:extLst>
          </c:dPt>
          <c:dPt>
            <c:idx val="9"/>
            <c:bubble3D val="0"/>
            <c:spPr>
              <a:solidFill>
                <a:schemeClr val="accent4">
                  <a:lumMod val="50000"/>
                </a:schemeClr>
              </a:solidFill>
              <a:ln>
                <a:noFill/>
              </a:ln>
              <a:effectLst/>
            </c:spP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B735-4F36-AF0E-9B6D0EFB7EB1}"/>
              </c:ext>
            </c:extLst>
          </c:dPt>
          <c:dPt>
            <c:idx val="10"/>
            <c:bubble3D val="0"/>
            <c:spPr>
              <a:solidFill>
                <a:schemeClr val="accent5">
                  <a:lumMod val="60000"/>
                </a:schemeClr>
              </a:solidFill>
              <a:ln>
                <a:noFill/>
              </a:ln>
              <a:effectLst/>
            </c:spP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B735-4F36-AF0E-9B6D0EFB7EB1}"/>
              </c:ext>
            </c:extLst>
          </c:dPt>
          <c:dPt>
            <c:idx val="11"/>
            <c:bubble3D val="0"/>
            <c:spPr>
              <a:solidFill>
                <a:schemeClr val="accent6">
                  <a:lumMod val="60000"/>
                </a:schemeClr>
              </a:solidFill>
              <a:ln>
                <a:noFill/>
              </a:ln>
              <a:effectLst/>
            </c:spP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B735-4F36-AF0E-9B6D0EFB7EB1}"/>
              </c:ext>
            </c:extLst>
          </c:dPt>
          <c:dLbls>
            <c:dLbl>
              <c:idx val="0"/>
              <c:layout>
                <c:manualLayout>
                  <c:x val="5.1223483099651738E-3"/>
                  <c:y val="-2.1111771044524857E-2"/>
                </c:manualLayout>
              </c:layout>
              <c:spPr>
                <a:noFill/>
                <a:ln w="12700" cap="rnd">
                  <a:solidFill>
                    <a:srgbClr val="06AED5"/>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1-B735-4F36-AF0E-9B6D0EFB7EB1}"/>
                </c:ext>
              </c:extLst>
            </c:dLbl>
            <c:dLbl>
              <c:idx val="1"/>
              <c:layout>
                <c:manualLayout>
                  <c:x val="1.4635510475064459E-2"/>
                  <c:y val="-3.2326276259274145E-2"/>
                </c:manualLayout>
              </c:layout>
              <c:spPr>
                <a:noFill/>
                <a:ln w="12700" cap="rnd">
                  <a:solidFill>
                    <a:srgbClr val="086788"/>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3-B735-4F36-AF0E-9B6D0EFB7EB1}"/>
                </c:ext>
              </c:extLst>
            </c:dLbl>
            <c:dLbl>
              <c:idx val="2"/>
              <c:layout>
                <c:manualLayout>
                  <c:x val="2.6359425192885051E-2"/>
                  <c:y val="-1.1192020248585968E-2"/>
                </c:manualLayout>
              </c:layout>
              <c:spPr>
                <a:noFill/>
                <a:ln w="12700" cap="rnd" cmpd="sng" algn="ctr">
                  <a:solidFill>
                    <a:srgbClr val="DD1C1A"/>
                  </a:solidFill>
                  <a:prstDash val="solid"/>
                  <a:round/>
                  <a:headEnd type="none" w="med" len="med"/>
                  <a:tailEnd type="none" w="med" len="med"/>
                  <a:extLst>
                    <a:ext uri="{C807C97D-BFC1-408E-A445-0C87EB9F89A2}">
                      <ask:lineSketchStyleProps xmlns:ask="http://schemas.microsoft.com/office/drawing/2018/sketchyshapes" xmlns:c16r2="http://schemas.microsoft.com/office/drawing/2015/06/chart" xmlns:r="http://schemas.openxmlformats.org/officeDocument/2006/relationships" xmlns:c15="http://schemas.microsoft.com/office/drawing/2012/chart" xmlns:c16="http://schemas.microsoft.com/office/drawing/2014/chart" xmlns:c14="http://schemas.microsoft.com/office/drawing/2007/8/2/chart" xmlns:mc="http://schemas.openxmlformats.org/markup-compatibility/2006" xmln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gd name="adj1" fmla="val -112231"/>
                        <a:gd name="adj2" fmla="val 92996"/>
                      </a:avLst>
                    </a:prstGeom>
                    <a:noFill/>
                    <a:ln>
                      <a:noFill/>
                    </a:ln>
                  </c15:spPr>
                </c:ext>
                <c:ext xmlns:c16="http://schemas.microsoft.com/office/drawing/2014/chart" uri="{C3380CC4-5D6E-409C-BE32-E72D297353CC}">
                  <c16:uniqueId val="{00000005-B735-4F36-AF0E-9B6D0EFB7EB1}"/>
                </c:ext>
              </c:extLst>
            </c:dLbl>
            <c:dLbl>
              <c:idx val="3"/>
              <c:layout>
                <c:manualLayout>
                  <c:x val="2.2624560451473642E-2"/>
                  <c:y val="1.5095232708204235E-2"/>
                </c:manualLayout>
              </c:layout>
              <c:spPr>
                <a:noFill/>
                <a:ln w="12700" cap="rnd">
                  <a:solidFill>
                    <a:srgbClr val="FFF1D0"/>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B735-4F36-AF0E-9B6D0EFB7EB1}"/>
                </c:ext>
              </c:extLst>
            </c:dLbl>
            <c:dLbl>
              <c:idx val="4"/>
              <c:layout>
                <c:manualLayout>
                  <c:x val="2.5821113211966853E-2"/>
                  <c:y val="-1.6306884449214878E-2"/>
                </c:manualLayout>
              </c:layout>
              <c:spPr>
                <a:noFill/>
                <a:ln w="12700" cap="rnd">
                  <a:solidFill>
                    <a:srgbClr val="F0C808"/>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9-B735-4F36-AF0E-9B6D0EFB7EB1}"/>
                </c:ext>
              </c:extLst>
            </c:dLbl>
            <c:dLbl>
              <c:idx val="5"/>
              <c:layout>
                <c:manualLayout>
                  <c:x val="-1.6465128587128036E-2"/>
                  <c:y val="-1.5399258193351216E-3"/>
                </c:manualLayout>
              </c:layout>
              <c:spPr>
                <a:noFill/>
                <a:ln w="12700" cap="rnd">
                  <a:solidFill>
                    <a:srgbClr val="BFBFBF"/>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15:layout>
                    <c:manualLayout>
                      <c:w val="6.7532481025100052E-2"/>
                      <c:h val="4.0412123928185321E-2"/>
                    </c:manualLayout>
                  </c15:layout>
                </c:ext>
                <c:ext xmlns:c16="http://schemas.microsoft.com/office/drawing/2014/chart" uri="{C3380CC4-5D6E-409C-BE32-E72D297353CC}">
                  <c16:uniqueId val="{0000000B-B735-4F36-AF0E-9B6D0EFB7EB1}"/>
                </c:ext>
              </c:extLst>
            </c:dLbl>
            <c:dLbl>
              <c:idx val="6"/>
              <c:layout>
                <c:manualLayout>
                  <c:x val="-2.3971318683085382E-3"/>
                  <c:y val="-3.4169367261005908E-4"/>
                </c:manualLayout>
              </c:layout>
              <c:spPr>
                <a:noFill/>
                <a:ln w="12700" cap="rnd">
                  <a:solidFill>
                    <a:srgbClr val="086788"/>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D-B735-4F36-AF0E-9B6D0EFB7EB1}"/>
                </c:ext>
              </c:extLst>
            </c:dLbl>
            <c:dLbl>
              <c:idx val="7"/>
              <c:layout>
                <c:manualLayout>
                  <c:x val="4.6734092622203868E-3"/>
                  <c:y val="-2.2405624405135896E-2"/>
                </c:manualLayout>
              </c:layout>
              <c:spPr>
                <a:noFill/>
                <a:ln w="12700" cap="rnd">
                  <a:solidFill>
                    <a:srgbClr val="086788">
                      <a:lumMod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F-B735-4F36-AF0E-9B6D0EFB7EB1}"/>
                </c:ext>
              </c:extLst>
            </c:dLbl>
            <c:dLbl>
              <c:idx val="8"/>
              <c:layout>
                <c:manualLayout>
                  <c:x val="-3.9668167576031865E-3"/>
                  <c:y val="-1.0318823156623379E-2"/>
                </c:manualLayout>
              </c:layout>
              <c:spPr>
                <a:noFill/>
                <a:ln w="12700" cap="rnd">
                  <a:solidFill>
                    <a:srgbClr val="E3DED1">
                      <a:lumMod val="50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11-B735-4F36-AF0E-9B6D0EFB7EB1}"/>
                </c:ext>
              </c:extLst>
            </c:dLbl>
            <c:dLbl>
              <c:idx val="9"/>
              <c:layout>
                <c:manualLayout>
                  <c:x val="6.0229404652277418E-3"/>
                  <c:y val="-1.8675964663554413E-2"/>
                </c:manualLayout>
              </c:layout>
              <c:spPr>
                <a:noFill/>
                <a:ln w="12700" cap="rnd">
                  <a:solidFill>
                    <a:srgbClr val="FFF1D0">
                      <a:lumMod val="50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13-B735-4F36-AF0E-9B6D0EFB7EB1}"/>
                </c:ext>
              </c:extLst>
            </c:dLbl>
            <c:dLbl>
              <c:idx val="10"/>
              <c:layout>
                <c:manualLayout>
                  <c:x val="-1.7251624778687324E-3"/>
                  <c:y val="-2.1400715408920072E-2"/>
                </c:manualLayout>
              </c:layout>
              <c:spPr>
                <a:solidFill>
                  <a:sysClr val="window" lastClr="FFFFFF"/>
                </a:solidFill>
                <a:ln w="12700">
                  <a:solidFill>
                    <a:srgbClr val="DD1C1A">
                      <a:lumMod val="50000"/>
                    </a:srgb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0"/>
              <c:showSerName val="0"/>
              <c:showPercent val="0"/>
              <c:showBubbleSize val="0"/>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15-B735-4F36-AF0E-9B6D0EFB7EB1}"/>
                </c:ext>
              </c:extLst>
            </c:dLbl>
            <c:dLbl>
              <c:idx val="11"/>
              <c:layout>
                <c:manualLayout>
                  <c:x val="1.4089319251039699E-2"/>
                  <c:y val="-5.8747384891571233E-2"/>
                </c:manualLayout>
              </c:layout>
              <c:spPr>
                <a:noFill/>
                <a:ln w="12700" cap="rnd">
                  <a:solidFill>
                    <a:srgbClr val="737373"/>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17-B735-4F36-AF0E-9B6D0EFB7EB1}"/>
                </c:ext>
              </c:extLst>
            </c:dLbl>
            <c:spPr>
              <a:noFill/>
              <a:ln w="12700" cap="rnd">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eparator>, </c:separator>
            <c:showLeaderLines val="0"/>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Lst>
          </c:dLbls>
          <c:cat>
            <c:strRef>
              <c:f>'4.2 Invoked exceptions'!$B$7:$B$16</c:f>
              <c:strCache>
                <c:ptCount val="10"/>
                <c:pt idx="0">
                  <c:v>Public security</c:v>
                </c:pt>
                <c:pt idx="1">
                  <c:v>Defence and military matters</c:v>
                </c:pt>
                <c:pt idx="2">
                  <c:v>International relations</c:v>
                </c:pt>
                <c:pt idx="3">
                  <c:v>Financial, monetary or economic policy</c:v>
                </c:pt>
                <c:pt idx="4">
                  <c:v>Personal data protection</c:v>
                </c:pt>
                <c:pt idx="5">
                  <c:v>Commercial interests</c:v>
                </c:pt>
                <c:pt idx="6">
                  <c:v>Court proceedings and legal advice</c:v>
                </c:pt>
                <c:pt idx="7">
                  <c:v>Purpose of inspections, investigations &amp; audits</c:v>
                </c:pt>
                <c:pt idx="8">
                  <c:v>Ongoing decision-making process</c:v>
                </c:pt>
                <c:pt idx="9">
                  <c:v>Closed decision-making process</c:v>
                </c:pt>
              </c:strCache>
            </c:strRef>
          </c:cat>
          <c:val>
            <c:numRef>
              <c:f>'4.2 Invoked exceptions'!$D$7:$D$16</c:f>
              <c:numCache>
                <c:formatCode>0.0%</c:formatCode>
                <c:ptCount val="10"/>
                <c:pt idx="0">
                  <c:v>6.090394859684771E-2</c:v>
                </c:pt>
                <c:pt idx="1">
                  <c:v>1.982536108517766E-2</c:v>
                </c:pt>
                <c:pt idx="2">
                  <c:v>5.5906419902246145E-2</c:v>
                </c:pt>
                <c:pt idx="3">
                  <c:v>8.1827667636882855E-3</c:v>
                </c:pt>
                <c:pt idx="4">
                  <c:v>0.54626832884837173</c:v>
                </c:pt>
                <c:pt idx="5">
                  <c:v>0.13850293810752926</c:v>
                </c:pt>
                <c:pt idx="6">
                  <c:v>2.3724531824921742E-2</c:v>
                </c:pt>
                <c:pt idx="7">
                  <c:v>7.9960459113625135E-2</c:v>
                </c:pt>
                <c:pt idx="8">
                  <c:v>5.5467076720303148E-2</c:v>
                </c:pt>
                <c:pt idx="9">
                  <c:v>1.1258169037289252E-2</c:v>
                </c:pt>
              </c:numCache>
            </c:numRef>
          </c:val>
          <c:extLst xmlns:ask="http://schemas.microsoft.com/office/drawing/2018/sketchyshapes"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8-B735-4F36-AF0E-9B6D0EFB7EB1}"/>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55991615283099738"/>
          <c:y val="0.12295999970354737"/>
          <c:w val="0.4260087535537605"/>
          <c:h val="0.86291175203789805"/>
        </c:manualLayout>
      </c:layout>
      <c:overlay val="0"/>
      <c:spPr>
        <a:noFill/>
        <a:ln>
          <a:noFill/>
        </a:ln>
        <a:effectLst/>
      </c:spPr>
      <c:txPr>
        <a:bodyPr rot="0" spcFirstLastPara="1" vertOverflow="ellipsis" vert="horz" wrap="square" anchor="ctr" anchorCtr="0"/>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GB" sz="1600" b="1" i="0" u="none" strike="noStrike" cap="all" normalizeH="0" baseline="0"/>
              <a:t>COnfirmatory STAGE 2025</a:t>
            </a:r>
            <a:endParaRPr lang="en-GB"/>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2241524528264567E-2"/>
          <c:y val="0.23240528188393902"/>
          <c:w val="0.41025531434631418"/>
          <c:h val="0.62440190536497553"/>
        </c:manualLayout>
      </c:layout>
      <c:pieChart>
        <c:varyColors val="1"/>
        <c:ser>
          <c:idx val="0"/>
          <c:order val="0"/>
          <c:tx>
            <c:strRef>
              <c:f>'4.2 Invoked exceptions'!$J$3</c:f>
              <c:strCache>
                <c:ptCount val="1"/>
                <c:pt idx="0">
                  <c:v>CONFIRMATORY</c:v>
                </c:pt>
              </c:strCache>
            </c:strRef>
          </c:tx>
          <c:dPt>
            <c:idx val="0"/>
            <c:bubble3D val="0"/>
            <c:spPr>
              <a:solidFill>
                <a:schemeClr val="accent1"/>
              </a:solidFill>
              <a:ln>
                <a:noFill/>
              </a:ln>
              <a:effectLst/>
            </c:spP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9E6C-4DEB-807D-AD2264A983EF}"/>
              </c:ext>
            </c:extLst>
          </c:dPt>
          <c:dPt>
            <c:idx val="1"/>
            <c:bubble3D val="0"/>
            <c:spPr>
              <a:solidFill>
                <a:schemeClr val="accent2"/>
              </a:solidFill>
              <a:ln>
                <a:noFill/>
              </a:ln>
              <a:effectLst/>
            </c:spP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9E6C-4DEB-807D-AD2264A983EF}"/>
              </c:ext>
            </c:extLst>
          </c:dPt>
          <c:dPt>
            <c:idx val="2"/>
            <c:bubble3D val="0"/>
            <c:spPr>
              <a:solidFill>
                <a:schemeClr val="accent5"/>
              </a:solidFill>
              <a:ln>
                <a:noFill/>
              </a:ln>
              <a:effectLst/>
            </c:spP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9E6C-4DEB-807D-AD2264A983EF}"/>
              </c:ext>
            </c:extLst>
          </c:dPt>
          <c:dPt>
            <c:idx val="3"/>
            <c:bubble3D val="0"/>
            <c:spPr>
              <a:solidFill>
                <a:schemeClr val="accent4"/>
              </a:solidFill>
              <a:ln>
                <a:noFill/>
              </a:ln>
              <a:effectLst/>
            </c:spP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9E6C-4DEB-807D-AD2264A983EF}"/>
              </c:ext>
            </c:extLst>
          </c:dPt>
          <c:dPt>
            <c:idx val="4"/>
            <c:bubble3D val="0"/>
            <c:spPr>
              <a:solidFill>
                <a:schemeClr val="accent3"/>
              </a:solidFill>
              <a:ln>
                <a:noFill/>
              </a:ln>
              <a:effectLst/>
            </c:spP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9E6C-4DEB-807D-AD2264A983EF}"/>
              </c:ext>
            </c:extLst>
          </c:dPt>
          <c:dPt>
            <c:idx val="5"/>
            <c:bubble3D val="0"/>
            <c:spPr>
              <a:solidFill>
                <a:schemeClr val="accent6"/>
              </a:solidFill>
              <a:ln>
                <a:noFill/>
              </a:ln>
              <a:effectLst/>
            </c:spP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B-9E6C-4DEB-807D-AD2264A983EF}"/>
              </c:ext>
            </c:extLst>
          </c:dPt>
          <c:dPt>
            <c:idx val="6"/>
            <c:bubble3D val="0"/>
            <c:spPr>
              <a:solidFill>
                <a:schemeClr val="accent1">
                  <a:lumMod val="60000"/>
                </a:schemeClr>
              </a:solidFill>
              <a:ln>
                <a:noFill/>
              </a:ln>
              <a:effectLst/>
            </c:spP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D-9E6C-4DEB-807D-AD2264A983EF}"/>
              </c:ext>
            </c:extLst>
          </c:dPt>
          <c:dPt>
            <c:idx val="7"/>
            <c:bubble3D val="0"/>
            <c:spPr>
              <a:solidFill>
                <a:schemeClr val="accent2">
                  <a:lumMod val="60000"/>
                </a:schemeClr>
              </a:solidFill>
              <a:ln>
                <a:noFill/>
              </a:ln>
              <a:effectLst/>
            </c:spP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F-9E6C-4DEB-807D-AD2264A983EF}"/>
              </c:ext>
            </c:extLst>
          </c:dPt>
          <c:dPt>
            <c:idx val="8"/>
            <c:bubble3D val="0"/>
            <c:spPr>
              <a:solidFill>
                <a:schemeClr val="accent3">
                  <a:lumMod val="60000"/>
                </a:schemeClr>
              </a:solidFill>
              <a:ln>
                <a:noFill/>
              </a:ln>
              <a:effectLst/>
            </c:spP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1-9E6C-4DEB-807D-AD2264A983EF}"/>
              </c:ext>
            </c:extLst>
          </c:dPt>
          <c:dPt>
            <c:idx val="9"/>
            <c:bubble3D val="0"/>
            <c:spPr>
              <a:solidFill>
                <a:schemeClr val="accent4">
                  <a:lumMod val="50000"/>
                </a:schemeClr>
              </a:solidFill>
              <a:ln>
                <a:noFill/>
              </a:ln>
              <a:effectLst/>
            </c:spP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3-9E6C-4DEB-807D-AD2264A983EF}"/>
              </c:ext>
            </c:extLst>
          </c:dPt>
          <c:dPt>
            <c:idx val="10"/>
            <c:bubble3D val="0"/>
            <c:spPr>
              <a:solidFill>
                <a:schemeClr val="accent5">
                  <a:lumMod val="60000"/>
                </a:schemeClr>
              </a:solidFill>
              <a:ln>
                <a:noFill/>
              </a:ln>
              <a:effectLst/>
            </c:spP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5-9E6C-4DEB-807D-AD2264A983EF}"/>
              </c:ext>
            </c:extLst>
          </c:dPt>
          <c:dPt>
            <c:idx val="11"/>
            <c:bubble3D val="0"/>
            <c:spPr>
              <a:solidFill>
                <a:schemeClr val="accent6">
                  <a:lumMod val="60000"/>
                </a:schemeClr>
              </a:solidFill>
              <a:ln>
                <a:noFill/>
              </a:ln>
              <a:effectLst/>
            </c:spP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7-9E6C-4DEB-807D-AD2264A983EF}"/>
              </c:ext>
            </c:extLst>
          </c:dPt>
          <c:dLbls>
            <c:dLbl>
              <c:idx val="0"/>
              <c:layout>
                <c:manualLayout>
                  <c:x val="-2.9789790230992375E-2"/>
                  <c:y val="-3.8001465665365858E-2"/>
                </c:manualLayout>
              </c:layout>
              <c:spPr>
                <a:xfrm>
                  <a:off x="1782148" y="548802"/>
                  <a:ext cx="309965" cy="150280"/>
                </a:xfrm>
                <a:noFill/>
                <a:ln w="12700" cap="rnd" cmpd="sng" algn="ctr">
                  <a:solidFill>
                    <a:srgbClr val="06AED5"/>
                  </a:solidFill>
                  <a:prstDash val="solid"/>
                  <a:round/>
                  <a:headEnd type="none" w="med" len="med"/>
                  <a:tailEnd type="none" w="med" len="med"/>
                  <a:extLst>
                    <a:ext uri="{C807C97D-BFC1-408E-A445-0C87EB9F89A2}">
                      <ask:lineSketchStyleProps xmlns:ask="http://schemas.microsoft.com/office/drawing/2018/sketchyshapes" xmlns:c16r2="http://schemas.microsoft.com/office/drawing/2015/06/chart" xmlns:r="http://schemas.openxmlformats.org/officeDocument/2006/relationships" xmlns:c15="http://schemas.microsoft.com/office/drawing/2012/chart" xmlns:c16="http://schemas.microsoft.com/office/drawing/2014/chart" xmlns:c14="http://schemas.microsoft.com/office/drawing/2007/8/2/chart" xmlns:mc="http://schemas.openxmlformats.org/markup-compatibility/2006" xmln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gd name="adj1" fmla="val 34113"/>
                        <a:gd name="adj2" fmla="val 181927"/>
                      </a:avLst>
                    </a:prstGeom>
                    <a:noFill/>
                    <a:ln>
                      <a:noFill/>
                    </a:ln>
                  </c15:spPr>
                  <c15:layout>
                    <c:manualLayout>
                      <c:w val="5.1750262269743566E-2"/>
                      <c:h val="3.8186820015251345E-2"/>
                    </c:manualLayout>
                  </c15:layout>
                </c:ext>
                <c:ext xmlns:c16="http://schemas.microsoft.com/office/drawing/2014/chart" uri="{C3380CC4-5D6E-409C-BE32-E72D297353CC}">
                  <c16:uniqueId val="{00000001-9E6C-4DEB-807D-AD2264A983EF}"/>
                </c:ext>
              </c:extLst>
            </c:dLbl>
            <c:dLbl>
              <c:idx val="1"/>
              <c:layout>
                <c:manualLayout>
                  <c:x val="-8.3075999943903103E-3"/>
                  <c:y val="-3.6975398268136464E-2"/>
                </c:manualLayout>
              </c:layout>
              <c:spPr>
                <a:xfrm>
                  <a:off x="2126970" y="563559"/>
                  <a:ext cx="314125" cy="167746"/>
                </a:xfrm>
                <a:noFill/>
                <a:ln w="12700" cap="rnd" cmpd="sng" algn="ctr">
                  <a:solidFill>
                    <a:srgbClr val="086788"/>
                  </a:solidFill>
                  <a:prstDash val="solid"/>
                  <a:round/>
                  <a:headEnd type="none" w="med" len="med"/>
                  <a:tailEnd type="none" w="med" len="med"/>
                  <a:extLst>
                    <a:ext uri="{C807C97D-BFC1-408E-A445-0C87EB9F89A2}">
                      <ask:lineSketchStyleProps xmlns:ask="http://schemas.microsoft.com/office/drawing/2018/sketchyshapes" xmlns:c16r2="http://schemas.microsoft.com/office/drawing/2015/06/chart" xmlns:r="http://schemas.openxmlformats.org/officeDocument/2006/relationships" xmlns:c15="http://schemas.microsoft.com/office/drawing/2012/chart" xmlns:c16="http://schemas.microsoft.com/office/drawing/2014/chart" xmlns:c14="http://schemas.microsoft.com/office/drawing/2007/8/2/chart" xmlns:mc="http://schemas.openxmlformats.org/markup-compatibility/2006" xmln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gd name="adj1" fmla="val -26895"/>
                        <a:gd name="adj2" fmla="val 166385"/>
                      </a:avLst>
                    </a:prstGeom>
                    <a:noFill/>
                    <a:ln>
                      <a:noFill/>
                    </a:ln>
                  </c15:spPr>
                  <c15:layout>
                    <c:manualLayout>
                      <c:w val="5.2444878247758335E-2"/>
                      <c:h val="4.262495765183346E-2"/>
                    </c:manualLayout>
                  </c15:layout>
                </c:ext>
                <c:ext xmlns:c16="http://schemas.microsoft.com/office/drawing/2014/chart" uri="{C3380CC4-5D6E-409C-BE32-E72D297353CC}">
                  <c16:uniqueId val="{00000003-9E6C-4DEB-807D-AD2264A983EF}"/>
                </c:ext>
              </c:extLst>
            </c:dLbl>
            <c:dLbl>
              <c:idx val="2"/>
              <c:layout>
                <c:manualLayout>
                  <c:x val="9.4648489490846404E-3"/>
                  <c:y val="-1.6615532698719879E-2"/>
                </c:manualLayout>
              </c:layout>
              <c:spPr>
                <a:noFill/>
                <a:ln w="12700" cap="rnd" cmpd="sng" algn="ctr">
                  <a:solidFill>
                    <a:srgbClr val="DD1C1A"/>
                  </a:solidFill>
                  <a:prstDash val="solid"/>
                  <a:round/>
                  <a:headEnd type="none" w="med" len="med"/>
                  <a:tailEnd type="none" w="med" len="med"/>
                  <a:extLst>
                    <a:ext uri="{C807C97D-BFC1-408E-A445-0C87EB9F89A2}">
                      <ask:lineSketchStyleProps xmlns:ask="http://schemas.microsoft.com/office/drawing/2018/sketchyshapes" xmlns:c16r2="http://schemas.microsoft.com/office/drawing/2015/06/chart" xmlns:r="http://schemas.openxmlformats.org/officeDocument/2006/relationships" xmlns:c15="http://schemas.microsoft.com/office/drawing/2012/chart" xmlns:c16="http://schemas.microsoft.com/office/drawing/2014/chart" xmlns:c14="http://schemas.microsoft.com/office/drawing/2007/8/2/chart" xmlns:mc="http://schemas.openxmlformats.org/markup-compatibility/2006" xmln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gd name="adj1" fmla="val -80277"/>
                        <a:gd name="adj2" fmla="val 109652"/>
                      </a:avLst>
                    </a:prstGeom>
                    <a:noFill/>
                    <a:ln>
                      <a:noFill/>
                    </a:ln>
                  </c15:spPr>
                </c:ext>
                <c:ext xmlns:c16="http://schemas.microsoft.com/office/drawing/2014/chart" uri="{C3380CC4-5D6E-409C-BE32-E72D297353CC}">
                  <c16:uniqueId val="{00000005-9E6C-4DEB-807D-AD2264A983EF}"/>
                </c:ext>
              </c:extLst>
            </c:dLbl>
            <c:dLbl>
              <c:idx val="3"/>
              <c:layout>
                <c:manualLayout>
                  <c:x val="3.4117766087955928E-2"/>
                  <c:y val="-5.0924756582153745E-3"/>
                </c:manualLayout>
              </c:layout>
              <c:spPr>
                <a:noFill/>
                <a:ln w="12700" cap="rnd">
                  <a:solidFill>
                    <a:srgbClr val="FFF1D0"/>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7-9E6C-4DEB-807D-AD2264A983EF}"/>
                </c:ext>
              </c:extLst>
            </c:dLbl>
            <c:dLbl>
              <c:idx val="4"/>
              <c:layout>
                <c:manualLayout>
                  <c:x val="-6.4852702670126746E-3"/>
                  <c:y val="5.1628064754429784E-2"/>
                </c:manualLayout>
              </c:layout>
              <c:spPr>
                <a:noFill/>
                <a:ln w="12700" cap="rnd" cmpd="sng" algn="ctr">
                  <a:solidFill>
                    <a:srgbClr val="F0C808"/>
                  </a:solidFill>
                  <a:prstDash val="solid"/>
                  <a:round/>
                  <a:headEnd type="none" w="med" len="med"/>
                  <a:tailEnd type="none" w="med" len="med"/>
                  <a:extLst>
                    <a:ext uri="{C807C97D-BFC1-408E-A445-0C87EB9F89A2}">
                      <ask:lineSketchStyleProps xmlns:ask="http://schemas.microsoft.com/office/drawing/2018/sketchyshapes" xmlns:c16r2="http://schemas.microsoft.com/office/drawing/2015/06/chart" xmlns:r="http://schemas.openxmlformats.org/officeDocument/2006/relationships" xmlns:c15="http://schemas.microsoft.com/office/drawing/2012/chart" xmlns:c16="http://schemas.microsoft.com/office/drawing/2014/chart" xmlns:c14="http://schemas.microsoft.com/office/drawing/2007/8/2/chart" xmlns:mc="http://schemas.openxmlformats.org/markup-compatibility/2006" xmln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gd name="adj1" fmla="val -55734"/>
                        <a:gd name="adj2" fmla="val -172416"/>
                      </a:avLst>
                    </a:prstGeom>
                    <a:noFill/>
                    <a:ln>
                      <a:noFill/>
                    </a:ln>
                  </c15:spPr>
                </c:ext>
                <c:ext xmlns:c16="http://schemas.microsoft.com/office/drawing/2014/chart" uri="{C3380CC4-5D6E-409C-BE32-E72D297353CC}">
                  <c16:uniqueId val="{00000009-9E6C-4DEB-807D-AD2264A983EF}"/>
                </c:ext>
              </c:extLst>
            </c:dLbl>
            <c:dLbl>
              <c:idx val="5"/>
              <c:layout>
                <c:manualLayout>
                  <c:x val="-1.6465128587128036E-2"/>
                  <c:y val="-1.5399258193351216E-3"/>
                </c:manualLayout>
              </c:layout>
              <c:spPr>
                <a:noFill/>
                <a:ln w="12700" cap="rnd">
                  <a:solidFill>
                    <a:srgbClr val="BFBFBF"/>
                  </a:solidFill>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15:layout>
                    <c:manualLayout>
                      <c:w val="6.7532481025100052E-2"/>
                      <c:h val="4.0412123928185321E-2"/>
                    </c:manualLayout>
                  </c15:layout>
                </c:ext>
                <c:ext xmlns:c16="http://schemas.microsoft.com/office/drawing/2014/chart" uri="{C3380CC4-5D6E-409C-BE32-E72D297353CC}">
                  <c16:uniqueId val="{0000000B-9E6C-4DEB-807D-AD2264A983EF}"/>
                </c:ext>
              </c:extLst>
            </c:dLbl>
            <c:dLbl>
              <c:idx val="6"/>
              <c:layout>
                <c:manualLayout>
                  <c:x val="-2.3971318683085382E-3"/>
                  <c:y val="-3.4169367261005908E-4"/>
                </c:manualLayout>
              </c:layout>
              <c:spPr>
                <a:noFill/>
                <a:ln w="12700" cap="rnd">
                  <a:solidFill>
                    <a:srgbClr val="086788"/>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D-9E6C-4DEB-807D-AD2264A983EF}"/>
                </c:ext>
              </c:extLst>
            </c:dLbl>
            <c:dLbl>
              <c:idx val="7"/>
              <c:layout>
                <c:manualLayout>
                  <c:x val="-6.4233142950344156E-3"/>
                  <c:y val="-5.8104790726929405E-3"/>
                </c:manualLayout>
              </c:layout>
              <c:spPr>
                <a:noFill/>
                <a:ln w="12700" cap="rnd">
                  <a:solidFill>
                    <a:srgbClr val="086788">
                      <a:lumMod val="75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0F-9E6C-4DEB-807D-AD2264A983EF}"/>
                </c:ext>
              </c:extLst>
            </c:dLbl>
            <c:dLbl>
              <c:idx val="8"/>
              <c:layout>
                <c:manualLayout>
                  <c:x val="-3.9703247409358433E-2"/>
                  <c:y val="6.1635192637928306E-3"/>
                </c:manualLayout>
              </c:layout>
              <c:spPr>
                <a:noFill/>
                <a:ln w="12700" cap="rnd">
                  <a:solidFill>
                    <a:srgbClr val="E3DED1">
                      <a:lumMod val="50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11-9E6C-4DEB-807D-AD2264A983EF}"/>
                </c:ext>
              </c:extLst>
            </c:dLbl>
            <c:dLbl>
              <c:idx val="9"/>
              <c:layout>
                <c:manualLayout>
                  <c:x val="-4.0199604783996888E-2"/>
                  <c:y val="-1.6062604849197568E-2"/>
                </c:manualLayout>
              </c:layout>
              <c:spPr>
                <a:noFill/>
                <a:ln w="12700" cap="rnd">
                  <a:solidFill>
                    <a:srgbClr val="FFF1D0">
                      <a:lumMod val="50000"/>
                    </a:srgb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13-9E6C-4DEB-807D-AD2264A983EF}"/>
                </c:ext>
              </c:extLst>
            </c:dLbl>
            <c:dLbl>
              <c:idx val="10"/>
              <c:layout>
                <c:manualLayout>
                  <c:x val="2.2201665124884366E-2"/>
                  <c:y val="-1.3861275264828844E-2"/>
                </c:manualLayout>
              </c:layout>
              <c:spPr>
                <a:xfrm>
                  <a:off x="2099127" y="729907"/>
                  <a:ext cx="396000" cy="184131"/>
                </a:xfrm>
                <a:noFill/>
                <a:ln w="12700" cap="rnd" cmpd="sng" algn="ctr">
                  <a:solidFill>
                    <a:srgbClr val="DD1C1A">
                      <a:lumMod val="75000"/>
                    </a:srgbClr>
                  </a:solidFill>
                  <a:prstDash val="solid"/>
                  <a:round/>
                  <a:headEnd type="none" w="med" len="med"/>
                  <a:tailEnd type="none" w="med" len="med"/>
                  <a:extLst>
                    <a:ext uri="{C807C97D-BFC1-408E-A445-0C87EB9F89A2}">
                      <ask:lineSketchStyleProps xmlns:ask="http://schemas.microsoft.com/office/drawing/2018/sketchyshapes" xmlns:c16r2="http://schemas.microsoft.com/office/drawing/2015/06/chart" xmlns:r="http://schemas.openxmlformats.org/officeDocument/2006/relationships" xmlns:c15="http://schemas.microsoft.com/office/drawing/2012/chart" xmlns:c16="http://schemas.microsoft.com/office/drawing/2014/chart" xmlns:c14="http://schemas.microsoft.com/office/drawing/2007/8/2/chart" xmlns:mc="http://schemas.openxmlformats.org/markup-compatibility/2006" xmln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gd name="adj1" fmla="val -35158"/>
                        <a:gd name="adj2" fmla="val 114083"/>
                      </a:avLst>
                    </a:prstGeom>
                    <a:noFill/>
                    <a:ln>
                      <a:noFill/>
                    </a:ln>
                  </c15:spPr>
                  <c15:layout>
                    <c:manualLayout>
                      <c:w val="5.7689366072534179E-2"/>
                      <c:h val="4.0194002440703758E-2"/>
                    </c:manualLayout>
                  </c15:layout>
                </c:ext>
                <c:ext xmlns:c16="http://schemas.microsoft.com/office/drawing/2014/chart" uri="{C3380CC4-5D6E-409C-BE32-E72D297353CC}">
                  <c16:uniqueId val="{00000015-9E6C-4DEB-807D-AD2264A983EF}"/>
                </c:ext>
              </c:extLst>
            </c:dLbl>
            <c:dLbl>
              <c:idx val="11"/>
              <c:layout>
                <c:manualLayout>
                  <c:x val="1.4089319251039699E-2"/>
                  <c:y val="-5.8747384891571233E-2"/>
                </c:manualLayout>
              </c:layout>
              <c:spPr>
                <a:noFill/>
                <a:ln w="12700" cap="rnd">
                  <a:solidFill>
                    <a:srgbClr val="737373"/>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eparator>, </c:separator>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 xmlns:c16="http://schemas.microsoft.com/office/drawing/2014/chart" uri="{C3380CC4-5D6E-409C-BE32-E72D297353CC}">
                  <c16:uniqueId val="{00000017-9E6C-4DEB-807D-AD2264A983EF}"/>
                </c:ext>
              </c:extLst>
            </c:dLbl>
            <c:spPr>
              <a:noFill/>
              <a:ln w="12700" cap="rnd">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1"/>
            <c:showCatName val="0"/>
            <c:showSerName val="0"/>
            <c:showPercent val="0"/>
            <c:showBubbleSize val="0"/>
            <c:separator>, </c:separator>
            <c:showLeaderLines val="0"/>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5="http://schemas.microsoft.com/office/drawing/2012/chart" uri="{CE6537A1-D6FC-4f65-9D91-7224C49458BB}">
                <c15:spPr xmlns:c15="http://schemas.microsoft.com/office/drawing/2012/chart">
                  <a:prstGeom prst="wedgeRectCallout">
                    <a:avLst/>
                  </a:prstGeom>
                  <a:noFill/>
                  <a:ln>
                    <a:noFill/>
                  </a:ln>
                </c15:spPr>
              </c:ext>
            </c:extLst>
          </c:dLbls>
          <c:cat>
            <c:strRef>
              <c:f>'4.2 Invoked exceptions'!$J$7:$J$16</c:f>
              <c:strCache>
                <c:ptCount val="10"/>
                <c:pt idx="0">
                  <c:v>Public security</c:v>
                </c:pt>
                <c:pt idx="1">
                  <c:v>Defence and military matters</c:v>
                </c:pt>
                <c:pt idx="2">
                  <c:v>International relations</c:v>
                </c:pt>
                <c:pt idx="3">
                  <c:v>Financial, monetary or economic policy</c:v>
                </c:pt>
                <c:pt idx="4">
                  <c:v>Personal data protection</c:v>
                </c:pt>
                <c:pt idx="5">
                  <c:v>Commercial interests</c:v>
                </c:pt>
                <c:pt idx="6">
                  <c:v>Court proceedings and legal advice</c:v>
                </c:pt>
                <c:pt idx="7">
                  <c:v>Purpose of inspections, investigations &amp; audits</c:v>
                </c:pt>
                <c:pt idx="8">
                  <c:v>Ongoing decision-making process</c:v>
                </c:pt>
                <c:pt idx="9">
                  <c:v>Closed decision-making process</c:v>
                </c:pt>
              </c:strCache>
            </c:strRef>
          </c:cat>
          <c:val>
            <c:numRef>
              <c:f>'4.2 Invoked exceptions'!$L$7:$L$16</c:f>
              <c:numCache>
                <c:formatCode>0.0%</c:formatCode>
                <c:ptCount val="10"/>
                <c:pt idx="0">
                  <c:v>3.7767756482525366E-2</c:v>
                </c:pt>
                <c:pt idx="1">
                  <c:v>1.1273957158962795E-3</c:v>
                </c:pt>
                <c:pt idx="2">
                  <c:v>4.1713641488162347E-2</c:v>
                </c:pt>
                <c:pt idx="3">
                  <c:v>5.0732807215332579E-3</c:v>
                </c:pt>
                <c:pt idx="4">
                  <c:v>0.42841037204058624</c:v>
                </c:pt>
                <c:pt idx="5">
                  <c:v>8.9064261555806087E-2</c:v>
                </c:pt>
                <c:pt idx="6">
                  <c:v>0.10090191657271702</c:v>
                </c:pt>
                <c:pt idx="7">
                  <c:v>0.21476888387824125</c:v>
                </c:pt>
                <c:pt idx="8">
                  <c:v>6.9334836527621194E-2</c:v>
                </c:pt>
                <c:pt idx="9">
                  <c:v>1.1837655016910935E-2</c:v>
                </c:pt>
              </c:numCache>
            </c:numRef>
          </c:val>
          <c:extLst xmlns:c15="http://schemas.microsoft.com/office/drawing/2012/chart" xmlns:ask="http://schemas.microsoft.com/office/drawing/2018/sketchyshapes"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18-9E6C-4DEB-807D-AD2264A983EF}"/>
            </c:ext>
          </c:extLst>
        </c:ser>
        <c:dLbls>
          <c:showLegendKey val="0"/>
          <c:showVal val="0"/>
          <c:showCatName val="0"/>
          <c:showSerName val="0"/>
          <c:showPercent val="0"/>
          <c:showBubbleSize val="0"/>
          <c:showLeaderLines val="0"/>
        </c:dLbls>
        <c:firstSliceAng val="0"/>
      </c:pieChart>
      <c:spPr>
        <a:noFill/>
        <a:ln>
          <a:noFill/>
        </a:ln>
        <a:effectLst/>
      </c:spPr>
    </c:plotArea>
    <c:legend>
      <c:legendPos val="r"/>
      <c:layout>
        <c:manualLayout>
          <c:xMode val="edge"/>
          <c:yMode val="edge"/>
          <c:x val="0.57608532145732128"/>
          <c:y val="0.1225058171516402"/>
          <c:w val="0.40983952164875787"/>
          <c:h val="0.82615220891932173"/>
        </c:manualLayout>
      </c:layout>
      <c:overlay val="0"/>
      <c:spPr>
        <a:noFill/>
        <a:ln>
          <a:noFill/>
        </a:ln>
        <a:effectLst/>
      </c:spPr>
      <c:txPr>
        <a:bodyPr rot="0" spcFirstLastPara="1" vertOverflow="ellipsis" vert="horz" wrap="square" anchor="ctr" anchorCtr="0"/>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Slidehelper - 019">
    <a:dk1>
      <a:sysClr val="windowText" lastClr="000000"/>
    </a:dk1>
    <a:lt1>
      <a:sysClr val="window" lastClr="FFFFFF"/>
    </a:lt1>
    <a:dk2>
      <a:srgbClr val="323232"/>
    </a:dk2>
    <a:lt2>
      <a:srgbClr val="E3DED1"/>
    </a:lt2>
    <a:accent1>
      <a:srgbClr val="06AED5"/>
    </a:accent1>
    <a:accent2>
      <a:srgbClr val="086788"/>
    </a:accent2>
    <a:accent3>
      <a:srgbClr val="F0C808"/>
    </a:accent3>
    <a:accent4>
      <a:srgbClr val="FFF1D0"/>
    </a:accent4>
    <a:accent5>
      <a:srgbClr val="DD1C1A"/>
    </a:accent5>
    <a:accent6>
      <a:srgbClr val="BFBFBF"/>
    </a:accent6>
    <a:hlink>
      <a:srgbClr val="06AED5"/>
    </a:hlink>
    <a:folHlink>
      <a:srgbClr val="086788"/>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Slidehelper - 019">
    <a:dk1>
      <a:sysClr val="windowText" lastClr="000000"/>
    </a:dk1>
    <a:lt1>
      <a:sysClr val="window" lastClr="FFFFFF"/>
    </a:lt1>
    <a:dk2>
      <a:srgbClr val="323232"/>
    </a:dk2>
    <a:lt2>
      <a:srgbClr val="E3DED1"/>
    </a:lt2>
    <a:accent1>
      <a:srgbClr val="06AED5"/>
    </a:accent1>
    <a:accent2>
      <a:srgbClr val="086788"/>
    </a:accent2>
    <a:accent3>
      <a:srgbClr val="F0C808"/>
    </a:accent3>
    <a:accent4>
      <a:srgbClr val="FFF1D0"/>
    </a:accent4>
    <a:accent5>
      <a:srgbClr val="DD1C1A"/>
    </a:accent5>
    <a:accent6>
      <a:srgbClr val="BFBFBF"/>
    </a:accent6>
    <a:hlink>
      <a:srgbClr val="06AED5"/>
    </a:hlink>
    <a:folHlink>
      <a:srgbClr val="086788"/>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Slidehelper - 019">
    <a:dk1>
      <a:sysClr val="windowText" lastClr="000000"/>
    </a:dk1>
    <a:lt1>
      <a:sysClr val="window" lastClr="FFFFFF"/>
    </a:lt1>
    <a:dk2>
      <a:srgbClr val="323232"/>
    </a:dk2>
    <a:lt2>
      <a:srgbClr val="E3DED1"/>
    </a:lt2>
    <a:accent1>
      <a:srgbClr val="06AED5"/>
    </a:accent1>
    <a:accent2>
      <a:srgbClr val="086788"/>
    </a:accent2>
    <a:accent3>
      <a:srgbClr val="F0C808"/>
    </a:accent3>
    <a:accent4>
      <a:srgbClr val="FFF1D0"/>
    </a:accent4>
    <a:accent5>
      <a:srgbClr val="DD1C1A"/>
    </a:accent5>
    <a:accent6>
      <a:srgbClr val="BFBFBF"/>
    </a:accent6>
    <a:hlink>
      <a:srgbClr val="06AED5"/>
    </a:hlink>
    <a:folHlink>
      <a:srgbClr val="086788"/>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Slidehelper - 019">
    <a:dk1>
      <a:sysClr val="windowText" lastClr="000000"/>
    </a:dk1>
    <a:lt1>
      <a:sysClr val="window" lastClr="FFFFFF"/>
    </a:lt1>
    <a:dk2>
      <a:srgbClr val="323232"/>
    </a:dk2>
    <a:lt2>
      <a:srgbClr val="E3DED1"/>
    </a:lt2>
    <a:accent1>
      <a:srgbClr val="06AED5"/>
    </a:accent1>
    <a:accent2>
      <a:srgbClr val="086788"/>
    </a:accent2>
    <a:accent3>
      <a:srgbClr val="F0C808"/>
    </a:accent3>
    <a:accent4>
      <a:srgbClr val="FFF1D0"/>
    </a:accent4>
    <a:accent5>
      <a:srgbClr val="DD1C1A"/>
    </a:accent5>
    <a:accent6>
      <a:srgbClr val="BFBFBF"/>
    </a:accent6>
    <a:hlink>
      <a:srgbClr val="06AED5"/>
    </a:hlink>
    <a:folHlink>
      <a:srgbClr val="086788"/>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Slidehelper - 019">
    <a:dk1>
      <a:sysClr val="windowText" lastClr="000000"/>
    </a:dk1>
    <a:lt1>
      <a:sysClr val="window" lastClr="FFFFFF"/>
    </a:lt1>
    <a:dk2>
      <a:srgbClr val="323232"/>
    </a:dk2>
    <a:lt2>
      <a:srgbClr val="E3DED1"/>
    </a:lt2>
    <a:accent1>
      <a:srgbClr val="06AED5"/>
    </a:accent1>
    <a:accent2>
      <a:srgbClr val="086788"/>
    </a:accent2>
    <a:accent3>
      <a:srgbClr val="F0C808"/>
    </a:accent3>
    <a:accent4>
      <a:srgbClr val="FFF1D0"/>
    </a:accent4>
    <a:accent5>
      <a:srgbClr val="DD1C1A"/>
    </a:accent5>
    <a:accent6>
      <a:srgbClr val="BFBFBF"/>
    </a:accent6>
    <a:hlink>
      <a:srgbClr val="06AED5"/>
    </a:hlink>
    <a:folHlink>
      <a:srgbClr val="086788"/>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Slidehelper - 019">
    <a:dk1>
      <a:sysClr val="windowText" lastClr="000000"/>
    </a:dk1>
    <a:lt1>
      <a:sysClr val="window" lastClr="FFFFFF"/>
    </a:lt1>
    <a:dk2>
      <a:srgbClr val="323232"/>
    </a:dk2>
    <a:lt2>
      <a:srgbClr val="E3DED1"/>
    </a:lt2>
    <a:accent1>
      <a:srgbClr val="06AED5"/>
    </a:accent1>
    <a:accent2>
      <a:srgbClr val="086788"/>
    </a:accent2>
    <a:accent3>
      <a:srgbClr val="F0C808"/>
    </a:accent3>
    <a:accent4>
      <a:srgbClr val="FFF1D0"/>
    </a:accent4>
    <a:accent5>
      <a:srgbClr val="DD1C1A"/>
    </a:accent5>
    <a:accent6>
      <a:srgbClr val="BFBFBF"/>
    </a:accent6>
    <a:hlink>
      <a:srgbClr val="06AED5"/>
    </a:hlink>
    <a:folHlink>
      <a:srgbClr val="086788"/>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Slidehelper - 019">
    <a:dk1>
      <a:sysClr val="windowText" lastClr="000000"/>
    </a:dk1>
    <a:lt1>
      <a:sysClr val="window" lastClr="FFFFFF"/>
    </a:lt1>
    <a:dk2>
      <a:srgbClr val="323232"/>
    </a:dk2>
    <a:lt2>
      <a:srgbClr val="E3DED1"/>
    </a:lt2>
    <a:accent1>
      <a:srgbClr val="06AED5"/>
    </a:accent1>
    <a:accent2>
      <a:srgbClr val="086788"/>
    </a:accent2>
    <a:accent3>
      <a:srgbClr val="F0C808"/>
    </a:accent3>
    <a:accent4>
      <a:srgbClr val="FFF1D0"/>
    </a:accent4>
    <a:accent5>
      <a:srgbClr val="DD1C1A"/>
    </a:accent5>
    <a:accent6>
      <a:srgbClr val="BFBFBF"/>
    </a:accent6>
    <a:hlink>
      <a:srgbClr val="06AED5"/>
    </a:hlink>
    <a:folHlink>
      <a:srgbClr val="086788"/>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Slidehelper - 019">
    <a:dk1>
      <a:sysClr val="windowText" lastClr="000000"/>
    </a:dk1>
    <a:lt1>
      <a:sysClr val="window" lastClr="FFFFFF"/>
    </a:lt1>
    <a:dk2>
      <a:srgbClr val="323232"/>
    </a:dk2>
    <a:lt2>
      <a:srgbClr val="E3DED1"/>
    </a:lt2>
    <a:accent1>
      <a:srgbClr val="06AED5"/>
    </a:accent1>
    <a:accent2>
      <a:srgbClr val="086788"/>
    </a:accent2>
    <a:accent3>
      <a:srgbClr val="F0C808"/>
    </a:accent3>
    <a:accent4>
      <a:srgbClr val="FFF1D0"/>
    </a:accent4>
    <a:accent5>
      <a:srgbClr val="DD1C1A"/>
    </a:accent5>
    <a:accent6>
      <a:srgbClr val="BFBFBF"/>
    </a:accent6>
    <a:hlink>
      <a:srgbClr val="06AED5"/>
    </a:hlink>
    <a:folHlink>
      <a:srgbClr val="086788"/>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693AC-35EA-48A8-BBA3-BB7D6ADB5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11</Pages>
  <Words>1813</Words>
  <Characters>10335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12124</CharactersWithSpaces>
  <SharedDoc>false</SharedDoc>
  <HLinks>
    <vt:vector size="114" baseType="variant">
      <vt:variant>
        <vt:i4>2031667</vt:i4>
      </vt:variant>
      <vt:variant>
        <vt:i4>86</vt:i4>
      </vt:variant>
      <vt:variant>
        <vt:i4>0</vt:i4>
      </vt:variant>
      <vt:variant>
        <vt:i4>5</vt:i4>
      </vt:variant>
      <vt:variant>
        <vt:lpwstr/>
      </vt:variant>
      <vt:variant>
        <vt:lpwstr>_Toc132738343</vt:lpwstr>
      </vt:variant>
      <vt:variant>
        <vt:i4>2031667</vt:i4>
      </vt:variant>
      <vt:variant>
        <vt:i4>80</vt:i4>
      </vt:variant>
      <vt:variant>
        <vt:i4>0</vt:i4>
      </vt:variant>
      <vt:variant>
        <vt:i4>5</vt:i4>
      </vt:variant>
      <vt:variant>
        <vt:lpwstr/>
      </vt:variant>
      <vt:variant>
        <vt:lpwstr>_Toc132738342</vt:lpwstr>
      </vt:variant>
      <vt:variant>
        <vt:i4>2031667</vt:i4>
      </vt:variant>
      <vt:variant>
        <vt:i4>74</vt:i4>
      </vt:variant>
      <vt:variant>
        <vt:i4>0</vt:i4>
      </vt:variant>
      <vt:variant>
        <vt:i4>5</vt:i4>
      </vt:variant>
      <vt:variant>
        <vt:lpwstr/>
      </vt:variant>
      <vt:variant>
        <vt:lpwstr>_Toc132738341</vt:lpwstr>
      </vt:variant>
      <vt:variant>
        <vt:i4>2031667</vt:i4>
      </vt:variant>
      <vt:variant>
        <vt:i4>68</vt:i4>
      </vt:variant>
      <vt:variant>
        <vt:i4>0</vt:i4>
      </vt:variant>
      <vt:variant>
        <vt:i4>5</vt:i4>
      </vt:variant>
      <vt:variant>
        <vt:lpwstr/>
      </vt:variant>
      <vt:variant>
        <vt:lpwstr>_Toc132738340</vt:lpwstr>
      </vt:variant>
      <vt:variant>
        <vt:i4>1572915</vt:i4>
      </vt:variant>
      <vt:variant>
        <vt:i4>62</vt:i4>
      </vt:variant>
      <vt:variant>
        <vt:i4>0</vt:i4>
      </vt:variant>
      <vt:variant>
        <vt:i4>5</vt:i4>
      </vt:variant>
      <vt:variant>
        <vt:lpwstr/>
      </vt:variant>
      <vt:variant>
        <vt:lpwstr>_Toc132738339</vt:lpwstr>
      </vt:variant>
      <vt:variant>
        <vt:i4>1572915</vt:i4>
      </vt:variant>
      <vt:variant>
        <vt:i4>56</vt:i4>
      </vt:variant>
      <vt:variant>
        <vt:i4>0</vt:i4>
      </vt:variant>
      <vt:variant>
        <vt:i4>5</vt:i4>
      </vt:variant>
      <vt:variant>
        <vt:lpwstr/>
      </vt:variant>
      <vt:variant>
        <vt:lpwstr>_Toc132738338</vt:lpwstr>
      </vt:variant>
      <vt:variant>
        <vt:i4>1572915</vt:i4>
      </vt:variant>
      <vt:variant>
        <vt:i4>50</vt:i4>
      </vt:variant>
      <vt:variant>
        <vt:i4>0</vt:i4>
      </vt:variant>
      <vt:variant>
        <vt:i4>5</vt:i4>
      </vt:variant>
      <vt:variant>
        <vt:lpwstr/>
      </vt:variant>
      <vt:variant>
        <vt:lpwstr>_Toc132738337</vt:lpwstr>
      </vt:variant>
      <vt:variant>
        <vt:i4>1572915</vt:i4>
      </vt:variant>
      <vt:variant>
        <vt:i4>44</vt:i4>
      </vt:variant>
      <vt:variant>
        <vt:i4>0</vt:i4>
      </vt:variant>
      <vt:variant>
        <vt:i4>5</vt:i4>
      </vt:variant>
      <vt:variant>
        <vt:lpwstr/>
      </vt:variant>
      <vt:variant>
        <vt:lpwstr>_Toc132738336</vt:lpwstr>
      </vt:variant>
      <vt:variant>
        <vt:i4>1572915</vt:i4>
      </vt:variant>
      <vt:variant>
        <vt:i4>38</vt:i4>
      </vt:variant>
      <vt:variant>
        <vt:i4>0</vt:i4>
      </vt:variant>
      <vt:variant>
        <vt:i4>5</vt:i4>
      </vt:variant>
      <vt:variant>
        <vt:lpwstr/>
      </vt:variant>
      <vt:variant>
        <vt:lpwstr>_Toc132738335</vt:lpwstr>
      </vt:variant>
      <vt:variant>
        <vt:i4>1572915</vt:i4>
      </vt:variant>
      <vt:variant>
        <vt:i4>32</vt:i4>
      </vt:variant>
      <vt:variant>
        <vt:i4>0</vt:i4>
      </vt:variant>
      <vt:variant>
        <vt:i4>5</vt:i4>
      </vt:variant>
      <vt:variant>
        <vt:lpwstr/>
      </vt:variant>
      <vt:variant>
        <vt:lpwstr>_Toc132738334</vt:lpwstr>
      </vt:variant>
      <vt:variant>
        <vt:i4>1572915</vt:i4>
      </vt:variant>
      <vt:variant>
        <vt:i4>26</vt:i4>
      </vt:variant>
      <vt:variant>
        <vt:i4>0</vt:i4>
      </vt:variant>
      <vt:variant>
        <vt:i4>5</vt:i4>
      </vt:variant>
      <vt:variant>
        <vt:lpwstr/>
      </vt:variant>
      <vt:variant>
        <vt:lpwstr>_Toc132738333</vt:lpwstr>
      </vt:variant>
      <vt:variant>
        <vt:i4>1572915</vt:i4>
      </vt:variant>
      <vt:variant>
        <vt:i4>20</vt:i4>
      </vt:variant>
      <vt:variant>
        <vt:i4>0</vt:i4>
      </vt:variant>
      <vt:variant>
        <vt:i4>5</vt:i4>
      </vt:variant>
      <vt:variant>
        <vt:lpwstr/>
      </vt:variant>
      <vt:variant>
        <vt:lpwstr>_Toc132738332</vt:lpwstr>
      </vt:variant>
      <vt:variant>
        <vt:i4>1572915</vt:i4>
      </vt:variant>
      <vt:variant>
        <vt:i4>14</vt:i4>
      </vt:variant>
      <vt:variant>
        <vt:i4>0</vt:i4>
      </vt:variant>
      <vt:variant>
        <vt:i4>5</vt:i4>
      </vt:variant>
      <vt:variant>
        <vt:lpwstr/>
      </vt:variant>
      <vt:variant>
        <vt:lpwstr>_Toc132738331</vt:lpwstr>
      </vt:variant>
      <vt:variant>
        <vt:i4>1572915</vt:i4>
      </vt:variant>
      <vt:variant>
        <vt:i4>8</vt:i4>
      </vt:variant>
      <vt:variant>
        <vt:i4>0</vt:i4>
      </vt:variant>
      <vt:variant>
        <vt:i4>5</vt:i4>
      </vt:variant>
      <vt:variant>
        <vt:lpwstr/>
      </vt:variant>
      <vt:variant>
        <vt:lpwstr>_Toc132738330</vt:lpwstr>
      </vt:variant>
      <vt:variant>
        <vt:i4>1638451</vt:i4>
      </vt:variant>
      <vt:variant>
        <vt:i4>2</vt:i4>
      </vt:variant>
      <vt:variant>
        <vt:i4>0</vt:i4>
      </vt:variant>
      <vt:variant>
        <vt:i4>5</vt:i4>
      </vt:variant>
      <vt:variant>
        <vt:lpwstr/>
      </vt:variant>
      <vt:variant>
        <vt:lpwstr>_Toc132738329</vt:lpwstr>
      </vt:variant>
      <vt:variant>
        <vt:i4>2883668</vt:i4>
      </vt:variant>
      <vt:variant>
        <vt:i4>9</vt:i4>
      </vt:variant>
      <vt:variant>
        <vt:i4>0</vt:i4>
      </vt:variant>
      <vt:variant>
        <vt:i4>5</vt:i4>
      </vt:variant>
      <vt:variant>
        <vt:lpwstr>https://commission.europa.eu/about-european-commission/service-standards-and-principles/transparency/access-documents_en</vt:lpwstr>
      </vt:variant>
      <vt:variant>
        <vt:lpwstr/>
      </vt:variant>
      <vt:variant>
        <vt:i4>6881302</vt:i4>
      </vt:variant>
      <vt:variant>
        <vt:i4>6</vt:i4>
      </vt:variant>
      <vt:variant>
        <vt:i4>0</vt:i4>
      </vt:variant>
      <vt:variant>
        <vt:i4>5</vt:i4>
      </vt:variant>
      <vt:variant>
        <vt:lpwstr>https://commission.europa.eu/about-european-commission/service-standards-and-principles/transparency/access-documents/how-access-commission-documents_en</vt:lpwstr>
      </vt:variant>
      <vt:variant>
        <vt:lpwstr/>
      </vt:variant>
      <vt:variant>
        <vt:i4>8126498</vt:i4>
      </vt:variant>
      <vt:variant>
        <vt:i4>3</vt:i4>
      </vt:variant>
      <vt:variant>
        <vt:i4>0</vt:i4>
      </vt:variant>
      <vt:variant>
        <vt:i4>5</vt:i4>
      </vt:variant>
      <vt:variant>
        <vt:lpwstr>https://www.ec.europa.eu/transparency/documents-request</vt:lpwstr>
      </vt:variant>
      <vt:variant>
        <vt:lpwstr/>
      </vt:variant>
      <vt:variant>
        <vt:i4>8192013</vt:i4>
      </vt:variant>
      <vt:variant>
        <vt:i4>0</vt:i4>
      </vt:variant>
      <vt:variant>
        <vt:i4>0</vt:i4>
      </vt:variant>
      <vt:variant>
        <vt:i4>5</vt:i4>
      </vt:variant>
      <vt:variant>
        <vt:lpwstr>https://commission.europa.eu/strategy-and-policy/priorities-2019-2024/new-push-european-democracy_en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2026-05-04T15:07:00Z</dcterms:created>
  <dcterms:modified xsi:type="dcterms:W3CDTF">2026-06-10T16:06:00Z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2025-02-27T10:53:56Z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b074366e-a599-4e8a-b21c-f4db8fc95b39</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CP-003</vt:lpwstr>
  </property>
</Properties>
</file>