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6515D" w14:textId="7D875414" w:rsidR="00B9074F" w:rsidRDefault="00CC6FA5" w:rsidP="00CC6FA5">
      <w:pPr>
        <w:pStyle w:val="Pagedecouverture"/>
        <w:rPr>
          <w:noProof/>
        </w:rPr>
      </w:pPr>
      <w:bookmarkStart w:id="0" w:name="LW_BM_COVERPAGE"/>
      <w:r>
        <w:rPr>
          <w:noProof/>
        </w:rPr>
        <w:pict w14:anchorId="148A2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D999B6C-1C3E-40A9-B9C0-1937436E06E4" style="width:455.25pt;height:300pt">
            <v:imagedata r:id="rId8" o:title=""/>
          </v:shape>
        </w:pict>
      </w:r>
    </w:p>
    <w:bookmarkEnd w:id="0"/>
    <w:p w14:paraId="227C4C35" w14:textId="77777777" w:rsidR="00B9074F" w:rsidRDefault="00B9074F" w:rsidP="00B9074F">
      <w:pPr>
        <w:rPr>
          <w:noProof/>
        </w:rPr>
        <w:sectPr w:rsidR="00B9074F" w:rsidSect="00CC6FA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9C817D3" w14:textId="77777777" w:rsidR="00CC55ED" w:rsidRDefault="00CC55ED" w:rsidP="005E2753">
      <w:pPr>
        <w:pStyle w:val="TOCHeading"/>
        <w:rPr>
          <w:rFonts w:asciiTheme="minorHAnsi" w:eastAsiaTheme="minorHAnsi" w:hAnsiTheme="minorHAnsi" w:cstheme="minorBidi"/>
          <w:b w:val="0"/>
          <w:noProof/>
          <w:sz w:val="22"/>
          <w:szCs w:val="22"/>
        </w:rPr>
      </w:pPr>
      <w:bookmarkStart w:id="1" w:name="_GoBack"/>
      <w:bookmarkEnd w:id="1"/>
    </w:p>
    <w:sdt>
      <w:sdtPr>
        <w:rPr>
          <w:rFonts w:asciiTheme="minorHAnsi" w:eastAsiaTheme="minorHAnsi" w:hAnsiTheme="minorHAnsi" w:cstheme="minorBidi"/>
          <w:b w:val="0"/>
          <w:noProof/>
          <w:sz w:val="22"/>
          <w:szCs w:val="22"/>
        </w:rPr>
        <w:id w:val="-2145805868"/>
        <w:docPartObj>
          <w:docPartGallery w:val="Table of Contents"/>
          <w:docPartUnique/>
        </w:docPartObj>
      </w:sdtPr>
      <w:sdtEndPr>
        <w:rPr>
          <w:bCs/>
        </w:rPr>
      </w:sdtEndPr>
      <w:sdtContent>
        <w:p w14:paraId="158444A1" w14:textId="6808EF10" w:rsidR="005E2753" w:rsidRPr="00746C2C" w:rsidRDefault="005E2753" w:rsidP="005E2753">
          <w:pPr>
            <w:pStyle w:val="TOCHeading"/>
            <w:rPr>
              <w:noProof/>
            </w:rPr>
          </w:pPr>
          <w:r>
            <w:rPr>
              <w:noProof/>
            </w:rPr>
            <w:t>Table des matières</w:t>
          </w:r>
        </w:p>
        <w:p w14:paraId="562E222C" w14:textId="4067AA51" w:rsidR="00980B2A" w:rsidRDefault="005E2753">
          <w:pPr>
            <w:pStyle w:val="TOC1"/>
            <w:rPr>
              <w:rFonts w:asciiTheme="minorHAnsi" w:eastAsiaTheme="minorEastAsia" w:hAnsiTheme="minorHAnsi" w:cstheme="minorBidi"/>
              <w:noProof/>
              <w:kern w:val="2"/>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0943623" w:history="1">
            <w:r w:rsidR="00980B2A" w:rsidRPr="00814BD6">
              <w:rPr>
                <w:rStyle w:val="Hyperlink"/>
                <w:noProof/>
              </w:rPr>
              <w:t>1.</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Introduction</w:t>
            </w:r>
            <w:r w:rsidR="00980B2A">
              <w:rPr>
                <w:noProof/>
                <w:webHidden/>
              </w:rPr>
              <w:tab/>
            </w:r>
            <w:r w:rsidR="00980B2A">
              <w:rPr>
                <w:noProof/>
                <w:webHidden/>
              </w:rPr>
              <w:fldChar w:fldCharType="begin"/>
            </w:r>
            <w:r w:rsidR="00980B2A">
              <w:rPr>
                <w:noProof/>
                <w:webHidden/>
              </w:rPr>
              <w:instrText xml:space="preserve"> PAGEREF _Toc230943623 \h </w:instrText>
            </w:r>
            <w:r w:rsidR="00980B2A">
              <w:rPr>
                <w:noProof/>
                <w:webHidden/>
              </w:rPr>
            </w:r>
            <w:r w:rsidR="00980B2A">
              <w:rPr>
                <w:noProof/>
                <w:webHidden/>
              </w:rPr>
              <w:fldChar w:fldCharType="separate"/>
            </w:r>
            <w:r w:rsidR="00980B2A">
              <w:rPr>
                <w:noProof/>
                <w:webHidden/>
              </w:rPr>
              <w:t>2</w:t>
            </w:r>
            <w:r w:rsidR="00980B2A">
              <w:rPr>
                <w:noProof/>
                <w:webHidden/>
              </w:rPr>
              <w:fldChar w:fldCharType="end"/>
            </w:r>
          </w:hyperlink>
        </w:p>
        <w:p w14:paraId="42E1E2E7" w14:textId="19547D3B" w:rsidR="00980B2A" w:rsidRDefault="00CC6FA5">
          <w:pPr>
            <w:pStyle w:val="TOC1"/>
            <w:rPr>
              <w:rFonts w:asciiTheme="minorHAnsi" w:eastAsiaTheme="minorEastAsia" w:hAnsiTheme="minorHAnsi" w:cstheme="minorBidi"/>
              <w:noProof/>
              <w:kern w:val="2"/>
              <w:lang w:val="en-IE" w:eastAsia="en-IE"/>
              <w14:ligatures w14:val="standardContextual"/>
            </w:rPr>
          </w:pPr>
          <w:hyperlink w:anchor="_Toc230943624" w:history="1">
            <w:r w:rsidR="00980B2A" w:rsidRPr="00814BD6">
              <w:rPr>
                <w:rStyle w:val="Hyperlink"/>
                <w:noProof/>
              </w:rPr>
              <w:t>2.</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Mise à disposition des informations et des documents en ligne et dans des registres</w:t>
            </w:r>
            <w:r w:rsidR="00980B2A">
              <w:rPr>
                <w:noProof/>
                <w:webHidden/>
              </w:rPr>
              <w:tab/>
            </w:r>
            <w:r w:rsidR="00980B2A">
              <w:rPr>
                <w:noProof/>
                <w:webHidden/>
              </w:rPr>
              <w:fldChar w:fldCharType="begin"/>
            </w:r>
            <w:r w:rsidR="00980B2A">
              <w:rPr>
                <w:noProof/>
                <w:webHidden/>
              </w:rPr>
              <w:instrText xml:space="preserve"> PAGEREF _Toc230943624 \h </w:instrText>
            </w:r>
            <w:r w:rsidR="00980B2A">
              <w:rPr>
                <w:noProof/>
                <w:webHidden/>
              </w:rPr>
            </w:r>
            <w:r w:rsidR="00980B2A">
              <w:rPr>
                <w:noProof/>
                <w:webHidden/>
              </w:rPr>
              <w:fldChar w:fldCharType="separate"/>
            </w:r>
            <w:r w:rsidR="00980B2A">
              <w:rPr>
                <w:noProof/>
                <w:webHidden/>
              </w:rPr>
              <w:t>3</w:t>
            </w:r>
            <w:r w:rsidR="00980B2A">
              <w:rPr>
                <w:noProof/>
                <w:webHidden/>
              </w:rPr>
              <w:fldChar w:fldCharType="end"/>
            </w:r>
          </w:hyperlink>
        </w:p>
        <w:p w14:paraId="6ECA877D" w14:textId="2C62D4B4" w:rsidR="00980B2A" w:rsidRDefault="00CC6FA5">
          <w:pPr>
            <w:pStyle w:val="TOC1"/>
            <w:rPr>
              <w:rFonts w:asciiTheme="minorHAnsi" w:eastAsiaTheme="minorEastAsia" w:hAnsiTheme="minorHAnsi" w:cstheme="minorBidi"/>
              <w:noProof/>
              <w:kern w:val="2"/>
              <w:lang w:val="en-IE" w:eastAsia="en-IE"/>
              <w14:ligatures w14:val="standardContextual"/>
            </w:rPr>
          </w:pPr>
          <w:hyperlink w:anchor="_Toc230943625" w:history="1">
            <w:r w:rsidR="00980B2A" w:rsidRPr="00814BD6">
              <w:rPr>
                <w:rStyle w:val="Hyperlink"/>
                <w:noProof/>
              </w:rPr>
              <w:t>3.</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Analyse des demandes d’accès aux documents</w:t>
            </w:r>
            <w:r w:rsidR="00980B2A">
              <w:rPr>
                <w:noProof/>
                <w:webHidden/>
              </w:rPr>
              <w:tab/>
            </w:r>
            <w:r w:rsidR="00980B2A">
              <w:rPr>
                <w:noProof/>
                <w:webHidden/>
              </w:rPr>
              <w:fldChar w:fldCharType="begin"/>
            </w:r>
            <w:r w:rsidR="00980B2A">
              <w:rPr>
                <w:noProof/>
                <w:webHidden/>
              </w:rPr>
              <w:instrText xml:space="preserve"> PAGEREF _Toc230943625 \h </w:instrText>
            </w:r>
            <w:r w:rsidR="00980B2A">
              <w:rPr>
                <w:noProof/>
                <w:webHidden/>
              </w:rPr>
            </w:r>
            <w:r w:rsidR="00980B2A">
              <w:rPr>
                <w:noProof/>
                <w:webHidden/>
              </w:rPr>
              <w:fldChar w:fldCharType="separate"/>
            </w:r>
            <w:r w:rsidR="00980B2A">
              <w:rPr>
                <w:noProof/>
                <w:webHidden/>
              </w:rPr>
              <w:t>4</w:t>
            </w:r>
            <w:r w:rsidR="00980B2A">
              <w:rPr>
                <w:noProof/>
                <w:webHidden/>
              </w:rPr>
              <w:fldChar w:fldCharType="end"/>
            </w:r>
          </w:hyperlink>
        </w:p>
        <w:p w14:paraId="6ABCC2DD" w14:textId="5D1E6E10" w:rsidR="00980B2A" w:rsidRDefault="00CC6FA5">
          <w:pPr>
            <w:pStyle w:val="TOC2"/>
            <w:rPr>
              <w:rFonts w:asciiTheme="minorHAnsi" w:eastAsiaTheme="minorEastAsia" w:hAnsiTheme="minorHAnsi" w:cstheme="minorBidi"/>
              <w:noProof/>
              <w:kern w:val="2"/>
              <w:lang w:val="en-IE" w:eastAsia="en-IE"/>
              <w14:ligatures w14:val="standardContextual"/>
            </w:rPr>
          </w:pPr>
          <w:hyperlink w:anchor="_Toc230943626" w:history="1">
            <w:r w:rsidR="00980B2A" w:rsidRPr="00814BD6">
              <w:rPr>
                <w:rStyle w:val="Hyperlink"/>
                <w:noProof/>
              </w:rPr>
              <w:t>3.1.</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Nombre de demandes (voir tableaux 3 et 4 de l’annexe)</w:t>
            </w:r>
            <w:r w:rsidR="00980B2A">
              <w:rPr>
                <w:noProof/>
                <w:webHidden/>
              </w:rPr>
              <w:tab/>
            </w:r>
            <w:r w:rsidR="00980B2A">
              <w:rPr>
                <w:noProof/>
                <w:webHidden/>
              </w:rPr>
              <w:fldChar w:fldCharType="begin"/>
            </w:r>
            <w:r w:rsidR="00980B2A">
              <w:rPr>
                <w:noProof/>
                <w:webHidden/>
              </w:rPr>
              <w:instrText xml:space="preserve"> PAGEREF _Toc230943626 \h </w:instrText>
            </w:r>
            <w:r w:rsidR="00980B2A">
              <w:rPr>
                <w:noProof/>
                <w:webHidden/>
              </w:rPr>
            </w:r>
            <w:r w:rsidR="00980B2A">
              <w:rPr>
                <w:noProof/>
                <w:webHidden/>
              </w:rPr>
              <w:fldChar w:fldCharType="separate"/>
            </w:r>
            <w:r w:rsidR="00980B2A">
              <w:rPr>
                <w:noProof/>
                <w:webHidden/>
              </w:rPr>
              <w:t>4</w:t>
            </w:r>
            <w:r w:rsidR="00980B2A">
              <w:rPr>
                <w:noProof/>
                <w:webHidden/>
              </w:rPr>
              <w:fldChar w:fldCharType="end"/>
            </w:r>
          </w:hyperlink>
        </w:p>
        <w:p w14:paraId="668C8D3F" w14:textId="5AA26823" w:rsidR="00980B2A" w:rsidRDefault="00CC6FA5">
          <w:pPr>
            <w:pStyle w:val="TOC2"/>
            <w:rPr>
              <w:rFonts w:asciiTheme="minorHAnsi" w:eastAsiaTheme="minorEastAsia" w:hAnsiTheme="minorHAnsi" w:cstheme="minorBidi"/>
              <w:noProof/>
              <w:kern w:val="2"/>
              <w:lang w:val="en-IE" w:eastAsia="en-IE"/>
              <w14:ligatures w14:val="standardContextual"/>
            </w:rPr>
          </w:pPr>
          <w:hyperlink w:anchor="_Toc230943627" w:history="1">
            <w:r w:rsidR="00980B2A" w:rsidRPr="00814BD6">
              <w:rPr>
                <w:rStyle w:val="Hyperlink"/>
                <w:noProof/>
              </w:rPr>
              <w:t>3.2.</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Demandes reçues par direction générale ou service (tableau 5 de l’annexe)</w:t>
            </w:r>
            <w:r w:rsidR="00980B2A">
              <w:rPr>
                <w:noProof/>
                <w:webHidden/>
              </w:rPr>
              <w:tab/>
            </w:r>
            <w:r w:rsidR="00980B2A">
              <w:rPr>
                <w:noProof/>
                <w:webHidden/>
              </w:rPr>
              <w:fldChar w:fldCharType="begin"/>
            </w:r>
            <w:r w:rsidR="00980B2A">
              <w:rPr>
                <w:noProof/>
                <w:webHidden/>
              </w:rPr>
              <w:instrText xml:space="preserve"> PAGEREF _Toc230943627 \h </w:instrText>
            </w:r>
            <w:r w:rsidR="00980B2A">
              <w:rPr>
                <w:noProof/>
                <w:webHidden/>
              </w:rPr>
            </w:r>
            <w:r w:rsidR="00980B2A">
              <w:rPr>
                <w:noProof/>
                <w:webHidden/>
              </w:rPr>
              <w:fldChar w:fldCharType="separate"/>
            </w:r>
            <w:r w:rsidR="00980B2A">
              <w:rPr>
                <w:noProof/>
                <w:webHidden/>
              </w:rPr>
              <w:t>5</w:t>
            </w:r>
            <w:r w:rsidR="00980B2A">
              <w:rPr>
                <w:noProof/>
                <w:webHidden/>
              </w:rPr>
              <w:fldChar w:fldCharType="end"/>
            </w:r>
          </w:hyperlink>
        </w:p>
        <w:p w14:paraId="3913987B" w14:textId="4C9B4AB3" w:rsidR="00980B2A" w:rsidRDefault="00CC6FA5">
          <w:pPr>
            <w:pStyle w:val="TOC1"/>
            <w:rPr>
              <w:rFonts w:asciiTheme="minorHAnsi" w:eastAsiaTheme="minorEastAsia" w:hAnsiTheme="minorHAnsi" w:cstheme="minorBidi"/>
              <w:noProof/>
              <w:kern w:val="2"/>
              <w:lang w:val="en-IE" w:eastAsia="en-IE"/>
              <w14:ligatures w14:val="standardContextual"/>
            </w:rPr>
          </w:pPr>
          <w:hyperlink w:anchor="_Toc230943628" w:history="1">
            <w:r w:rsidR="00980B2A" w:rsidRPr="00814BD6">
              <w:rPr>
                <w:rStyle w:val="Hyperlink"/>
                <w:noProof/>
              </w:rPr>
              <w:t>4.</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Exceptions au droit d’accès</w:t>
            </w:r>
            <w:r w:rsidR="00980B2A">
              <w:rPr>
                <w:noProof/>
                <w:webHidden/>
              </w:rPr>
              <w:tab/>
            </w:r>
            <w:r w:rsidR="00980B2A">
              <w:rPr>
                <w:noProof/>
                <w:webHidden/>
              </w:rPr>
              <w:fldChar w:fldCharType="begin"/>
            </w:r>
            <w:r w:rsidR="00980B2A">
              <w:rPr>
                <w:noProof/>
                <w:webHidden/>
              </w:rPr>
              <w:instrText xml:space="preserve"> PAGEREF _Toc230943628 \h </w:instrText>
            </w:r>
            <w:r w:rsidR="00980B2A">
              <w:rPr>
                <w:noProof/>
                <w:webHidden/>
              </w:rPr>
            </w:r>
            <w:r w:rsidR="00980B2A">
              <w:rPr>
                <w:noProof/>
                <w:webHidden/>
              </w:rPr>
              <w:fldChar w:fldCharType="separate"/>
            </w:r>
            <w:r w:rsidR="00980B2A">
              <w:rPr>
                <w:noProof/>
                <w:webHidden/>
              </w:rPr>
              <w:t>7</w:t>
            </w:r>
            <w:r w:rsidR="00980B2A">
              <w:rPr>
                <w:noProof/>
                <w:webHidden/>
              </w:rPr>
              <w:fldChar w:fldCharType="end"/>
            </w:r>
          </w:hyperlink>
        </w:p>
        <w:p w14:paraId="3FCD846B" w14:textId="5F80575E" w:rsidR="00980B2A" w:rsidRDefault="00CC6FA5">
          <w:pPr>
            <w:pStyle w:val="TOC2"/>
            <w:rPr>
              <w:rFonts w:asciiTheme="minorHAnsi" w:eastAsiaTheme="minorEastAsia" w:hAnsiTheme="minorHAnsi" w:cstheme="minorBidi"/>
              <w:noProof/>
              <w:kern w:val="2"/>
              <w:lang w:val="en-IE" w:eastAsia="en-IE"/>
              <w14:ligatures w14:val="standardContextual"/>
            </w:rPr>
          </w:pPr>
          <w:hyperlink w:anchor="_Toc230943629" w:history="1">
            <w:r w:rsidR="00980B2A" w:rsidRPr="00814BD6">
              <w:rPr>
                <w:rStyle w:val="Hyperlink"/>
                <w:noProof/>
              </w:rPr>
              <w:t>4.1.</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Niveau d’accès accordé aux documents demandés (tableaux 8 et 9 de l’annexe)</w:t>
            </w:r>
            <w:r w:rsidR="00980B2A">
              <w:rPr>
                <w:noProof/>
                <w:webHidden/>
              </w:rPr>
              <w:tab/>
            </w:r>
            <w:r w:rsidR="00980B2A">
              <w:rPr>
                <w:noProof/>
                <w:webHidden/>
              </w:rPr>
              <w:fldChar w:fldCharType="begin"/>
            </w:r>
            <w:r w:rsidR="00980B2A">
              <w:rPr>
                <w:noProof/>
                <w:webHidden/>
              </w:rPr>
              <w:instrText xml:space="preserve"> PAGEREF _Toc230943629 \h </w:instrText>
            </w:r>
            <w:r w:rsidR="00980B2A">
              <w:rPr>
                <w:noProof/>
                <w:webHidden/>
              </w:rPr>
            </w:r>
            <w:r w:rsidR="00980B2A">
              <w:rPr>
                <w:noProof/>
                <w:webHidden/>
              </w:rPr>
              <w:fldChar w:fldCharType="separate"/>
            </w:r>
            <w:r w:rsidR="00980B2A">
              <w:rPr>
                <w:noProof/>
                <w:webHidden/>
              </w:rPr>
              <w:t>7</w:t>
            </w:r>
            <w:r w:rsidR="00980B2A">
              <w:rPr>
                <w:noProof/>
                <w:webHidden/>
              </w:rPr>
              <w:fldChar w:fldCharType="end"/>
            </w:r>
          </w:hyperlink>
        </w:p>
        <w:p w14:paraId="4A5DDFA0" w14:textId="1BD336C9" w:rsidR="00980B2A" w:rsidRDefault="00CC6FA5">
          <w:pPr>
            <w:pStyle w:val="TOC2"/>
            <w:rPr>
              <w:rFonts w:asciiTheme="minorHAnsi" w:eastAsiaTheme="minorEastAsia" w:hAnsiTheme="minorHAnsi" w:cstheme="minorBidi"/>
              <w:noProof/>
              <w:kern w:val="2"/>
              <w:lang w:val="en-IE" w:eastAsia="en-IE"/>
              <w14:ligatures w14:val="standardContextual"/>
            </w:rPr>
          </w:pPr>
          <w:hyperlink w:anchor="_Toc230943630" w:history="1">
            <w:r w:rsidR="00980B2A" w:rsidRPr="00814BD6">
              <w:rPr>
                <w:rStyle w:val="Hyperlink"/>
                <w:noProof/>
              </w:rPr>
              <w:t>4.2.</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Exceptions appliquées aux documents demandés (tableau 10 de l’annexe)</w:t>
            </w:r>
            <w:r w:rsidR="00980B2A">
              <w:rPr>
                <w:noProof/>
                <w:webHidden/>
              </w:rPr>
              <w:tab/>
            </w:r>
            <w:r w:rsidR="00980B2A">
              <w:rPr>
                <w:noProof/>
                <w:webHidden/>
              </w:rPr>
              <w:fldChar w:fldCharType="begin"/>
            </w:r>
            <w:r w:rsidR="00980B2A">
              <w:rPr>
                <w:noProof/>
                <w:webHidden/>
              </w:rPr>
              <w:instrText xml:space="preserve"> PAGEREF _Toc230943630 \h </w:instrText>
            </w:r>
            <w:r w:rsidR="00980B2A">
              <w:rPr>
                <w:noProof/>
                <w:webHidden/>
              </w:rPr>
            </w:r>
            <w:r w:rsidR="00980B2A">
              <w:rPr>
                <w:noProof/>
                <w:webHidden/>
              </w:rPr>
              <w:fldChar w:fldCharType="separate"/>
            </w:r>
            <w:r w:rsidR="00980B2A">
              <w:rPr>
                <w:noProof/>
                <w:webHidden/>
              </w:rPr>
              <w:t>8</w:t>
            </w:r>
            <w:r w:rsidR="00980B2A">
              <w:rPr>
                <w:noProof/>
                <w:webHidden/>
              </w:rPr>
              <w:fldChar w:fldCharType="end"/>
            </w:r>
          </w:hyperlink>
        </w:p>
        <w:p w14:paraId="0E58E667" w14:textId="6AEE975F" w:rsidR="00980B2A" w:rsidRDefault="00CC6FA5">
          <w:pPr>
            <w:pStyle w:val="TOC1"/>
            <w:rPr>
              <w:rFonts w:asciiTheme="minorHAnsi" w:eastAsiaTheme="minorEastAsia" w:hAnsiTheme="minorHAnsi" w:cstheme="minorBidi"/>
              <w:noProof/>
              <w:kern w:val="2"/>
              <w:lang w:val="en-IE" w:eastAsia="en-IE"/>
              <w14:ligatures w14:val="standardContextual"/>
            </w:rPr>
          </w:pPr>
          <w:hyperlink w:anchor="_Toc230943631" w:history="1">
            <w:r w:rsidR="00980B2A" w:rsidRPr="00814BD6">
              <w:rPr>
                <w:rStyle w:val="Hyperlink"/>
                <w:noProof/>
              </w:rPr>
              <w:t>5.</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Plaintes auprès de la Médiatrice européenne</w:t>
            </w:r>
            <w:r w:rsidR="00980B2A">
              <w:rPr>
                <w:noProof/>
                <w:webHidden/>
              </w:rPr>
              <w:tab/>
            </w:r>
            <w:r w:rsidR="00980B2A">
              <w:rPr>
                <w:noProof/>
                <w:webHidden/>
              </w:rPr>
              <w:fldChar w:fldCharType="begin"/>
            </w:r>
            <w:r w:rsidR="00980B2A">
              <w:rPr>
                <w:noProof/>
                <w:webHidden/>
              </w:rPr>
              <w:instrText xml:space="preserve"> PAGEREF _Toc230943631 \h </w:instrText>
            </w:r>
            <w:r w:rsidR="00980B2A">
              <w:rPr>
                <w:noProof/>
                <w:webHidden/>
              </w:rPr>
            </w:r>
            <w:r w:rsidR="00980B2A">
              <w:rPr>
                <w:noProof/>
                <w:webHidden/>
              </w:rPr>
              <w:fldChar w:fldCharType="separate"/>
            </w:r>
            <w:r w:rsidR="00980B2A">
              <w:rPr>
                <w:noProof/>
                <w:webHidden/>
              </w:rPr>
              <w:t>8</w:t>
            </w:r>
            <w:r w:rsidR="00980B2A">
              <w:rPr>
                <w:noProof/>
                <w:webHidden/>
              </w:rPr>
              <w:fldChar w:fldCharType="end"/>
            </w:r>
          </w:hyperlink>
        </w:p>
        <w:p w14:paraId="038BB8C4" w14:textId="3D8ED53C" w:rsidR="00980B2A" w:rsidRDefault="00CC6FA5">
          <w:pPr>
            <w:pStyle w:val="TOC1"/>
            <w:rPr>
              <w:rFonts w:asciiTheme="minorHAnsi" w:eastAsiaTheme="minorEastAsia" w:hAnsiTheme="minorHAnsi" w:cstheme="minorBidi"/>
              <w:noProof/>
              <w:kern w:val="2"/>
              <w:lang w:val="en-IE" w:eastAsia="en-IE"/>
              <w14:ligatures w14:val="standardContextual"/>
            </w:rPr>
          </w:pPr>
          <w:hyperlink w:anchor="_Toc230943632" w:history="1">
            <w:r w:rsidR="00980B2A" w:rsidRPr="00814BD6">
              <w:rPr>
                <w:rStyle w:val="Hyperlink"/>
                <w:noProof/>
              </w:rPr>
              <w:t>6.</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Nouvelle jurisprudence sur l’accès aux documents</w:t>
            </w:r>
            <w:r w:rsidR="00980B2A">
              <w:rPr>
                <w:noProof/>
                <w:webHidden/>
              </w:rPr>
              <w:tab/>
            </w:r>
            <w:r w:rsidR="00980B2A">
              <w:rPr>
                <w:noProof/>
                <w:webHidden/>
              </w:rPr>
              <w:fldChar w:fldCharType="begin"/>
            </w:r>
            <w:r w:rsidR="00980B2A">
              <w:rPr>
                <w:noProof/>
                <w:webHidden/>
              </w:rPr>
              <w:instrText xml:space="preserve"> PAGEREF _Toc230943632 \h </w:instrText>
            </w:r>
            <w:r w:rsidR="00980B2A">
              <w:rPr>
                <w:noProof/>
                <w:webHidden/>
              </w:rPr>
            </w:r>
            <w:r w:rsidR="00980B2A">
              <w:rPr>
                <w:noProof/>
                <w:webHidden/>
              </w:rPr>
              <w:fldChar w:fldCharType="separate"/>
            </w:r>
            <w:r w:rsidR="00980B2A">
              <w:rPr>
                <w:noProof/>
                <w:webHidden/>
              </w:rPr>
              <w:t>9</w:t>
            </w:r>
            <w:r w:rsidR="00980B2A">
              <w:rPr>
                <w:noProof/>
                <w:webHidden/>
              </w:rPr>
              <w:fldChar w:fldCharType="end"/>
            </w:r>
          </w:hyperlink>
        </w:p>
        <w:p w14:paraId="223BE549" w14:textId="6378B5FB" w:rsidR="00980B2A" w:rsidRDefault="00CC6FA5">
          <w:pPr>
            <w:pStyle w:val="TOC2"/>
            <w:rPr>
              <w:rFonts w:asciiTheme="minorHAnsi" w:eastAsiaTheme="minorEastAsia" w:hAnsiTheme="minorHAnsi" w:cstheme="minorBidi"/>
              <w:noProof/>
              <w:kern w:val="2"/>
              <w:lang w:val="en-IE" w:eastAsia="en-IE"/>
              <w14:ligatures w14:val="standardContextual"/>
            </w:rPr>
          </w:pPr>
          <w:hyperlink w:anchor="_Toc230943633" w:history="1">
            <w:r w:rsidR="00980B2A" w:rsidRPr="00814BD6">
              <w:rPr>
                <w:rStyle w:val="Hyperlink"/>
                <w:noProof/>
              </w:rPr>
              <w:t>6.1.</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La Cour de justice</w:t>
            </w:r>
            <w:r w:rsidR="00980B2A">
              <w:rPr>
                <w:noProof/>
                <w:webHidden/>
              </w:rPr>
              <w:tab/>
            </w:r>
            <w:r w:rsidR="00980B2A">
              <w:rPr>
                <w:noProof/>
                <w:webHidden/>
              </w:rPr>
              <w:fldChar w:fldCharType="begin"/>
            </w:r>
            <w:r w:rsidR="00980B2A">
              <w:rPr>
                <w:noProof/>
                <w:webHidden/>
              </w:rPr>
              <w:instrText xml:space="preserve"> PAGEREF _Toc230943633 \h </w:instrText>
            </w:r>
            <w:r w:rsidR="00980B2A">
              <w:rPr>
                <w:noProof/>
                <w:webHidden/>
              </w:rPr>
            </w:r>
            <w:r w:rsidR="00980B2A">
              <w:rPr>
                <w:noProof/>
                <w:webHidden/>
              </w:rPr>
              <w:fldChar w:fldCharType="separate"/>
            </w:r>
            <w:r w:rsidR="00980B2A">
              <w:rPr>
                <w:noProof/>
                <w:webHidden/>
              </w:rPr>
              <w:t>9</w:t>
            </w:r>
            <w:r w:rsidR="00980B2A">
              <w:rPr>
                <w:noProof/>
                <w:webHidden/>
              </w:rPr>
              <w:fldChar w:fldCharType="end"/>
            </w:r>
          </w:hyperlink>
        </w:p>
        <w:p w14:paraId="6ED7F031" w14:textId="3DCFE034" w:rsidR="00980B2A" w:rsidRDefault="00CC6FA5">
          <w:pPr>
            <w:pStyle w:val="TOC3"/>
            <w:rPr>
              <w:rFonts w:asciiTheme="minorHAnsi" w:eastAsiaTheme="minorEastAsia" w:hAnsiTheme="minorHAnsi" w:cstheme="minorBidi"/>
              <w:noProof/>
              <w:kern w:val="2"/>
              <w:lang w:val="en-IE" w:eastAsia="en-IE"/>
              <w14:ligatures w14:val="standardContextual"/>
            </w:rPr>
          </w:pPr>
          <w:hyperlink w:anchor="_Toc230943634" w:history="1">
            <w:r w:rsidR="00980B2A" w:rsidRPr="00814BD6">
              <w:rPr>
                <w:rStyle w:val="Hyperlink"/>
                <w:noProof/>
              </w:rPr>
              <w:t>6.1.1.</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Éclaircissements portant sur des règles de fond</w:t>
            </w:r>
            <w:r w:rsidR="00980B2A">
              <w:rPr>
                <w:noProof/>
                <w:webHidden/>
              </w:rPr>
              <w:tab/>
            </w:r>
            <w:r w:rsidR="00980B2A">
              <w:rPr>
                <w:noProof/>
                <w:webHidden/>
              </w:rPr>
              <w:fldChar w:fldCharType="begin"/>
            </w:r>
            <w:r w:rsidR="00980B2A">
              <w:rPr>
                <w:noProof/>
                <w:webHidden/>
              </w:rPr>
              <w:instrText xml:space="preserve"> PAGEREF _Toc230943634 \h </w:instrText>
            </w:r>
            <w:r w:rsidR="00980B2A">
              <w:rPr>
                <w:noProof/>
                <w:webHidden/>
              </w:rPr>
            </w:r>
            <w:r w:rsidR="00980B2A">
              <w:rPr>
                <w:noProof/>
                <w:webHidden/>
              </w:rPr>
              <w:fldChar w:fldCharType="separate"/>
            </w:r>
            <w:r w:rsidR="00980B2A">
              <w:rPr>
                <w:noProof/>
                <w:webHidden/>
              </w:rPr>
              <w:t>9</w:t>
            </w:r>
            <w:r w:rsidR="00980B2A">
              <w:rPr>
                <w:noProof/>
                <w:webHidden/>
              </w:rPr>
              <w:fldChar w:fldCharType="end"/>
            </w:r>
          </w:hyperlink>
        </w:p>
        <w:p w14:paraId="6D267D5C" w14:textId="2288EC41" w:rsidR="00980B2A" w:rsidRDefault="00CC6FA5">
          <w:pPr>
            <w:pStyle w:val="TOC2"/>
            <w:rPr>
              <w:rFonts w:asciiTheme="minorHAnsi" w:eastAsiaTheme="minorEastAsia" w:hAnsiTheme="minorHAnsi" w:cstheme="minorBidi"/>
              <w:noProof/>
              <w:kern w:val="2"/>
              <w:lang w:val="en-IE" w:eastAsia="en-IE"/>
              <w14:ligatures w14:val="standardContextual"/>
            </w:rPr>
          </w:pPr>
          <w:hyperlink w:anchor="_Toc230943635" w:history="1">
            <w:r w:rsidR="00980B2A" w:rsidRPr="00814BD6">
              <w:rPr>
                <w:rStyle w:val="Hyperlink"/>
                <w:noProof/>
              </w:rPr>
              <w:t>6.2.</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Le Tribunal</w:t>
            </w:r>
            <w:r w:rsidR="00980B2A">
              <w:rPr>
                <w:noProof/>
                <w:webHidden/>
              </w:rPr>
              <w:tab/>
            </w:r>
            <w:r w:rsidR="00980B2A">
              <w:rPr>
                <w:noProof/>
                <w:webHidden/>
              </w:rPr>
              <w:fldChar w:fldCharType="begin"/>
            </w:r>
            <w:r w:rsidR="00980B2A">
              <w:rPr>
                <w:noProof/>
                <w:webHidden/>
              </w:rPr>
              <w:instrText xml:space="preserve"> PAGEREF _Toc230943635 \h </w:instrText>
            </w:r>
            <w:r w:rsidR="00980B2A">
              <w:rPr>
                <w:noProof/>
                <w:webHidden/>
              </w:rPr>
            </w:r>
            <w:r w:rsidR="00980B2A">
              <w:rPr>
                <w:noProof/>
                <w:webHidden/>
              </w:rPr>
              <w:fldChar w:fldCharType="separate"/>
            </w:r>
            <w:r w:rsidR="00980B2A">
              <w:rPr>
                <w:noProof/>
                <w:webHidden/>
              </w:rPr>
              <w:t>9</w:t>
            </w:r>
            <w:r w:rsidR="00980B2A">
              <w:rPr>
                <w:noProof/>
                <w:webHidden/>
              </w:rPr>
              <w:fldChar w:fldCharType="end"/>
            </w:r>
          </w:hyperlink>
        </w:p>
        <w:p w14:paraId="78A43279" w14:textId="11C2BA1D" w:rsidR="00980B2A" w:rsidRDefault="00CC6FA5">
          <w:pPr>
            <w:pStyle w:val="TOC3"/>
            <w:rPr>
              <w:rFonts w:asciiTheme="minorHAnsi" w:eastAsiaTheme="minorEastAsia" w:hAnsiTheme="minorHAnsi" w:cstheme="minorBidi"/>
              <w:noProof/>
              <w:kern w:val="2"/>
              <w:lang w:val="en-IE" w:eastAsia="en-IE"/>
              <w14:ligatures w14:val="standardContextual"/>
            </w:rPr>
          </w:pPr>
          <w:hyperlink w:anchor="_Toc230943636" w:history="1">
            <w:r w:rsidR="00980B2A" w:rsidRPr="00814BD6">
              <w:rPr>
                <w:rStyle w:val="Hyperlink"/>
                <w:noProof/>
              </w:rPr>
              <w:t>6.2.1.</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Éclaircissements portant sur des règles de fond</w:t>
            </w:r>
            <w:r w:rsidR="00980B2A">
              <w:rPr>
                <w:noProof/>
                <w:webHidden/>
              </w:rPr>
              <w:tab/>
            </w:r>
            <w:r w:rsidR="00980B2A">
              <w:rPr>
                <w:noProof/>
                <w:webHidden/>
              </w:rPr>
              <w:fldChar w:fldCharType="begin"/>
            </w:r>
            <w:r w:rsidR="00980B2A">
              <w:rPr>
                <w:noProof/>
                <w:webHidden/>
              </w:rPr>
              <w:instrText xml:space="preserve"> PAGEREF _Toc230943636 \h </w:instrText>
            </w:r>
            <w:r w:rsidR="00980B2A">
              <w:rPr>
                <w:noProof/>
                <w:webHidden/>
              </w:rPr>
            </w:r>
            <w:r w:rsidR="00980B2A">
              <w:rPr>
                <w:noProof/>
                <w:webHidden/>
              </w:rPr>
              <w:fldChar w:fldCharType="separate"/>
            </w:r>
            <w:r w:rsidR="00980B2A">
              <w:rPr>
                <w:noProof/>
                <w:webHidden/>
              </w:rPr>
              <w:t>10</w:t>
            </w:r>
            <w:r w:rsidR="00980B2A">
              <w:rPr>
                <w:noProof/>
                <w:webHidden/>
              </w:rPr>
              <w:fldChar w:fldCharType="end"/>
            </w:r>
          </w:hyperlink>
        </w:p>
        <w:p w14:paraId="4E313621" w14:textId="7325ABCB" w:rsidR="00980B2A" w:rsidRDefault="00CC6FA5">
          <w:pPr>
            <w:pStyle w:val="TOC3"/>
            <w:rPr>
              <w:rFonts w:asciiTheme="minorHAnsi" w:eastAsiaTheme="minorEastAsia" w:hAnsiTheme="minorHAnsi" w:cstheme="minorBidi"/>
              <w:noProof/>
              <w:kern w:val="2"/>
              <w:lang w:val="en-IE" w:eastAsia="en-IE"/>
              <w14:ligatures w14:val="standardContextual"/>
            </w:rPr>
          </w:pPr>
          <w:hyperlink w:anchor="_Toc230943637" w:history="1">
            <w:r w:rsidR="00980B2A" w:rsidRPr="00814BD6">
              <w:rPr>
                <w:rStyle w:val="Hyperlink"/>
                <w:noProof/>
              </w:rPr>
              <w:t>6.2.2.</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Éclaircissements portant sur des règles de procédure</w:t>
            </w:r>
            <w:r w:rsidR="00980B2A">
              <w:rPr>
                <w:noProof/>
                <w:webHidden/>
              </w:rPr>
              <w:tab/>
            </w:r>
            <w:r w:rsidR="00980B2A">
              <w:rPr>
                <w:noProof/>
                <w:webHidden/>
              </w:rPr>
              <w:fldChar w:fldCharType="begin"/>
            </w:r>
            <w:r w:rsidR="00980B2A">
              <w:rPr>
                <w:noProof/>
                <w:webHidden/>
              </w:rPr>
              <w:instrText xml:space="preserve"> PAGEREF _Toc230943637 \h </w:instrText>
            </w:r>
            <w:r w:rsidR="00980B2A">
              <w:rPr>
                <w:noProof/>
                <w:webHidden/>
              </w:rPr>
            </w:r>
            <w:r w:rsidR="00980B2A">
              <w:rPr>
                <w:noProof/>
                <w:webHidden/>
              </w:rPr>
              <w:fldChar w:fldCharType="separate"/>
            </w:r>
            <w:r w:rsidR="00980B2A">
              <w:rPr>
                <w:noProof/>
                <w:webHidden/>
              </w:rPr>
              <w:t>11</w:t>
            </w:r>
            <w:r w:rsidR="00980B2A">
              <w:rPr>
                <w:noProof/>
                <w:webHidden/>
              </w:rPr>
              <w:fldChar w:fldCharType="end"/>
            </w:r>
          </w:hyperlink>
        </w:p>
        <w:p w14:paraId="50F678AA" w14:textId="37D0E7DB" w:rsidR="00980B2A" w:rsidRDefault="00CC6FA5">
          <w:pPr>
            <w:pStyle w:val="TOC2"/>
            <w:rPr>
              <w:rFonts w:asciiTheme="minorHAnsi" w:eastAsiaTheme="minorEastAsia" w:hAnsiTheme="minorHAnsi" w:cstheme="minorBidi"/>
              <w:noProof/>
              <w:kern w:val="2"/>
              <w:lang w:val="en-IE" w:eastAsia="en-IE"/>
              <w14:ligatures w14:val="standardContextual"/>
            </w:rPr>
          </w:pPr>
          <w:hyperlink w:anchor="_Toc230943638" w:history="1">
            <w:r w:rsidR="00980B2A" w:rsidRPr="00814BD6">
              <w:rPr>
                <w:rStyle w:val="Hyperlink"/>
                <w:noProof/>
              </w:rPr>
              <w:t>6.3.</w:t>
            </w:r>
            <w:r w:rsidR="00980B2A">
              <w:rPr>
                <w:rFonts w:asciiTheme="minorHAnsi" w:eastAsiaTheme="minorEastAsia" w:hAnsiTheme="minorHAnsi" w:cstheme="minorBidi"/>
                <w:noProof/>
                <w:kern w:val="2"/>
                <w:lang w:val="en-IE" w:eastAsia="en-IE"/>
                <w14:ligatures w14:val="standardContextual"/>
              </w:rPr>
              <w:tab/>
            </w:r>
            <w:r w:rsidR="00980B2A" w:rsidRPr="00814BD6">
              <w:rPr>
                <w:rStyle w:val="Hyperlink"/>
                <w:noProof/>
              </w:rPr>
              <w:t>Nouvelles affaires introduites contre la Commission européenne</w:t>
            </w:r>
            <w:r w:rsidR="00980B2A">
              <w:rPr>
                <w:noProof/>
                <w:webHidden/>
              </w:rPr>
              <w:tab/>
            </w:r>
            <w:r w:rsidR="00980B2A">
              <w:rPr>
                <w:noProof/>
                <w:webHidden/>
              </w:rPr>
              <w:fldChar w:fldCharType="begin"/>
            </w:r>
            <w:r w:rsidR="00980B2A">
              <w:rPr>
                <w:noProof/>
                <w:webHidden/>
              </w:rPr>
              <w:instrText xml:space="preserve"> PAGEREF _Toc230943638 \h </w:instrText>
            </w:r>
            <w:r w:rsidR="00980B2A">
              <w:rPr>
                <w:noProof/>
                <w:webHidden/>
              </w:rPr>
            </w:r>
            <w:r w:rsidR="00980B2A">
              <w:rPr>
                <w:noProof/>
                <w:webHidden/>
              </w:rPr>
              <w:fldChar w:fldCharType="separate"/>
            </w:r>
            <w:r w:rsidR="00980B2A">
              <w:rPr>
                <w:noProof/>
                <w:webHidden/>
              </w:rPr>
              <w:t>11</w:t>
            </w:r>
            <w:r w:rsidR="00980B2A">
              <w:rPr>
                <w:noProof/>
                <w:webHidden/>
              </w:rPr>
              <w:fldChar w:fldCharType="end"/>
            </w:r>
          </w:hyperlink>
        </w:p>
        <w:p w14:paraId="61478F85" w14:textId="1A7FE215" w:rsidR="005E2753" w:rsidRPr="00746C2C" w:rsidRDefault="005E2753" w:rsidP="005E2753">
          <w:pPr>
            <w:rPr>
              <w:noProof/>
            </w:rPr>
          </w:pPr>
          <w:r>
            <w:rPr>
              <w:b/>
              <w:noProof/>
            </w:rPr>
            <w:fldChar w:fldCharType="end"/>
          </w:r>
        </w:p>
      </w:sdtContent>
    </w:sdt>
    <w:p w14:paraId="1159CFFD" w14:textId="77777777" w:rsidR="005E2753" w:rsidRPr="00746C2C" w:rsidRDefault="005E2753" w:rsidP="005E2753">
      <w:pPr>
        <w:rPr>
          <w:rFonts w:ascii="Times New Roman" w:hAnsi="Times New Roman" w:cs="Times New Roman"/>
          <w:noProof/>
          <w:sz w:val="24"/>
          <w:szCs w:val="24"/>
        </w:rPr>
      </w:pPr>
      <w:r>
        <w:rPr>
          <w:noProof/>
        </w:rPr>
        <w:br w:type="page"/>
      </w:r>
    </w:p>
    <w:p w14:paraId="3D8CDB40" w14:textId="77777777" w:rsidR="005E2753" w:rsidRPr="00746C2C" w:rsidRDefault="005E2753" w:rsidP="005E2753">
      <w:pPr>
        <w:pStyle w:val="Heading1"/>
        <w:spacing w:after="360"/>
        <w:ind w:left="851" w:hanging="851"/>
        <w:rPr>
          <w:noProof/>
        </w:rPr>
      </w:pPr>
      <w:bookmarkStart w:id="2" w:name="_Toc230943623"/>
      <w:r>
        <w:rPr>
          <w:noProof/>
        </w:rPr>
        <w:t>Introduction</w:t>
      </w:r>
      <w:bookmarkEnd w:id="2"/>
    </w:p>
    <w:p w14:paraId="11D8E7E4" w14:textId="38228AE9" w:rsidR="00142CBD" w:rsidRDefault="005E2753"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Le présent rapport annuel est élaboré conformément à l’article 17, paragraphe 1, du règlement (CE) nº 1049/2001</w:t>
      </w:r>
      <w:r>
        <w:rPr>
          <w:rStyle w:val="FootnoteReference"/>
          <w:rFonts w:ascii="Times New Roman" w:eastAsia="Times New Roman" w:hAnsi="Times New Roman" w:cs="Times New Roman"/>
          <w:noProof/>
          <w:sz w:val="24"/>
          <w:szCs w:val="24"/>
          <w:lang w:val="en-IE" w:eastAsia="en-GB"/>
        </w:rPr>
        <w:footnoteReference w:id="2"/>
      </w:r>
      <w:r>
        <w:rPr>
          <w:rFonts w:ascii="Times New Roman" w:hAnsi="Times New Roman"/>
          <w:noProof/>
          <w:sz w:val="24"/>
        </w:rPr>
        <w:t xml:space="preserve"> relatif à l’accès du public aux documents du Parlement européen, du Conseil et de la Commission [ci-après le «règlement (CE) nº 1049/2001»]. Il explique comment la Commission européenne a mis en œuvre, en 2025, le règlement (CE) nº 1049/2001, en s’appuyant sur des données statistiques</w:t>
      </w:r>
      <w:r>
        <w:rPr>
          <w:rFonts w:ascii="Times New Roman" w:eastAsia="Times New Roman" w:hAnsi="Times New Roman" w:cs="Times New Roman"/>
          <w:noProof/>
          <w:sz w:val="24"/>
          <w:szCs w:val="24"/>
          <w:vertAlign w:val="superscript"/>
          <w:lang w:val="en-IE"/>
        </w:rPr>
        <w:footnoteReference w:id="3"/>
      </w:r>
      <w:r>
        <w:rPr>
          <w:rFonts w:ascii="Times New Roman" w:hAnsi="Times New Roman"/>
          <w:noProof/>
          <w:sz w:val="24"/>
        </w:rPr>
        <w:t>, qui sont résumées dans l’annexe. Il repose également sur les conclusions de la Médiatrice européenne relatives à l’application du règlement (CE) nº 1049/2001 par la Commission européenne et sur les arrêts rendus par les juridictions de l’Union.</w:t>
      </w:r>
    </w:p>
    <w:p w14:paraId="4F1C411A" w14:textId="0C1A232F" w:rsidR="005E2753" w:rsidRPr="00746C2C" w:rsidRDefault="004E23C5" w:rsidP="005E2753">
      <w:pPr>
        <w:spacing w:before="240" w:after="0"/>
        <w:jc w:val="both"/>
        <w:rPr>
          <w:rFonts w:ascii="Times New Roman" w:eastAsia="Times New Roman" w:hAnsi="Times New Roman" w:cs="Times New Roman"/>
          <w:b/>
          <w:i/>
          <w:noProof/>
          <w:sz w:val="24"/>
          <w:szCs w:val="24"/>
        </w:rPr>
      </w:pPr>
      <w:r>
        <w:rPr>
          <w:rFonts w:ascii="Times New Roman" w:hAnsi="Times New Roman"/>
          <w:noProof/>
          <w:sz w:val="24"/>
        </w:rPr>
        <w:t>La transparence, l’intégrité et la responsabilité sont les prérequis essentiels d’une démocratie fondée sur l’état de droit. Il s’agit de principes essentiels pour promouvoir la bonne gouvernance et renforcer la confiance dans le processus décisionnel, renforçant ainsi la légitimité et la crédibilité des institutions publiques. Outre les «Orientations politiques de la prochaine Commission européenne 2024-2029» présentées par la présidente Ursula von der Leyen</w:t>
      </w:r>
      <w:r>
        <w:rPr>
          <w:rStyle w:val="FootnoteReference"/>
          <w:rFonts w:ascii="Times New Roman" w:eastAsia="Times New Roman" w:hAnsi="Times New Roman" w:cs="Times New Roman"/>
          <w:noProof/>
          <w:sz w:val="24"/>
          <w:szCs w:val="24"/>
          <w:lang w:val="en-IE" w:eastAsia="en-GB"/>
        </w:rPr>
        <w:footnoteReference w:id="4"/>
      </w:r>
      <w:r>
        <w:rPr>
          <w:rFonts w:ascii="Times New Roman" w:hAnsi="Times New Roman"/>
          <w:noProof/>
          <w:sz w:val="24"/>
        </w:rPr>
        <w:t>, la partie générale des lettres de mission adressées aux commissaires</w:t>
      </w:r>
      <w:r>
        <w:rPr>
          <w:rStyle w:val="FootnoteReference"/>
          <w:rFonts w:ascii="Times New Roman" w:eastAsia="Times New Roman" w:hAnsi="Times New Roman" w:cs="Times New Roman"/>
          <w:noProof/>
          <w:sz w:val="24"/>
          <w:szCs w:val="24"/>
          <w:lang w:val="en-IE" w:eastAsia="en-GB"/>
        </w:rPr>
        <w:footnoteReference w:id="5"/>
      </w:r>
      <w:r>
        <w:rPr>
          <w:rFonts w:ascii="Times New Roman" w:hAnsi="Times New Roman"/>
          <w:noProof/>
          <w:sz w:val="24"/>
        </w:rPr>
        <w:t xml:space="preserve"> engage le collège à mettre en pratique les principes d’ouverture et de transparence dans ses relations avec les colégislateurs, les représentants d’intérêts et le public. La sauvegarde du droit d’accès des citoyens aux documents demeure un élément essentiel des priorités de la Commission européenne pour la période 2024-2029</w:t>
      </w:r>
      <w:r>
        <w:rPr>
          <w:rStyle w:val="FootnoteReference"/>
          <w:rFonts w:ascii="Times New Roman" w:eastAsia="Times New Roman" w:hAnsi="Times New Roman" w:cs="Times New Roman"/>
          <w:noProof/>
          <w:sz w:val="24"/>
          <w:szCs w:val="24"/>
          <w:lang w:val="en-IE" w:eastAsia="en-GB"/>
        </w:rPr>
        <w:footnoteReference w:id="6"/>
      </w:r>
      <w:r>
        <w:rPr>
          <w:rFonts w:ascii="Times New Roman" w:hAnsi="Times New Roman"/>
          <w:noProof/>
          <w:sz w:val="24"/>
        </w:rPr>
        <w:t>. Les statistiques relatives aux documents divulgués en totalité ou en partie, détaillées au chapitre 4, démontrent la volonté de la Commission européenne de permettre au public d’exercer son droit d’accès aux documents dans le cadre de sa politique globale de transparence.</w:t>
      </w:r>
    </w:p>
    <w:p w14:paraId="59ED4E11" w14:textId="37950AA6" w:rsidR="007B7B92" w:rsidRDefault="005E2753" w:rsidP="00931055">
      <w:pPr>
        <w:spacing w:before="240" w:after="0"/>
        <w:jc w:val="both"/>
        <w:rPr>
          <w:rFonts w:ascii="Times New Roman" w:eastAsia="Times New Roman" w:hAnsi="Times New Roman" w:cs="Times New Roman"/>
          <w:noProof/>
          <w:sz w:val="24"/>
          <w:szCs w:val="24"/>
        </w:rPr>
      </w:pPr>
      <w:r>
        <w:rPr>
          <w:rFonts w:ascii="Times New Roman" w:hAnsi="Times New Roman"/>
          <w:noProof/>
          <w:sz w:val="24"/>
        </w:rPr>
        <w:t xml:space="preserve">Au sein de la Commission européenne, les demandes initiales d’accès aux documents sont traitées de manière décentralisée par chaque service de la Commission. En 2025, </w:t>
      </w:r>
      <w:r>
        <w:rPr>
          <w:rFonts w:ascii="Times New Roman" w:hAnsi="Times New Roman"/>
          <w:b/>
          <w:noProof/>
          <w:sz w:val="24"/>
        </w:rPr>
        <w:t>6 434 demandes initiales</w:t>
      </w:r>
      <w:r>
        <w:rPr>
          <w:rFonts w:ascii="Times New Roman" w:hAnsi="Times New Roman"/>
          <w:noProof/>
          <w:sz w:val="24"/>
        </w:rPr>
        <w:t xml:space="preserve"> ont été introduites. Les </w:t>
      </w:r>
      <w:r>
        <w:rPr>
          <w:rFonts w:ascii="Times New Roman" w:hAnsi="Times New Roman"/>
          <w:b/>
          <w:noProof/>
          <w:sz w:val="24"/>
        </w:rPr>
        <w:t>demandes confirmatives</w:t>
      </w:r>
      <w:r>
        <w:rPr>
          <w:rFonts w:ascii="Times New Roman" w:hAnsi="Times New Roman"/>
          <w:noProof/>
          <w:sz w:val="24"/>
        </w:rPr>
        <w:t xml:space="preserve">, par lesquelles les demandeurs demandent un réexamen des réponses initiales refusant totalement ou partiellement l’accès, ont atteint le nombre de </w:t>
      </w:r>
      <w:r>
        <w:rPr>
          <w:rFonts w:ascii="Times New Roman" w:hAnsi="Times New Roman"/>
          <w:b/>
          <w:noProof/>
          <w:sz w:val="24"/>
        </w:rPr>
        <w:t>697</w:t>
      </w:r>
      <w:r>
        <w:rPr>
          <w:rFonts w:ascii="Times New Roman" w:hAnsi="Times New Roman"/>
          <w:noProof/>
          <w:sz w:val="24"/>
        </w:rPr>
        <w:t>.</w:t>
      </w:r>
    </w:p>
    <w:p w14:paraId="03FB080D" w14:textId="00C6D176" w:rsidR="00931055" w:rsidRPr="00746C2C" w:rsidRDefault="000830EA" w:rsidP="0015678E">
      <w:pPr>
        <w:spacing w:before="240" w:after="0"/>
        <w:jc w:val="both"/>
        <w:rPr>
          <w:rFonts w:ascii="Times New Roman" w:hAnsi="Times New Roman"/>
          <w:noProof/>
          <w:sz w:val="24"/>
          <w:szCs w:val="24"/>
        </w:rPr>
      </w:pPr>
      <w:r>
        <w:rPr>
          <w:rFonts w:ascii="Times New Roman" w:hAnsi="Times New Roman"/>
          <w:noProof/>
          <w:sz w:val="24"/>
        </w:rPr>
        <w:t>L’unité «Transparence, gestion documentaire et accès aux documents» du secrétariat général traite les demandes confirmatives de manière centralisée, de manière à garantir un réexamen indépendant des réponses apportées lors de la phase initiale. Cette unité gère également EASE</w:t>
      </w:r>
      <w:r>
        <w:rPr>
          <w:rStyle w:val="FootnoteReference"/>
          <w:rFonts w:ascii="Times New Roman" w:eastAsia="Times New Roman" w:hAnsi="Times New Roman" w:cs="Times New Roman"/>
          <w:noProof/>
          <w:sz w:val="24"/>
          <w:szCs w:val="24"/>
          <w:lang w:val="en-IE" w:eastAsia="en-GB"/>
        </w:rPr>
        <w:footnoteReference w:id="7"/>
      </w:r>
      <w:r>
        <w:rPr>
          <w:rFonts w:ascii="Times New Roman" w:hAnsi="Times New Roman"/>
          <w:noProof/>
          <w:sz w:val="24"/>
        </w:rPr>
        <w:t>, le système informatique commun à toute la Commission pour le traitement des demandes d’accès aux documents.</w:t>
      </w:r>
    </w:p>
    <w:p w14:paraId="7427C65B" w14:textId="6F540C6B" w:rsidR="005E2753" w:rsidRPr="00746C2C" w:rsidRDefault="000830EA"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Les services de la Commission européenne sont épaulés par le service des archives historiques (HAS), qui intervient notamment lorsque les demandes d’accès aux documents concernent les archives des anciens commissaires et de leurs cabinets, ou des documents plus anciens qui ont été transférés aux archives historiques conformément aux règles de gestion documentaire. En 2025, le HAS a prêté main-forte dans 427 dossiers, principalement au secrétariat général (105) et aux directions générales de l’action pour le climat (40), du marché intérieur, de l’industrie, de l’entrepreneuriat et des PME (34), de la santé et de la sécurité alimentaire (25), de l’agriculture et du développement rural (24), de l’environnement (24), et de la justice et des consommateurs (22).</w:t>
      </w:r>
    </w:p>
    <w:p w14:paraId="34F1807A" w14:textId="2BAFE47E" w:rsidR="005E2753" w:rsidRPr="00746C2C" w:rsidRDefault="005E2753" w:rsidP="005E2753">
      <w:pPr>
        <w:pStyle w:val="Heading1"/>
        <w:spacing w:after="360"/>
        <w:ind w:left="851" w:hanging="851"/>
        <w:rPr>
          <w:noProof/>
        </w:rPr>
      </w:pPr>
      <w:bookmarkStart w:id="3" w:name="_Toc480274551"/>
      <w:bookmarkStart w:id="4" w:name="_Toc8824304"/>
      <w:bookmarkStart w:id="5" w:name="_Toc230943624"/>
      <w:r>
        <w:rPr>
          <w:noProof/>
        </w:rPr>
        <w:t>Mise à disposition des informations et des documents en ligne et dans des registres</w:t>
      </w:r>
      <w:bookmarkEnd w:id="3"/>
      <w:bookmarkEnd w:id="4"/>
      <w:bookmarkEnd w:id="5"/>
    </w:p>
    <w:p w14:paraId="2FDAA60F" w14:textId="43FBD17E" w:rsidR="005E2753" w:rsidRPr="00746C2C" w:rsidRDefault="005E2753" w:rsidP="00984485">
      <w:pPr>
        <w:pStyle w:val="NormalWeb"/>
        <w:spacing w:before="240" w:after="240"/>
        <w:jc w:val="both"/>
        <w:rPr>
          <w:rFonts w:eastAsia="Times New Roman"/>
          <w:noProof/>
        </w:rPr>
      </w:pPr>
      <w:r>
        <w:rPr>
          <w:noProof/>
        </w:rPr>
        <w:t>La Commission européenne publie de manière proactive toute une série de documents juridiques, stratégiques, administratifs et autres sur différents sites web et dans différents registres</w:t>
      </w:r>
      <w:r>
        <w:rPr>
          <w:rStyle w:val="FootnoteReference"/>
          <w:rFonts w:eastAsia="Times New Roman"/>
          <w:noProof/>
          <w:lang w:val="en-IE" w:eastAsia="en-GB"/>
        </w:rPr>
        <w:footnoteReference w:id="8"/>
      </w:r>
      <w:r>
        <w:rPr>
          <w:noProof/>
        </w:rPr>
        <w:t>. Bon nombre de ces documents sont disponibles dans le registre des documents de la Commission (RegDoc), dans le registre des actes délégués et des actes d’exécution et dans d’autres registres institutionnels gérés par le secrétariat général. D’autres sont disponibles sur les sites web gérés par les directions générales ou sur EUR-Lex</w:t>
      </w:r>
      <w:r>
        <w:rPr>
          <w:rStyle w:val="FootnoteReference"/>
          <w:rFonts w:eastAsia="Times New Roman"/>
          <w:noProof/>
          <w:lang w:val="en-IE" w:eastAsia="en-GB"/>
        </w:rPr>
        <w:footnoteReference w:id="9"/>
      </w:r>
      <w:r>
        <w:rPr>
          <w:noProof/>
        </w:rPr>
        <w:t>. En outre, l’article 3 de l’annexe du règlement intérieur de la Commission</w:t>
      </w:r>
      <w:r>
        <w:rPr>
          <w:rFonts w:eastAsia="Times New Roman"/>
          <w:noProof/>
          <w:vertAlign w:val="superscript"/>
          <w:lang w:val="en-IE"/>
        </w:rPr>
        <w:footnoteReference w:id="10"/>
      </w:r>
      <w:r>
        <w:rPr>
          <w:noProof/>
        </w:rPr>
        <w:t xml:space="preserve"> adopté le 4 décembre 2024, renforce la transparence proactive en énumérant les catégories de documents qui sont directement accessibles au public.</w:t>
      </w:r>
    </w:p>
    <w:p w14:paraId="68B5033A" w14:textId="601F5358" w:rsidR="00777179" w:rsidRPr="00746C2C" w:rsidRDefault="005E2753"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En 2025, ce sont 11 274 nouveaux documents qui ont été ajoutés (voir tableau 1 de l’annexe). Ils relèvent des catégories suivantes: C: actes autonomes de la Commission, y compris actes délégués et d’exécution, autres types de décisions, etc.; COM: propositions, recommandations, communications, rapports, etc., de la Commission; JOIN: actes conjoints de la Commission et du haut représentant; OJ: ordres du jour des réunions de la Commission; P: décisions du président de la Commission; PV: procès-verbaux des réunions de la Commission; SEC: documents de la Commission qui n’entrent dans aucune des autres séries; SWD: documents de travail des services de la Commission.</w:t>
      </w:r>
    </w:p>
    <w:p w14:paraId="536DB905" w14:textId="0BDA5281" w:rsidR="005E2753" w:rsidRPr="00746C2C" w:rsidRDefault="005E2753"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 xml:space="preserve">En 2025, le nombre de pages consultées a atteint 16 159 pour le site web «Accès aux documents» sur </w:t>
      </w:r>
      <w:r>
        <w:rPr>
          <w:rFonts w:ascii="Times New Roman" w:hAnsi="Times New Roman"/>
          <w:i/>
          <w:noProof/>
          <w:sz w:val="24"/>
        </w:rPr>
        <w:t>Europa</w:t>
      </w:r>
      <w:r>
        <w:rPr>
          <w:rFonts w:ascii="Times New Roman" w:eastAsia="Times New Roman" w:hAnsi="Times New Roman" w:cs="Times New Roman"/>
          <w:noProof/>
          <w:sz w:val="24"/>
          <w:szCs w:val="24"/>
          <w:vertAlign w:val="superscript"/>
          <w:lang w:val="en-IE"/>
        </w:rPr>
        <w:footnoteReference w:id="11"/>
      </w:r>
      <w:r>
        <w:rPr>
          <w:rFonts w:ascii="Times New Roman" w:hAnsi="Times New Roman"/>
          <w:noProof/>
          <w:sz w:val="24"/>
        </w:rPr>
        <w:t xml:space="preserve"> et 70 950 pour le registre des documents de la Commission</w:t>
      </w:r>
      <w:r>
        <w:rPr>
          <w:rStyle w:val="FootnoteReference"/>
          <w:rFonts w:ascii="Times New Roman" w:hAnsi="Times New Roman"/>
          <w:noProof/>
          <w:sz w:val="24"/>
          <w:szCs w:val="24"/>
          <w:lang w:val="en-IE" w:eastAsia="en-GB"/>
        </w:rPr>
        <w:footnoteReference w:id="12"/>
      </w:r>
      <w:bookmarkStart w:id="6" w:name="_Toc480274553"/>
      <w:bookmarkStart w:id="7" w:name="_Toc8824306"/>
      <w:r>
        <w:rPr>
          <w:rFonts w:ascii="Times New Roman" w:hAnsi="Times New Roman"/>
          <w:noProof/>
          <w:sz w:val="24"/>
        </w:rPr>
        <w:t>.</w:t>
      </w:r>
    </w:p>
    <w:p w14:paraId="335FD03B" w14:textId="7BFCA6E6" w:rsidR="005E2753" w:rsidRPr="00746C2C" w:rsidRDefault="005E2753" w:rsidP="005E2753">
      <w:pPr>
        <w:pStyle w:val="Heading1"/>
        <w:spacing w:before="240" w:after="0"/>
        <w:ind w:left="851" w:hanging="851"/>
        <w:rPr>
          <w:noProof/>
        </w:rPr>
      </w:pPr>
      <w:bookmarkStart w:id="8" w:name="_Toc230943625"/>
      <w:r>
        <w:rPr>
          <w:noProof/>
        </w:rPr>
        <w:t>Analyse des demandes d’accès aux documents</w:t>
      </w:r>
      <w:bookmarkEnd w:id="8"/>
    </w:p>
    <w:p w14:paraId="7DC448FD" w14:textId="710A4B9B" w:rsidR="005E2753" w:rsidRPr="00746C2C" w:rsidRDefault="008D60F1" w:rsidP="003049A9">
      <w:pPr>
        <w:pStyle w:val="Heading2"/>
        <w:numPr>
          <w:ilvl w:val="1"/>
          <w:numId w:val="2"/>
        </w:numPr>
        <w:spacing w:before="240" w:after="0"/>
        <w:ind w:left="851" w:hanging="624"/>
        <w:rPr>
          <w:b w:val="0"/>
          <w:noProof/>
        </w:rPr>
      </w:pPr>
      <w:bookmarkStart w:id="9" w:name="_Toc8824307"/>
      <w:bookmarkStart w:id="10" w:name="_Toc230943626"/>
      <w:bookmarkEnd w:id="6"/>
      <w:bookmarkEnd w:id="7"/>
      <w:r>
        <w:rPr>
          <w:b w:val="0"/>
          <w:noProof/>
        </w:rPr>
        <w:t>Nombre de demandes</w:t>
      </w:r>
      <w:r>
        <w:rPr>
          <w:rStyle w:val="FootnoteReference"/>
          <w:b w:val="0"/>
          <w:noProof/>
          <w:lang w:val="en-IE"/>
        </w:rPr>
        <w:footnoteReference w:id="13"/>
      </w:r>
      <w:bookmarkEnd w:id="9"/>
      <w:r>
        <w:rPr>
          <w:noProof/>
        </w:rPr>
        <w:t xml:space="preserve"> </w:t>
      </w:r>
      <w:r>
        <w:rPr>
          <w:b w:val="0"/>
          <w:noProof/>
        </w:rPr>
        <w:t>(voir tableaux 3 et 4 de l’annexe)</w:t>
      </w:r>
      <w:bookmarkEnd w:id="10"/>
      <w:r>
        <w:rPr>
          <w:rStyle w:val="CommentReference"/>
          <w:b w:val="0"/>
          <w:noProof/>
        </w:rPr>
        <w:t xml:space="preserve"> </w:t>
      </w:r>
    </w:p>
    <w:p w14:paraId="2579D52B" w14:textId="49CAAA6D" w:rsidR="00742A2A" w:rsidRDefault="008A5A3E" w:rsidP="00201164">
      <w:pPr>
        <w:tabs>
          <w:tab w:val="left" w:pos="8460"/>
        </w:tabs>
        <w:spacing w:before="240" w:after="0"/>
        <w:jc w:val="both"/>
        <w:rPr>
          <w:rFonts w:ascii="Times New Roman" w:eastAsia="Times New Roman" w:hAnsi="Times New Roman" w:cs="Times New Roman"/>
          <w:noProof/>
          <w:sz w:val="24"/>
          <w:szCs w:val="24"/>
        </w:rPr>
      </w:pPr>
      <w:r>
        <w:rPr>
          <w:rFonts w:ascii="Times New Roman" w:hAnsi="Times New Roman"/>
          <w:noProof/>
          <w:sz w:val="24"/>
        </w:rPr>
        <w:t>Comme indiqué ci-dessus, 6 434 demandes initiales d’accès aux documents ont été introduites en 2025. La Commission a fourni 4 471 réponses en application du règlement (CE) nº 1049/2001 et 6 408 réponses au total. Une seule demande peut porter sur plusieurs documents détenus par différents services de la Commission et peut donc donner lieu à plusieurs réponses distinctes. À l’inverse, plusieurs demandes peuvent parfois être regroupées et donner lieu à une seule réponse. Le nombre d’autres réponses correspond aux réponses données dans le cadre de régimes juridiques différents (en raison du contenu de la demande ou du statut du demandeur, etc.) ou aux clôtures de dossier consécutives à l’incapacité des demandeurs à fournir les précisions requises ou à remplir les exigences de la procédure.</w:t>
      </w:r>
    </w:p>
    <w:p w14:paraId="7641E32D" w14:textId="0B597983" w:rsidR="000215A2" w:rsidRDefault="007A04DE" w:rsidP="00742A2A">
      <w:pPr>
        <w:spacing w:before="240" w:after="0"/>
        <w:jc w:val="center"/>
        <w:rPr>
          <w:rFonts w:ascii="Times New Roman" w:eastAsia="Times New Roman" w:hAnsi="Times New Roman" w:cs="Times New Roman"/>
          <w:noProof/>
          <w:sz w:val="24"/>
          <w:szCs w:val="24"/>
        </w:rPr>
      </w:pPr>
      <w:r w:rsidRPr="007A04DE">
        <w:rPr>
          <w:noProof/>
          <w:lang w:val="en-GB" w:eastAsia="en-GB"/>
        </w:rPr>
        <w:drawing>
          <wp:inline distT="0" distB="0" distL="0" distR="0" wp14:anchorId="277674A9" wp14:editId="2D71B334">
            <wp:extent cx="5760720" cy="2914650"/>
            <wp:effectExtent l="0" t="0" r="0" b="0"/>
            <wp:docPr id="2058373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914650"/>
                    </a:xfrm>
                    <a:prstGeom prst="rect">
                      <a:avLst/>
                    </a:prstGeom>
                    <a:noFill/>
                    <a:ln>
                      <a:noFill/>
                    </a:ln>
                  </pic:spPr>
                </pic:pic>
              </a:graphicData>
            </a:graphic>
          </wp:inline>
        </w:drawing>
      </w:r>
    </w:p>
    <w:p w14:paraId="1F459CE0" w14:textId="5623B963" w:rsidR="005A4D3E" w:rsidRDefault="00254DC1" w:rsidP="000A2274">
      <w:pPr>
        <w:spacing w:before="240" w:after="0"/>
        <w:jc w:val="both"/>
        <w:rPr>
          <w:rFonts w:ascii="Times New Roman" w:eastAsia="Times New Roman" w:hAnsi="Times New Roman" w:cs="Times New Roman"/>
          <w:noProof/>
          <w:sz w:val="24"/>
          <w:szCs w:val="24"/>
        </w:rPr>
      </w:pPr>
      <w:r>
        <w:rPr>
          <w:rFonts w:ascii="Times New Roman" w:hAnsi="Times New Roman"/>
          <w:noProof/>
          <w:sz w:val="24"/>
        </w:rPr>
        <w:t>Le nombre de demandes confirmatives s’est élevé à 697 en 2025. La Commission a fourni 384 réponses en application du règlement (CE) nº 1049/2001 et 681 réponses au total.</w:t>
      </w:r>
    </w:p>
    <w:p w14:paraId="02CFDB0B" w14:textId="3CBDA043" w:rsidR="000215A2" w:rsidRPr="00746C2C" w:rsidRDefault="007A04DE" w:rsidP="00162A37">
      <w:pPr>
        <w:spacing w:before="240" w:after="0"/>
        <w:jc w:val="center"/>
        <w:rPr>
          <w:rFonts w:ascii="Times New Roman" w:eastAsia="Times New Roman" w:hAnsi="Times New Roman" w:cs="Times New Roman"/>
          <w:noProof/>
          <w:sz w:val="24"/>
          <w:szCs w:val="24"/>
        </w:rPr>
      </w:pPr>
      <w:r w:rsidRPr="007A04DE">
        <w:rPr>
          <w:noProof/>
          <w:lang w:val="en-GB" w:eastAsia="en-GB"/>
        </w:rPr>
        <w:drawing>
          <wp:inline distT="0" distB="0" distL="0" distR="0" wp14:anchorId="4A067203" wp14:editId="2D15F03E">
            <wp:extent cx="5760720" cy="2948940"/>
            <wp:effectExtent l="0" t="0" r="0" b="3810"/>
            <wp:docPr id="19034593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948940"/>
                    </a:xfrm>
                    <a:prstGeom prst="rect">
                      <a:avLst/>
                    </a:prstGeom>
                    <a:noFill/>
                    <a:ln>
                      <a:noFill/>
                    </a:ln>
                  </pic:spPr>
                </pic:pic>
              </a:graphicData>
            </a:graphic>
          </wp:inline>
        </w:drawing>
      </w:r>
    </w:p>
    <w:p w14:paraId="22477045" w14:textId="6E6417A9" w:rsidR="005E2753" w:rsidRPr="00746C2C" w:rsidRDefault="00254DC1" w:rsidP="003049A9">
      <w:pPr>
        <w:pStyle w:val="Heading2"/>
        <w:numPr>
          <w:ilvl w:val="1"/>
          <w:numId w:val="2"/>
        </w:numPr>
        <w:spacing w:before="240" w:after="0"/>
        <w:ind w:left="851" w:hanging="624"/>
        <w:rPr>
          <w:noProof/>
          <w:color w:val="000066"/>
        </w:rPr>
      </w:pPr>
      <w:bookmarkStart w:id="11" w:name="_Toc8824308"/>
      <w:bookmarkStart w:id="12" w:name="_Toc230943627"/>
      <w:r>
        <w:rPr>
          <w:b w:val="0"/>
          <w:noProof/>
        </w:rPr>
        <w:t>Demandes reçues par direction générale ou service (tableau 5 de l’annexe)</w:t>
      </w:r>
      <w:r>
        <w:rPr>
          <w:rStyle w:val="FootnoteReference"/>
          <w:b w:val="0"/>
          <w:noProof/>
          <w:lang w:val="en-IE"/>
        </w:rPr>
        <w:footnoteReference w:id="14"/>
      </w:r>
      <w:bookmarkEnd w:id="11"/>
      <w:bookmarkEnd w:id="12"/>
    </w:p>
    <w:p w14:paraId="0133853B" w14:textId="5DE83587" w:rsidR="000A7102" w:rsidRDefault="005E2753" w:rsidP="00DF45F0">
      <w:pPr>
        <w:spacing w:before="240" w:after="0"/>
        <w:jc w:val="both"/>
        <w:rPr>
          <w:rFonts w:ascii="Times New Roman" w:eastAsia="Times New Roman" w:hAnsi="Times New Roman" w:cs="Times New Roman"/>
          <w:noProof/>
          <w:sz w:val="24"/>
          <w:szCs w:val="24"/>
        </w:rPr>
      </w:pPr>
      <w:r>
        <w:rPr>
          <w:rFonts w:ascii="Times New Roman" w:hAnsi="Times New Roman"/>
          <w:noProof/>
          <w:sz w:val="24"/>
        </w:rPr>
        <w:t>En 2025, la direction générale du marché intérieur, de l’industrie, de l’entrepreneuriat et des PME a reçu la plus grande part des demandes initiales (14,3 %). Elle était suivie par le secrétariat général (12,5 %) et les directions générales chargées: de la santé et de la sécurité alimentaire (6,1 %), de l’environnement (5,7 %), et des réseaux de communication, du contenu et des technologies (5,6 %). Les autres services ont représenté chacun moins de 5 % de l’ensemble des demandes initiales.</w:t>
      </w:r>
    </w:p>
    <w:p w14:paraId="34F0ACF1" w14:textId="49515682" w:rsidR="00AF5067" w:rsidRPr="00746C2C" w:rsidRDefault="007A04DE" w:rsidP="002723F6">
      <w:pPr>
        <w:spacing w:before="240" w:after="0"/>
        <w:jc w:val="both"/>
        <w:rPr>
          <w:rFonts w:ascii="Times New Roman" w:eastAsia="Times New Roman" w:hAnsi="Times New Roman" w:cs="Times New Roman"/>
          <w:noProof/>
          <w:sz w:val="24"/>
          <w:szCs w:val="24"/>
        </w:rPr>
      </w:pPr>
      <w:r w:rsidRPr="007A04DE">
        <w:rPr>
          <w:noProof/>
          <w:lang w:val="en-GB" w:eastAsia="en-GB"/>
        </w:rPr>
        <w:drawing>
          <wp:inline distT="0" distB="0" distL="0" distR="0" wp14:anchorId="5070A5B9" wp14:editId="4601847F">
            <wp:extent cx="5760720" cy="3318510"/>
            <wp:effectExtent l="0" t="0" r="0" b="0"/>
            <wp:docPr id="316335797"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35797" name="Picture 1" descr="A graph of different colored bars&#10;&#10;AI-generated content may be incorrect."/>
                    <pic:cNvPicPr/>
                  </pic:nvPicPr>
                  <pic:blipFill>
                    <a:blip r:embed="rId17"/>
                    <a:stretch>
                      <a:fillRect/>
                    </a:stretch>
                  </pic:blipFill>
                  <pic:spPr>
                    <a:xfrm>
                      <a:off x="0" y="0"/>
                      <a:ext cx="5760720" cy="3318510"/>
                    </a:xfrm>
                    <a:prstGeom prst="rect">
                      <a:avLst/>
                    </a:prstGeom>
                  </pic:spPr>
                </pic:pic>
              </a:graphicData>
            </a:graphic>
          </wp:inline>
        </w:drawing>
      </w:r>
    </w:p>
    <w:p w14:paraId="45C642EC" w14:textId="50C63135" w:rsidR="00167523" w:rsidRDefault="00754FC3" w:rsidP="00E25820">
      <w:pPr>
        <w:spacing w:before="240" w:after="0"/>
        <w:jc w:val="both"/>
        <w:rPr>
          <w:rFonts w:ascii="Times New Roman" w:eastAsia="Times New Roman" w:hAnsi="Times New Roman" w:cs="Times New Roman"/>
          <w:noProof/>
          <w:sz w:val="24"/>
          <w:szCs w:val="24"/>
        </w:rPr>
      </w:pPr>
      <w:r>
        <w:rPr>
          <w:rFonts w:ascii="Times New Roman" w:hAnsi="Times New Roman"/>
          <w:noProof/>
          <w:sz w:val="24"/>
        </w:rPr>
        <w:t>En 2025, la proportion la plus élevée de demandes confirmatives a été introduite pour des dossiers traités au stade initial par la direction générale du marché intérieur, de l’industrie, de l’entrepreneuriat et des PME (12,9 %). Viennent ensuite la direction générale de la santé et de la sécurité alimentaire (9,3 %), le secrétariat général (8 %) et les directions générales chargées: de l’environnement (7,3 %), des réseaux de communication, du contenu et des technologies (6,3 %), de la migration et des affaires intérieures (5,6 %). Les autres services ont représenté chacun moins de 5 % de l’ensemble des demandes confirmatives.</w:t>
      </w:r>
      <w:bookmarkStart w:id="14" w:name="_Toc480274554"/>
    </w:p>
    <w:p w14:paraId="2AE62878" w14:textId="41E41B6A" w:rsidR="0045327F" w:rsidRPr="00746C2C" w:rsidRDefault="007A04DE" w:rsidP="007D36D3">
      <w:pPr>
        <w:spacing w:before="240" w:after="0"/>
        <w:jc w:val="both"/>
        <w:rPr>
          <w:rFonts w:ascii="Times New Roman" w:eastAsia="Times New Roman" w:hAnsi="Times New Roman" w:cs="Times New Roman"/>
          <w:noProof/>
          <w:sz w:val="24"/>
          <w:szCs w:val="24"/>
        </w:rPr>
      </w:pPr>
      <w:r w:rsidRPr="007A04DE">
        <w:rPr>
          <w:noProof/>
          <w:lang w:val="en-GB" w:eastAsia="en-GB"/>
        </w:rPr>
        <w:drawing>
          <wp:inline distT="0" distB="0" distL="0" distR="0" wp14:anchorId="43F878C2" wp14:editId="6EED08FD">
            <wp:extent cx="5760720" cy="3404235"/>
            <wp:effectExtent l="0" t="0" r="0" b="5715"/>
            <wp:docPr id="20381162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3404235"/>
                    </a:xfrm>
                    <a:prstGeom prst="rect">
                      <a:avLst/>
                    </a:prstGeom>
                    <a:noFill/>
                    <a:ln>
                      <a:noFill/>
                    </a:ln>
                  </pic:spPr>
                </pic:pic>
              </a:graphicData>
            </a:graphic>
          </wp:inline>
        </w:drawing>
      </w:r>
    </w:p>
    <w:p w14:paraId="26FD7667" w14:textId="23E61B32" w:rsidR="005E2753" w:rsidRPr="00746C2C" w:rsidRDefault="00254DC1" w:rsidP="005E2753">
      <w:pPr>
        <w:pStyle w:val="Heading1"/>
        <w:spacing w:after="0"/>
        <w:ind w:left="851" w:hanging="851"/>
        <w:rPr>
          <w:noProof/>
        </w:rPr>
      </w:pPr>
      <w:bookmarkStart w:id="15" w:name="_Toc8824311"/>
      <w:bookmarkStart w:id="16" w:name="_Toc230943628"/>
      <w:r>
        <w:rPr>
          <w:noProof/>
        </w:rPr>
        <w:t>Exceptions au droit d’accès</w:t>
      </w:r>
      <w:r>
        <w:rPr>
          <w:rStyle w:val="FootnoteReference"/>
          <w:noProof/>
          <w:lang w:val="en-IE"/>
        </w:rPr>
        <w:footnoteReference w:id="15"/>
      </w:r>
      <w:bookmarkEnd w:id="15"/>
      <w:bookmarkEnd w:id="16"/>
    </w:p>
    <w:p w14:paraId="64B40A42" w14:textId="4F22DC03" w:rsidR="005E2753" w:rsidRPr="00746C2C" w:rsidRDefault="005E2753" w:rsidP="005E2753">
      <w:pPr>
        <w:spacing w:before="240" w:after="0"/>
        <w:jc w:val="both"/>
        <w:rPr>
          <w:rFonts w:ascii="Times New Roman" w:hAnsi="Times New Roman" w:cs="Times New Roman"/>
          <w:noProof/>
          <w:sz w:val="24"/>
          <w:szCs w:val="24"/>
        </w:rPr>
      </w:pPr>
      <w:r>
        <w:rPr>
          <w:rFonts w:ascii="Times New Roman" w:hAnsi="Times New Roman"/>
          <w:noProof/>
          <w:sz w:val="24"/>
        </w:rPr>
        <w:t>Le droit d’accès prévu par le règlement (CE) nº 1049/2001 est soumis à plusieurs exceptions spécifiques, énoncées à l’article 4. Toute décision refusant partiellement ou totalement une demande d’accès à un document doit être justifiée au titre d’au moins une de ces exceptions.</w:t>
      </w:r>
    </w:p>
    <w:p w14:paraId="21F2B554" w14:textId="1A036542" w:rsidR="00503D35" w:rsidRPr="00CD68DB" w:rsidRDefault="00254DC1" w:rsidP="003049A9">
      <w:pPr>
        <w:pStyle w:val="Heading2"/>
        <w:numPr>
          <w:ilvl w:val="1"/>
          <w:numId w:val="2"/>
        </w:numPr>
        <w:spacing w:before="240" w:after="0"/>
        <w:ind w:left="851" w:hanging="624"/>
        <w:rPr>
          <w:b w:val="0"/>
          <w:noProof/>
        </w:rPr>
      </w:pPr>
      <w:bookmarkStart w:id="17" w:name="_Toc8824312"/>
      <w:bookmarkStart w:id="18" w:name="_Toc230943629"/>
      <w:r>
        <w:rPr>
          <w:b w:val="0"/>
          <w:noProof/>
        </w:rPr>
        <w:t>Niveau d’accès accordé aux documents demandés (tableaux 8 et 9 de l’annexe)</w:t>
      </w:r>
      <w:bookmarkEnd w:id="14"/>
      <w:bookmarkEnd w:id="17"/>
      <w:bookmarkEnd w:id="18"/>
    </w:p>
    <w:p w14:paraId="45516375" w14:textId="30FF8269" w:rsidR="00DF618B" w:rsidRDefault="007A04DE" w:rsidP="00CD68DB">
      <w:pPr>
        <w:spacing w:before="240" w:after="0"/>
        <w:jc w:val="center"/>
        <w:rPr>
          <w:rFonts w:ascii="Times New Roman" w:eastAsia="Times New Roman" w:hAnsi="Times New Roman" w:cs="Times New Roman"/>
          <w:noProof/>
          <w:sz w:val="24"/>
          <w:szCs w:val="24"/>
        </w:rPr>
      </w:pPr>
      <w:r w:rsidRPr="007A04DE">
        <w:rPr>
          <w:noProof/>
          <w:lang w:val="en-GB" w:eastAsia="en-GB"/>
        </w:rPr>
        <w:drawing>
          <wp:inline distT="0" distB="0" distL="0" distR="0" wp14:anchorId="5F5367F8" wp14:editId="7B854D9C">
            <wp:extent cx="5118265" cy="3079873"/>
            <wp:effectExtent l="0" t="0" r="6350" b="6350"/>
            <wp:docPr id="615250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20812" cy="3081406"/>
                    </a:xfrm>
                    <a:prstGeom prst="rect">
                      <a:avLst/>
                    </a:prstGeom>
                    <a:noFill/>
                    <a:ln>
                      <a:noFill/>
                    </a:ln>
                  </pic:spPr>
                </pic:pic>
              </a:graphicData>
            </a:graphic>
          </wp:inline>
        </w:drawing>
      </w:r>
    </w:p>
    <w:p w14:paraId="71C0E3D0" w14:textId="67484154" w:rsidR="00CD68DB" w:rsidRPr="00746C2C" w:rsidRDefault="007A04DE" w:rsidP="00336852">
      <w:pPr>
        <w:spacing w:before="240" w:after="0"/>
        <w:jc w:val="center"/>
        <w:rPr>
          <w:rFonts w:ascii="Times New Roman" w:eastAsia="Times New Roman" w:hAnsi="Times New Roman" w:cs="Times New Roman"/>
          <w:noProof/>
          <w:sz w:val="24"/>
          <w:szCs w:val="24"/>
        </w:rPr>
      </w:pPr>
      <w:r w:rsidRPr="007A04DE">
        <w:rPr>
          <w:noProof/>
          <w:lang w:val="en-GB" w:eastAsia="en-GB"/>
        </w:rPr>
        <w:drawing>
          <wp:inline distT="0" distB="0" distL="0" distR="0" wp14:anchorId="5B408833" wp14:editId="610F1273">
            <wp:extent cx="5361709" cy="2958633"/>
            <wp:effectExtent l="0" t="0" r="0" b="0"/>
            <wp:docPr id="12167243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69360" cy="2962855"/>
                    </a:xfrm>
                    <a:prstGeom prst="rect">
                      <a:avLst/>
                    </a:prstGeom>
                    <a:noFill/>
                    <a:ln>
                      <a:noFill/>
                    </a:ln>
                  </pic:spPr>
                </pic:pic>
              </a:graphicData>
            </a:graphic>
          </wp:inline>
        </w:drawing>
      </w:r>
    </w:p>
    <w:p w14:paraId="074E55C8" w14:textId="208F4B8D" w:rsidR="005E2753" w:rsidRPr="00746C2C" w:rsidRDefault="00254DC1" w:rsidP="003049A9">
      <w:pPr>
        <w:pStyle w:val="Heading2"/>
        <w:numPr>
          <w:ilvl w:val="1"/>
          <w:numId w:val="2"/>
        </w:numPr>
        <w:spacing w:before="240" w:after="0"/>
        <w:ind w:left="851" w:hanging="624"/>
        <w:rPr>
          <w:b w:val="0"/>
          <w:noProof/>
        </w:rPr>
      </w:pPr>
      <w:bookmarkStart w:id="19" w:name="_Toc8824313"/>
      <w:bookmarkStart w:id="20" w:name="_Toc230943630"/>
      <w:r>
        <w:rPr>
          <w:b w:val="0"/>
          <w:noProof/>
        </w:rPr>
        <w:t>Exceptions appliquées aux documents demandés (tableau 10 de l’annexe)</w:t>
      </w:r>
      <w:bookmarkEnd w:id="19"/>
      <w:bookmarkEnd w:id="20"/>
    </w:p>
    <w:p w14:paraId="04B40232" w14:textId="55DD397C" w:rsidR="00F31E87" w:rsidRDefault="007A04DE" w:rsidP="00063527">
      <w:pPr>
        <w:spacing w:before="240" w:after="0"/>
        <w:jc w:val="center"/>
        <w:rPr>
          <w:rFonts w:ascii="Times New Roman" w:eastAsia="Times New Roman" w:hAnsi="Times New Roman" w:cs="Times New Roman"/>
          <w:noProof/>
          <w:sz w:val="24"/>
          <w:szCs w:val="24"/>
        </w:rPr>
      </w:pPr>
      <w:r w:rsidRPr="007A04DE">
        <w:rPr>
          <w:noProof/>
          <w:lang w:val="en-GB" w:eastAsia="en-GB"/>
        </w:rPr>
        <w:drawing>
          <wp:inline distT="0" distB="0" distL="0" distR="0" wp14:anchorId="57C886DC" wp14:editId="5044593F">
            <wp:extent cx="5760720" cy="3478530"/>
            <wp:effectExtent l="0" t="0" r="0" b="7620"/>
            <wp:docPr id="19519379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478530"/>
                    </a:xfrm>
                    <a:prstGeom prst="rect">
                      <a:avLst/>
                    </a:prstGeom>
                    <a:noFill/>
                    <a:ln>
                      <a:noFill/>
                    </a:ln>
                  </pic:spPr>
                </pic:pic>
              </a:graphicData>
            </a:graphic>
          </wp:inline>
        </w:drawing>
      </w:r>
    </w:p>
    <w:p w14:paraId="6B5DB49E" w14:textId="647C94CE" w:rsidR="00CD68DB" w:rsidRPr="00746C2C" w:rsidRDefault="007A04DE" w:rsidP="006664DA">
      <w:pPr>
        <w:spacing w:before="240" w:after="0"/>
        <w:jc w:val="center"/>
        <w:rPr>
          <w:rFonts w:ascii="Times New Roman" w:eastAsia="Times New Roman" w:hAnsi="Times New Roman" w:cs="Times New Roman"/>
          <w:noProof/>
          <w:sz w:val="24"/>
          <w:szCs w:val="24"/>
        </w:rPr>
      </w:pPr>
      <w:r w:rsidRPr="007A04DE">
        <w:rPr>
          <w:noProof/>
          <w:lang w:val="en-GB" w:eastAsia="en-GB"/>
        </w:rPr>
        <w:drawing>
          <wp:inline distT="0" distB="0" distL="0" distR="0" wp14:anchorId="5D57A1B2" wp14:editId="3DAAEC5E">
            <wp:extent cx="5621007" cy="3645724"/>
            <wp:effectExtent l="0" t="0" r="0" b="0"/>
            <wp:docPr id="17973358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22901" cy="3646953"/>
                    </a:xfrm>
                    <a:prstGeom prst="rect">
                      <a:avLst/>
                    </a:prstGeom>
                    <a:noFill/>
                    <a:ln>
                      <a:noFill/>
                    </a:ln>
                  </pic:spPr>
                </pic:pic>
              </a:graphicData>
            </a:graphic>
          </wp:inline>
        </w:drawing>
      </w:r>
    </w:p>
    <w:p w14:paraId="6F225A94" w14:textId="77777777" w:rsidR="005E2753" w:rsidRPr="00746C2C" w:rsidRDefault="005E2753" w:rsidP="005E2753">
      <w:pPr>
        <w:pStyle w:val="Heading1"/>
        <w:spacing w:before="240" w:after="0"/>
        <w:ind w:left="851" w:hanging="851"/>
        <w:rPr>
          <w:noProof/>
        </w:rPr>
      </w:pPr>
      <w:bookmarkStart w:id="21" w:name="_Toc230943631"/>
      <w:r>
        <w:rPr>
          <w:noProof/>
        </w:rPr>
        <w:t>Plaintes auprès de la Médiatrice européenne</w:t>
      </w:r>
      <w:bookmarkEnd w:id="21"/>
    </w:p>
    <w:p w14:paraId="6F7493EA" w14:textId="4E173F41" w:rsidR="005E2753" w:rsidRPr="00746C2C" w:rsidRDefault="008627DC"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En 2025, la Médiatrice européenne a ouvert 100 nouvelles enquêtes dans des affaires concernant la Commission européenne dans le cadre desquelles l’accès aux documents constituait la partie principale ou subsidiaire de la plainte et a clôturé 104 plaintes</w:t>
      </w:r>
      <w:r>
        <w:rPr>
          <w:rFonts w:ascii="Times New Roman" w:eastAsia="Times New Roman" w:hAnsi="Times New Roman" w:cs="Times New Roman"/>
          <w:noProof/>
          <w:sz w:val="24"/>
          <w:szCs w:val="24"/>
          <w:vertAlign w:val="superscript"/>
          <w:lang w:val="en-IE"/>
        </w:rPr>
        <w:footnoteReference w:id="16"/>
      </w:r>
      <w:r>
        <w:rPr>
          <w:rFonts w:ascii="Times New Roman" w:hAnsi="Times New Roman"/>
          <w:noProof/>
          <w:sz w:val="24"/>
        </w:rPr>
        <w:t>. La Médiatrice européenne n’a constaté des cas de mauvaise administration que dans huit dossiers, soit 7,6 % de l’ensemble des plaintes</w:t>
      </w:r>
      <w:r>
        <w:rPr>
          <w:rStyle w:val="FootnoteReference"/>
          <w:rFonts w:ascii="Times New Roman" w:eastAsia="Times New Roman" w:hAnsi="Times New Roman" w:cs="Times New Roman"/>
          <w:noProof/>
          <w:sz w:val="24"/>
          <w:szCs w:val="24"/>
          <w:lang w:val="en-IE"/>
        </w:rPr>
        <w:footnoteReference w:id="17"/>
      </w:r>
      <w:r>
        <w:rPr>
          <w:rFonts w:ascii="Times New Roman" w:hAnsi="Times New Roman"/>
          <w:noProof/>
          <w:sz w:val="24"/>
        </w:rPr>
        <w:t>. Les 96 autres affaires ont été clôturées sans aucune remarque.</w:t>
      </w:r>
    </w:p>
    <w:p w14:paraId="665B7D87" w14:textId="03A77CCD" w:rsidR="005E2753" w:rsidRPr="00746C2C" w:rsidRDefault="005E2753" w:rsidP="005E2753">
      <w:pPr>
        <w:pStyle w:val="Heading1"/>
        <w:spacing w:before="240"/>
        <w:ind w:left="851" w:hanging="851"/>
        <w:rPr>
          <w:noProof/>
        </w:rPr>
      </w:pPr>
      <w:r>
        <w:rPr>
          <w:noProof/>
        </w:rPr>
        <w:t xml:space="preserve"> </w:t>
      </w:r>
      <w:bookmarkStart w:id="23" w:name="_Toc230943632"/>
      <w:r>
        <w:rPr>
          <w:noProof/>
        </w:rPr>
        <w:t>Nouvelle jurisprudence sur l’accès aux documents</w:t>
      </w:r>
      <w:bookmarkEnd w:id="23"/>
    </w:p>
    <w:p w14:paraId="5EEB9841" w14:textId="77777777" w:rsidR="005E2753" w:rsidRPr="00746C2C" w:rsidRDefault="005E2753" w:rsidP="005E2753">
      <w:pPr>
        <w:pStyle w:val="Heading2"/>
        <w:numPr>
          <w:ilvl w:val="1"/>
          <w:numId w:val="2"/>
        </w:numPr>
        <w:spacing w:before="240" w:after="0"/>
        <w:ind w:left="851" w:hanging="624"/>
        <w:rPr>
          <w:b w:val="0"/>
          <w:noProof/>
        </w:rPr>
      </w:pPr>
      <w:bookmarkStart w:id="24" w:name="_Toc230943633"/>
      <w:r>
        <w:rPr>
          <w:b w:val="0"/>
          <w:noProof/>
        </w:rPr>
        <w:t>La Cour de justice</w:t>
      </w:r>
      <w:bookmarkEnd w:id="24"/>
    </w:p>
    <w:p w14:paraId="5852E12E" w14:textId="6DCB38ED" w:rsidR="006E17BC" w:rsidRPr="00056053" w:rsidRDefault="00056053"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En 2025, la Cour a rendu un arrêt</w:t>
      </w:r>
      <w:r>
        <w:rPr>
          <w:rStyle w:val="FootnoteReference"/>
          <w:rFonts w:ascii="Times New Roman" w:eastAsia="Times New Roman" w:hAnsi="Times New Roman" w:cs="Times New Roman"/>
          <w:noProof/>
          <w:sz w:val="24"/>
          <w:szCs w:val="24"/>
          <w:lang w:val="en-IE"/>
        </w:rPr>
        <w:footnoteReference w:id="18"/>
      </w:r>
      <w:r>
        <w:rPr>
          <w:rFonts w:ascii="Times New Roman" w:hAnsi="Times New Roman"/>
          <w:noProof/>
          <w:sz w:val="24"/>
        </w:rPr>
        <w:t xml:space="preserve"> et une ordonnance</w:t>
      </w:r>
      <w:r>
        <w:rPr>
          <w:rStyle w:val="FootnoteReference"/>
          <w:rFonts w:ascii="Times New Roman" w:eastAsia="Times New Roman" w:hAnsi="Times New Roman" w:cs="Times New Roman"/>
          <w:noProof/>
          <w:sz w:val="24"/>
          <w:szCs w:val="24"/>
          <w:lang w:val="en-IE"/>
        </w:rPr>
        <w:footnoteReference w:id="19"/>
      </w:r>
      <w:r>
        <w:rPr>
          <w:rFonts w:ascii="Times New Roman" w:hAnsi="Times New Roman"/>
          <w:noProof/>
          <w:sz w:val="24"/>
        </w:rPr>
        <w:t xml:space="preserve"> sur pourvoi concernant le droit d’accès du public aux documents en vertu du règlement (CE) nº 1049/2001 dans des affaires dans lesquelles la Commission était partie à la procédure.</w:t>
      </w:r>
    </w:p>
    <w:p w14:paraId="0DC8CE4F" w14:textId="3BAFE755" w:rsidR="00897A53" w:rsidRPr="00C140AF" w:rsidRDefault="005434B6" w:rsidP="005E2753">
      <w:pPr>
        <w:spacing w:before="240" w:after="0"/>
        <w:jc w:val="both"/>
        <w:rPr>
          <w:rFonts w:ascii="Times New Roman" w:hAnsi="Times New Roman" w:cs="Times New Roman"/>
          <w:noProof/>
          <w:sz w:val="24"/>
          <w:szCs w:val="24"/>
        </w:rPr>
      </w:pPr>
      <w:r>
        <w:rPr>
          <w:rFonts w:ascii="Times New Roman" w:hAnsi="Times New Roman"/>
          <w:noProof/>
          <w:sz w:val="24"/>
        </w:rPr>
        <w:t>Elle a rejeté le pourvoi dans une affaire</w:t>
      </w:r>
      <w:r>
        <w:rPr>
          <w:rFonts w:ascii="Times New Roman" w:eastAsia="Times New Roman" w:hAnsi="Times New Roman" w:cs="Times New Roman"/>
          <w:noProof/>
          <w:sz w:val="24"/>
          <w:szCs w:val="24"/>
          <w:vertAlign w:val="superscript"/>
          <w:lang w:val="en-IE"/>
        </w:rPr>
        <w:footnoteReference w:id="20"/>
      </w:r>
      <w:r>
        <w:rPr>
          <w:rFonts w:ascii="Times New Roman" w:hAnsi="Times New Roman"/>
          <w:noProof/>
          <w:sz w:val="24"/>
        </w:rPr>
        <w:t>. Dans une affaire</w:t>
      </w:r>
      <w:r>
        <w:rPr>
          <w:rFonts w:ascii="Times New Roman" w:eastAsia="Times New Roman" w:hAnsi="Times New Roman" w:cs="Times New Roman"/>
          <w:noProof/>
          <w:sz w:val="24"/>
          <w:szCs w:val="24"/>
          <w:vertAlign w:val="superscript"/>
          <w:lang w:val="en-IE"/>
        </w:rPr>
        <w:footnoteReference w:id="21"/>
      </w:r>
      <w:r>
        <w:rPr>
          <w:rFonts w:ascii="Times New Roman" w:hAnsi="Times New Roman"/>
          <w:noProof/>
          <w:sz w:val="24"/>
        </w:rPr>
        <w:t>, elle a suspendu l’exécution du point 2 du dispositif de l’arrêt rendu par le Tribunal dans l’affaire T-761/21 jusqu’au</w:t>
      </w:r>
      <w:r>
        <w:rPr>
          <w:noProof/>
        </w:rPr>
        <w:t xml:space="preserve"> </w:t>
      </w:r>
      <w:r>
        <w:rPr>
          <w:rFonts w:ascii="Times New Roman" w:hAnsi="Times New Roman"/>
          <w:noProof/>
          <w:sz w:val="24"/>
        </w:rPr>
        <w:t>prononcé de l’arrêt mettant fin à la procédure sur le pourvoi dans l’affaire C-632/24 P, à la suite de la demande de référé par la Commission.</w:t>
      </w:r>
    </w:p>
    <w:p w14:paraId="77D8D195" w14:textId="25F752B4" w:rsidR="00C303FC" w:rsidRPr="00746C2C" w:rsidRDefault="00C303FC" w:rsidP="00C303FC">
      <w:pPr>
        <w:pStyle w:val="Heading3"/>
        <w:numPr>
          <w:ilvl w:val="2"/>
          <w:numId w:val="2"/>
        </w:numPr>
        <w:tabs>
          <w:tab w:val="clear" w:pos="850"/>
          <w:tab w:val="num" w:pos="1701"/>
        </w:tabs>
        <w:spacing w:before="240" w:after="0"/>
        <w:ind w:left="1702" w:hanging="851"/>
        <w:rPr>
          <w:noProof/>
        </w:rPr>
      </w:pPr>
      <w:bookmarkStart w:id="25" w:name="_Toc230943634"/>
      <w:r>
        <w:rPr>
          <w:noProof/>
        </w:rPr>
        <w:t>Éclaircissements portant sur des règles de fond</w:t>
      </w:r>
      <w:bookmarkEnd w:id="25"/>
    </w:p>
    <w:p w14:paraId="7CC3DDF3" w14:textId="6601AEBE" w:rsidR="00EC4A29" w:rsidRPr="007F1D75" w:rsidRDefault="00C140AF" w:rsidP="005E2753">
      <w:pPr>
        <w:spacing w:before="240" w:after="0"/>
        <w:jc w:val="both"/>
        <w:rPr>
          <w:rFonts w:ascii="Times New Roman" w:hAnsi="Times New Roman" w:cs="Times New Roman"/>
          <w:noProof/>
          <w:sz w:val="24"/>
          <w:szCs w:val="24"/>
        </w:rPr>
      </w:pPr>
      <w:r>
        <w:rPr>
          <w:rFonts w:ascii="Times New Roman" w:hAnsi="Times New Roman"/>
          <w:noProof/>
          <w:sz w:val="24"/>
        </w:rPr>
        <w:t>En 2025, les éclaircissements portant sur des règles de fond apportés par la Cour portaient sur l’application de l’exception afférente à la protection du processus décisionnel</w:t>
      </w:r>
      <w:r>
        <w:rPr>
          <w:rFonts w:ascii="Times New Roman" w:eastAsia="Times New Roman" w:hAnsi="Times New Roman" w:cs="Times New Roman"/>
          <w:noProof/>
          <w:sz w:val="24"/>
          <w:szCs w:val="24"/>
          <w:vertAlign w:val="superscript"/>
          <w:lang w:val="en-IE"/>
        </w:rPr>
        <w:footnoteReference w:id="22"/>
      </w:r>
      <w:r>
        <w:rPr>
          <w:rFonts w:ascii="Times New Roman" w:hAnsi="Times New Roman"/>
          <w:noProof/>
          <w:sz w:val="24"/>
        </w:rPr>
        <w:t>.</w:t>
      </w:r>
    </w:p>
    <w:p w14:paraId="2F19D6D5" w14:textId="77777777" w:rsidR="005E2753" w:rsidRPr="00746C2C" w:rsidRDefault="005E2753" w:rsidP="005E2753">
      <w:pPr>
        <w:pStyle w:val="Heading2"/>
        <w:numPr>
          <w:ilvl w:val="1"/>
          <w:numId w:val="2"/>
        </w:numPr>
        <w:spacing w:before="240" w:after="0"/>
        <w:ind w:left="851" w:hanging="624"/>
        <w:rPr>
          <w:b w:val="0"/>
          <w:noProof/>
        </w:rPr>
      </w:pPr>
      <w:bookmarkStart w:id="26" w:name="_Toc8824319"/>
      <w:bookmarkStart w:id="27" w:name="_Toc230943635"/>
      <w:r>
        <w:rPr>
          <w:b w:val="0"/>
          <w:noProof/>
        </w:rPr>
        <w:t>Le Tribunal</w:t>
      </w:r>
      <w:bookmarkEnd w:id="26"/>
      <w:bookmarkEnd w:id="27"/>
    </w:p>
    <w:p w14:paraId="5F9BBD34" w14:textId="0971534A" w:rsidR="006F4DDF" w:rsidRDefault="00FF4967"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En 2025, le Tribunal a rendu six arrêts</w:t>
      </w:r>
      <w:r>
        <w:rPr>
          <w:rFonts w:ascii="Times New Roman" w:eastAsia="Times New Roman" w:hAnsi="Times New Roman" w:cs="Times New Roman"/>
          <w:noProof/>
          <w:sz w:val="24"/>
          <w:szCs w:val="24"/>
          <w:vertAlign w:val="superscript"/>
          <w:lang w:val="en-IE"/>
        </w:rPr>
        <w:footnoteReference w:id="23"/>
      </w:r>
      <w:r>
        <w:rPr>
          <w:rFonts w:ascii="Times New Roman" w:hAnsi="Times New Roman"/>
          <w:noProof/>
          <w:sz w:val="24"/>
        </w:rPr>
        <w:t xml:space="preserve"> et douze ordonnances</w:t>
      </w:r>
      <w:r>
        <w:rPr>
          <w:rFonts w:ascii="Times New Roman" w:eastAsia="Times New Roman" w:hAnsi="Times New Roman" w:cs="Times New Roman"/>
          <w:noProof/>
          <w:sz w:val="24"/>
          <w:szCs w:val="24"/>
          <w:vertAlign w:val="superscript"/>
          <w:lang w:val="en-IE"/>
        </w:rPr>
        <w:footnoteReference w:id="24"/>
      </w:r>
      <w:r>
        <w:rPr>
          <w:rFonts w:ascii="Times New Roman" w:hAnsi="Times New Roman"/>
          <w:noProof/>
          <w:sz w:val="24"/>
        </w:rPr>
        <w:t xml:space="preserve"> concernant le droit d’accès du public aux documents en vertu du règlement (CE) nº 1049/2001 dans des affaires dans lesquelles la Commission était partie à la procédure.</w:t>
      </w:r>
    </w:p>
    <w:p w14:paraId="2C97B204" w14:textId="5442F1D2" w:rsidR="00977980" w:rsidRDefault="00977980" w:rsidP="005E2753">
      <w:pPr>
        <w:spacing w:before="240" w:after="0"/>
        <w:jc w:val="both"/>
        <w:rPr>
          <w:rFonts w:ascii="Times New Roman" w:hAnsi="Times New Roman" w:cs="Times New Roman"/>
          <w:noProof/>
          <w:sz w:val="24"/>
          <w:szCs w:val="24"/>
        </w:rPr>
      </w:pPr>
      <w:r>
        <w:rPr>
          <w:rFonts w:ascii="Times New Roman" w:hAnsi="Times New Roman"/>
          <w:noProof/>
          <w:sz w:val="24"/>
        </w:rPr>
        <w:t>Le recours en annulation a été rejeté dans deux affaires</w:t>
      </w:r>
      <w:r>
        <w:rPr>
          <w:rStyle w:val="FootnoteReference"/>
          <w:rFonts w:ascii="Times New Roman" w:eastAsia="Times New Roman" w:hAnsi="Times New Roman" w:cs="Times New Roman"/>
          <w:noProof/>
          <w:sz w:val="24"/>
          <w:szCs w:val="24"/>
          <w:lang w:val="en-IE"/>
        </w:rPr>
        <w:footnoteReference w:id="25"/>
      </w:r>
      <w:r>
        <w:rPr>
          <w:rFonts w:ascii="Times New Roman" w:hAnsi="Times New Roman"/>
          <w:noProof/>
          <w:sz w:val="24"/>
        </w:rPr>
        <w:t>. Dans trois affaires, le Tribunal a annulé en partie la décision de la Commission européenne et a rejeté le recours pour le surplus</w:t>
      </w:r>
      <w:r>
        <w:rPr>
          <w:rStyle w:val="FootnoteReference"/>
          <w:rFonts w:ascii="Times New Roman" w:eastAsia="Times New Roman" w:hAnsi="Times New Roman" w:cs="Times New Roman"/>
          <w:noProof/>
          <w:sz w:val="24"/>
          <w:szCs w:val="24"/>
          <w:lang w:val="en-IE"/>
        </w:rPr>
        <w:footnoteReference w:id="26"/>
      </w:r>
      <w:r>
        <w:rPr>
          <w:rFonts w:ascii="Times New Roman" w:hAnsi="Times New Roman"/>
          <w:noProof/>
          <w:sz w:val="24"/>
        </w:rPr>
        <w:t>. Dans deux affaires, il a annulé la décision de la Commission européenne</w:t>
      </w:r>
      <w:r>
        <w:rPr>
          <w:rStyle w:val="FootnoteReference"/>
          <w:rFonts w:ascii="Times New Roman" w:eastAsia="Times New Roman" w:hAnsi="Times New Roman" w:cs="Times New Roman"/>
          <w:noProof/>
          <w:sz w:val="24"/>
          <w:szCs w:val="24"/>
          <w:lang w:val="en-IE"/>
        </w:rPr>
        <w:footnoteReference w:id="27"/>
      </w:r>
      <w:r>
        <w:rPr>
          <w:rFonts w:ascii="Times New Roman" w:hAnsi="Times New Roman"/>
          <w:noProof/>
          <w:sz w:val="24"/>
        </w:rPr>
        <w:t>.</w:t>
      </w:r>
    </w:p>
    <w:p w14:paraId="73A99864" w14:textId="55AE2E31" w:rsidR="005E2753" w:rsidRPr="00C81CC6" w:rsidRDefault="0041312C"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Dans cinq affaires, il a déclaré qu’il n’y avait plus lieu de statuer</w:t>
      </w:r>
      <w:r>
        <w:rPr>
          <w:rStyle w:val="FootnoteReference"/>
          <w:rFonts w:ascii="Times New Roman" w:eastAsia="Times New Roman" w:hAnsi="Times New Roman" w:cs="Times New Roman"/>
          <w:noProof/>
          <w:sz w:val="24"/>
          <w:szCs w:val="24"/>
          <w:lang w:val="en-IE"/>
        </w:rPr>
        <w:footnoteReference w:id="28"/>
      </w:r>
      <w:r>
        <w:rPr>
          <w:rFonts w:ascii="Times New Roman" w:hAnsi="Times New Roman"/>
          <w:noProof/>
          <w:sz w:val="24"/>
        </w:rPr>
        <w:t>. Dans deux affaires, il a ordonné la radiation de l’affaire du registre du Tribunal</w:t>
      </w:r>
      <w:r>
        <w:rPr>
          <w:rStyle w:val="FootnoteReference"/>
          <w:rFonts w:ascii="Times New Roman" w:eastAsia="Times New Roman" w:hAnsi="Times New Roman" w:cs="Times New Roman"/>
          <w:noProof/>
          <w:sz w:val="24"/>
          <w:szCs w:val="24"/>
          <w:lang w:val="en-IE"/>
        </w:rPr>
        <w:footnoteReference w:id="29"/>
      </w:r>
      <w:r>
        <w:rPr>
          <w:rFonts w:ascii="Times New Roman" w:hAnsi="Times New Roman"/>
          <w:noProof/>
          <w:sz w:val="24"/>
        </w:rPr>
        <w:t>. Dans une affaire, il a rejeté le recours en partie, d’une part pour incompétence manifeste et, d’autre part, pour irrecevabilité manifeste</w:t>
      </w:r>
      <w:r>
        <w:rPr>
          <w:rStyle w:val="FootnoteReference"/>
          <w:rFonts w:ascii="Times New Roman" w:eastAsia="Times New Roman" w:hAnsi="Times New Roman" w:cs="Times New Roman"/>
          <w:noProof/>
          <w:sz w:val="24"/>
          <w:szCs w:val="24"/>
          <w:lang w:val="en-IE"/>
        </w:rPr>
        <w:footnoteReference w:id="30"/>
      </w:r>
      <w:r>
        <w:rPr>
          <w:rFonts w:ascii="Times New Roman" w:hAnsi="Times New Roman"/>
          <w:noProof/>
          <w:sz w:val="24"/>
        </w:rPr>
        <w:t>. Dans une affaire, il a rejeté la demande en référé</w:t>
      </w:r>
      <w:r>
        <w:rPr>
          <w:rStyle w:val="FootnoteReference"/>
          <w:rFonts w:ascii="Times New Roman" w:eastAsia="Times New Roman" w:hAnsi="Times New Roman" w:cs="Times New Roman"/>
          <w:noProof/>
          <w:sz w:val="24"/>
          <w:szCs w:val="24"/>
          <w:lang w:val="en-IE"/>
        </w:rPr>
        <w:footnoteReference w:id="31"/>
      </w:r>
      <w:r>
        <w:rPr>
          <w:rFonts w:ascii="Times New Roman" w:hAnsi="Times New Roman"/>
          <w:noProof/>
          <w:sz w:val="24"/>
        </w:rPr>
        <w:t>. Dans une affaire, il a rejeté le recours comme irrecevable</w:t>
      </w:r>
      <w:r>
        <w:rPr>
          <w:rStyle w:val="FootnoteReference"/>
          <w:rFonts w:ascii="Times New Roman" w:eastAsia="Times New Roman" w:hAnsi="Times New Roman" w:cs="Times New Roman"/>
          <w:noProof/>
          <w:sz w:val="24"/>
          <w:szCs w:val="24"/>
          <w:lang w:val="en-IE"/>
        </w:rPr>
        <w:footnoteReference w:id="32"/>
      </w:r>
      <w:r>
        <w:rPr>
          <w:rFonts w:ascii="Times New Roman" w:hAnsi="Times New Roman"/>
          <w:noProof/>
          <w:sz w:val="24"/>
        </w:rPr>
        <w:t>. Dans une affaire, il a déclaré qu’il n’y avait plus lieu de statuer et a rejeté le recours pour le surplus</w:t>
      </w:r>
      <w:r>
        <w:rPr>
          <w:rStyle w:val="FootnoteReference"/>
          <w:rFonts w:ascii="Times New Roman" w:eastAsia="Times New Roman" w:hAnsi="Times New Roman" w:cs="Times New Roman"/>
          <w:noProof/>
          <w:sz w:val="24"/>
          <w:szCs w:val="24"/>
          <w:lang w:val="en-IE"/>
        </w:rPr>
        <w:footnoteReference w:id="33"/>
      </w:r>
      <w:r>
        <w:rPr>
          <w:rFonts w:ascii="Times New Roman" w:hAnsi="Times New Roman"/>
          <w:noProof/>
          <w:sz w:val="24"/>
        </w:rPr>
        <w:t>.</w:t>
      </w:r>
    </w:p>
    <w:p w14:paraId="0D493E70" w14:textId="1429D616" w:rsidR="00893112" w:rsidRPr="00746C2C" w:rsidRDefault="005E2753" w:rsidP="005E2753">
      <w:pPr>
        <w:pStyle w:val="Heading3"/>
        <w:numPr>
          <w:ilvl w:val="2"/>
          <w:numId w:val="2"/>
        </w:numPr>
        <w:tabs>
          <w:tab w:val="clear" w:pos="850"/>
          <w:tab w:val="num" w:pos="1701"/>
        </w:tabs>
        <w:spacing w:before="240" w:after="0"/>
        <w:ind w:left="1702" w:hanging="851"/>
        <w:rPr>
          <w:noProof/>
        </w:rPr>
      </w:pPr>
      <w:bookmarkStart w:id="28" w:name="_Toc230943636"/>
      <w:r>
        <w:rPr>
          <w:noProof/>
        </w:rPr>
        <w:t>Éclaircissements portant sur des règles de fond</w:t>
      </w:r>
      <w:bookmarkEnd w:id="28"/>
    </w:p>
    <w:p w14:paraId="32A7B908" w14:textId="7587FDA0" w:rsidR="00C81CC6" w:rsidRDefault="00C81CC6" w:rsidP="00893112">
      <w:pPr>
        <w:spacing w:before="240"/>
        <w:jc w:val="both"/>
        <w:rPr>
          <w:rFonts w:ascii="Times New Roman" w:hAnsi="Times New Roman" w:cs="Times New Roman"/>
          <w:noProof/>
          <w:sz w:val="24"/>
          <w:szCs w:val="24"/>
        </w:rPr>
      </w:pPr>
      <w:r>
        <w:rPr>
          <w:rFonts w:ascii="Times New Roman" w:hAnsi="Times New Roman"/>
          <w:noProof/>
          <w:sz w:val="24"/>
        </w:rPr>
        <w:t>En 2025, les éclaircissements portant sur des règles de fond apportés par le Tribunal portaient sur l’application des exceptions afférentes à la protection des relations internationales</w:t>
      </w:r>
      <w:r>
        <w:rPr>
          <w:rStyle w:val="FootnoteReference"/>
          <w:rFonts w:ascii="Times New Roman" w:eastAsia="Times New Roman" w:hAnsi="Times New Roman" w:cs="Times New Roman"/>
          <w:noProof/>
          <w:sz w:val="24"/>
          <w:szCs w:val="24"/>
          <w:lang w:val="en-IE"/>
        </w:rPr>
        <w:footnoteReference w:id="34"/>
      </w:r>
      <w:r>
        <w:rPr>
          <w:rFonts w:ascii="Times New Roman" w:hAnsi="Times New Roman"/>
          <w:noProof/>
          <w:sz w:val="24"/>
        </w:rPr>
        <w:t>, des intérêts commerciaux</w:t>
      </w:r>
      <w:r>
        <w:rPr>
          <w:rStyle w:val="FootnoteReference"/>
          <w:rFonts w:ascii="Times New Roman" w:eastAsia="Times New Roman" w:hAnsi="Times New Roman" w:cs="Times New Roman"/>
          <w:noProof/>
          <w:sz w:val="24"/>
          <w:szCs w:val="24"/>
          <w:lang w:val="en-IE"/>
        </w:rPr>
        <w:footnoteReference w:id="35"/>
      </w:r>
      <w:r>
        <w:rPr>
          <w:rFonts w:ascii="Times New Roman" w:hAnsi="Times New Roman"/>
          <w:noProof/>
          <w:sz w:val="24"/>
        </w:rPr>
        <w:t xml:space="preserve"> et du processus décisionnel</w:t>
      </w:r>
      <w:r>
        <w:rPr>
          <w:rStyle w:val="FootnoteReference"/>
          <w:rFonts w:ascii="Times New Roman" w:eastAsia="Times New Roman" w:hAnsi="Times New Roman" w:cs="Times New Roman"/>
          <w:noProof/>
          <w:sz w:val="24"/>
          <w:szCs w:val="24"/>
          <w:lang w:val="en-IE"/>
        </w:rPr>
        <w:footnoteReference w:id="36"/>
      </w:r>
      <w:r>
        <w:rPr>
          <w:rFonts w:ascii="Times New Roman" w:hAnsi="Times New Roman"/>
          <w:noProof/>
          <w:sz w:val="24"/>
        </w:rPr>
        <w:t>.</w:t>
      </w:r>
    </w:p>
    <w:p w14:paraId="6D307252" w14:textId="3D192BD3" w:rsidR="00893112" w:rsidRPr="00746C2C" w:rsidRDefault="00F1333D" w:rsidP="00893112">
      <w:pPr>
        <w:spacing w:before="240"/>
        <w:jc w:val="both"/>
        <w:rPr>
          <w:rFonts w:ascii="Times New Roman" w:hAnsi="Times New Roman" w:cs="Times New Roman"/>
          <w:noProof/>
          <w:sz w:val="24"/>
          <w:szCs w:val="24"/>
        </w:rPr>
      </w:pPr>
      <w:r>
        <w:rPr>
          <w:rFonts w:ascii="Times New Roman" w:hAnsi="Times New Roman"/>
          <w:noProof/>
          <w:sz w:val="24"/>
        </w:rPr>
        <w:t>Le Tribunal a également apporté des éclaircissements supplémentaires concernant l’extraction et l’appréciation des documents issus de bases de données</w:t>
      </w:r>
      <w:r>
        <w:rPr>
          <w:rStyle w:val="FootnoteReference"/>
          <w:rFonts w:ascii="Times New Roman" w:eastAsia="Times New Roman" w:hAnsi="Times New Roman" w:cs="Times New Roman"/>
          <w:noProof/>
          <w:sz w:val="24"/>
          <w:szCs w:val="24"/>
          <w:lang w:val="en-IE"/>
        </w:rPr>
        <w:footnoteReference w:id="37"/>
      </w:r>
      <w:r>
        <w:rPr>
          <w:rFonts w:ascii="Times New Roman" w:hAnsi="Times New Roman"/>
          <w:noProof/>
          <w:sz w:val="24"/>
        </w:rPr>
        <w:t>, ainsi que la présomption de véracité attachée à la déclaration de la Commission selon laquelle elle ne détient pas ces documents</w:t>
      </w:r>
      <w:r>
        <w:rPr>
          <w:rStyle w:val="FootnoteReference"/>
          <w:rFonts w:ascii="Times New Roman" w:eastAsia="Times New Roman" w:hAnsi="Times New Roman" w:cs="Times New Roman"/>
          <w:noProof/>
          <w:sz w:val="24"/>
          <w:szCs w:val="24"/>
          <w:lang w:val="en-IE"/>
        </w:rPr>
        <w:footnoteReference w:id="38"/>
      </w:r>
      <w:r>
        <w:rPr>
          <w:rFonts w:ascii="Times New Roman" w:hAnsi="Times New Roman"/>
          <w:noProof/>
          <w:sz w:val="24"/>
        </w:rPr>
        <w:t>.</w:t>
      </w:r>
    </w:p>
    <w:p w14:paraId="4C483A60" w14:textId="58CCF825" w:rsidR="005E2753" w:rsidRPr="00746C2C" w:rsidRDefault="00893112" w:rsidP="005E2753">
      <w:pPr>
        <w:pStyle w:val="Heading3"/>
        <w:numPr>
          <w:ilvl w:val="2"/>
          <w:numId w:val="2"/>
        </w:numPr>
        <w:tabs>
          <w:tab w:val="clear" w:pos="850"/>
          <w:tab w:val="num" w:pos="1701"/>
        </w:tabs>
        <w:spacing w:before="240" w:after="0"/>
        <w:ind w:left="1702" w:hanging="851"/>
        <w:rPr>
          <w:noProof/>
        </w:rPr>
      </w:pPr>
      <w:bookmarkStart w:id="29" w:name="_Toc230943637"/>
      <w:r>
        <w:rPr>
          <w:noProof/>
        </w:rPr>
        <w:t>Éclaircissements portant sur des règles de procédure</w:t>
      </w:r>
      <w:bookmarkEnd w:id="29"/>
    </w:p>
    <w:p w14:paraId="583F5BF6" w14:textId="2AB473FC" w:rsidR="005E2753" w:rsidRPr="00746C2C" w:rsidRDefault="000E305A"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La principale question de procédure sur laquelle le Tribunal a apporté des éclaircissements en 2025 concernait l’appréciation par la Commission des objections formulées par des tiers à l’encontre de la divulgation de leurs documents</w:t>
      </w:r>
      <w:r>
        <w:rPr>
          <w:rStyle w:val="FootnoteReference"/>
          <w:rFonts w:ascii="Times New Roman" w:eastAsia="Times New Roman" w:hAnsi="Times New Roman" w:cs="Times New Roman"/>
          <w:noProof/>
          <w:sz w:val="24"/>
          <w:szCs w:val="24"/>
          <w:lang w:val="en-IE"/>
        </w:rPr>
        <w:footnoteReference w:id="39"/>
      </w:r>
      <w:r>
        <w:rPr>
          <w:rFonts w:ascii="Times New Roman" w:hAnsi="Times New Roman"/>
          <w:noProof/>
          <w:sz w:val="24"/>
        </w:rPr>
        <w:t>.</w:t>
      </w:r>
    </w:p>
    <w:p w14:paraId="11B7D8CB" w14:textId="1410EA27" w:rsidR="005E2753" w:rsidRPr="00746C2C" w:rsidRDefault="005E2753" w:rsidP="005E2753">
      <w:pPr>
        <w:pStyle w:val="Heading2"/>
        <w:numPr>
          <w:ilvl w:val="1"/>
          <w:numId w:val="2"/>
        </w:numPr>
        <w:spacing w:before="240" w:after="0"/>
        <w:ind w:left="851" w:hanging="624"/>
        <w:rPr>
          <w:b w:val="0"/>
          <w:noProof/>
        </w:rPr>
      </w:pPr>
      <w:bookmarkStart w:id="30" w:name="_Toc8824323"/>
      <w:bookmarkStart w:id="31" w:name="_Toc230943638"/>
      <w:r>
        <w:rPr>
          <w:b w:val="0"/>
          <w:noProof/>
        </w:rPr>
        <w:t>Nouvelles affaires introduites contre la Commission européenne</w:t>
      </w:r>
      <w:bookmarkEnd w:id="30"/>
      <w:bookmarkEnd w:id="31"/>
    </w:p>
    <w:p w14:paraId="2EF3CA4E" w14:textId="077F19BF" w:rsidR="0051494B" w:rsidRDefault="0051494B"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En 2025, les juridictions de l’Union ont été saisies de 19 affaires impliquant la Commission européenne relatives à des décisions concernant le droit d’accès du public aux documents en vertu du règlement (CE) nº 1049/2001.</w:t>
      </w:r>
    </w:p>
    <w:p w14:paraId="550490DA" w14:textId="73DCEBCC" w:rsidR="005E2753" w:rsidRPr="00746C2C" w:rsidRDefault="001E5EFE"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18 de ces 19 affaires concernent des recours formés devant le Tribunal</w:t>
      </w:r>
      <w:r>
        <w:rPr>
          <w:rStyle w:val="FootnoteReference"/>
          <w:rFonts w:ascii="Times New Roman" w:eastAsia="Times New Roman" w:hAnsi="Times New Roman" w:cs="Times New Roman"/>
          <w:noProof/>
          <w:sz w:val="24"/>
          <w:szCs w:val="24"/>
          <w:lang w:val="en-IE"/>
        </w:rPr>
        <w:footnoteReference w:id="40"/>
      </w:r>
      <w:r>
        <w:rPr>
          <w:rFonts w:ascii="Times New Roman" w:hAnsi="Times New Roman"/>
          <w:noProof/>
          <w:sz w:val="24"/>
        </w:rPr>
        <w:t>, dont trois ont été jugées en 2025</w:t>
      </w:r>
      <w:r>
        <w:rPr>
          <w:rStyle w:val="FootnoteReference"/>
          <w:rFonts w:ascii="Times New Roman" w:eastAsia="Times New Roman" w:hAnsi="Times New Roman" w:cs="Times New Roman"/>
          <w:noProof/>
          <w:sz w:val="24"/>
          <w:szCs w:val="24"/>
          <w:lang w:val="en-IE"/>
        </w:rPr>
        <w:footnoteReference w:id="41"/>
      </w:r>
      <w:r>
        <w:rPr>
          <w:rFonts w:ascii="Times New Roman" w:hAnsi="Times New Roman"/>
          <w:noProof/>
          <w:sz w:val="24"/>
        </w:rPr>
        <w:t>.</w:t>
      </w:r>
    </w:p>
    <w:p w14:paraId="4D0D167A" w14:textId="2BBCB26E" w:rsidR="00B7024A" w:rsidRPr="00746C2C" w:rsidRDefault="009B2E80" w:rsidP="00A0553F">
      <w:pPr>
        <w:spacing w:before="240" w:after="0"/>
        <w:jc w:val="both"/>
        <w:rPr>
          <w:rFonts w:ascii="Times New Roman" w:eastAsia="Times New Roman" w:hAnsi="Times New Roman" w:cs="Times New Roman"/>
          <w:noProof/>
          <w:sz w:val="24"/>
          <w:szCs w:val="24"/>
        </w:rPr>
      </w:pPr>
      <w:r>
        <w:rPr>
          <w:rFonts w:ascii="Times New Roman" w:hAnsi="Times New Roman"/>
          <w:noProof/>
          <w:sz w:val="24"/>
        </w:rPr>
        <w:t>Parallèlement, un pourvoi a été introduit devant la Cour de justice contre un arrêt rendu par le Tribunal dans une affaire dans laquelle la Commission européenne était partie à la procédure</w:t>
      </w:r>
      <w:r>
        <w:rPr>
          <w:rStyle w:val="FootnoteReference"/>
          <w:rFonts w:ascii="Times New Roman" w:eastAsia="Times New Roman" w:hAnsi="Times New Roman" w:cs="Times New Roman"/>
          <w:noProof/>
          <w:sz w:val="24"/>
          <w:szCs w:val="24"/>
          <w:lang w:val="en-IE"/>
        </w:rPr>
        <w:footnoteReference w:id="42"/>
      </w:r>
      <w:r>
        <w:rPr>
          <w:rFonts w:ascii="Times New Roman" w:hAnsi="Times New Roman"/>
          <w:noProof/>
          <w:sz w:val="24"/>
        </w:rPr>
        <w:t>.</w:t>
      </w:r>
    </w:p>
    <w:sectPr w:rsidR="00B7024A" w:rsidRPr="00746C2C" w:rsidSect="00DC1AD1">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56D62" w14:textId="77777777" w:rsidR="007D32EF" w:rsidRDefault="007D32EF" w:rsidP="00B9074F">
      <w:pPr>
        <w:spacing w:after="0" w:line="240" w:lineRule="auto"/>
      </w:pPr>
      <w:r>
        <w:separator/>
      </w:r>
    </w:p>
  </w:endnote>
  <w:endnote w:type="continuationSeparator" w:id="0">
    <w:p w14:paraId="598ECD24" w14:textId="77777777" w:rsidR="007D32EF" w:rsidRDefault="007D32EF" w:rsidP="00B9074F">
      <w:pPr>
        <w:spacing w:after="0" w:line="240" w:lineRule="auto"/>
      </w:pPr>
      <w:r>
        <w:continuationSeparator/>
      </w:r>
    </w:p>
  </w:endnote>
  <w:endnote w:type="continuationNotice" w:id="1">
    <w:p w14:paraId="5A81C141" w14:textId="77777777" w:rsidR="007D32EF" w:rsidRDefault="007D32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6D3B9" w14:textId="1A0D0F8A" w:rsidR="00CC6FA5" w:rsidRPr="00CC6FA5" w:rsidRDefault="00CC6FA5" w:rsidP="00CC6FA5">
    <w:pPr>
      <w:pStyle w:val="FooterCoverPage"/>
      <w:rPr>
        <w:rFonts w:ascii="Arial" w:hAnsi="Arial" w:cs="Arial"/>
        <w:b/>
        <w:sz w:val="48"/>
      </w:rPr>
    </w:pPr>
    <w:r w:rsidRPr="00CC6FA5">
      <w:rPr>
        <w:rFonts w:ascii="Arial" w:hAnsi="Arial" w:cs="Arial"/>
        <w:b/>
        <w:sz w:val="48"/>
      </w:rPr>
      <w:t>FR</w:t>
    </w:r>
    <w:r w:rsidRPr="00CC6FA5">
      <w:rPr>
        <w:rFonts w:ascii="Arial" w:hAnsi="Arial" w:cs="Arial"/>
        <w:b/>
        <w:sz w:val="48"/>
      </w:rPr>
      <w:tab/>
    </w:r>
    <w:r w:rsidRPr="00CC6FA5">
      <w:rPr>
        <w:rFonts w:ascii="Arial" w:hAnsi="Arial" w:cs="Arial"/>
        <w:b/>
        <w:sz w:val="48"/>
      </w:rPr>
      <w:tab/>
    </w:r>
    <w:r w:rsidRPr="00CC6FA5">
      <w:tab/>
    </w:r>
    <w:r w:rsidRPr="00CC6FA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72838" w14:textId="21CE7D5E" w:rsidR="00CC6FA5" w:rsidRPr="00CC6FA5" w:rsidRDefault="00CC6FA5" w:rsidP="00CC6FA5">
    <w:pPr>
      <w:pStyle w:val="FooterCoverPage"/>
      <w:rPr>
        <w:rFonts w:ascii="Arial" w:hAnsi="Arial" w:cs="Arial"/>
        <w:b/>
        <w:sz w:val="48"/>
      </w:rPr>
    </w:pPr>
    <w:r w:rsidRPr="00CC6FA5">
      <w:rPr>
        <w:rFonts w:ascii="Arial" w:hAnsi="Arial" w:cs="Arial"/>
        <w:b/>
        <w:sz w:val="48"/>
      </w:rPr>
      <w:t>FR</w:t>
    </w:r>
    <w:r w:rsidRPr="00CC6FA5">
      <w:rPr>
        <w:rFonts w:ascii="Arial" w:hAnsi="Arial" w:cs="Arial"/>
        <w:b/>
        <w:sz w:val="48"/>
      </w:rPr>
      <w:tab/>
    </w:r>
    <w:r w:rsidRPr="00CC6FA5">
      <w:rPr>
        <w:rFonts w:ascii="Arial" w:hAnsi="Arial" w:cs="Arial"/>
        <w:b/>
        <w:sz w:val="48"/>
      </w:rPr>
      <w:tab/>
    </w:r>
    <w:r w:rsidRPr="00CC6FA5">
      <w:tab/>
    </w:r>
    <w:r w:rsidRPr="00CC6FA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A29C" w14:textId="77777777" w:rsidR="00CC6FA5" w:rsidRPr="00CC6FA5" w:rsidRDefault="00CC6FA5" w:rsidP="00CC6FA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94501" w14:textId="77777777" w:rsidR="008B0271" w:rsidRDefault="008B02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34B1D" w14:textId="28F733A4" w:rsidR="008B0271" w:rsidRPr="003564C7" w:rsidRDefault="00B40556">
    <w:pPr>
      <w:pStyle w:val="Footer"/>
      <w:jc w:val="center"/>
      <w:rPr>
        <w:rFonts w:ascii="Times New Roman" w:hAnsi="Times New Roman" w:cs="Times New Roman"/>
        <w:caps/>
        <w:noProof/>
        <w:color w:val="000000" w:themeColor="text1"/>
      </w:rPr>
    </w:pPr>
    <w:r>
      <w:rPr>
        <w:rFonts w:ascii="Times New Roman" w:hAnsi="Times New Roman" w:cs="Times New Roman"/>
        <w:caps/>
        <w:color w:val="000000" w:themeColor="text1"/>
      </w:rPr>
      <w:fldChar w:fldCharType="begin"/>
    </w:r>
    <w:r>
      <w:rPr>
        <w:rFonts w:ascii="Times New Roman" w:hAnsi="Times New Roman" w:cs="Times New Roman"/>
        <w:caps/>
        <w:color w:val="000000" w:themeColor="text1"/>
      </w:rPr>
      <w:instrText xml:space="preserve"> PAGE   \* MERGEFORMAT </w:instrText>
    </w:r>
    <w:r>
      <w:rPr>
        <w:rFonts w:ascii="Times New Roman" w:hAnsi="Times New Roman" w:cs="Times New Roman"/>
        <w:caps/>
        <w:color w:val="000000" w:themeColor="text1"/>
      </w:rPr>
      <w:fldChar w:fldCharType="separate"/>
    </w:r>
    <w:r w:rsidR="00CC6FA5">
      <w:rPr>
        <w:rFonts w:ascii="Times New Roman" w:hAnsi="Times New Roman" w:cs="Times New Roman"/>
        <w:caps/>
        <w:noProof/>
        <w:color w:val="000000" w:themeColor="text1"/>
      </w:rPr>
      <w:t>1</w:t>
    </w:r>
    <w:r>
      <w:rPr>
        <w:rFonts w:ascii="Times New Roman" w:hAnsi="Times New Roman" w:cs="Times New Roman"/>
        <w:caps/>
        <w:color w:val="000000" w:themeColor="text1"/>
      </w:rPr>
      <w:fldChar w:fldCharType="end"/>
    </w:r>
  </w:p>
  <w:p w14:paraId="11657C04" w14:textId="77777777" w:rsidR="008B0271" w:rsidRDefault="008B02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DD458" w14:textId="77777777" w:rsidR="008B0271" w:rsidRDefault="008B0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72DF8" w14:textId="77777777" w:rsidR="007D32EF" w:rsidRDefault="007D32EF" w:rsidP="00B9074F">
      <w:pPr>
        <w:spacing w:after="0" w:line="240" w:lineRule="auto"/>
      </w:pPr>
      <w:r>
        <w:separator/>
      </w:r>
    </w:p>
  </w:footnote>
  <w:footnote w:type="continuationSeparator" w:id="0">
    <w:p w14:paraId="474A2236" w14:textId="77777777" w:rsidR="007D32EF" w:rsidRDefault="007D32EF" w:rsidP="00B9074F">
      <w:pPr>
        <w:spacing w:after="0" w:line="240" w:lineRule="auto"/>
      </w:pPr>
      <w:r>
        <w:continuationSeparator/>
      </w:r>
    </w:p>
  </w:footnote>
  <w:footnote w:type="continuationNotice" w:id="1">
    <w:p w14:paraId="1E8F8789" w14:textId="77777777" w:rsidR="007D32EF" w:rsidRDefault="007D32EF">
      <w:pPr>
        <w:spacing w:after="0" w:line="240" w:lineRule="auto"/>
      </w:pPr>
    </w:p>
  </w:footnote>
  <w:footnote w:id="2">
    <w:p w14:paraId="6C649ED6" w14:textId="3B11E2BE" w:rsidR="00BC433A" w:rsidRPr="00AA17B1" w:rsidRDefault="00BC433A" w:rsidP="00DC77C9">
      <w:pPr>
        <w:pStyle w:val="FootnoteText"/>
        <w:ind w:left="284" w:hanging="284"/>
        <w:rPr>
          <w:sz w:val="18"/>
          <w:szCs w:val="18"/>
        </w:rPr>
      </w:pPr>
      <w:r>
        <w:rPr>
          <w:rStyle w:val="FootnoteReference"/>
          <w:sz w:val="18"/>
          <w:szCs w:val="18"/>
        </w:rPr>
        <w:footnoteRef/>
      </w:r>
      <w:r>
        <w:rPr>
          <w:sz w:val="18"/>
        </w:rPr>
        <w:t xml:space="preserve"> </w:t>
      </w:r>
      <w:r>
        <w:tab/>
      </w:r>
      <w:r>
        <w:rPr>
          <w:sz w:val="18"/>
        </w:rPr>
        <w:t>Règlement (CE) nº 1049/2001 du Parlement européen et du Conseil du 30 mai 2001 relatif à l’accès du public aux documents du Parlement européen, du Conseil et de la Commission (JO L 145 du 31.5.2001, p. 43).</w:t>
      </w:r>
    </w:p>
  </w:footnote>
  <w:footnote w:id="3">
    <w:p w14:paraId="0CA64F0C" w14:textId="3B15357C" w:rsidR="00E01F23" w:rsidRPr="00F00C85" w:rsidRDefault="00E01F23" w:rsidP="00DC77C9">
      <w:pPr>
        <w:pStyle w:val="FootnoteText"/>
        <w:ind w:left="284" w:hanging="284"/>
        <w:rPr>
          <w:sz w:val="18"/>
          <w:szCs w:val="18"/>
        </w:rPr>
      </w:pPr>
      <w:r>
        <w:rPr>
          <w:rStyle w:val="FootnoteReference"/>
          <w:sz w:val="18"/>
          <w:szCs w:val="18"/>
          <w:lang w:val="en-IE"/>
        </w:rPr>
        <w:footnoteRef/>
      </w:r>
      <w:r>
        <w:rPr>
          <w:sz w:val="18"/>
        </w:rPr>
        <w:t xml:space="preserve"> </w:t>
      </w:r>
      <w:r>
        <w:tab/>
      </w:r>
      <w:r>
        <w:rPr>
          <w:sz w:val="18"/>
        </w:rPr>
        <w:t>Les pourcentages sont arrondis à la décimale la plus proche. Les statistiques comprennent, entre autres, le nombre de demandes reçues et de réponses fournies en 2025. Les chiffres figurant dans le présent rapport et dans les rapports précédents peuvent présenter de légères différences en raison de corrections et de contrôles réguliers.</w:t>
      </w:r>
    </w:p>
  </w:footnote>
  <w:footnote w:id="4">
    <w:p w14:paraId="04671CD7" w14:textId="48533496" w:rsidR="00127596" w:rsidRPr="00127596" w:rsidRDefault="00127596" w:rsidP="00DC77C9">
      <w:pPr>
        <w:pStyle w:val="FootnoteText"/>
        <w:ind w:left="284" w:hanging="284"/>
        <w:rPr>
          <w:sz w:val="18"/>
          <w:szCs w:val="18"/>
        </w:rPr>
      </w:pPr>
      <w:r>
        <w:rPr>
          <w:rStyle w:val="FootnoteReference"/>
          <w:sz w:val="18"/>
          <w:szCs w:val="18"/>
        </w:rPr>
        <w:footnoteRef/>
      </w:r>
      <w:r>
        <w:rPr>
          <w:sz w:val="18"/>
        </w:rPr>
        <w:t xml:space="preserve"> </w:t>
      </w:r>
      <w:r>
        <w:tab/>
      </w:r>
      <w:hyperlink r:id="rId1" w:history="1">
        <w:r>
          <w:rPr>
            <w:rStyle w:val="Hyperlink"/>
            <w:sz w:val="18"/>
          </w:rPr>
          <w:t>https://commission.europa.eu/document/download/e6cd4328-673c-4e7a-8683-f63ffb2cf648_fr</w:t>
        </w:r>
      </w:hyperlink>
      <w:r>
        <w:t>.</w:t>
      </w:r>
    </w:p>
  </w:footnote>
  <w:footnote w:id="5">
    <w:p w14:paraId="400989A4" w14:textId="155BE458" w:rsidR="00127596" w:rsidRPr="00127596" w:rsidRDefault="00127596" w:rsidP="00DC77C9">
      <w:pPr>
        <w:pStyle w:val="FootnoteText"/>
        <w:ind w:left="284" w:hanging="284"/>
      </w:pPr>
      <w:r>
        <w:rPr>
          <w:rStyle w:val="FootnoteReference"/>
          <w:sz w:val="18"/>
          <w:szCs w:val="18"/>
        </w:rPr>
        <w:footnoteRef/>
      </w:r>
      <w:r>
        <w:rPr>
          <w:sz w:val="18"/>
        </w:rPr>
        <w:t xml:space="preserve"> </w:t>
      </w:r>
      <w:r>
        <w:tab/>
      </w:r>
      <w:hyperlink r:id="rId2" w:history="1">
        <w:r>
          <w:rPr>
            <w:rStyle w:val="Hyperlink"/>
            <w:sz w:val="18"/>
          </w:rPr>
          <w:t>https://commission.europa.eu/about/organisation/college-commissioners_en</w:t>
        </w:r>
      </w:hyperlink>
      <w:r>
        <w:t>.</w:t>
      </w:r>
    </w:p>
  </w:footnote>
  <w:footnote w:id="6">
    <w:p w14:paraId="76D8C643" w14:textId="39C1388E" w:rsidR="00610819" w:rsidRPr="00F00C85" w:rsidRDefault="00610819" w:rsidP="00DC77C9">
      <w:pPr>
        <w:pStyle w:val="FootnoteText"/>
        <w:ind w:left="284" w:hanging="284"/>
        <w:rPr>
          <w:sz w:val="18"/>
          <w:szCs w:val="18"/>
        </w:rPr>
      </w:pPr>
      <w:r>
        <w:rPr>
          <w:rStyle w:val="FootnoteReference"/>
          <w:sz w:val="18"/>
          <w:szCs w:val="18"/>
        </w:rPr>
        <w:footnoteRef/>
      </w:r>
      <w:r>
        <w:rPr>
          <w:sz w:val="18"/>
        </w:rPr>
        <w:t xml:space="preserve"> </w:t>
      </w:r>
      <w:r>
        <w:tab/>
      </w:r>
      <w:hyperlink r:id="rId3" w:history="1">
        <w:r>
          <w:rPr>
            <w:rStyle w:val="Hyperlink"/>
            <w:sz w:val="18"/>
          </w:rPr>
          <w:t>https://commission.europa.eu/priorities-2024-2029/democracy-and-our-values_fr</w:t>
        </w:r>
      </w:hyperlink>
      <w:r>
        <w:t>.</w:t>
      </w:r>
      <w:r>
        <w:rPr>
          <w:sz w:val="18"/>
        </w:rPr>
        <w:t xml:space="preserve"> </w:t>
      </w:r>
    </w:p>
  </w:footnote>
  <w:footnote w:id="7">
    <w:p w14:paraId="22E1F59F" w14:textId="2FD2EA0E" w:rsidR="00004AAB" w:rsidRPr="00980B2A" w:rsidRDefault="00004AAB" w:rsidP="00DC77C9">
      <w:pPr>
        <w:pStyle w:val="FootnoteText"/>
        <w:ind w:left="284" w:hanging="284"/>
        <w:rPr>
          <w:sz w:val="18"/>
          <w:szCs w:val="18"/>
          <w:lang w:val="en-IE"/>
        </w:rPr>
      </w:pPr>
      <w:r>
        <w:rPr>
          <w:rStyle w:val="FootnoteReference"/>
          <w:sz w:val="18"/>
          <w:szCs w:val="18"/>
        </w:rPr>
        <w:footnoteRef/>
      </w:r>
      <w:r w:rsidRPr="00980B2A">
        <w:rPr>
          <w:sz w:val="18"/>
          <w:lang w:val="en-IE"/>
        </w:rPr>
        <w:t xml:space="preserve"> </w:t>
      </w:r>
      <w:r w:rsidRPr="00980B2A">
        <w:rPr>
          <w:lang w:val="en-IE"/>
        </w:rPr>
        <w:tab/>
      </w:r>
      <w:r w:rsidRPr="00980B2A">
        <w:rPr>
          <w:sz w:val="18"/>
          <w:lang w:val="en-IE"/>
        </w:rPr>
        <w:t xml:space="preserve"> «Electronic AccesS to European Commission Documents»; </w:t>
      </w:r>
      <w:hyperlink r:id="rId4" w:history="1">
        <w:r w:rsidRPr="00980B2A">
          <w:rPr>
            <w:rStyle w:val="Hyperlink"/>
            <w:sz w:val="18"/>
            <w:lang w:val="en-IE"/>
          </w:rPr>
          <w:t>https://ec.europa.eu/transparency/documents-request/home</w:t>
        </w:r>
      </w:hyperlink>
      <w:r w:rsidRPr="00980B2A">
        <w:rPr>
          <w:lang w:val="en-IE"/>
        </w:rPr>
        <w:t>.</w:t>
      </w:r>
    </w:p>
  </w:footnote>
  <w:footnote w:id="8">
    <w:p w14:paraId="50C7102B" w14:textId="32544491" w:rsidR="001C654F" w:rsidRPr="00980B2A" w:rsidRDefault="001C654F" w:rsidP="00DC77C9">
      <w:pPr>
        <w:pStyle w:val="FootnoteText"/>
        <w:ind w:left="284" w:hanging="284"/>
        <w:rPr>
          <w:sz w:val="18"/>
          <w:szCs w:val="18"/>
          <w:lang w:val="en-IE"/>
        </w:rPr>
      </w:pPr>
      <w:r>
        <w:rPr>
          <w:rStyle w:val="FootnoteReference"/>
          <w:sz w:val="18"/>
          <w:szCs w:val="18"/>
        </w:rPr>
        <w:footnoteRef/>
      </w:r>
      <w:r w:rsidRPr="00980B2A">
        <w:rPr>
          <w:sz w:val="18"/>
          <w:lang w:val="en-IE"/>
        </w:rPr>
        <w:t xml:space="preserve"> </w:t>
      </w:r>
      <w:r w:rsidRPr="00980B2A">
        <w:rPr>
          <w:lang w:val="en-IE"/>
        </w:rPr>
        <w:tab/>
      </w:r>
      <w:hyperlink r:id="rId5" w:history="1">
        <w:r w:rsidRPr="00980B2A">
          <w:rPr>
            <w:rStyle w:val="Hyperlink"/>
            <w:sz w:val="18"/>
            <w:lang w:val="en-IE"/>
          </w:rPr>
          <w:t>https://commission.europa.eu/about/service-standards-and-principles/transparency/how-access-commission-documents_fr</w:t>
        </w:r>
      </w:hyperlink>
      <w:r w:rsidRPr="00980B2A">
        <w:rPr>
          <w:lang w:val="en-IE"/>
        </w:rPr>
        <w:t>.</w:t>
      </w:r>
    </w:p>
  </w:footnote>
  <w:footnote w:id="9">
    <w:p w14:paraId="0F6BBC57" w14:textId="669D3D11" w:rsidR="00636E0B" w:rsidRPr="00980B2A" w:rsidRDefault="00636E0B" w:rsidP="00DC77C9">
      <w:pPr>
        <w:pStyle w:val="FootnoteText"/>
        <w:ind w:left="284" w:hanging="284"/>
        <w:rPr>
          <w:sz w:val="18"/>
          <w:szCs w:val="18"/>
          <w:lang w:val="en-IE"/>
        </w:rPr>
      </w:pPr>
      <w:r>
        <w:rPr>
          <w:rStyle w:val="FootnoteReference"/>
          <w:sz w:val="18"/>
          <w:szCs w:val="18"/>
        </w:rPr>
        <w:footnoteRef/>
      </w:r>
      <w:r w:rsidRPr="00980B2A">
        <w:rPr>
          <w:sz w:val="18"/>
          <w:lang w:val="en-IE"/>
        </w:rPr>
        <w:t xml:space="preserve"> </w:t>
      </w:r>
      <w:r w:rsidRPr="00980B2A">
        <w:rPr>
          <w:lang w:val="en-IE"/>
        </w:rPr>
        <w:tab/>
      </w:r>
      <w:hyperlink r:id="rId6" w:history="1">
        <w:r w:rsidRPr="00980B2A">
          <w:rPr>
            <w:rStyle w:val="Hyperlink"/>
            <w:sz w:val="18"/>
            <w:lang w:val="en-IE"/>
          </w:rPr>
          <w:t>https://eur-lex.europa.eu/homepage.html?locale=fr</w:t>
        </w:r>
      </w:hyperlink>
      <w:r w:rsidRPr="00980B2A">
        <w:rPr>
          <w:lang w:val="en-IE"/>
        </w:rPr>
        <w:t>.</w:t>
      </w:r>
      <w:r w:rsidRPr="00980B2A">
        <w:rPr>
          <w:sz w:val="18"/>
          <w:lang w:val="en-IE"/>
        </w:rPr>
        <w:t xml:space="preserve"> </w:t>
      </w:r>
    </w:p>
  </w:footnote>
  <w:footnote w:id="10">
    <w:p w14:paraId="68CF2B59" w14:textId="77777777" w:rsidR="00A54D66" w:rsidRPr="00F00C85" w:rsidRDefault="00A54D66" w:rsidP="00A54D66">
      <w:pPr>
        <w:pStyle w:val="FootnoteText"/>
        <w:widowControl w:val="0"/>
        <w:ind w:left="284" w:hanging="284"/>
        <w:rPr>
          <w:sz w:val="18"/>
          <w:szCs w:val="18"/>
        </w:rPr>
      </w:pPr>
      <w:r>
        <w:rPr>
          <w:rStyle w:val="FootnoteReference"/>
          <w:sz w:val="18"/>
          <w:szCs w:val="18"/>
          <w:lang w:val="en-IE"/>
        </w:rPr>
        <w:footnoteRef/>
      </w:r>
      <w:r>
        <w:rPr>
          <w:sz w:val="18"/>
        </w:rPr>
        <w:t xml:space="preserve"> </w:t>
      </w:r>
      <w:r>
        <w:tab/>
      </w:r>
      <w:r>
        <w:rPr>
          <w:sz w:val="18"/>
        </w:rPr>
        <w:t xml:space="preserve">Décision (UE) 2024/3080 de la Commission du 4 décembre 2024 établissant le règlement intérieur de la Commission et modifiant la décision C(2000) 3614 (JO L, 2024/3080, 5.12.2024, ELI: </w:t>
      </w:r>
      <w:hyperlink r:id="rId7" w:history="1">
        <w:r>
          <w:rPr>
            <w:rStyle w:val="Hyperlink"/>
            <w:sz w:val="18"/>
          </w:rPr>
          <w:t>http://data.europa.eu/eli/dec/2024/3080/oj</w:t>
        </w:r>
      </w:hyperlink>
      <w:r>
        <w:rPr>
          <w:sz w:val="18"/>
        </w:rPr>
        <w:t>).</w:t>
      </w:r>
    </w:p>
  </w:footnote>
  <w:footnote w:id="11">
    <w:p w14:paraId="2797B2D3" w14:textId="58C10EAE" w:rsidR="005E2753" w:rsidRPr="00FD041B" w:rsidRDefault="005E2753" w:rsidP="00DC77C9">
      <w:pPr>
        <w:pStyle w:val="FootnoteText"/>
        <w:ind w:left="284" w:hanging="284"/>
        <w:rPr>
          <w:sz w:val="18"/>
          <w:szCs w:val="18"/>
        </w:rPr>
      </w:pPr>
      <w:r>
        <w:rPr>
          <w:rStyle w:val="FootnoteReference"/>
          <w:sz w:val="18"/>
          <w:szCs w:val="18"/>
          <w:lang w:val="en-IE"/>
        </w:rPr>
        <w:footnoteRef/>
      </w:r>
      <w:r>
        <w:t xml:space="preserve"> </w:t>
      </w:r>
      <w:r>
        <w:tab/>
      </w:r>
      <w:hyperlink r:id="rId8" w:history="1">
        <w:r>
          <w:rPr>
            <w:rStyle w:val="Hyperlink"/>
            <w:sz w:val="18"/>
          </w:rPr>
          <w:t>https://commission.europa.eu/about/service-standards-and-principles/transparency/how-access-commission-documents_fr</w:t>
        </w:r>
      </w:hyperlink>
      <w:r>
        <w:t>.</w:t>
      </w:r>
    </w:p>
  </w:footnote>
  <w:footnote w:id="12">
    <w:p w14:paraId="11E4156D" w14:textId="258EAD55" w:rsidR="008B4402" w:rsidRDefault="008B4402" w:rsidP="00DC77C9">
      <w:pPr>
        <w:pStyle w:val="FootnoteText"/>
        <w:ind w:left="284" w:hanging="284"/>
      </w:pPr>
      <w:r>
        <w:rPr>
          <w:rStyle w:val="FootnoteReference"/>
          <w:sz w:val="18"/>
          <w:szCs w:val="18"/>
        </w:rPr>
        <w:footnoteRef/>
      </w:r>
      <w:r>
        <w:rPr>
          <w:sz w:val="18"/>
        </w:rPr>
        <w:t xml:space="preserve"> </w:t>
      </w:r>
      <w:r>
        <w:tab/>
      </w:r>
      <w:hyperlink r:id="rId9" w:history="1">
        <w:r>
          <w:rPr>
            <w:rStyle w:val="Hyperlink"/>
            <w:sz w:val="18"/>
          </w:rPr>
          <w:t>https://ec.europa.eu/transparency/documents-register/</w:t>
        </w:r>
      </w:hyperlink>
      <w:r>
        <w:t>.</w:t>
      </w:r>
    </w:p>
  </w:footnote>
  <w:footnote w:id="13">
    <w:p w14:paraId="73AE4B48" w14:textId="6D9C6813" w:rsidR="000B3482" w:rsidRPr="00F00C85" w:rsidRDefault="000B3482" w:rsidP="00DC77C9">
      <w:pPr>
        <w:pStyle w:val="FootnoteText"/>
        <w:ind w:left="284" w:hanging="284"/>
        <w:rPr>
          <w:sz w:val="18"/>
          <w:szCs w:val="18"/>
        </w:rPr>
      </w:pPr>
      <w:r>
        <w:rPr>
          <w:rStyle w:val="FootnoteReference"/>
          <w:sz w:val="18"/>
          <w:szCs w:val="18"/>
        </w:rPr>
        <w:footnoteRef/>
      </w:r>
      <w:r>
        <w:rPr>
          <w:sz w:val="18"/>
        </w:rPr>
        <w:t xml:space="preserve"> </w:t>
      </w:r>
      <w:r>
        <w:tab/>
      </w:r>
      <w:r>
        <w:rPr>
          <w:sz w:val="18"/>
        </w:rPr>
        <w:t xml:space="preserve">Des statistiques sur le profil social et professionnel et l’origine géographique des demandeurs sont fournies dans les tableaux 6 et 7 de l’annexe. </w:t>
      </w:r>
    </w:p>
  </w:footnote>
  <w:footnote w:id="14">
    <w:p w14:paraId="6DF2B257" w14:textId="40545E59" w:rsidR="005E2753" w:rsidRPr="00F00C85" w:rsidRDefault="005E2753" w:rsidP="00DC77C9">
      <w:pPr>
        <w:pStyle w:val="FootnoteText"/>
        <w:ind w:left="284" w:hanging="284"/>
        <w:rPr>
          <w:sz w:val="18"/>
          <w:szCs w:val="18"/>
        </w:rPr>
      </w:pPr>
      <w:r>
        <w:rPr>
          <w:rStyle w:val="FootnoteReference"/>
          <w:sz w:val="18"/>
          <w:szCs w:val="18"/>
          <w:lang w:val="en-IE"/>
        </w:rPr>
        <w:footnoteRef/>
      </w:r>
      <w:r>
        <w:tab/>
      </w:r>
      <w:r>
        <w:rPr>
          <w:sz w:val="18"/>
        </w:rPr>
        <w:t>Le groupe de travail sur les réformes et l’investissement (SG REFORM) a été créé en février 2025 par la fusion du groupe de travail pour la relance et la résilience (SG RECOVER) et de la direction générale de l’appui aux réformes structurelles (DG REFORM). Les données de l’Office européen de lutte antifraude (OLAF) englobent les demandes d’accès aux documents ayant trait aux activités administratives de ce dernier, qui sont enregistrées dans le même système informatique (EASE) que celui utilisé par les autres services de la Commission européenne. Le présent rapport ne couvre pas les demandes d’accès aux documents ayant trait aux activités d’enquête de l’OLAF.</w:t>
      </w:r>
      <w:bookmarkStart w:id="13" w:name="_Hlk191747176"/>
      <w:r>
        <w:rPr>
          <w:sz w:val="18"/>
        </w:rPr>
        <w:t xml:space="preserve"> La direction générale de l’élargissement et du voisinage oriental (DG ENEST) a commencé ses activités en février 2025, après que la direction générale du voisinage et des négociations d’élargissement (DG NEAR) a été scindée en deux entités: la DG ENEST et la direction générale du Moyen-Orient, de l’Afrique du Nord et du Golfe (DG MENA). Depuis la création du Service européen pour l’action extérieure (SEAE), seuls les documents du service des instruments de politique étrangère (FPI) sont détenus par la Commission européenne. Les statistiques relatives au FPI englobent certaines demandes initiales reçues par la facilité européenne pour la paix (FEP). La FEP est un instrument extrabudgétaire qui renforce la capacité de l’Union à agir en tant que garant de la sécurité mondiale. Conformément à sa décision C(2021) 2011, la Commission européenne a accepté d’assumer les rôles d’administrateur, de comptable et d’auditeur interne pour les mesures d’assistance de la FEP. Sept demandes initiales et aucune demande confirmative ont été présentées à la Commission en sa qualité d’administrateur des mesures d’assistance en 2025.</w:t>
      </w:r>
      <w:bookmarkEnd w:id="13"/>
    </w:p>
  </w:footnote>
  <w:footnote w:id="15">
    <w:p w14:paraId="54528012" w14:textId="56E1F950" w:rsidR="00DB322F" w:rsidRPr="00DB322F" w:rsidRDefault="00B91319" w:rsidP="00DC77C9">
      <w:pPr>
        <w:pStyle w:val="FootnoteText"/>
        <w:ind w:left="284" w:hanging="284"/>
        <w:rPr>
          <w:sz w:val="18"/>
          <w:szCs w:val="18"/>
        </w:rPr>
      </w:pPr>
      <w:r>
        <w:rPr>
          <w:rStyle w:val="FootnoteReference"/>
          <w:sz w:val="18"/>
          <w:szCs w:val="18"/>
        </w:rPr>
        <w:footnoteRef/>
      </w:r>
      <w:r>
        <w:rPr>
          <w:sz w:val="18"/>
        </w:rPr>
        <w:t xml:space="preserve"> </w:t>
      </w:r>
      <w:r>
        <w:tab/>
      </w:r>
      <w:r>
        <w:rPr>
          <w:sz w:val="18"/>
        </w:rPr>
        <w:t>Les demandes individuelles peuvent concerner plusieurs documents ou des dossiers entiers ayant trait à un sujet ou à une procédure spécifique. Grâce à la conception d’EASE, les chiffres figurant au chapitre 4 du présent rapport indiquent les documents demandés dans le cadre des dossiers traités dans EASE et clôturés en 2025.</w:t>
      </w:r>
    </w:p>
  </w:footnote>
  <w:footnote w:id="16">
    <w:p w14:paraId="29E43E3A" w14:textId="4CA7CBFA" w:rsidR="00DB7D87" w:rsidRPr="00F00C85" w:rsidRDefault="00DB7D87" w:rsidP="00DC77C9">
      <w:pPr>
        <w:pStyle w:val="FootnoteText"/>
        <w:ind w:left="284" w:hanging="284"/>
        <w:rPr>
          <w:sz w:val="18"/>
          <w:szCs w:val="18"/>
        </w:rPr>
      </w:pPr>
      <w:r>
        <w:rPr>
          <w:rStyle w:val="FootnoteReference"/>
          <w:sz w:val="18"/>
          <w:szCs w:val="18"/>
          <w:lang w:val="en-IE"/>
        </w:rPr>
        <w:footnoteRef/>
      </w:r>
      <w:r>
        <w:tab/>
      </w:r>
      <w:r>
        <w:rPr>
          <w:sz w:val="18"/>
        </w:rPr>
        <w:t xml:space="preserve"> Les statistiques couvrent les affaires traitées par la Médiatrice européenne pour tous les services de la Commission européenne, à l’exception </w:t>
      </w:r>
      <w:bookmarkStart w:id="22" w:name="_Hlk224918263"/>
      <w:r>
        <w:rPr>
          <w:sz w:val="18"/>
        </w:rPr>
        <w:t>de l’Office européen de lutte antifraude</w:t>
      </w:r>
      <w:bookmarkEnd w:id="22"/>
      <w:r>
        <w:rPr>
          <w:sz w:val="18"/>
        </w:rPr>
        <w:t>.</w:t>
      </w:r>
    </w:p>
  </w:footnote>
  <w:footnote w:id="17">
    <w:p w14:paraId="75B53AF2" w14:textId="67D9703C" w:rsidR="00713AE1" w:rsidRPr="001B1DF5" w:rsidRDefault="007D60B6" w:rsidP="00DC77C9">
      <w:pPr>
        <w:pStyle w:val="FootnoteText"/>
        <w:ind w:left="284" w:hanging="284"/>
        <w:rPr>
          <w:sz w:val="18"/>
          <w:szCs w:val="18"/>
        </w:rPr>
      </w:pPr>
      <w:r>
        <w:rPr>
          <w:rStyle w:val="FootnoteReference"/>
          <w:sz w:val="18"/>
          <w:szCs w:val="18"/>
          <w:lang w:val="en-IE"/>
        </w:rPr>
        <w:footnoteRef/>
      </w:r>
      <w:r>
        <w:tab/>
      </w:r>
      <w:r>
        <w:rPr>
          <w:sz w:val="18"/>
        </w:rPr>
        <w:t>La Médiatrice a estimé que le retard dans la réponse adressée au demandeur constituait un cas de mauvaise administration dans l’affaire 1249/2023 (</w:t>
      </w:r>
      <w:hyperlink r:id="rId10" w:history="1">
        <w:r>
          <w:rPr>
            <w:rStyle w:val="Hyperlink"/>
            <w:sz w:val="18"/>
          </w:rPr>
          <w:t>https://www.ombudsman.europa.eu/fr/case/fr/64317</w:t>
        </w:r>
      </w:hyperlink>
      <w:r>
        <w:rPr>
          <w:sz w:val="18"/>
        </w:rPr>
        <w:t>). La Médiatrice a estimé que le refus d’accorder un large accès du public constituait un cas de mauvaise administration dans les affaires 2421/2023 (</w:t>
      </w:r>
      <w:hyperlink r:id="rId11" w:history="1">
        <w:r>
          <w:rPr>
            <w:rStyle w:val="Hyperlink"/>
            <w:sz w:val="18"/>
          </w:rPr>
          <w:t>https://www.ombudsman.europa.eu/fr/case/fr/65469</w:t>
        </w:r>
      </w:hyperlink>
      <w:r>
        <w:rPr>
          <w:sz w:val="18"/>
        </w:rPr>
        <w:t>) et 849/2024 (</w:t>
      </w:r>
      <w:hyperlink r:id="rId12" w:history="1">
        <w:r>
          <w:rPr>
            <w:rStyle w:val="Hyperlink"/>
            <w:sz w:val="18"/>
          </w:rPr>
          <w:t>https://www.ombudsman.europa.eu/fr/case/fr/66373</w:t>
        </w:r>
      </w:hyperlink>
      <w:r>
        <w:rPr>
          <w:sz w:val="18"/>
        </w:rPr>
        <w:t>). La Médiatrice a estimé que le refus de la Commission de donner suite aux demandes d’accès du plaignant constituait un cas de mauvaise administration dans l’affaire 1634/2023 (</w:t>
      </w:r>
      <w:hyperlink r:id="rId13" w:history="1">
        <w:r>
          <w:rPr>
            <w:rStyle w:val="Hyperlink"/>
            <w:sz w:val="18"/>
          </w:rPr>
          <w:t>https://www.ombudsman.europa.eu/fr/case/fr/64691</w:t>
        </w:r>
      </w:hyperlink>
      <w:r>
        <w:rPr>
          <w:sz w:val="18"/>
        </w:rPr>
        <w:t>). La Médiatrice a estimé qu’il y avait eu mauvaise administration de la part de la Commission dans la façon dont celle-ci a traité les demandes d’accès du public dans les affaires</w:t>
      </w:r>
      <w:r>
        <w:tab/>
        <w:t xml:space="preserve"> </w:t>
      </w:r>
      <w:r>
        <w:br/>
      </w:r>
      <w:r>
        <w:rPr>
          <w:sz w:val="18"/>
        </w:rPr>
        <w:t>1405/2024 (</w:t>
      </w:r>
      <w:hyperlink r:id="rId14" w:history="1">
        <w:r>
          <w:rPr>
            <w:rStyle w:val="Hyperlink"/>
            <w:sz w:val="18"/>
          </w:rPr>
          <w:t>https://www.ombudsman.europa.eu/fr/case/fr/66916</w:t>
        </w:r>
      </w:hyperlink>
      <w:r>
        <w:rPr>
          <w:sz w:val="18"/>
        </w:rPr>
        <w:t>),</w:t>
      </w:r>
      <w:r>
        <w:tab/>
        <w:t xml:space="preserve"> </w:t>
      </w:r>
      <w:r>
        <w:br/>
      </w:r>
      <w:r>
        <w:rPr>
          <w:sz w:val="18"/>
        </w:rPr>
        <w:t>1498/2024 (</w:t>
      </w:r>
      <w:hyperlink r:id="rId15" w:history="1">
        <w:r>
          <w:rPr>
            <w:rStyle w:val="Hyperlink"/>
            <w:sz w:val="18"/>
          </w:rPr>
          <w:t>https://www.ombudsman.europa.eu/fr/case/fr/67020</w:t>
        </w:r>
      </w:hyperlink>
      <w:r>
        <w:rPr>
          <w:sz w:val="18"/>
        </w:rPr>
        <w:t>)</w:t>
      </w:r>
      <w:r>
        <w:tab/>
        <w:t xml:space="preserve"> </w:t>
      </w:r>
      <w:r>
        <w:br/>
      </w:r>
      <w:r>
        <w:rPr>
          <w:sz w:val="18"/>
        </w:rPr>
        <w:t>et 318/2025 (</w:t>
      </w:r>
      <w:hyperlink r:id="rId16" w:history="1">
        <w:r>
          <w:rPr>
            <w:rStyle w:val="Hyperlink"/>
            <w:sz w:val="18"/>
          </w:rPr>
          <w:t>https://www.ombudsman.europa.eu/fr/case/fr/68195</w:t>
        </w:r>
      </w:hyperlink>
      <w:r>
        <w:rPr>
          <w:sz w:val="18"/>
        </w:rPr>
        <w:t>).</w:t>
      </w:r>
      <w:r>
        <w:tab/>
        <w:t xml:space="preserve"> </w:t>
      </w:r>
      <w:r>
        <w:br/>
      </w:r>
      <w:r>
        <w:rPr>
          <w:sz w:val="18"/>
        </w:rPr>
        <w:t>La Médiatrice a estimé que le recours par la Commission à une présomption générale de non-divulgation constituait un cas de mauvaise administration dans l’affaire 1746/2024 (</w:t>
      </w:r>
      <w:hyperlink r:id="rId17" w:history="1">
        <w:r>
          <w:rPr>
            <w:rStyle w:val="Hyperlink"/>
            <w:sz w:val="18"/>
          </w:rPr>
          <w:t>https://www.ombudsman.europa.eu/fr/case/fr/67261</w:t>
        </w:r>
      </w:hyperlink>
      <w:r>
        <w:rPr>
          <w:sz w:val="18"/>
        </w:rPr>
        <w:t>).</w:t>
      </w:r>
    </w:p>
  </w:footnote>
  <w:footnote w:id="18">
    <w:p w14:paraId="006AA979" w14:textId="74DCEE53" w:rsidR="00056053" w:rsidRPr="001B59F8" w:rsidRDefault="00056053" w:rsidP="00DC77C9">
      <w:pPr>
        <w:pStyle w:val="FootnoteText"/>
        <w:ind w:left="284" w:hanging="284"/>
        <w:rPr>
          <w:sz w:val="18"/>
          <w:szCs w:val="18"/>
        </w:rPr>
      </w:pPr>
      <w:r>
        <w:rPr>
          <w:rStyle w:val="FootnoteReference"/>
          <w:sz w:val="18"/>
          <w:szCs w:val="18"/>
          <w:lang w:val="en-IE"/>
        </w:rPr>
        <w:footnoteRef/>
      </w:r>
      <w:r>
        <w:rPr>
          <w:sz w:val="18"/>
        </w:rPr>
        <w:t xml:space="preserve"> </w:t>
      </w:r>
      <w:r>
        <w:tab/>
      </w:r>
      <w:r>
        <w:rPr>
          <w:sz w:val="18"/>
        </w:rPr>
        <w:t>Arrêt du 16 janvier 2025, Commission/Pollinis France, C‑726/22 P, EU:C:2025:17.</w:t>
      </w:r>
    </w:p>
  </w:footnote>
  <w:footnote w:id="19">
    <w:p w14:paraId="0FFC4655" w14:textId="78172A4E" w:rsidR="00056053" w:rsidRPr="001B59F8" w:rsidRDefault="00056053" w:rsidP="004F2FDA">
      <w:pPr>
        <w:pStyle w:val="FootnoteText"/>
        <w:ind w:left="284" w:hanging="284"/>
        <w:rPr>
          <w:sz w:val="18"/>
          <w:szCs w:val="18"/>
        </w:rPr>
      </w:pPr>
      <w:r>
        <w:rPr>
          <w:rStyle w:val="FootnoteReference"/>
          <w:sz w:val="18"/>
          <w:szCs w:val="18"/>
          <w:lang w:val="en-IE"/>
        </w:rPr>
        <w:footnoteRef/>
      </w:r>
      <w:r>
        <w:rPr>
          <w:sz w:val="18"/>
        </w:rPr>
        <w:t xml:space="preserve"> </w:t>
      </w:r>
      <w:r>
        <w:tab/>
      </w:r>
      <w:r>
        <w:rPr>
          <w:sz w:val="18"/>
        </w:rPr>
        <w:t>Ordonnance du 4 février 2025, Commission/Courtois e.a., C-632/24 P-R, EU:C:2025:70.</w:t>
      </w:r>
    </w:p>
  </w:footnote>
  <w:footnote w:id="20">
    <w:p w14:paraId="66E80BAD" w14:textId="1FE7BC23" w:rsidR="005434B6" w:rsidRPr="001B59F8" w:rsidRDefault="005434B6" w:rsidP="004F2FDA">
      <w:pPr>
        <w:pStyle w:val="FootnoteText"/>
        <w:ind w:left="284" w:hanging="284"/>
        <w:rPr>
          <w:sz w:val="18"/>
          <w:szCs w:val="18"/>
        </w:rPr>
      </w:pPr>
      <w:r>
        <w:rPr>
          <w:rStyle w:val="FootnoteReference"/>
          <w:sz w:val="18"/>
          <w:szCs w:val="18"/>
          <w:lang w:val="en-IE"/>
        </w:rPr>
        <w:footnoteRef/>
      </w:r>
      <w:r>
        <w:tab/>
      </w:r>
      <w:r>
        <w:rPr>
          <w:sz w:val="18"/>
        </w:rPr>
        <w:t>Arrêt rendu dans l’affaire Commission/Pollinis France, C-726/22 P, op. cit.</w:t>
      </w:r>
    </w:p>
  </w:footnote>
  <w:footnote w:id="21">
    <w:p w14:paraId="41749AB6" w14:textId="6B3BBEE1" w:rsidR="00C140AF" w:rsidRPr="001B59F8" w:rsidRDefault="00C140AF" w:rsidP="004F2FDA">
      <w:pPr>
        <w:pStyle w:val="FootnoteText"/>
        <w:ind w:left="284" w:hanging="284"/>
        <w:rPr>
          <w:sz w:val="18"/>
          <w:szCs w:val="18"/>
        </w:rPr>
      </w:pPr>
      <w:r>
        <w:rPr>
          <w:rStyle w:val="FootnoteReference"/>
          <w:sz w:val="18"/>
          <w:szCs w:val="18"/>
          <w:lang w:val="en-IE"/>
        </w:rPr>
        <w:footnoteRef/>
      </w:r>
      <w:r>
        <w:tab/>
      </w:r>
      <w:r>
        <w:rPr>
          <w:sz w:val="18"/>
        </w:rPr>
        <w:t>Ordonnance rendue dans l’affaire Commission/Courtois, C-632/24 P-R, op. cit.</w:t>
      </w:r>
    </w:p>
  </w:footnote>
  <w:footnote w:id="22">
    <w:p w14:paraId="14E66955" w14:textId="75D88274" w:rsidR="00C140AF" w:rsidRPr="001B59F8" w:rsidRDefault="00C140AF" w:rsidP="004F2FDA">
      <w:pPr>
        <w:pStyle w:val="FootnoteText"/>
        <w:ind w:left="284" w:hanging="284"/>
        <w:rPr>
          <w:sz w:val="18"/>
          <w:szCs w:val="18"/>
        </w:rPr>
      </w:pPr>
      <w:r>
        <w:rPr>
          <w:rStyle w:val="FootnoteReference"/>
          <w:sz w:val="18"/>
          <w:szCs w:val="18"/>
          <w:lang w:val="en-IE"/>
        </w:rPr>
        <w:footnoteRef/>
      </w:r>
      <w:r>
        <w:tab/>
      </w:r>
      <w:r>
        <w:rPr>
          <w:sz w:val="18"/>
        </w:rPr>
        <w:t>Arrêt rendu dans l’affaire Commission/Pollinis France, C-726/22 P, op. cit., points 65, 71 à 74 et 78 à 79.</w:t>
      </w:r>
    </w:p>
  </w:footnote>
  <w:footnote w:id="23">
    <w:p w14:paraId="621F485C" w14:textId="55C1610A" w:rsidR="00C371F8" w:rsidRPr="00FF4967" w:rsidRDefault="00C371F8" w:rsidP="004F2FDA">
      <w:pPr>
        <w:pStyle w:val="FootnoteText"/>
        <w:ind w:left="284" w:hanging="284"/>
        <w:rPr>
          <w:sz w:val="18"/>
          <w:szCs w:val="18"/>
        </w:rPr>
      </w:pPr>
      <w:r>
        <w:rPr>
          <w:rStyle w:val="FootnoteReference"/>
          <w:sz w:val="18"/>
          <w:szCs w:val="18"/>
          <w:lang w:val="en-IE"/>
        </w:rPr>
        <w:footnoteRef/>
      </w:r>
      <w:r>
        <w:tab/>
      </w:r>
      <w:r>
        <w:rPr>
          <w:sz w:val="18"/>
        </w:rPr>
        <w:t>Arrêts du 14 mai 2025, Stevi et The New York Times/Commission, T-36/23, EU:T:2025:483; du 22 janvier 2025, eClear/Commission, T-127/23, EU:T:2025:51; du 3 septembre 2025, Huhtamaki Holding/Commission, T-225/24, EU:T:2025:830; du 14 mai 2025, Smart Kid/Commission, T-227/24, EU:T:2025:488; du 18 juin 2025, Zver/Commission, T-235/24, EU:T:2025:607; du 10 septembre 2025, Smart Kid/Commission, T-337/24, EU:T:2025:848.</w:t>
      </w:r>
    </w:p>
  </w:footnote>
  <w:footnote w:id="24">
    <w:p w14:paraId="5E7EEC26" w14:textId="0CAF2716" w:rsidR="00C371F8" w:rsidRPr="001B59F8" w:rsidRDefault="00C371F8" w:rsidP="004F2FDA">
      <w:pPr>
        <w:pStyle w:val="FootnoteText"/>
        <w:ind w:left="284" w:hanging="284"/>
        <w:rPr>
          <w:sz w:val="18"/>
          <w:szCs w:val="18"/>
        </w:rPr>
      </w:pPr>
      <w:r>
        <w:rPr>
          <w:rStyle w:val="FootnoteReference"/>
          <w:sz w:val="18"/>
          <w:szCs w:val="18"/>
          <w:lang w:val="en-IE"/>
        </w:rPr>
        <w:footnoteRef/>
      </w:r>
      <w:r>
        <w:tab/>
      </w:r>
      <w:r>
        <w:rPr>
          <w:sz w:val="18"/>
        </w:rPr>
        <w:t>Ordonnances du 21 mai 2025, APEDA et O’Connor/Commission, T-70/25; du 8 octobre 2025, WS/Commission, T-90/25, EU:T:2025:955; du 16 mai 2025, Rizza/Commission, T-118/25; du 11 février 2025, Reverbel/Commission, T-178/24, EU:T:2025:173; du 18 septembre 2025, Onescu/OLAF, T-299/25; du 16 juillet 2025, Onescu/OLAF, T-299/25 R; du 7 janvier 2025, Compass-Datenbank/Commission, T-350/24, EU:T:2025:20; du 14 avril 2025, Molitorisová/Commission, T-353/24; du 20 août 2025, APEDA et O’Connor/Commission, T-458/24; du 27 janvier 2025, Pech/Commission, T-485/24; du 16 juin 2025, Reclaim et Martínez González/Commission, T546/24; et du 20 mars 2025, Public.Resource.Org et Right to Know/Commission, T-580/24.</w:t>
      </w:r>
    </w:p>
  </w:footnote>
  <w:footnote w:id="25">
    <w:p w14:paraId="3B9A550B" w14:textId="2C13A68C" w:rsidR="00977980" w:rsidRPr="0041312C" w:rsidRDefault="00977980" w:rsidP="004F2FDA">
      <w:pPr>
        <w:pStyle w:val="FootnoteText"/>
        <w:ind w:left="284" w:hanging="284"/>
        <w:rPr>
          <w:iCs/>
          <w:sz w:val="18"/>
          <w:szCs w:val="18"/>
        </w:rPr>
      </w:pPr>
      <w:r>
        <w:rPr>
          <w:rStyle w:val="FootnoteReference"/>
          <w:sz w:val="18"/>
          <w:szCs w:val="18"/>
          <w:lang w:val="en-IE"/>
        </w:rPr>
        <w:footnoteRef/>
      </w:r>
      <w:r>
        <w:tab/>
      </w:r>
      <w:r>
        <w:rPr>
          <w:sz w:val="18"/>
        </w:rPr>
        <w:t>Arrêt dans l’affaire Huhtamaki Holding/Commission, T-225/24, op. cit.; Ordonnance rendue dans l’affaire Onescu/OLAF, T-299/25, op. cit.</w:t>
      </w:r>
    </w:p>
  </w:footnote>
  <w:footnote w:id="26">
    <w:p w14:paraId="434688B5" w14:textId="6F026B72" w:rsidR="00977980" w:rsidRPr="001B59F8" w:rsidRDefault="00977980" w:rsidP="004F2FDA">
      <w:pPr>
        <w:pStyle w:val="FootnoteText"/>
        <w:ind w:left="284" w:hanging="284"/>
        <w:rPr>
          <w:sz w:val="18"/>
          <w:szCs w:val="18"/>
        </w:rPr>
      </w:pPr>
      <w:r>
        <w:rPr>
          <w:rStyle w:val="FootnoteReference"/>
          <w:sz w:val="18"/>
          <w:szCs w:val="18"/>
          <w:lang w:val="en-IE"/>
        </w:rPr>
        <w:footnoteRef/>
      </w:r>
      <w:r>
        <w:tab/>
      </w:r>
      <w:r>
        <w:rPr>
          <w:sz w:val="18"/>
        </w:rPr>
        <w:t>Arrêts rendus dans l’affaire eClear/Commission, T-127/23, op. cit.; Zver/Commission, T-235/24, op. cit.; et dans l’affaire Smart Kid/Commission, T-337/24, op. cit.</w:t>
      </w:r>
    </w:p>
  </w:footnote>
  <w:footnote w:id="27">
    <w:p w14:paraId="11AE51FD" w14:textId="2E3B5B04" w:rsidR="00FF4D5B" w:rsidRPr="001B59F8" w:rsidRDefault="00FF4D5B" w:rsidP="004F2FDA">
      <w:pPr>
        <w:pStyle w:val="FootnoteText"/>
        <w:ind w:left="284" w:hanging="284"/>
        <w:rPr>
          <w:sz w:val="18"/>
          <w:szCs w:val="18"/>
        </w:rPr>
      </w:pPr>
      <w:r>
        <w:rPr>
          <w:rStyle w:val="FootnoteReference"/>
          <w:sz w:val="18"/>
          <w:szCs w:val="18"/>
          <w:lang w:val="en-IE"/>
        </w:rPr>
        <w:footnoteRef/>
      </w:r>
      <w:r>
        <w:tab/>
      </w:r>
      <w:r>
        <w:rPr>
          <w:sz w:val="18"/>
        </w:rPr>
        <w:t>Arrêts rendus dans l’affaire Stevi et The New York Times/Commission, T-36/23, op. cit.; et dans l’affaire Smart Kid/Commission, T-227/24, op. cit.</w:t>
      </w:r>
    </w:p>
  </w:footnote>
  <w:footnote w:id="28">
    <w:p w14:paraId="7D41F161" w14:textId="6F6684FB" w:rsidR="0041312C" w:rsidRPr="0041312C" w:rsidRDefault="0041312C" w:rsidP="004F2FDA">
      <w:pPr>
        <w:pStyle w:val="FootnoteText"/>
        <w:ind w:left="284" w:hanging="284"/>
        <w:rPr>
          <w:sz w:val="18"/>
          <w:szCs w:val="18"/>
        </w:rPr>
      </w:pPr>
      <w:r>
        <w:rPr>
          <w:rStyle w:val="FootnoteReference"/>
          <w:sz w:val="18"/>
          <w:szCs w:val="18"/>
          <w:lang w:val="en-IE"/>
        </w:rPr>
        <w:footnoteRef/>
      </w:r>
      <w:r>
        <w:tab/>
      </w:r>
      <w:r>
        <w:rPr>
          <w:sz w:val="18"/>
        </w:rPr>
        <w:t xml:space="preserve"> Ordonnances rendues dans l’affaire WS/Commission, T-90/25, op. cit.; Reverbel/Commission, T-178/24, op. cit.; Compass-Datenbank/Commission, T-350/24, op. cit.; Pech/Commission, T-485/24, op. cit.; et Reclaim et Martínez González/Commission, T-546/24, op. cit.;</w:t>
      </w:r>
    </w:p>
  </w:footnote>
  <w:footnote w:id="29">
    <w:p w14:paraId="79B92F71" w14:textId="1EB66311" w:rsidR="0041312C" w:rsidRPr="0041312C" w:rsidRDefault="0041312C" w:rsidP="004F2FDA">
      <w:pPr>
        <w:pStyle w:val="FootnoteText"/>
        <w:ind w:left="284" w:hanging="284"/>
        <w:rPr>
          <w:sz w:val="18"/>
          <w:szCs w:val="18"/>
        </w:rPr>
      </w:pPr>
      <w:r>
        <w:rPr>
          <w:rStyle w:val="FootnoteReference"/>
          <w:sz w:val="18"/>
          <w:szCs w:val="18"/>
          <w:lang w:val="en-IE"/>
        </w:rPr>
        <w:footnoteRef/>
      </w:r>
      <w:r>
        <w:tab/>
      </w:r>
      <w:r>
        <w:rPr>
          <w:sz w:val="18"/>
        </w:rPr>
        <w:t>Ordonnances rendues dans l’affaire Rizza/Commission, T-118/25, op. cit.; et Public.Resource.Org et Right to Know/Commission, T580/24, op. cit.;</w:t>
      </w:r>
    </w:p>
  </w:footnote>
  <w:footnote w:id="30">
    <w:p w14:paraId="370E0C26" w14:textId="5781F1BD" w:rsidR="002163C2" w:rsidRPr="0041312C" w:rsidRDefault="002163C2" w:rsidP="004F2FDA">
      <w:pPr>
        <w:pStyle w:val="FootnoteText"/>
        <w:ind w:left="284" w:hanging="284"/>
        <w:rPr>
          <w:sz w:val="18"/>
          <w:szCs w:val="18"/>
        </w:rPr>
      </w:pPr>
      <w:r>
        <w:rPr>
          <w:rStyle w:val="FootnoteReference"/>
          <w:sz w:val="18"/>
          <w:szCs w:val="18"/>
          <w:lang w:val="en-IE"/>
        </w:rPr>
        <w:footnoteRef/>
      </w:r>
      <w:r>
        <w:tab/>
      </w:r>
      <w:r>
        <w:rPr>
          <w:sz w:val="18"/>
        </w:rPr>
        <w:t>Ordonnances rendues dans l’affaire APEDA et O’Connor/Commission, T-70/25, op. cit.</w:t>
      </w:r>
    </w:p>
  </w:footnote>
  <w:footnote w:id="31">
    <w:p w14:paraId="3BB2B5C8" w14:textId="0BF16E40" w:rsidR="002163C2" w:rsidRPr="0041312C" w:rsidRDefault="002163C2" w:rsidP="004F2FDA">
      <w:pPr>
        <w:pStyle w:val="FootnoteText"/>
        <w:ind w:left="284" w:hanging="284"/>
        <w:rPr>
          <w:sz w:val="18"/>
          <w:szCs w:val="18"/>
        </w:rPr>
      </w:pPr>
      <w:r>
        <w:rPr>
          <w:rStyle w:val="FootnoteReference"/>
          <w:sz w:val="18"/>
          <w:szCs w:val="18"/>
          <w:lang w:val="en-IE"/>
        </w:rPr>
        <w:footnoteRef/>
      </w:r>
      <w:r>
        <w:tab/>
      </w:r>
      <w:r>
        <w:rPr>
          <w:sz w:val="18"/>
        </w:rPr>
        <w:t>Ordonnance rendue dans l’affaire Onescu/OLAF, T-299/25, op. cit.</w:t>
      </w:r>
    </w:p>
  </w:footnote>
  <w:footnote w:id="32">
    <w:p w14:paraId="2E1628F5" w14:textId="3877B992" w:rsidR="002163C2" w:rsidRPr="0041312C" w:rsidRDefault="002163C2" w:rsidP="004F2FDA">
      <w:pPr>
        <w:pStyle w:val="FootnoteText"/>
        <w:ind w:left="284" w:hanging="284"/>
        <w:rPr>
          <w:sz w:val="18"/>
          <w:szCs w:val="18"/>
        </w:rPr>
      </w:pPr>
      <w:r>
        <w:rPr>
          <w:rStyle w:val="FootnoteReference"/>
          <w:sz w:val="18"/>
          <w:szCs w:val="18"/>
          <w:lang w:val="en-IE"/>
        </w:rPr>
        <w:footnoteRef/>
      </w:r>
      <w:r>
        <w:tab/>
      </w:r>
      <w:r>
        <w:rPr>
          <w:sz w:val="18"/>
        </w:rPr>
        <w:t>Ordonnances rendues dans l’affaire Molitorisová/Commission, T-353/24, op. cit.</w:t>
      </w:r>
    </w:p>
  </w:footnote>
  <w:footnote w:id="33">
    <w:p w14:paraId="3914984F" w14:textId="5FCC5319" w:rsidR="002163C2" w:rsidRPr="0041312C" w:rsidRDefault="002163C2" w:rsidP="004F2FDA">
      <w:pPr>
        <w:pStyle w:val="FootnoteText"/>
        <w:ind w:left="284" w:hanging="284"/>
        <w:rPr>
          <w:sz w:val="18"/>
          <w:szCs w:val="18"/>
        </w:rPr>
      </w:pPr>
      <w:r>
        <w:rPr>
          <w:rStyle w:val="FootnoteReference"/>
          <w:sz w:val="18"/>
          <w:szCs w:val="18"/>
          <w:lang w:val="en-IE"/>
        </w:rPr>
        <w:footnoteRef/>
      </w:r>
      <w:r>
        <w:tab/>
      </w:r>
      <w:r>
        <w:rPr>
          <w:sz w:val="18"/>
        </w:rPr>
        <w:t>Ordonnances rendues dans l’affaire APEDA et O’Connor/Commission, T-458/24, op. cit.</w:t>
      </w:r>
    </w:p>
  </w:footnote>
  <w:footnote w:id="34">
    <w:p w14:paraId="082910E5" w14:textId="65F14198" w:rsidR="00C81CC6" w:rsidRPr="0041312C" w:rsidRDefault="00C81CC6" w:rsidP="004F2FDA">
      <w:pPr>
        <w:pStyle w:val="FootnoteText"/>
        <w:ind w:left="284" w:hanging="284"/>
        <w:rPr>
          <w:iCs/>
          <w:sz w:val="18"/>
          <w:szCs w:val="18"/>
        </w:rPr>
      </w:pPr>
      <w:r>
        <w:rPr>
          <w:rStyle w:val="FootnoteReference"/>
          <w:sz w:val="18"/>
          <w:szCs w:val="18"/>
          <w:lang w:val="en-IE"/>
        </w:rPr>
        <w:footnoteRef/>
      </w:r>
      <w:r>
        <w:tab/>
      </w:r>
      <w:r>
        <w:rPr>
          <w:sz w:val="18"/>
        </w:rPr>
        <w:t>Arrêt rendu dans l’affaire Smart Kid/Commission, T-337/24, op. cit., points 40 à 42, 49 à 54 et 61 à 67.</w:t>
      </w:r>
    </w:p>
  </w:footnote>
  <w:footnote w:id="35">
    <w:p w14:paraId="216458D3" w14:textId="67721591" w:rsidR="00C81CC6" w:rsidRPr="0041312C" w:rsidRDefault="00C81CC6" w:rsidP="004F2FDA">
      <w:pPr>
        <w:pStyle w:val="FootnoteText"/>
        <w:ind w:left="284" w:hanging="284"/>
        <w:rPr>
          <w:iCs/>
          <w:sz w:val="18"/>
          <w:szCs w:val="18"/>
        </w:rPr>
      </w:pPr>
      <w:r>
        <w:rPr>
          <w:rStyle w:val="FootnoteReference"/>
          <w:sz w:val="18"/>
          <w:szCs w:val="18"/>
          <w:lang w:val="en-IE"/>
        </w:rPr>
        <w:footnoteRef/>
      </w:r>
      <w:r>
        <w:tab/>
      </w:r>
      <w:r>
        <w:rPr>
          <w:sz w:val="18"/>
        </w:rPr>
        <w:t>Arrêts rendus dans l’affaire Smart Kid/Commission, T-227/24, op. cit., points 38, 39, 46, 56 à 60, 64 à 66, 72 à 79 et 80 à 88; et eClear/Commission, T-127/23, op. cit., points 86 à 92.</w:t>
      </w:r>
    </w:p>
  </w:footnote>
  <w:footnote w:id="36">
    <w:p w14:paraId="086B285D" w14:textId="39C6AC11" w:rsidR="00C81CC6" w:rsidRPr="00324B5E" w:rsidRDefault="00C81CC6" w:rsidP="004F2FDA">
      <w:pPr>
        <w:pStyle w:val="FootnoteText"/>
        <w:ind w:left="284" w:hanging="284"/>
        <w:rPr>
          <w:iCs/>
          <w:sz w:val="18"/>
          <w:szCs w:val="18"/>
        </w:rPr>
      </w:pPr>
      <w:r>
        <w:rPr>
          <w:rStyle w:val="FootnoteReference"/>
          <w:sz w:val="18"/>
          <w:szCs w:val="18"/>
          <w:lang w:val="en-IE"/>
        </w:rPr>
        <w:footnoteRef/>
      </w:r>
      <w:r>
        <w:tab/>
      </w:r>
      <w:r>
        <w:rPr>
          <w:sz w:val="18"/>
        </w:rPr>
        <w:t>Arrêt rendu dans l’affaire Zver/Commission, T-235/24, op. cit., points 96 à 98 et 103 à 107.</w:t>
      </w:r>
    </w:p>
  </w:footnote>
  <w:footnote w:id="37">
    <w:p w14:paraId="05418D73" w14:textId="1894302D" w:rsidR="00F1333D" w:rsidRPr="00324B5E" w:rsidRDefault="00F1333D" w:rsidP="004F2FDA">
      <w:pPr>
        <w:pStyle w:val="FootnoteText"/>
        <w:ind w:left="284" w:hanging="284"/>
        <w:rPr>
          <w:iCs/>
          <w:sz w:val="18"/>
          <w:szCs w:val="18"/>
        </w:rPr>
      </w:pPr>
      <w:r>
        <w:rPr>
          <w:rStyle w:val="FootnoteReference"/>
          <w:sz w:val="18"/>
          <w:szCs w:val="18"/>
          <w:lang w:val="en-IE"/>
        </w:rPr>
        <w:footnoteRef/>
      </w:r>
      <w:r>
        <w:tab/>
      </w:r>
      <w:r>
        <w:rPr>
          <w:sz w:val="18"/>
        </w:rPr>
        <w:t>Arrêt rendu dans l’affaire eClear/Commission, T-127/23, op. cit., points 46 à 48, 76, 77, 101 et 102.</w:t>
      </w:r>
    </w:p>
  </w:footnote>
  <w:footnote w:id="38">
    <w:p w14:paraId="21513CA5" w14:textId="5B2A8686" w:rsidR="00F1333D" w:rsidRPr="00324B5E" w:rsidRDefault="00F1333D" w:rsidP="004F2FDA">
      <w:pPr>
        <w:pStyle w:val="FootnoteText"/>
        <w:ind w:left="284" w:hanging="284"/>
        <w:rPr>
          <w:iCs/>
          <w:sz w:val="18"/>
          <w:szCs w:val="18"/>
        </w:rPr>
      </w:pPr>
      <w:r>
        <w:rPr>
          <w:rStyle w:val="FootnoteReference"/>
          <w:sz w:val="18"/>
          <w:szCs w:val="18"/>
          <w:lang w:val="en-IE"/>
        </w:rPr>
        <w:footnoteRef/>
      </w:r>
      <w:r>
        <w:tab/>
      </w:r>
      <w:r>
        <w:rPr>
          <w:sz w:val="18"/>
        </w:rPr>
        <w:t>Arrêt rendu dans l’affaire Stevi et The New York Times/Commission, T-36/23, op. cit., points 38 à 41, 45 à 48, 57 à 60, 67, 68, 72, 73, 79 et 81 à 85.</w:t>
      </w:r>
    </w:p>
  </w:footnote>
  <w:footnote w:id="39">
    <w:p w14:paraId="2FE44E93" w14:textId="511D798D" w:rsidR="000E305A" w:rsidRPr="0041312C" w:rsidRDefault="000E305A" w:rsidP="004F2FDA">
      <w:pPr>
        <w:pStyle w:val="FootnoteText"/>
        <w:ind w:left="284" w:hanging="284"/>
        <w:rPr>
          <w:iCs/>
          <w:sz w:val="18"/>
          <w:szCs w:val="18"/>
        </w:rPr>
      </w:pPr>
      <w:r>
        <w:rPr>
          <w:rStyle w:val="FootnoteReference"/>
          <w:sz w:val="18"/>
          <w:szCs w:val="18"/>
          <w:lang w:val="en-IE"/>
        </w:rPr>
        <w:footnoteRef/>
      </w:r>
      <w:r>
        <w:tab/>
      </w:r>
      <w:r>
        <w:rPr>
          <w:sz w:val="18"/>
        </w:rPr>
        <w:t>Arrêt rendu dans l’affaire Smart Kid/Commission, T-337/24, op. cit., points 33 à 37.</w:t>
      </w:r>
    </w:p>
  </w:footnote>
  <w:footnote w:id="40">
    <w:p w14:paraId="3C17255D" w14:textId="3BAC6147" w:rsidR="00780D09" w:rsidRPr="0035691F" w:rsidRDefault="00780D09" w:rsidP="004F2FDA">
      <w:pPr>
        <w:pStyle w:val="FootnoteText"/>
        <w:ind w:left="284" w:hanging="284"/>
        <w:rPr>
          <w:sz w:val="18"/>
          <w:szCs w:val="18"/>
        </w:rPr>
      </w:pPr>
      <w:r>
        <w:rPr>
          <w:rStyle w:val="FootnoteReference"/>
          <w:sz w:val="18"/>
          <w:szCs w:val="18"/>
          <w:lang w:val="en-IE"/>
        </w:rPr>
        <w:footnoteRef/>
      </w:r>
      <w:r>
        <w:tab/>
      </w:r>
      <w:r>
        <w:rPr>
          <w:sz w:val="18"/>
        </w:rPr>
        <w:t>Affaires Public.Resource.Org et Right to Know/Commission, T-53/25; APEDA et O’Connor/Commission, T-70/25, op. cit.; WS/Commission, T-90/25; Rizza/Commission, T-118/25, op. cit.; Nouwen/Commission, T-132/25; De Capitani e.a./Commission, T-146/25; Rizza/Commission, T-205/25; Galić/Commission, T-276/25; Onescu/OLAF, T-299/25, op. cit.; Pakistan et Altius/Commission, T-360/25; Wölken/Commission, T-483/25; Access Info Europe/Commission, T-507/25; Mowi Poland/Commission, T-567/25; De Capitani/Commission, T-621/25; ClientEarth/Commission, T-641/25; Wölken/Commission, T-662/25; ClientEarth/Commission, T-738/25; et Wölken/Commission, T-784/25.</w:t>
      </w:r>
    </w:p>
  </w:footnote>
  <w:footnote w:id="41">
    <w:p w14:paraId="5F0130BB" w14:textId="6B3F3562" w:rsidR="00780D09" w:rsidRPr="00637BC3" w:rsidRDefault="00780D09" w:rsidP="004F2FDA">
      <w:pPr>
        <w:pStyle w:val="FootnoteText"/>
        <w:ind w:left="284" w:hanging="284"/>
        <w:rPr>
          <w:sz w:val="18"/>
          <w:szCs w:val="18"/>
        </w:rPr>
      </w:pPr>
      <w:r>
        <w:rPr>
          <w:rStyle w:val="FootnoteReference"/>
          <w:sz w:val="18"/>
          <w:szCs w:val="18"/>
          <w:lang w:val="en-IE"/>
        </w:rPr>
        <w:footnoteRef/>
      </w:r>
      <w:r>
        <w:tab/>
      </w:r>
      <w:r>
        <w:rPr>
          <w:sz w:val="18"/>
        </w:rPr>
        <w:t>Affaires APEDA et O’Connor/Commission, T-70/25, op. cit.; Rizza/Commission, T-118/25, op. cit.; et Onescu/OLAF, T-299/25, op. cit.</w:t>
      </w:r>
    </w:p>
  </w:footnote>
  <w:footnote w:id="42">
    <w:p w14:paraId="4F1C60E3" w14:textId="7A071FCE" w:rsidR="009B2E80" w:rsidRPr="006E7CC6" w:rsidRDefault="009B2E80" w:rsidP="004F2FDA">
      <w:pPr>
        <w:pStyle w:val="FootnoteText"/>
        <w:ind w:left="284" w:hanging="284"/>
        <w:rPr>
          <w:sz w:val="18"/>
          <w:szCs w:val="18"/>
        </w:rPr>
      </w:pPr>
      <w:r>
        <w:rPr>
          <w:rStyle w:val="FootnoteReference"/>
          <w:sz w:val="18"/>
          <w:szCs w:val="18"/>
          <w:lang w:val="en-IE"/>
        </w:rPr>
        <w:footnoteRef/>
      </w:r>
      <w:r>
        <w:tab/>
      </w:r>
      <w:r>
        <w:rPr>
          <w:sz w:val="18"/>
        </w:rPr>
        <w:t>Affaire Molitorisová/Commission, C-396/25 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F76F6" w14:textId="77777777" w:rsidR="00CC6FA5" w:rsidRPr="00CC6FA5" w:rsidRDefault="00CC6FA5" w:rsidP="00CC6FA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BD9CA" w14:textId="77777777" w:rsidR="00CC6FA5" w:rsidRPr="00CC6FA5" w:rsidRDefault="00CC6FA5" w:rsidP="00CC6FA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627EA" w14:textId="77777777" w:rsidR="00CC6FA5" w:rsidRPr="00CC6FA5" w:rsidRDefault="00CC6FA5" w:rsidP="00CC6FA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EE115" w14:textId="77777777" w:rsidR="008B0271" w:rsidRDefault="008B02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85DB8" w14:textId="77777777" w:rsidR="008B0271" w:rsidRDefault="008B02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D2DBA" w14:textId="77777777" w:rsidR="008B0271" w:rsidRDefault="008B0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679B2"/>
    <w:multiLevelType w:val="hybridMultilevel"/>
    <w:tmpl w:val="CC3E0390"/>
    <w:lvl w:ilvl="0" w:tplc="819A67D0">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3339429C"/>
    <w:multiLevelType w:val="hybridMultilevel"/>
    <w:tmpl w:val="33163204"/>
    <w:lvl w:ilvl="0" w:tplc="819A67D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5C26F71"/>
    <w:multiLevelType w:val="multilevel"/>
    <w:tmpl w:val="DAFEFAF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2"/>
    <w:lvlOverride w:ilvl="0">
      <w:lvl w:ilvl="0">
        <w:start w:val="1"/>
        <w:numFmt w:val="decimal"/>
        <w:lvlRestart w:val="0"/>
        <w:pStyle w:val="Heading1"/>
        <w:lvlText w:val="%1."/>
        <w:lvlJc w:val="left"/>
        <w:pPr>
          <w:tabs>
            <w:tab w:val="num" w:pos="850"/>
          </w:tabs>
          <w:ind w:left="850" w:hanging="850"/>
        </w:pPr>
        <w:rPr>
          <w:rFonts w:hint="default"/>
        </w:rPr>
      </w:lvl>
    </w:lvlOverride>
    <w:lvlOverride w:ilvl="1">
      <w:lvl w:ilvl="1">
        <w:start w:val="1"/>
        <w:numFmt w:val="decimal"/>
        <w:pStyle w:val="Heading2"/>
        <w:lvlText w:val="%1.%2."/>
        <w:lvlJc w:val="left"/>
        <w:pPr>
          <w:tabs>
            <w:tab w:val="num" w:pos="850"/>
          </w:tabs>
          <w:ind w:left="850" w:hanging="623"/>
        </w:pPr>
        <w:rPr>
          <w:rFonts w:hint="default"/>
          <w:b w:val="0"/>
          <w:color w:val="auto"/>
        </w:rPr>
      </w:lvl>
    </w:lvlOverride>
    <w:lvlOverride w:ilvl="2">
      <w:lvl w:ilvl="2">
        <w:start w:val="1"/>
        <w:numFmt w:val="decimal"/>
        <w:pStyle w:val="Heading3"/>
        <w:lvlText w:val="%1.%2.%3."/>
        <w:lvlJc w:val="left"/>
        <w:pPr>
          <w:tabs>
            <w:tab w:val="num" w:pos="850"/>
          </w:tabs>
          <w:ind w:left="850" w:hanging="850"/>
        </w:pPr>
        <w:rPr>
          <w:rFonts w:hint="default"/>
        </w:rPr>
      </w:lvl>
    </w:lvlOverride>
    <w:lvlOverride w:ilvl="3">
      <w:lvl w:ilvl="3">
        <w:start w:val="1"/>
        <w:numFmt w:val="decimal"/>
        <w:pStyle w:val="Heading4"/>
        <w:lvlText w:val="%1.%2.%3.%4."/>
        <w:lvlJc w:val="left"/>
        <w:pPr>
          <w:tabs>
            <w:tab w:val="num" w:pos="850"/>
          </w:tabs>
          <w:ind w:left="850" w:hanging="85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4D999B6C-1C3E-40A9-B9C0-1937436E06E4"/>
    <w:docVar w:name="LW_COVERPAGE_TYPE" w:val="1"/>
    <w:docVar w:name="LW_CROSSREFERENCE" w:val="&lt;UNUSED&gt;"/>
    <w:docVar w:name="LW_DATE.ADOPT.CP_ISODATE" w:val="&lt;EMPTY&gt;"/>
    <w:docVar w:name="LW_DocType" w:val="NORMAL"/>
    <w:docVar w:name="LW_EMISSION" w:val="11.6.2026"/>
    <w:docVar w:name="LW_EMISSION_ISODATE" w:val="2026-06-11"/>
    <w:docVar w:name="LW_EMISSION_LOCATION" w:val="BRX"/>
    <w:docVar w:name="LW_EMISSION_PREFIX" w:val="Bruxelles, le "/>
    <w:docVar w:name="LW_EMISSION_SUFFIX" w:val=" "/>
    <w:docVar w:name="LW_ID_DOCTYPE_NONLW" w:val="CP-003"/>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application en 2025 du règlement (CE) nº1049/2001 relatif à l\u8217?accès du public aux documents du Parlement européen, du Conseil et de la Commission_x000b_"/>
    <w:docVar w:name="LW_TYPE.DOC.CP" w:val="RAPPORT DE LA COMMISSION"/>
    <w:docVar w:name="LW_TYPEACTEPRINCIPAL.CP" w:val="&lt;UNUSED&gt;"/>
    <w:docVar w:name="LwApiVersions" w:val="LW4CoDe 1.24.5.0; LW 9.2, Build 20251112"/>
  </w:docVars>
  <w:rsids>
    <w:rsidRoot w:val="00B9074F"/>
    <w:rsid w:val="00002FEC"/>
    <w:rsid w:val="00004AAB"/>
    <w:rsid w:val="00011693"/>
    <w:rsid w:val="00011E1A"/>
    <w:rsid w:val="00017D9C"/>
    <w:rsid w:val="000215A2"/>
    <w:rsid w:val="00021885"/>
    <w:rsid w:val="00021922"/>
    <w:rsid w:val="00026824"/>
    <w:rsid w:val="0003769D"/>
    <w:rsid w:val="00040084"/>
    <w:rsid w:val="00040E12"/>
    <w:rsid w:val="00042707"/>
    <w:rsid w:val="00045106"/>
    <w:rsid w:val="000508A9"/>
    <w:rsid w:val="00056053"/>
    <w:rsid w:val="00056831"/>
    <w:rsid w:val="0005774F"/>
    <w:rsid w:val="00063527"/>
    <w:rsid w:val="00064C56"/>
    <w:rsid w:val="00065832"/>
    <w:rsid w:val="0006611F"/>
    <w:rsid w:val="000830EA"/>
    <w:rsid w:val="00083819"/>
    <w:rsid w:val="00084E37"/>
    <w:rsid w:val="000872D4"/>
    <w:rsid w:val="00087727"/>
    <w:rsid w:val="00091E91"/>
    <w:rsid w:val="000937A8"/>
    <w:rsid w:val="0009420E"/>
    <w:rsid w:val="00096BCE"/>
    <w:rsid w:val="000A2274"/>
    <w:rsid w:val="000A44FE"/>
    <w:rsid w:val="000A51BC"/>
    <w:rsid w:val="000A54E0"/>
    <w:rsid w:val="000A7102"/>
    <w:rsid w:val="000B0D67"/>
    <w:rsid w:val="000B20B8"/>
    <w:rsid w:val="000B2601"/>
    <w:rsid w:val="000B3482"/>
    <w:rsid w:val="000B6111"/>
    <w:rsid w:val="000C503F"/>
    <w:rsid w:val="000C5B2A"/>
    <w:rsid w:val="000C7680"/>
    <w:rsid w:val="000D7F0F"/>
    <w:rsid w:val="000E05B6"/>
    <w:rsid w:val="000E1A0F"/>
    <w:rsid w:val="000E305A"/>
    <w:rsid w:val="000E3696"/>
    <w:rsid w:val="000E5C44"/>
    <w:rsid w:val="000E7B5B"/>
    <w:rsid w:val="000F03A4"/>
    <w:rsid w:val="001046F8"/>
    <w:rsid w:val="001059C7"/>
    <w:rsid w:val="00106938"/>
    <w:rsid w:val="00107AE2"/>
    <w:rsid w:val="001173D9"/>
    <w:rsid w:val="001175A4"/>
    <w:rsid w:val="00123AE3"/>
    <w:rsid w:val="00127596"/>
    <w:rsid w:val="001300B2"/>
    <w:rsid w:val="0013572C"/>
    <w:rsid w:val="00137F92"/>
    <w:rsid w:val="00140EE0"/>
    <w:rsid w:val="00142CBD"/>
    <w:rsid w:val="00151933"/>
    <w:rsid w:val="0015478D"/>
    <w:rsid w:val="00154805"/>
    <w:rsid w:val="0015678E"/>
    <w:rsid w:val="00157984"/>
    <w:rsid w:val="00157A96"/>
    <w:rsid w:val="00161CCA"/>
    <w:rsid w:val="00162A37"/>
    <w:rsid w:val="00166632"/>
    <w:rsid w:val="00167523"/>
    <w:rsid w:val="00171DB6"/>
    <w:rsid w:val="00173567"/>
    <w:rsid w:val="00175379"/>
    <w:rsid w:val="00176481"/>
    <w:rsid w:val="00182688"/>
    <w:rsid w:val="00182777"/>
    <w:rsid w:val="0018307F"/>
    <w:rsid w:val="00184461"/>
    <w:rsid w:val="00186E09"/>
    <w:rsid w:val="001919A6"/>
    <w:rsid w:val="001A112D"/>
    <w:rsid w:val="001A6595"/>
    <w:rsid w:val="001B0CE0"/>
    <w:rsid w:val="001B1DF5"/>
    <w:rsid w:val="001B20D5"/>
    <w:rsid w:val="001B3B01"/>
    <w:rsid w:val="001B59F8"/>
    <w:rsid w:val="001C2572"/>
    <w:rsid w:val="001C4163"/>
    <w:rsid w:val="001C4323"/>
    <w:rsid w:val="001C654F"/>
    <w:rsid w:val="001C67B6"/>
    <w:rsid w:val="001C7A10"/>
    <w:rsid w:val="001D61D1"/>
    <w:rsid w:val="001E0FAD"/>
    <w:rsid w:val="001E5EFE"/>
    <w:rsid w:val="001F211B"/>
    <w:rsid w:val="001F5C11"/>
    <w:rsid w:val="001F630D"/>
    <w:rsid w:val="001F681A"/>
    <w:rsid w:val="001F71EA"/>
    <w:rsid w:val="001F775E"/>
    <w:rsid w:val="00201164"/>
    <w:rsid w:val="00201C72"/>
    <w:rsid w:val="00207D61"/>
    <w:rsid w:val="00211720"/>
    <w:rsid w:val="00214C23"/>
    <w:rsid w:val="002163C2"/>
    <w:rsid w:val="00216945"/>
    <w:rsid w:val="002202DA"/>
    <w:rsid w:val="00220388"/>
    <w:rsid w:val="00226438"/>
    <w:rsid w:val="0022784F"/>
    <w:rsid w:val="00227E94"/>
    <w:rsid w:val="00231F3D"/>
    <w:rsid w:val="00232F96"/>
    <w:rsid w:val="00235EA7"/>
    <w:rsid w:val="00236422"/>
    <w:rsid w:val="0024241F"/>
    <w:rsid w:val="00244C29"/>
    <w:rsid w:val="0025329E"/>
    <w:rsid w:val="00254044"/>
    <w:rsid w:val="00254DC1"/>
    <w:rsid w:val="00262104"/>
    <w:rsid w:val="00267E5E"/>
    <w:rsid w:val="00270012"/>
    <w:rsid w:val="002701B7"/>
    <w:rsid w:val="002723F6"/>
    <w:rsid w:val="00280C1C"/>
    <w:rsid w:val="00283498"/>
    <w:rsid w:val="0028725F"/>
    <w:rsid w:val="00295AB6"/>
    <w:rsid w:val="00296C56"/>
    <w:rsid w:val="002A0005"/>
    <w:rsid w:val="002A061A"/>
    <w:rsid w:val="002A4FC6"/>
    <w:rsid w:val="002B39A5"/>
    <w:rsid w:val="002B60A5"/>
    <w:rsid w:val="002C1BCB"/>
    <w:rsid w:val="002C20C6"/>
    <w:rsid w:val="002C5C35"/>
    <w:rsid w:val="002D4CD9"/>
    <w:rsid w:val="002D5AD8"/>
    <w:rsid w:val="002D748E"/>
    <w:rsid w:val="002E0900"/>
    <w:rsid w:val="002F0A8B"/>
    <w:rsid w:val="002F49CE"/>
    <w:rsid w:val="002F65D7"/>
    <w:rsid w:val="002F78B9"/>
    <w:rsid w:val="00302ADB"/>
    <w:rsid w:val="00303027"/>
    <w:rsid w:val="00303559"/>
    <w:rsid w:val="003049A9"/>
    <w:rsid w:val="00306AAB"/>
    <w:rsid w:val="0031689E"/>
    <w:rsid w:val="00316CBC"/>
    <w:rsid w:val="00317EF9"/>
    <w:rsid w:val="003224BE"/>
    <w:rsid w:val="00324B5E"/>
    <w:rsid w:val="003257AC"/>
    <w:rsid w:val="00327FCA"/>
    <w:rsid w:val="00330283"/>
    <w:rsid w:val="00332567"/>
    <w:rsid w:val="00336852"/>
    <w:rsid w:val="00340974"/>
    <w:rsid w:val="00345D7B"/>
    <w:rsid w:val="00350093"/>
    <w:rsid w:val="00350EC4"/>
    <w:rsid w:val="00352DDC"/>
    <w:rsid w:val="0035691F"/>
    <w:rsid w:val="00356FAB"/>
    <w:rsid w:val="0036758A"/>
    <w:rsid w:val="00373E7F"/>
    <w:rsid w:val="00374C18"/>
    <w:rsid w:val="00376E46"/>
    <w:rsid w:val="0038342D"/>
    <w:rsid w:val="00385513"/>
    <w:rsid w:val="00387958"/>
    <w:rsid w:val="0039203C"/>
    <w:rsid w:val="00392DFD"/>
    <w:rsid w:val="00393733"/>
    <w:rsid w:val="00395B02"/>
    <w:rsid w:val="003A2545"/>
    <w:rsid w:val="003A3949"/>
    <w:rsid w:val="003A49B8"/>
    <w:rsid w:val="003A7CEC"/>
    <w:rsid w:val="003B5A9B"/>
    <w:rsid w:val="003B5BB4"/>
    <w:rsid w:val="003B5DD0"/>
    <w:rsid w:val="003B7D25"/>
    <w:rsid w:val="003C1AB6"/>
    <w:rsid w:val="003C4CA0"/>
    <w:rsid w:val="003D315B"/>
    <w:rsid w:val="003D5BBC"/>
    <w:rsid w:val="003E35DD"/>
    <w:rsid w:val="003E6FAC"/>
    <w:rsid w:val="003E7895"/>
    <w:rsid w:val="003F1431"/>
    <w:rsid w:val="003F16BA"/>
    <w:rsid w:val="003F62A3"/>
    <w:rsid w:val="004013D8"/>
    <w:rsid w:val="004015AE"/>
    <w:rsid w:val="00401976"/>
    <w:rsid w:val="00401FA2"/>
    <w:rsid w:val="00402EF7"/>
    <w:rsid w:val="00405B92"/>
    <w:rsid w:val="0041039E"/>
    <w:rsid w:val="0041312C"/>
    <w:rsid w:val="00414020"/>
    <w:rsid w:val="00422515"/>
    <w:rsid w:val="004237FF"/>
    <w:rsid w:val="004260B3"/>
    <w:rsid w:val="004261FE"/>
    <w:rsid w:val="00430352"/>
    <w:rsid w:val="0043620A"/>
    <w:rsid w:val="0043706D"/>
    <w:rsid w:val="00440636"/>
    <w:rsid w:val="00441D8E"/>
    <w:rsid w:val="00441ECA"/>
    <w:rsid w:val="00447FC6"/>
    <w:rsid w:val="0045168C"/>
    <w:rsid w:val="0045327F"/>
    <w:rsid w:val="00455B32"/>
    <w:rsid w:val="00455BF8"/>
    <w:rsid w:val="004621E3"/>
    <w:rsid w:val="00462345"/>
    <w:rsid w:val="00462D84"/>
    <w:rsid w:val="004663BF"/>
    <w:rsid w:val="00484E8A"/>
    <w:rsid w:val="00487BF7"/>
    <w:rsid w:val="00491DA6"/>
    <w:rsid w:val="004A12F7"/>
    <w:rsid w:val="004A532F"/>
    <w:rsid w:val="004B75CA"/>
    <w:rsid w:val="004C1792"/>
    <w:rsid w:val="004C3F67"/>
    <w:rsid w:val="004C7874"/>
    <w:rsid w:val="004D615B"/>
    <w:rsid w:val="004E0C1E"/>
    <w:rsid w:val="004E23C5"/>
    <w:rsid w:val="004E512F"/>
    <w:rsid w:val="004F19A0"/>
    <w:rsid w:val="004F2FDA"/>
    <w:rsid w:val="004F3934"/>
    <w:rsid w:val="004F532F"/>
    <w:rsid w:val="004F561C"/>
    <w:rsid w:val="004F65C5"/>
    <w:rsid w:val="005003CB"/>
    <w:rsid w:val="00503D35"/>
    <w:rsid w:val="005129DE"/>
    <w:rsid w:val="005136D7"/>
    <w:rsid w:val="0051494B"/>
    <w:rsid w:val="0051655E"/>
    <w:rsid w:val="0052200A"/>
    <w:rsid w:val="00525991"/>
    <w:rsid w:val="0052699D"/>
    <w:rsid w:val="005300CF"/>
    <w:rsid w:val="00535349"/>
    <w:rsid w:val="0053790D"/>
    <w:rsid w:val="005409C0"/>
    <w:rsid w:val="005434B6"/>
    <w:rsid w:val="0054559D"/>
    <w:rsid w:val="005500BC"/>
    <w:rsid w:val="00553A0A"/>
    <w:rsid w:val="00553C96"/>
    <w:rsid w:val="00560494"/>
    <w:rsid w:val="00572C92"/>
    <w:rsid w:val="00580FDD"/>
    <w:rsid w:val="005838EC"/>
    <w:rsid w:val="0059128F"/>
    <w:rsid w:val="00591EAB"/>
    <w:rsid w:val="00592C57"/>
    <w:rsid w:val="00593A63"/>
    <w:rsid w:val="00594326"/>
    <w:rsid w:val="005A4686"/>
    <w:rsid w:val="005A4D3E"/>
    <w:rsid w:val="005A4F96"/>
    <w:rsid w:val="005A5478"/>
    <w:rsid w:val="005A586A"/>
    <w:rsid w:val="005B58E5"/>
    <w:rsid w:val="005B74DC"/>
    <w:rsid w:val="005C1977"/>
    <w:rsid w:val="005D0F15"/>
    <w:rsid w:val="005D2FA0"/>
    <w:rsid w:val="005D6658"/>
    <w:rsid w:val="005E2753"/>
    <w:rsid w:val="005E35BF"/>
    <w:rsid w:val="005E767C"/>
    <w:rsid w:val="005F0214"/>
    <w:rsid w:val="005F445C"/>
    <w:rsid w:val="00602B64"/>
    <w:rsid w:val="006049D3"/>
    <w:rsid w:val="00605E23"/>
    <w:rsid w:val="00606BF1"/>
    <w:rsid w:val="00610819"/>
    <w:rsid w:val="006145B5"/>
    <w:rsid w:val="006156DA"/>
    <w:rsid w:val="006161D3"/>
    <w:rsid w:val="006176E4"/>
    <w:rsid w:val="00623C70"/>
    <w:rsid w:val="00626934"/>
    <w:rsid w:val="00627A63"/>
    <w:rsid w:val="00627BC0"/>
    <w:rsid w:val="006313F9"/>
    <w:rsid w:val="006363EB"/>
    <w:rsid w:val="00636E0B"/>
    <w:rsid w:val="00637BC3"/>
    <w:rsid w:val="00643B8B"/>
    <w:rsid w:val="006456F2"/>
    <w:rsid w:val="0065196C"/>
    <w:rsid w:val="00651B11"/>
    <w:rsid w:val="006548B0"/>
    <w:rsid w:val="006561AD"/>
    <w:rsid w:val="006664DA"/>
    <w:rsid w:val="00675A68"/>
    <w:rsid w:val="006761C5"/>
    <w:rsid w:val="00690566"/>
    <w:rsid w:val="00690E04"/>
    <w:rsid w:val="006977C8"/>
    <w:rsid w:val="00697B0A"/>
    <w:rsid w:val="006A16C1"/>
    <w:rsid w:val="006A539B"/>
    <w:rsid w:val="006A5B39"/>
    <w:rsid w:val="006A6810"/>
    <w:rsid w:val="006A7758"/>
    <w:rsid w:val="006B00D1"/>
    <w:rsid w:val="006B0D04"/>
    <w:rsid w:val="006B2FCD"/>
    <w:rsid w:val="006B56F2"/>
    <w:rsid w:val="006C1D6D"/>
    <w:rsid w:val="006C7514"/>
    <w:rsid w:val="006D46CC"/>
    <w:rsid w:val="006E17BC"/>
    <w:rsid w:val="006E6835"/>
    <w:rsid w:val="006E7CC6"/>
    <w:rsid w:val="006F25AC"/>
    <w:rsid w:val="006F44C8"/>
    <w:rsid w:val="006F4621"/>
    <w:rsid w:val="006F4DDF"/>
    <w:rsid w:val="006F56D2"/>
    <w:rsid w:val="00700D54"/>
    <w:rsid w:val="007025E7"/>
    <w:rsid w:val="00703297"/>
    <w:rsid w:val="00703F6A"/>
    <w:rsid w:val="007052C7"/>
    <w:rsid w:val="00707368"/>
    <w:rsid w:val="00713AE1"/>
    <w:rsid w:val="0072346F"/>
    <w:rsid w:val="00724DF7"/>
    <w:rsid w:val="00727AD9"/>
    <w:rsid w:val="00730357"/>
    <w:rsid w:val="00731B64"/>
    <w:rsid w:val="00734602"/>
    <w:rsid w:val="007350D6"/>
    <w:rsid w:val="0073682B"/>
    <w:rsid w:val="00737571"/>
    <w:rsid w:val="007414F1"/>
    <w:rsid w:val="00742A2A"/>
    <w:rsid w:val="00744A7F"/>
    <w:rsid w:val="00745A6D"/>
    <w:rsid w:val="00746C2C"/>
    <w:rsid w:val="00747D85"/>
    <w:rsid w:val="00750A05"/>
    <w:rsid w:val="007541A8"/>
    <w:rsid w:val="00754FC3"/>
    <w:rsid w:val="00755EB1"/>
    <w:rsid w:val="007560DF"/>
    <w:rsid w:val="00761FA9"/>
    <w:rsid w:val="0076370F"/>
    <w:rsid w:val="007670A6"/>
    <w:rsid w:val="007710A7"/>
    <w:rsid w:val="0077225B"/>
    <w:rsid w:val="00775621"/>
    <w:rsid w:val="00777179"/>
    <w:rsid w:val="00777FF5"/>
    <w:rsid w:val="00780D09"/>
    <w:rsid w:val="0078170E"/>
    <w:rsid w:val="00783BCA"/>
    <w:rsid w:val="00785125"/>
    <w:rsid w:val="0078789F"/>
    <w:rsid w:val="00792FF4"/>
    <w:rsid w:val="007938AE"/>
    <w:rsid w:val="00796F2E"/>
    <w:rsid w:val="007A04DE"/>
    <w:rsid w:val="007A1C9B"/>
    <w:rsid w:val="007A222C"/>
    <w:rsid w:val="007A622F"/>
    <w:rsid w:val="007A6CC1"/>
    <w:rsid w:val="007B4F25"/>
    <w:rsid w:val="007B7B28"/>
    <w:rsid w:val="007B7B92"/>
    <w:rsid w:val="007C3238"/>
    <w:rsid w:val="007D078B"/>
    <w:rsid w:val="007D32EF"/>
    <w:rsid w:val="007D36D3"/>
    <w:rsid w:val="007D60B6"/>
    <w:rsid w:val="007D66D7"/>
    <w:rsid w:val="007E425E"/>
    <w:rsid w:val="007F13C3"/>
    <w:rsid w:val="007F1D75"/>
    <w:rsid w:val="007F348C"/>
    <w:rsid w:val="007F42D2"/>
    <w:rsid w:val="007F5868"/>
    <w:rsid w:val="0080054E"/>
    <w:rsid w:val="00804A3E"/>
    <w:rsid w:val="00810310"/>
    <w:rsid w:val="00816CCB"/>
    <w:rsid w:val="00816DF4"/>
    <w:rsid w:val="00817E29"/>
    <w:rsid w:val="0082144C"/>
    <w:rsid w:val="00823153"/>
    <w:rsid w:val="00826446"/>
    <w:rsid w:val="00836450"/>
    <w:rsid w:val="00852F30"/>
    <w:rsid w:val="00856EA6"/>
    <w:rsid w:val="00857E34"/>
    <w:rsid w:val="0086142B"/>
    <w:rsid w:val="008627DC"/>
    <w:rsid w:val="008645FF"/>
    <w:rsid w:val="0087030B"/>
    <w:rsid w:val="008711AC"/>
    <w:rsid w:val="008773D8"/>
    <w:rsid w:val="008860E4"/>
    <w:rsid w:val="00887011"/>
    <w:rsid w:val="00893112"/>
    <w:rsid w:val="00896231"/>
    <w:rsid w:val="00896EC3"/>
    <w:rsid w:val="00897A53"/>
    <w:rsid w:val="008A2CB7"/>
    <w:rsid w:val="008A5A3E"/>
    <w:rsid w:val="008A6A35"/>
    <w:rsid w:val="008B0271"/>
    <w:rsid w:val="008B429D"/>
    <w:rsid w:val="008B4402"/>
    <w:rsid w:val="008B63E9"/>
    <w:rsid w:val="008D0DBC"/>
    <w:rsid w:val="008D1A24"/>
    <w:rsid w:val="008D60F1"/>
    <w:rsid w:val="008D6599"/>
    <w:rsid w:val="008E4BB5"/>
    <w:rsid w:val="00900D40"/>
    <w:rsid w:val="00901B23"/>
    <w:rsid w:val="00903996"/>
    <w:rsid w:val="0090420F"/>
    <w:rsid w:val="00905E8A"/>
    <w:rsid w:val="00907C27"/>
    <w:rsid w:val="009105A6"/>
    <w:rsid w:val="00912EF8"/>
    <w:rsid w:val="00916A34"/>
    <w:rsid w:val="0092184E"/>
    <w:rsid w:val="00921EEE"/>
    <w:rsid w:val="0092367B"/>
    <w:rsid w:val="009261A2"/>
    <w:rsid w:val="00926ACA"/>
    <w:rsid w:val="00931055"/>
    <w:rsid w:val="00936DA4"/>
    <w:rsid w:val="00937B37"/>
    <w:rsid w:val="00940144"/>
    <w:rsid w:val="00943EA4"/>
    <w:rsid w:val="00944E39"/>
    <w:rsid w:val="00952101"/>
    <w:rsid w:val="009543DF"/>
    <w:rsid w:val="009602BC"/>
    <w:rsid w:val="0096030C"/>
    <w:rsid w:val="00967270"/>
    <w:rsid w:val="00970FEC"/>
    <w:rsid w:val="0097416D"/>
    <w:rsid w:val="00977980"/>
    <w:rsid w:val="00980B2A"/>
    <w:rsid w:val="00980DC2"/>
    <w:rsid w:val="00983054"/>
    <w:rsid w:val="00983A12"/>
    <w:rsid w:val="00983C66"/>
    <w:rsid w:val="00984143"/>
    <w:rsid w:val="00984485"/>
    <w:rsid w:val="009912B3"/>
    <w:rsid w:val="00996CEA"/>
    <w:rsid w:val="009A2C17"/>
    <w:rsid w:val="009B2E80"/>
    <w:rsid w:val="009B4FA4"/>
    <w:rsid w:val="009B4FB4"/>
    <w:rsid w:val="009D0174"/>
    <w:rsid w:val="009D0660"/>
    <w:rsid w:val="009D08B0"/>
    <w:rsid w:val="009D4176"/>
    <w:rsid w:val="009D69DC"/>
    <w:rsid w:val="009F0B8F"/>
    <w:rsid w:val="009F5051"/>
    <w:rsid w:val="00A013B6"/>
    <w:rsid w:val="00A017DC"/>
    <w:rsid w:val="00A03B93"/>
    <w:rsid w:val="00A0553F"/>
    <w:rsid w:val="00A070E6"/>
    <w:rsid w:val="00A11B66"/>
    <w:rsid w:val="00A16B64"/>
    <w:rsid w:val="00A22ABD"/>
    <w:rsid w:val="00A22F4D"/>
    <w:rsid w:val="00A3481D"/>
    <w:rsid w:val="00A43C5B"/>
    <w:rsid w:val="00A44732"/>
    <w:rsid w:val="00A478CA"/>
    <w:rsid w:val="00A54D66"/>
    <w:rsid w:val="00A56BB7"/>
    <w:rsid w:val="00A608C3"/>
    <w:rsid w:val="00A61F8A"/>
    <w:rsid w:val="00A64C71"/>
    <w:rsid w:val="00A705E7"/>
    <w:rsid w:val="00A72E56"/>
    <w:rsid w:val="00A753E8"/>
    <w:rsid w:val="00A80D77"/>
    <w:rsid w:val="00A840F6"/>
    <w:rsid w:val="00A96E15"/>
    <w:rsid w:val="00AA0F05"/>
    <w:rsid w:val="00AA15CE"/>
    <w:rsid w:val="00AA17B1"/>
    <w:rsid w:val="00AA34F8"/>
    <w:rsid w:val="00AA5E76"/>
    <w:rsid w:val="00AB0514"/>
    <w:rsid w:val="00AB4A02"/>
    <w:rsid w:val="00AB5FEE"/>
    <w:rsid w:val="00AB7BE4"/>
    <w:rsid w:val="00AC0100"/>
    <w:rsid w:val="00AC06FA"/>
    <w:rsid w:val="00AC1DE1"/>
    <w:rsid w:val="00AC44FD"/>
    <w:rsid w:val="00AC6878"/>
    <w:rsid w:val="00AD014A"/>
    <w:rsid w:val="00AD03B1"/>
    <w:rsid w:val="00AD1B60"/>
    <w:rsid w:val="00AD5779"/>
    <w:rsid w:val="00AD76A6"/>
    <w:rsid w:val="00AE5408"/>
    <w:rsid w:val="00AF242E"/>
    <w:rsid w:val="00AF2874"/>
    <w:rsid w:val="00AF3291"/>
    <w:rsid w:val="00AF5067"/>
    <w:rsid w:val="00AF582D"/>
    <w:rsid w:val="00AF7A4C"/>
    <w:rsid w:val="00B07EEC"/>
    <w:rsid w:val="00B12EA2"/>
    <w:rsid w:val="00B145BF"/>
    <w:rsid w:val="00B156E7"/>
    <w:rsid w:val="00B167C0"/>
    <w:rsid w:val="00B20F2E"/>
    <w:rsid w:val="00B2144B"/>
    <w:rsid w:val="00B23ED8"/>
    <w:rsid w:val="00B30E77"/>
    <w:rsid w:val="00B36593"/>
    <w:rsid w:val="00B40556"/>
    <w:rsid w:val="00B41886"/>
    <w:rsid w:val="00B52E6E"/>
    <w:rsid w:val="00B54BCB"/>
    <w:rsid w:val="00B60669"/>
    <w:rsid w:val="00B7024A"/>
    <w:rsid w:val="00B77364"/>
    <w:rsid w:val="00B82886"/>
    <w:rsid w:val="00B84BE6"/>
    <w:rsid w:val="00B85485"/>
    <w:rsid w:val="00B86DDA"/>
    <w:rsid w:val="00B9074F"/>
    <w:rsid w:val="00B91319"/>
    <w:rsid w:val="00B917E1"/>
    <w:rsid w:val="00B93935"/>
    <w:rsid w:val="00BA0D6E"/>
    <w:rsid w:val="00BA4D28"/>
    <w:rsid w:val="00BB0D71"/>
    <w:rsid w:val="00BB0F1F"/>
    <w:rsid w:val="00BB1807"/>
    <w:rsid w:val="00BB3A84"/>
    <w:rsid w:val="00BC433A"/>
    <w:rsid w:val="00BC6608"/>
    <w:rsid w:val="00BD1927"/>
    <w:rsid w:val="00BD2A03"/>
    <w:rsid w:val="00BD5701"/>
    <w:rsid w:val="00BD7B2B"/>
    <w:rsid w:val="00BE07C4"/>
    <w:rsid w:val="00BE11A1"/>
    <w:rsid w:val="00BE11BA"/>
    <w:rsid w:val="00BE6490"/>
    <w:rsid w:val="00BF0DF3"/>
    <w:rsid w:val="00BF5208"/>
    <w:rsid w:val="00C048E7"/>
    <w:rsid w:val="00C05976"/>
    <w:rsid w:val="00C06445"/>
    <w:rsid w:val="00C140AF"/>
    <w:rsid w:val="00C20513"/>
    <w:rsid w:val="00C2306F"/>
    <w:rsid w:val="00C25E04"/>
    <w:rsid w:val="00C303FC"/>
    <w:rsid w:val="00C32A5D"/>
    <w:rsid w:val="00C332B2"/>
    <w:rsid w:val="00C3487C"/>
    <w:rsid w:val="00C371F8"/>
    <w:rsid w:val="00C402B3"/>
    <w:rsid w:val="00C42906"/>
    <w:rsid w:val="00C43DBD"/>
    <w:rsid w:val="00C44C46"/>
    <w:rsid w:val="00C529DD"/>
    <w:rsid w:val="00C5606C"/>
    <w:rsid w:val="00C565D5"/>
    <w:rsid w:val="00C57178"/>
    <w:rsid w:val="00C57334"/>
    <w:rsid w:val="00C60E0B"/>
    <w:rsid w:val="00C61612"/>
    <w:rsid w:val="00C62C6E"/>
    <w:rsid w:val="00C64719"/>
    <w:rsid w:val="00C64F74"/>
    <w:rsid w:val="00C677AD"/>
    <w:rsid w:val="00C70546"/>
    <w:rsid w:val="00C727D2"/>
    <w:rsid w:val="00C739E5"/>
    <w:rsid w:val="00C75AA3"/>
    <w:rsid w:val="00C77626"/>
    <w:rsid w:val="00C81CC6"/>
    <w:rsid w:val="00C820D0"/>
    <w:rsid w:val="00C844EB"/>
    <w:rsid w:val="00C845B1"/>
    <w:rsid w:val="00C90595"/>
    <w:rsid w:val="00C91579"/>
    <w:rsid w:val="00C92B80"/>
    <w:rsid w:val="00C9557E"/>
    <w:rsid w:val="00C97EBA"/>
    <w:rsid w:val="00CA15E3"/>
    <w:rsid w:val="00CA2B33"/>
    <w:rsid w:val="00CC07BB"/>
    <w:rsid w:val="00CC55ED"/>
    <w:rsid w:val="00CC6FA5"/>
    <w:rsid w:val="00CC7867"/>
    <w:rsid w:val="00CD0FA7"/>
    <w:rsid w:val="00CD2FF0"/>
    <w:rsid w:val="00CD68DB"/>
    <w:rsid w:val="00CD6F74"/>
    <w:rsid w:val="00CE22EA"/>
    <w:rsid w:val="00CE23C8"/>
    <w:rsid w:val="00CF2E55"/>
    <w:rsid w:val="00CF2E6E"/>
    <w:rsid w:val="00CF4928"/>
    <w:rsid w:val="00D00134"/>
    <w:rsid w:val="00D01304"/>
    <w:rsid w:val="00D078F5"/>
    <w:rsid w:val="00D44EF9"/>
    <w:rsid w:val="00D54E40"/>
    <w:rsid w:val="00D55B5B"/>
    <w:rsid w:val="00D5713B"/>
    <w:rsid w:val="00D57C3C"/>
    <w:rsid w:val="00D60D5B"/>
    <w:rsid w:val="00D61319"/>
    <w:rsid w:val="00D65007"/>
    <w:rsid w:val="00D65B63"/>
    <w:rsid w:val="00D72B09"/>
    <w:rsid w:val="00D74AD2"/>
    <w:rsid w:val="00D74D04"/>
    <w:rsid w:val="00D7627A"/>
    <w:rsid w:val="00D7684A"/>
    <w:rsid w:val="00D8252D"/>
    <w:rsid w:val="00D87E0C"/>
    <w:rsid w:val="00D935FD"/>
    <w:rsid w:val="00DB25F6"/>
    <w:rsid w:val="00DB26A6"/>
    <w:rsid w:val="00DB322F"/>
    <w:rsid w:val="00DB42AB"/>
    <w:rsid w:val="00DB5AB8"/>
    <w:rsid w:val="00DB7D87"/>
    <w:rsid w:val="00DC136E"/>
    <w:rsid w:val="00DC15AC"/>
    <w:rsid w:val="00DC1C0F"/>
    <w:rsid w:val="00DC4F5E"/>
    <w:rsid w:val="00DC6285"/>
    <w:rsid w:val="00DC77C9"/>
    <w:rsid w:val="00DD30FA"/>
    <w:rsid w:val="00DD7C39"/>
    <w:rsid w:val="00DE2DA3"/>
    <w:rsid w:val="00DF015C"/>
    <w:rsid w:val="00DF3F71"/>
    <w:rsid w:val="00DF45F0"/>
    <w:rsid w:val="00DF5788"/>
    <w:rsid w:val="00DF618B"/>
    <w:rsid w:val="00DF63F3"/>
    <w:rsid w:val="00E018E4"/>
    <w:rsid w:val="00E01F23"/>
    <w:rsid w:val="00E068B3"/>
    <w:rsid w:val="00E12D3B"/>
    <w:rsid w:val="00E14206"/>
    <w:rsid w:val="00E14F21"/>
    <w:rsid w:val="00E15D4A"/>
    <w:rsid w:val="00E20A12"/>
    <w:rsid w:val="00E25820"/>
    <w:rsid w:val="00E308E8"/>
    <w:rsid w:val="00E32101"/>
    <w:rsid w:val="00E3588E"/>
    <w:rsid w:val="00E40879"/>
    <w:rsid w:val="00E55259"/>
    <w:rsid w:val="00E56E69"/>
    <w:rsid w:val="00E60D34"/>
    <w:rsid w:val="00E64402"/>
    <w:rsid w:val="00E64C88"/>
    <w:rsid w:val="00E661D7"/>
    <w:rsid w:val="00E673DB"/>
    <w:rsid w:val="00E7722F"/>
    <w:rsid w:val="00E8365A"/>
    <w:rsid w:val="00E86B0B"/>
    <w:rsid w:val="00E92563"/>
    <w:rsid w:val="00EA193F"/>
    <w:rsid w:val="00EA585F"/>
    <w:rsid w:val="00EA7023"/>
    <w:rsid w:val="00EA7E1D"/>
    <w:rsid w:val="00EB1D01"/>
    <w:rsid w:val="00EB5F17"/>
    <w:rsid w:val="00EB670D"/>
    <w:rsid w:val="00EC0333"/>
    <w:rsid w:val="00EC380E"/>
    <w:rsid w:val="00EC4740"/>
    <w:rsid w:val="00EC4A29"/>
    <w:rsid w:val="00EC5E89"/>
    <w:rsid w:val="00EC7A26"/>
    <w:rsid w:val="00ED3AFE"/>
    <w:rsid w:val="00ED6F49"/>
    <w:rsid w:val="00ED71CA"/>
    <w:rsid w:val="00EE2059"/>
    <w:rsid w:val="00EE3B3C"/>
    <w:rsid w:val="00EF0C50"/>
    <w:rsid w:val="00EF3345"/>
    <w:rsid w:val="00EF4451"/>
    <w:rsid w:val="00EF60A7"/>
    <w:rsid w:val="00EF6679"/>
    <w:rsid w:val="00F00C85"/>
    <w:rsid w:val="00F015BA"/>
    <w:rsid w:val="00F015D9"/>
    <w:rsid w:val="00F0505C"/>
    <w:rsid w:val="00F06667"/>
    <w:rsid w:val="00F11B62"/>
    <w:rsid w:val="00F13032"/>
    <w:rsid w:val="00F1333D"/>
    <w:rsid w:val="00F13578"/>
    <w:rsid w:val="00F148C7"/>
    <w:rsid w:val="00F150FC"/>
    <w:rsid w:val="00F22914"/>
    <w:rsid w:val="00F23443"/>
    <w:rsid w:val="00F26FDA"/>
    <w:rsid w:val="00F31E87"/>
    <w:rsid w:val="00F31FD8"/>
    <w:rsid w:val="00F3385C"/>
    <w:rsid w:val="00F3389A"/>
    <w:rsid w:val="00F55338"/>
    <w:rsid w:val="00F5537C"/>
    <w:rsid w:val="00F628D1"/>
    <w:rsid w:val="00F629C1"/>
    <w:rsid w:val="00F63859"/>
    <w:rsid w:val="00F70DE7"/>
    <w:rsid w:val="00F720E5"/>
    <w:rsid w:val="00F925BD"/>
    <w:rsid w:val="00F977D7"/>
    <w:rsid w:val="00FA0B48"/>
    <w:rsid w:val="00FA17CE"/>
    <w:rsid w:val="00FA1839"/>
    <w:rsid w:val="00FA2294"/>
    <w:rsid w:val="00FA312A"/>
    <w:rsid w:val="00FA369D"/>
    <w:rsid w:val="00FA5B25"/>
    <w:rsid w:val="00FB5A88"/>
    <w:rsid w:val="00FB7A0D"/>
    <w:rsid w:val="00FC1C2B"/>
    <w:rsid w:val="00FC4A26"/>
    <w:rsid w:val="00FD041B"/>
    <w:rsid w:val="00FD3A5C"/>
    <w:rsid w:val="00FD6BC2"/>
    <w:rsid w:val="00FE0D20"/>
    <w:rsid w:val="00FE2623"/>
    <w:rsid w:val="00FE3F60"/>
    <w:rsid w:val="00FE5D9B"/>
    <w:rsid w:val="00FE705E"/>
    <w:rsid w:val="00FE7494"/>
    <w:rsid w:val="00FF4967"/>
    <w:rsid w:val="00FF49AE"/>
    <w:rsid w:val="00FF4D5B"/>
    <w:rsid w:val="00FF7026"/>
    <w:rsid w:val="02305E88"/>
    <w:rsid w:val="229B7FB5"/>
    <w:rsid w:val="575867E9"/>
    <w:rsid w:val="752593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137D3"/>
  <w15:chartTrackingRefBased/>
  <w15:docId w15:val="{15CB28A5-C9F3-4885-99CE-2EB4BAC47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E2753"/>
    <w:pPr>
      <w:keepNext/>
      <w:numPr>
        <w:numId w:val="1"/>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Normal"/>
    <w:link w:val="Heading2Char"/>
    <w:qFormat/>
    <w:rsid w:val="005E2753"/>
    <w:pPr>
      <w:keepNext/>
      <w:numPr>
        <w:ilvl w:val="1"/>
        <w:numId w:val="1"/>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qFormat/>
    <w:rsid w:val="005E2753"/>
    <w:pPr>
      <w:keepNext/>
      <w:numPr>
        <w:ilvl w:val="2"/>
        <w:numId w:val="1"/>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Normal"/>
    <w:link w:val="Heading4Char"/>
    <w:qFormat/>
    <w:rsid w:val="005E2753"/>
    <w:pPr>
      <w:keepNext/>
      <w:numPr>
        <w:ilvl w:val="3"/>
        <w:numId w:val="1"/>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9074F"/>
    <w:rPr>
      <w:color w:val="0000FF"/>
      <w:shd w:val="clear" w:color="auto" w:fill="auto"/>
    </w:rPr>
  </w:style>
  <w:style w:type="paragraph" w:styleId="Header">
    <w:name w:val="header"/>
    <w:basedOn w:val="Normal"/>
    <w:link w:val="HeaderChar"/>
    <w:uiPriority w:val="99"/>
    <w:unhideWhenUsed/>
    <w:rsid w:val="00B90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74F"/>
  </w:style>
  <w:style w:type="paragraph" w:styleId="Footer">
    <w:name w:val="footer"/>
    <w:basedOn w:val="Normal"/>
    <w:link w:val="FooterChar"/>
    <w:uiPriority w:val="99"/>
    <w:unhideWhenUsed/>
    <w:rsid w:val="00B90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74F"/>
  </w:style>
  <w:style w:type="paragraph" w:customStyle="1" w:styleId="Pagedecouverture">
    <w:name w:val="Page de couverture"/>
    <w:basedOn w:val="Normal"/>
    <w:next w:val="Normal"/>
    <w:rsid w:val="00B9074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9074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9074F"/>
    <w:rPr>
      <w:rFonts w:ascii="Times New Roman" w:hAnsi="Times New Roman" w:cs="Times New Roman"/>
      <w:sz w:val="24"/>
    </w:rPr>
  </w:style>
  <w:style w:type="paragraph" w:customStyle="1" w:styleId="FooterSensitivity">
    <w:name w:val="Footer Sensitivity"/>
    <w:basedOn w:val="Normal"/>
    <w:link w:val="FooterSensitivityChar"/>
    <w:rsid w:val="00B9074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9074F"/>
    <w:rPr>
      <w:rFonts w:ascii="Times New Roman" w:hAnsi="Times New Roman" w:cs="Times New Roman"/>
      <w:b/>
      <w:sz w:val="32"/>
    </w:rPr>
  </w:style>
  <w:style w:type="paragraph" w:customStyle="1" w:styleId="HeaderCoverPage">
    <w:name w:val="Header Cover Page"/>
    <w:basedOn w:val="Normal"/>
    <w:link w:val="HeaderCoverPageChar"/>
    <w:rsid w:val="00B9074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9074F"/>
    <w:rPr>
      <w:rFonts w:ascii="Times New Roman" w:hAnsi="Times New Roman" w:cs="Times New Roman"/>
      <w:sz w:val="24"/>
    </w:rPr>
  </w:style>
  <w:style w:type="paragraph" w:customStyle="1" w:styleId="HeaderSensitivity">
    <w:name w:val="Header Sensitivity"/>
    <w:basedOn w:val="Normal"/>
    <w:link w:val="HeaderSensitivityChar"/>
    <w:rsid w:val="00B9074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9074F"/>
    <w:rPr>
      <w:rFonts w:ascii="Times New Roman" w:hAnsi="Times New Roman" w:cs="Times New Roman"/>
      <w:b/>
      <w:sz w:val="32"/>
    </w:rPr>
  </w:style>
  <w:style w:type="paragraph" w:customStyle="1" w:styleId="HeaderSensitivityRight">
    <w:name w:val="Header Sensitivity Right"/>
    <w:basedOn w:val="Normal"/>
    <w:link w:val="HeaderSensitivityRightChar"/>
    <w:rsid w:val="00B9074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9074F"/>
    <w:rPr>
      <w:rFonts w:ascii="Times New Roman" w:hAnsi="Times New Roman" w:cs="Times New Roman"/>
      <w:sz w:val="28"/>
    </w:rPr>
  </w:style>
  <w:style w:type="character" w:customStyle="1" w:styleId="Heading1Char">
    <w:name w:val="Heading 1 Char"/>
    <w:basedOn w:val="DefaultParagraphFont"/>
    <w:link w:val="Heading1"/>
    <w:rsid w:val="005E2753"/>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sid w:val="005E2753"/>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5E275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sid w:val="005E2753"/>
    <w:rPr>
      <w:rFonts w:ascii="Times New Roman" w:eastAsia="Times New Roman" w:hAnsi="Times New Roman" w:cs="Times New Roman"/>
      <w:bCs/>
      <w:sz w:val="24"/>
      <w:szCs w:val="28"/>
    </w:rPr>
  </w:style>
  <w:style w:type="character" w:styleId="FootnoteReference">
    <w:name w:val="footnote reference"/>
    <w:aliases w:val="Footnote number,Footnote symbol,note TESI,Ref,de nota al pie,(NECG) Footnote Reference,fr,Footnote Reference1,Footnote Reference11,o,Footnote,Footnote Reference Superscript,Footnote reference number,Footnote Reference Number,FR,FR1,R"/>
    <w:link w:val="Nota"/>
    <w:uiPriority w:val="99"/>
    <w:qFormat/>
    <w:rsid w:val="005E2753"/>
    <w:rPr>
      <w:vertAlign w:val="superscript"/>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stile 1,Märk"/>
    <w:basedOn w:val="Normal"/>
    <w:link w:val="FootnoteTextChar"/>
    <w:uiPriority w:val="99"/>
    <w:qFormat/>
    <w:rsid w:val="005E2753"/>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stile 1 Char,Märk Char"/>
    <w:basedOn w:val="DefaultParagraphFont"/>
    <w:link w:val="FootnoteText"/>
    <w:uiPriority w:val="99"/>
    <w:qFormat/>
    <w:rsid w:val="005E2753"/>
    <w:rPr>
      <w:rFonts w:ascii="Times New Roman" w:eastAsia="Times New Roman" w:hAnsi="Times New Roman" w:cs="Times New Roman"/>
      <w:sz w:val="20"/>
      <w:szCs w:val="20"/>
    </w:rPr>
  </w:style>
  <w:style w:type="paragraph" w:styleId="TOC1">
    <w:name w:val="toc 1"/>
    <w:basedOn w:val="Normal"/>
    <w:next w:val="Normal"/>
    <w:uiPriority w:val="39"/>
    <w:rsid w:val="005E2753"/>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rsid w:val="005E2753"/>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rsid w:val="005E2753"/>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Heading">
    <w:name w:val="TOC Heading"/>
    <w:basedOn w:val="Normal"/>
    <w:next w:val="Normal"/>
    <w:uiPriority w:val="39"/>
    <w:qFormat/>
    <w:rsid w:val="005E2753"/>
    <w:pPr>
      <w:spacing w:before="120" w:after="240" w:line="240" w:lineRule="auto"/>
      <w:jc w:val="center"/>
    </w:pPr>
    <w:rPr>
      <w:rFonts w:ascii="Times New Roman" w:eastAsia="Times New Roman" w:hAnsi="Times New Roman" w:cs="Times New Roman"/>
      <w:b/>
      <w:sz w:val="28"/>
      <w:szCs w:val="24"/>
    </w:rPr>
  </w:style>
  <w:style w:type="character" w:styleId="Hyperlink">
    <w:name w:val="Hyperlink"/>
    <w:uiPriority w:val="99"/>
    <w:rsid w:val="005E2753"/>
    <w:rPr>
      <w:color w:val="0000FF"/>
      <w:u w:val="single"/>
      <w:shd w:val="clear" w:color="auto" w:fill="auto"/>
    </w:rPr>
  </w:style>
  <w:style w:type="character" w:styleId="CommentReference">
    <w:name w:val="annotation reference"/>
    <w:uiPriority w:val="99"/>
    <w:rsid w:val="005E2753"/>
    <w:rPr>
      <w:sz w:val="16"/>
      <w:shd w:val="clear" w:color="auto" w:fill="auto"/>
    </w:rPr>
  </w:style>
  <w:style w:type="paragraph" w:styleId="ListParagraph">
    <w:name w:val="List Paragraph"/>
    <w:basedOn w:val="Normal"/>
    <w:uiPriority w:val="34"/>
    <w:qFormat/>
    <w:rsid w:val="005E2753"/>
    <w:pPr>
      <w:spacing w:after="0" w:line="240" w:lineRule="auto"/>
      <w:ind w:left="720"/>
    </w:pPr>
    <w:rPr>
      <w:rFonts w:ascii="Calibri" w:eastAsia="Times New Roman" w:hAnsi="Calibri" w:cs="Times New Roman"/>
    </w:rPr>
  </w:style>
  <w:style w:type="paragraph" w:styleId="NormalWeb">
    <w:name w:val="Normal (Web)"/>
    <w:basedOn w:val="Normal"/>
    <w:uiPriority w:val="99"/>
    <w:unhideWhenUsed/>
    <w:rsid w:val="005E2753"/>
    <w:rPr>
      <w:rFonts w:ascii="Times New Roman" w:hAnsi="Times New Roman" w:cs="Times New Roman"/>
      <w:sz w:val="24"/>
      <w:szCs w:val="24"/>
    </w:rPr>
  </w:style>
  <w:style w:type="character" w:customStyle="1" w:styleId="outputecliaff">
    <w:name w:val="outputecliaff"/>
    <w:basedOn w:val="DefaultParagraphFont"/>
    <w:rsid w:val="005E2753"/>
  </w:style>
  <w:style w:type="paragraph" w:customStyle="1" w:styleId="Nota">
    <w:name w:val="Nota"/>
    <w:aliases w:val="Char1,Appel note de bas de p,Style 6,Signature Ch,stylish,number,F,styl"/>
    <w:basedOn w:val="Normal"/>
    <w:link w:val="FootnoteReference"/>
    <w:uiPriority w:val="99"/>
    <w:rsid w:val="005E2753"/>
    <w:pPr>
      <w:spacing w:before="120" w:after="160" w:line="240" w:lineRule="exact"/>
      <w:jc w:val="both"/>
    </w:pPr>
    <w:rPr>
      <w:vertAlign w:val="superscript"/>
    </w:rPr>
  </w:style>
  <w:style w:type="paragraph" w:styleId="CommentText">
    <w:name w:val="annotation text"/>
    <w:basedOn w:val="Normal"/>
    <w:link w:val="CommentTextChar"/>
    <w:uiPriority w:val="99"/>
    <w:unhideWhenUsed/>
    <w:rsid w:val="00FC1C2B"/>
    <w:pPr>
      <w:spacing w:line="240" w:lineRule="auto"/>
    </w:pPr>
    <w:rPr>
      <w:sz w:val="20"/>
      <w:szCs w:val="20"/>
    </w:rPr>
  </w:style>
  <w:style w:type="character" w:customStyle="1" w:styleId="CommentTextChar">
    <w:name w:val="Comment Text Char"/>
    <w:basedOn w:val="DefaultParagraphFont"/>
    <w:link w:val="CommentText"/>
    <w:uiPriority w:val="99"/>
    <w:rsid w:val="00FC1C2B"/>
    <w:rPr>
      <w:sz w:val="20"/>
      <w:szCs w:val="20"/>
    </w:rPr>
  </w:style>
  <w:style w:type="paragraph" w:styleId="CommentSubject">
    <w:name w:val="annotation subject"/>
    <w:basedOn w:val="CommentText"/>
    <w:next w:val="CommentText"/>
    <w:link w:val="CommentSubjectChar"/>
    <w:uiPriority w:val="99"/>
    <w:semiHidden/>
    <w:unhideWhenUsed/>
    <w:rsid w:val="00FC1C2B"/>
    <w:rPr>
      <w:b/>
      <w:bCs/>
    </w:rPr>
  </w:style>
  <w:style w:type="character" w:customStyle="1" w:styleId="CommentSubjectChar">
    <w:name w:val="Comment Subject Char"/>
    <w:basedOn w:val="CommentTextChar"/>
    <w:link w:val="CommentSubject"/>
    <w:uiPriority w:val="99"/>
    <w:semiHidden/>
    <w:rsid w:val="00FC1C2B"/>
    <w:rPr>
      <w:b/>
      <w:bCs/>
      <w:sz w:val="20"/>
      <w:szCs w:val="20"/>
    </w:rPr>
  </w:style>
  <w:style w:type="paragraph" w:styleId="BalloonText">
    <w:name w:val="Balloon Text"/>
    <w:basedOn w:val="Normal"/>
    <w:link w:val="BalloonTextChar"/>
    <w:uiPriority w:val="99"/>
    <w:semiHidden/>
    <w:unhideWhenUsed/>
    <w:rsid w:val="00E12D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D3B"/>
    <w:rPr>
      <w:rFonts w:ascii="Segoe UI" w:hAnsi="Segoe UI" w:cs="Segoe UI"/>
      <w:sz w:val="18"/>
      <w:szCs w:val="18"/>
    </w:rPr>
  </w:style>
  <w:style w:type="character" w:styleId="FollowedHyperlink">
    <w:name w:val="FollowedHyperlink"/>
    <w:basedOn w:val="DefaultParagraphFont"/>
    <w:uiPriority w:val="99"/>
    <w:semiHidden/>
    <w:unhideWhenUsed/>
    <w:rsid w:val="00A017DC"/>
    <w:rPr>
      <w:color w:val="800080" w:themeColor="followedHyperlink"/>
      <w:u w:val="single"/>
    </w:rPr>
  </w:style>
  <w:style w:type="paragraph" w:styleId="Revision">
    <w:name w:val="Revision"/>
    <w:hidden/>
    <w:uiPriority w:val="99"/>
    <w:semiHidden/>
    <w:rsid w:val="002D748E"/>
    <w:pPr>
      <w:spacing w:after="0" w:line="240" w:lineRule="auto"/>
    </w:pPr>
  </w:style>
  <w:style w:type="character" w:customStyle="1" w:styleId="UnresolvedMention">
    <w:name w:val="Unresolved Mention"/>
    <w:basedOn w:val="DefaultParagraphFont"/>
    <w:uiPriority w:val="99"/>
    <w:semiHidden/>
    <w:unhideWhenUsed/>
    <w:rsid w:val="00931055"/>
    <w:rPr>
      <w:color w:val="605E5C"/>
      <w:shd w:val="clear" w:color="auto" w:fill="E1DFDD"/>
    </w:rPr>
  </w:style>
  <w:style w:type="paragraph" w:customStyle="1" w:styleId="Languesfaisantfoi">
    <w:name w:val="Langues faisant foi"/>
    <w:basedOn w:val="Normal"/>
    <w:next w:val="Normal"/>
    <w:rsid w:val="007F42D2"/>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7F42D2"/>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7F42D2"/>
    <w:pPr>
      <w:spacing w:after="0"/>
    </w:pPr>
  </w:style>
  <w:style w:type="paragraph" w:customStyle="1" w:styleId="IntrtEEEPagedecouverture">
    <w:name w:val="Intérêt EEE (Page de couverture)"/>
    <w:basedOn w:val="IntrtEEE"/>
    <w:next w:val="Normal"/>
    <w:rsid w:val="007F4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0830">
      <w:bodyDiv w:val="1"/>
      <w:marLeft w:val="0"/>
      <w:marRight w:val="0"/>
      <w:marTop w:val="0"/>
      <w:marBottom w:val="0"/>
      <w:divBdr>
        <w:top w:val="none" w:sz="0" w:space="0" w:color="auto"/>
        <w:left w:val="none" w:sz="0" w:space="0" w:color="auto"/>
        <w:bottom w:val="none" w:sz="0" w:space="0" w:color="auto"/>
        <w:right w:val="none" w:sz="0" w:space="0" w:color="auto"/>
      </w:divBdr>
    </w:div>
    <w:div w:id="56512682">
      <w:bodyDiv w:val="1"/>
      <w:marLeft w:val="0"/>
      <w:marRight w:val="0"/>
      <w:marTop w:val="0"/>
      <w:marBottom w:val="0"/>
      <w:divBdr>
        <w:top w:val="none" w:sz="0" w:space="0" w:color="auto"/>
        <w:left w:val="none" w:sz="0" w:space="0" w:color="auto"/>
        <w:bottom w:val="none" w:sz="0" w:space="0" w:color="auto"/>
        <w:right w:val="none" w:sz="0" w:space="0" w:color="auto"/>
      </w:divBdr>
    </w:div>
    <w:div w:id="133179194">
      <w:bodyDiv w:val="1"/>
      <w:marLeft w:val="0"/>
      <w:marRight w:val="0"/>
      <w:marTop w:val="0"/>
      <w:marBottom w:val="0"/>
      <w:divBdr>
        <w:top w:val="none" w:sz="0" w:space="0" w:color="auto"/>
        <w:left w:val="none" w:sz="0" w:space="0" w:color="auto"/>
        <w:bottom w:val="none" w:sz="0" w:space="0" w:color="auto"/>
        <w:right w:val="none" w:sz="0" w:space="0" w:color="auto"/>
      </w:divBdr>
    </w:div>
    <w:div w:id="188221348">
      <w:bodyDiv w:val="1"/>
      <w:marLeft w:val="0"/>
      <w:marRight w:val="0"/>
      <w:marTop w:val="0"/>
      <w:marBottom w:val="0"/>
      <w:divBdr>
        <w:top w:val="none" w:sz="0" w:space="0" w:color="auto"/>
        <w:left w:val="none" w:sz="0" w:space="0" w:color="auto"/>
        <w:bottom w:val="none" w:sz="0" w:space="0" w:color="auto"/>
        <w:right w:val="none" w:sz="0" w:space="0" w:color="auto"/>
      </w:divBdr>
    </w:div>
    <w:div w:id="240066226">
      <w:bodyDiv w:val="1"/>
      <w:marLeft w:val="0"/>
      <w:marRight w:val="0"/>
      <w:marTop w:val="0"/>
      <w:marBottom w:val="0"/>
      <w:divBdr>
        <w:top w:val="none" w:sz="0" w:space="0" w:color="auto"/>
        <w:left w:val="none" w:sz="0" w:space="0" w:color="auto"/>
        <w:bottom w:val="none" w:sz="0" w:space="0" w:color="auto"/>
        <w:right w:val="none" w:sz="0" w:space="0" w:color="auto"/>
      </w:divBdr>
    </w:div>
    <w:div w:id="275017257">
      <w:bodyDiv w:val="1"/>
      <w:marLeft w:val="0"/>
      <w:marRight w:val="0"/>
      <w:marTop w:val="0"/>
      <w:marBottom w:val="0"/>
      <w:divBdr>
        <w:top w:val="none" w:sz="0" w:space="0" w:color="auto"/>
        <w:left w:val="none" w:sz="0" w:space="0" w:color="auto"/>
        <w:bottom w:val="none" w:sz="0" w:space="0" w:color="auto"/>
        <w:right w:val="none" w:sz="0" w:space="0" w:color="auto"/>
      </w:divBdr>
    </w:div>
    <w:div w:id="294794643">
      <w:bodyDiv w:val="1"/>
      <w:marLeft w:val="0"/>
      <w:marRight w:val="0"/>
      <w:marTop w:val="0"/>
      <w:marBottom w:val="0"/>
      <w:divBdr>
        <w:top w:val="none" w:sz="0" w:space="0" w:color="auto"/>
        <w:left w:val="none" w:sz="0" w:space="0" w:color="auto"/>
        <w:bottom w:val="none" w:sz="0" w:space="0" w:color="auto"/>
        <w:right w:val="none" w:sz="0" w:space="0" w:color="auto"/>
      </w:divBdr>
    </w:div>
    <w:div w:id="314455760">
      <w:bodyDiv w:val="1"/>
      <w:marLeft w:val="0"/>
      <w:marRight w:val="0"/>
      <w:marTop w:val="0"/>
      <w:marBottom w:val="0"/>
      <w:divBdr>
        <w:top w:val="none" w:sz="0" w:space="0" w:color="auto"/>
        <w:left w:val="none" w:sz="0" w:space="0" w:color="auto"/>
        <w:bottom w:val="none" w:sz="0" w:space="0" w:color="auto"/>
        <w:right w:val="none" w:sz="0" w:space="0" w:color="auto"/>
      </w:divBdr>
    </w:div>
    <w:div w:id="329869295">
      <w:bodyDiv w:val="1"/>
      <w:marLeft w:val="0"/>
      <w:marRight w:val="0"/>
      <w:marTop w:val="0"/>
      <w:marBottom w:val="0"/>
      <w:divBdr>
        <w:top w:val="none" w:sz="0" w:space="0" w:color="auto"/>
        <w:left w:val="none" w:sz="0" w:space="0" w:color="auto"/>
        <w:bottom w:val="none" w:sz="0" w:space="0" w:color="auto"/>
        <w:right w:val="none" w:sz="0" w:space="0" w:color="auto"/>
      </w:divBdr>
    </w:div>
    <w:div w:id="384763036">
      <w:bodyDiv w:val="1"/>
      <w:marLeft w:val="0"/>
      <w:marRight w:val="0"/>
      <w:marTop w:val="0"/>
      <w:marBottom w:val="0"/>
      <w:divBdr>
        <w:top w:val="none" w:sz="0" w:space="0" w:color="auto"/>
        <w:left w:val="none" w:sz="0" w:space="0" w:color="auto"/>
        <w:bottom w:val="none" w:sz="0" w:space="0" w:color="auto"/>
        <w:right w:val="none" w:sz="0" w:space="0" w:color="auto"/>
      </w:divBdr>
    </w:div>
    <w:div w:id="392044680">
      <w:bodyDiv w:val="1"/>
      <w:marLeft w:val="0"/>
      <w:marRight w:val="0"/>
      <w:marTop w:val="0"/>
      <w:marBottom w:val="0"/>
      <w:divBdr>
        <w:top w:val="none" w:sz="0" w:space="0" w:color="auto"/>
        <w:left w:val="none" w:sz="0" w:space="0" w:color="auto"/>
        <w:bottom w:val="none" w:sz="0" w:space="0" w:color="auto"/>
        <w:right w:val="none" w:sz="0" w:space="0" w:color="auto"/>
      </w:divBdr>
    </w:div>
    <w:div w:id="409624458">
      <w:bodyDiv w:val="1"/>
      <w:marLeft w:val="0"/>
      <w:marRight w:val="0"/>
      <w:marTop w:val="0"/>
      <w:marBottom w:val="0"/>
      <w:divBdr>
        <w:top w:val="none" w:sz="0" w:space="0" w:color="auto"/>
        <w:left w:val="none" w:sz="0" w:space="0" w:color="auto"/>
        <w:bottom w:val="none" w:sz="0" w:space="0" w:color="auto"/>
        <w:right w:val="none" w:sz="0" w:space="0" w:color="auto"/>
      </w:divBdr>
    </w:div>
    <w:div w:id="542520149">
      <w:bodyDiv w:val="1"/>
      <w:marLeft w:val="0"/>
      <w:marRight w:val="0"/>
      <w:marTop w:val="0"/>
      <w:marBottom w:val="0"/>
      <w:divBdr>
        <w:top w:val="none" w:sz="0" w:space="0" w:color="auto"/>
        <w:left w:val="none" w:sz="0" w:space="0" w:color="auto"/>
        <w:bottom w:val="none" w:sz="0" w:space="0" w:color="auto"/>
        <w:right w:val="none" w:sz="0" w:space="0" w:color="auto"/>
      </w:divBdr>
    </w:div>
    <w:div w:id="582834872">
      <w:bodyDiv w:val="1"/>
      <w:marLeft w:val="0"/>
      <w:marRight w:val="0"/>
      <w:marTop w:val="0"/>
      <w:marBottom w:val="0"/>
      <w:divBdr>
        <w:top w:val="none" w:sz="0" w:space="0" w:color="auto"/>
        <w:left w:val="none" w:sz="0" w:space="0" w:color="auto"/>
        <w:bottom w:val="none" w:sz="0" w:space="0" w:color="auto"/>
        <w:right w:val="none" w:sz="0" w:space="0" w:color="auto"/>
      </w:divBdr>
    </w:div>
    <w:div w:id="604928210">
      <w:bodyDiv w:val="1"/>
      <w:marLeft w:val="0"/>
      <w:marRight w:val="0"/>
      <w:marTop w:val="0"/>
      <w:marBottom w:val="0"/>
      <w:divBdr>
        <w:top w:val="none" w:sz="0" w:space="0" w:color="auto"/>
        <w:left w:val="none" w:sz="0" w:space="0" w:color="auto"/>
        <w:bottom w:val="none" w:sz="0" w:space="0" w:color="auto"/>
        <w:right w:val="none" w:sz="0" w:space="0" w:color="auto"/>
      </w:divBdr>
    </w:div>
    <w:div w:id="635260388">
      <w:bodyDiv w:val="1"/>
      <w:marLeft w:val="0"/>
      <w:marRight w:val="0"/>
      <w:marTop w:val="0"/>
      <w:marBottom w:val="0"/>
      <w:divBdr>
        <w:top w:val="none" w:sz="0" w:space="0" w:color="auto"/>
        <w:left w:val="none" w:sz="0" w:space="0" w:color="auto"/>
        <w:bottom w:val="none" w:sz="0" w:space="0" w:color="auto"/>
        <w:right w:val="none" w:sz="0" w:space="0" w:color="auto"/>
      </w:divBdr>
    </w:div>
    <w:div w:id="705329508">
      <w:bodyDiv w:val="1"/>
      <w:marLeft w:val="0"/>
      <w:marRight w:val="0"/>
      <w:marTop w:val="0"/>
      <w:marBottom w:val="0"/>
      <w:divBdr>
        <w:top w:val="none" w:sz="0" w:space="0" w:color="auto"/>
        <w:left w:val="none" w:sz="0" w:space="0" w:color="auto"/>
        <w:bottom w:val="none" w:sz="0" w:space="0" w:color="auto"/>
        <w:right w:val="none" w:sz="0" w:space="0" w:color="auto"/>
      </w:divBdr>
    </w:div>
    <w:div w:id="705522982">
      <w:bodyDiv w:val="1"/>
      <w:marLeft w:val="0"/>
      <w:marRight w:val="0"/>
      <w:marTop w:val="0"/>
      <w:marBottom w:val="0"/>
      <w:divBdr>
        <w:top w:val="none" w:sz="0" w:space="0" w:color="auto"/>
        <w:left w:val="none" w:sz="0" w:space="0" w:color="auto"/>
        <w:bottom w:val="none" w:sz="0" w:space="0" w:color="auto"/>
        <w:right w:val="none" w:sz="0" w:space="0" w:color="auto"/>
      </w:divBdr>
    </w:div>
    <w:div w:id="710765556">
      <w:bodyDiv w:val="1"/>
      <w:marLeft w:val="0"/>
      <w:marRight w:val="0"/>
      <w:marTop w:val="0"/>
      <w:marBottom w:val="0"/>
      <w:divBdr>
        <w:top w:val="none" w:sz="0" w:space="0" w:color="auto"/>
        <w:left w:val="none" w:sz="0" w:space="0" w:color="auto"/>
        <w:bottom w:val="none" w:sz="0" w:space="0" w:color="auto"/>
        <w:right w:val="none" w:sz="0" w:space="0" w:color="auto"/>
      </w:divBdr>
    </w:div>
    <w:div w:id="728379306">
      <w:bodyDiv w:val="1"/>
      <w:marLeft w:val="0"/>
      <w:marRight w:val="0"/>
      <w:marTop w:val="0"/>
      <w:marBottom w:val="0"/>
      <w:divBdr>
        <w:top w:val="none" w:sz="0" w:space="0" w:color="auto"/>
        <w:left w:val="none" w:sz="0" w:space="0" w:color="auto"/>
        <w:bottom w:val="none" w:sz="0" w:space="0" w:color="auto"/>
        <w:right w:val="none" w:sz="0" w:space="0" w:color="auto"/>
      </w:divBdr>
    </w:div>
    <w:div w:id="728964998">
      <w:bodyDiv w:val="1"/>
      <w:marLeft w:val="0"/>
      <w:marRight w:val="0"/>
      <w:marTop w:val="0"/>
      <w:marBottom w:val="0"/>
      <w:divBdr>
        <w:top w:val="none" w:sz="0" w:space="0" w:color="auto"/>
        <w:left w:val="none" w:sz="0" w:space="0" w:color="auto"/>
        <w:bottom w:val="none" w:sz="0" w:space="0" w:color="auto"/>
        <w:right w:val="none" w:sz="0" w:space="0" w:color="auto"/>
      </w:divBdr>
      <w:divsChild>
        <w:div w:id="323050206">
          <w:marLeft w:val="0"/>
          <w:marRight w:val="0"/>
          <w:marTop w:val="0"/>
          <w:marBottom w:val="0"/>
          <w:divBdr>
            <w:top w:val="none" w:sz="0" w:space="0" w:color="auto"/>
            <w:left w:val="none" w:sz="0" w:space="0" w:color="auto"/>
            <w:bottom w:val="none" w:sz="0" w:space="0" w:color="auto"/>
            <w:right w:val="none" w:sz="0" w:space="0" w:color="auto"/>
          </w:divBdr>
          <w:divsChild>
            <w:div w:id="893976973">
              <w:marLeft w:val="0"/>
              <w:marRight w:val="0"/>
              <w:marTop w:val="0"/>
              <w:marBottom w:val="0"/>
              <w:divBdr>
                <w:top w:val="none" w:sz="0" w:space="0" w:color="auto"/>
                <w:left w:val="none" w:sz="0" w:space="0" w:color="auto"/>
                <w:bottom w:val="none" w:sz="0" w:space="0" w:color="auto"/>
                <w:right w:val="none" w:sz="0" w:space="0" w:color="auto"/>
              </w:divBdr>
              <w:divsChild>
                <w:div w:id="985624928">
                  <w:marLeft w:val="0"/>
                  <w:marRight w:val="0"/>
                  <w:marTop w:val="0"/>
                  <w:marBottom w:val="30"/>
                  <w:divBdr>
                    <w:top w:val="none" w:sz="0" w:space="0" w:color="auto"/>
                    <w:left w:val="none" w:sz="0" w:space="0" w:color="auto"/>
                    <w:bottom w:val="none" w:sz="0" w:space="0" w:color="auto"/>
                    <w:right w:val="none" w:sz="0" w:space="0" w:color="auto"/>
                  </w:divBdr>
                </w:div>
                <w:div w:id="1145511552">
                  <w:marLeft w:val="0"/>
                  <w:marRight w:val="0"/>
                  <w:marTop w:val="0"/>
                  <w:marBottom w:val="0"/>
                  <w:divBdr>
                    <w:top w:val="none" w:sz="0" w:space="0" w:color="auto"/>
                    <w:left w:val="none" w:sz="0" w:space="0" w:color="auto"/>
                    <w:bottom w:val="none" w:sz="0" w:space="0" w:color="auto"/>
                    <w:right w:val="none" w:sz="0" w:space="0" w:color="auto"/>
                  </w:divBdr>
                  <w:divsChild>
                    <w:div w:id="63657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49839">
          <w:marLeft w:val="0"/>
          <w:marRight w:val="0"/>
          <w:marTop w:val="0"/>
          <w:marBottom w:val="0"/>
          <w:divBdr>
            <w:top w:val="none" w:sz="0" w:space="0" w:color="auto"/>
            <w:left w:val="none" w:sz="0" w:space="0" w:color="auto"/>
            <w:bottom w:val="none" w:sz="0" w:space="0" w:color="auto"/>
            <w:right w:val="none" w:sz="0" w:space="0" w:color="auto"/>
          </w:divBdr>
        </w:div>
      </w:divsChild>
    </w:div>
    <w:div w:id="758526842">
      <w:bodyDiv w:val="1"/>
      <w:marLeft w:val="0"/>
      <w:marRight w:val="0"/>
      <w:marTop w:val="0"/>
      <w:marBottom w:val="0"/>
      <w:divBdr>
        <w:top w:val="none" w:sz="0" w:space="0" w:color="auto"/>
        <w:left w:val="none" w:sz="0" w:space="0" w:color="auto"/>
        <w:bottom w:val="none" w:sz="0" w:space="0" w:color="auto"/>
        <w:right w:val="none" w:sz="0" w:space="0" w:color="auto"/>
      </w:divBdr>
    </w:div>
    <w:div w:id="771050644">
      <w:bodyDiv w:val="1"/>
      <w:marLeft w:val="0"/>
      <w:marRight w:val="0"/>
      <w:marTop w:val="0"/>
      <w:marBottom w:val="0"/>
      <w:divBdr>
        <w:top w:val="none" w:sz="0" w:space="0" w:color="auto"/>
        <w:left w:val="none" w:sz="0" w:space="0" w:color="auto"/>
        <w:bottom w:val="none" w:sz="0" w:space="0" w:color="auto"/>
        <w:right w:val="none" w:sz="0" w:space="0" w:color="auto"/>
      </w:divBdr>
    </w:div>
    <w:div w:id="819926043">
      <w:bodyDiv w:val="1"/>
      <w:marLeft w:val="0"/>
      <w:marRight w:val="0"/>
      <w:marTop w:val="0"/>
      <w:marBottom w:val="0"/>
      <w:divBdr>
        <w:top w:val="none" w:sz="0" w:space="0" w:color="auto"/>
        <w:left w:val="none" w:sz="0" w:space="0" w:color="auto"/>
        <w:bottom w:val="none" w:sz="0" w:space="0" w:color="auto"/>
        <w:right w:val="none" w:sz="0" w:space="0" w:color="auto"/>
      </w:divBdr>
    </w:div>
    <w:div w:id="854808981">
      <w:bodyDiv w:val="1"/>
      <w:marLeft w:val="0"/>
      <w:marRight w:val="0"/>
      <w:marTop w:val="0"/>
      <w:marBottom w:val="0"/>
      <w:divBdr>
        <w:top w:val="none" w:sz="0" w:space="0" w:color="auto"/>
        <w:left w:val="none" w:sz="0" w:space="0" w:color="auto"/>
        <w:bottom w:val="none" w:sz="0" w:space="0" w:color="auto"/>
        <w:right w:val="none" w:sz="0" w:space="0" w:color="auto"/>
      </w:divBdr>
    </w:div>
    <w:div w:id="862010517">
      <w:bodyDiv w:val="1"/>
      <w:marLeft w:val="0"/>
      <w:marRight w:val="0"/>
      <w:marTop w:val="0"/>
      <w:marBottom w:val="0"/>
      <w:divBdr>
        <w:top w:val="none" w:sz="0" w:space="0" w:color="auto"/>
        <w:left w:val="none" w:sz="0" w:space="0" w:color="auto"/>
        <w:bottom w:val="none" w:sz="0" w:space="0" w:color="auto"/>
        <w:right w:val="none" w:sz="0" w:space="0" w:color="auto"/>
      </w:divBdr>
    </w:div>
    <w:div w:id="894008507">
      <w:bodyDiv w:val="1"/>
      <w:marLeft w:val="0"/>
      <w:marRight w:val="0"/>
      <w:marTop w:val="0"/>
      <w:marBottom w:val="0"/>
      <w:divBdr>
        <w:top w:val="none" w:sz="0" w:space="0" w:color="auto"/>
        <w:left w:val="none" w:sz="0" w:space="0" w:color="auto"/>
        <w:bottom w:val="none" w:sz="0" w:space="0" w:color="auto"/>
        <w:right w:val="none" w:sz="0" w:space="0" w:color="auto"/>
      </w:divBdr>
    </w:div>
    <w:div w:id="916017022">
      <w:bodyDiv w:val="1"/>
      <w:marLeft w:val="0"/>
      <w:marRight w:val="0"/>
      <w:marTop w:val="0"/>
      <w:marBottom w:val="0"/>
      <w:divBdr>
        <w:top w:val="none" w:sz="0" w:space="0" w:color="auto"/>
        <w:left w:val="none" w:sz="0" w:space="0" w:color="auto"/>
        <w:bottom w:val="none" w:sz="0" w:space="0" w:color="auto"/>
        <w:right w:val="none" w:sz="0" w:space="0" w:color="auto"/>
      </w:divBdr>
    </w:div>
    <w:div w:id="946083890">
      <w:bodyDiv w:val="1"/>
      <w:marLeft w:val="0"/>
      <w:marRight w:val="0"/>
      <w:marTop w:val="0"/>
      <w:marBottom w:val="0"/>
      <w:divBdr>
        <w:top w:val="none" w:sz="0" w:space="0" w:color="auto"/>
        <w:left w:val="none" w:sz="0" w:space="0" w:color="auto"/>
        <w:bottom w:val="none" w:sz="0" w:space="0" w:color="auto"/>
        <w:right w:val="none" w:sz="0" w:space="0" w:color="auto"/>
      </w:divBdr>
    </w:div>
    <w:div w:id="957444874">
      <w:bodyDiv w:val="1"/>
      <w:marLeft w:val="0"/>
      <w:marRight w:val="0"/>
      <w:marTop w:val="0"/>
      <w:marBottom w:val="0"/>
      <w:divBdr>
        <w:top w:val="none" w:sz="0" w:space="0" w:color="auto"/>
        <w:left w:val="none" w:sz="0" w:space="0" w:color="auto"/>
        <w:bottom w:val="none" w:sz="0" w:space="0" w:color="auto"/>
        <w:right w:val="none" w:sz="0" w:space="0" w:color="auto"/>
      </w:divBdr>
    </w:div>
    <w:div w:id="975797060">
      <w:bodyDiv w:val="1"/>
      <w:marLeft w:val="0"/>
      <w:marRight w:val="0"/>
      <w:marTop w:val="0"/>
      <w:marBottom w:val="0"/>
      <w:divBdr>
        <w:top w:val="none" w:sz="0" w:space="0" w:color="auto"/>
        <w:left w:val="none" w:sz="0" w:space="0" w:color="auto"/>
        <w:bottom w:val="none" w:sz="0" w:space="0" w:color="auto"/>
        <w:right w:val="none" w:sz="0" w:space="0" w:color="auto"/>
      </w:divBdr>
    </w:div>
    <w:div w:id="988677168">
      <w:bodyDiv w:val="1"/>
      <w:marLeft w:val="0"/>
      <w:marRight w:val="0"/>
      <w:marTop w:val="0"/>
      <w:marBottom w:val="0"/>
      <w:divBdr>
        <w:top w:val="none" w:sz="0" w:space="0" w:color="auto"/>
        <w:left w:val="none" w:sz="0" w:space="0" w:color="auto"/>
        <w:bottom w:val="none" w:sz="0" w:space="0" w:color="auto"/>
        <w:right w:val="none" w:sz="0" w:space="0" w:color="auto"/>
      </w:divBdr>
    </w:div>
    <w:div w:id="1006900601">
      <w:bodyDiv w:val="1"/>
      <w:marLeft w:val="0"/>
      <w:marRight w:val="0"/>
      <w:marTop w:val="0"/>
      <w:marBottom w:val="0"/>
      <w:divBdr>
        <w:top w:val="none" w:sz="0" w:space="0" w:color="auto"/>
        <w:left w:val="none" w:sz="0" w:space="0" w:color="auto"/>
        <w:bottom w:val="none" w:sz="0" w:space="0" w:color="auto"/>
        <w:right w:val="none" w:sz="0" w:space="0" w:color="auto"/>
      </w:divBdr>
    </w:div>
    <w:div w:id="1010987830">
      <w:bodyDiv w:val="1"/>
      <w:marLeft w:val="0"/>
      <w:marRight w:val="0"/>
      <w:marTop w:val="0"/>
      <w:marBottom w:val="0"/>
      <w:divBdr>
        <w:top w:val="none" w:sz="0" w:space="0" w:color="auto"/>
        <w:left w:val="none" w:sz="0" w:space="0" w:color="auto"/>
        <w:bottom w:val="none" w:sz="0" w:space="0" w:color="auto"/>
        <w:right w:val="none" w:sz="0" w:space="0" w:color="auto"/>
      </w:divBdr>
    </w:div>
    <w:div w:id="1020083621">
      <w:bodyDiv w:val="1"/>
      <w:marLeft w:val="0"/>
      <w:marRight w:val="0"/>
      <w:marTop w:val="0"/>
      <w:marBottom w:val="0"/>
      <w:divBdr>
        <w:top w:val="none" w:sz="0" w:space="0" w:color="auto"/>
        <w:left w:val="none" w:sz="0" w:space="0" w:color="auto"/>
        <w:bottom w:val="none" w:sz="0" w:space="0" w:color="auto"/>
        <w:right w:val="none" w:sz="0" w:space="0" w:color="auto"/>
      </w:divBdr>
    </w:div>
    <w:div w:id="1038091044">
      <w:bodyDiv w:val="1"/>
      <w:marLeft w:val="0"/>
      <w:marRight w:val="0"/>
      <w:marTop w:val="0"/>
      <w:marBottom w:val="0"/>
      <w:divBdr>
        <w:top w:val="none" w:sz="0" w:space="0" w:color="auto"/>
        <w:left w:val="none" w:sz="0" w:space="0" w:color="auto"/>
        <w:bottom w:val="none" w:sz="0" w:space="0" w:color="auto"/>
        <w:right w:val="none" w:sz="0" w:space="0" w:color="auto"/>
      </w:divBdr>
    </w:div>
    <w:div w:id="1057626116">
      <w:bodyDiv w:val="1"/>
      <w:marLeft w:val="0"/>
      <w:marRight w:val="0"/>
      <w:marTop w:val="0"/>
      <w:marBottom w:val="0"/>
      <w:divBdr>
        <w:top w:val="none" w:sz="0" w:space="0" w:color="auto"/>
        <w:left w:val="none" w:sz="0" w:space="0" w:color="auto"/>
        <w:bottom w:val="none" w:sz="0" w:space="0" w:color="auto"/>
        <w:right w:val="none" w:sz="0" w:space="0" w:color="auto"/>
      </w:divBdr>
    </w:div>
    <w:div w:id="1212572754">
      <w:bodyDiv w:val="1"/>
      <w:marLeft w:val="0"/>
      <w:marRight w:val="0"/>
      <w:marTop w:val="0"/>
      <w:marBottom w:val="0"/>
      <w:divBdr>
        <w:top w:val="none" w:sz="0" w:space="0" w:color="auto"/>
        <w:left w:val="none" w:sz="0" w:space="0" w:color="auto"/>
        <w:bottom w:val="none" w:sz="0" w:space="0" w:color="auto"/>
        <w:right w:val="none" w:sz="0" w:space="0" w:color="auto"/>
      </w:divBdr>
    </w:div>
    <w:div w:id="1213614585">
      <w:bodyDiv w:val="1"/>
      <w:marLeft w:val="0"/>
      <w:marRight w:val="0"/>
      <w:marTop w:val="0"/>
      <w:marBottom w:val="0"/>
      <w:divBdr>
        <w:top w:val="none" w:sz="0" w:space="0" w:color="auto"/>
        <w:left w:val="none" w:sz="0" w:space="0" w:color="auto"/>
        <w:bottom w:val="none" w:sz="0" w:space="0" w:color="auto"/>
        <w:right w:val="none" w:sz="0" w:space="0" w:color="auto"/>
      </w:divBdr>
    </w:div>
    <w:div w:id="1289438693">
      <w:bodyDiv w:val="1"/>
      <w:marLeft w:val="0"/>
      <w:marRight w:val="0"/>
      <w:marTop w:val="0"/>
      <w:marBottom w:val="0"/>
      <w:divBdr>
        <w:top w:val="none" w:sz="0" w:space="0" w:color="auto"/>
        <w:left w:val="none" w:sz="0" w:space="0" w:color="auto"/>
        <w:bottom w:val="none" w:sz="0" w:space="0" w:color="auto"/>
        <w:right w:val="none" w:sz="0" w:space="0" w:color="auto"/>
      </w:divBdr>
    </w:div>
    <w:div w:id="1303340348">
      <w:bodyDiv w:val="1"/>
      <w:marLeft w:val="0"/>
      <w:marRight w:val="0"/>
      <w:marTop w:val="0"/>
      <w:marBottom w:val="0"/>
      <w:divBdr>
        <w:top w:val="none" w:sz="0" w:space="0" w:color="auto"/>
        <w:left w:val="none" w:sz="0" w:space="0" w:color="auto"/>
        <w:bottom w:val="none" w:sz="0" w:space="0" w:color="auto"/>
        <w:right w:val="none" w:sz="0" w:space="0" w:color="auto"/>
      </w:divBdr>
    </w:div>
    <w:div w:id="1310942625">
      <w:bodyDiv w:val="1"/>
      <w:marLeft w:val="0"/>
      <w:marRight w:val="0"/>
      <w:marTop w:val="0"/>
      <w:marBottom w:val="0"/>
      <w:divBdr>
        <w:top w:val="none" w:sz="0" w:space="0" w:color="auto"/>
        <w:left w:val="none" w:sz="0" w:space="0" w:color="auto"/>
        <w:bottom w:val="none" w:sz="0" w:space="0" w:color="auto"/>
        <w:right w:val="none" w:sz="0" w:space="0" w:color="auto"/>
      </w:divBdr>
    </w:div>
    <w:div w:id="1328899681">
      <w:bodyDiv w:val="1"/>
      <w:marLeft w:val="0"/>
      <w:marRight w:val="0"/>
      <w:marTop w:val="0"/>
      <w:marBottom w:val="0"/>
      <w:divBdr>
        <w:top w:val="none" w:sz="0" w:space="0" w:color="auto"/>
        <w:left w:val="none" w:sz="0" w:space="0" w:color="auto"/>
        <w:bottom w:val="none" w:sz="0" w:space="0" w:color="auto"/>
        <w:right w:val="none" w:sz="0" w:space="0" w:color="auto"/>
      </w:divBdr>
    </w:div>
    <w:div w:id="1373772993">
      <w:bodyDiv w:val="1"/>
      <w:marLeft w:val="0"/>
      <w:marRight w:val="0"/>
      <w:marTop w:val="0"/>
      <w:marBottom w:val="0"/>
      <w:divBdr>
        <w:top w:val="none" w:sz="0" w:space="0" w:color="auto"/>
        <w:left w:val="none" w:sz="0" w:space="0" w:color="auto"/>
        <w:bottom w:val="none" w:sz="0" w:space="0" w:color="auto"/>
        <w:right w:val="none" w:sz="0" w:space="0" w:color="auto"/>
      </w:divBdr>
    </w:div>
    <w:div w:id="1378313679">
      <w:bodyDiv w:val="1"/>
      <w:marLeft w:val="0"/>
      <w:marRight w:val="0"/>
      <w:marTop w:val="0"/>
      <w:marBottom w:val="0"/>
      <w:divBdr>
        <w:top w:val="none" w:sz="0" w:space="0" w:color="auto"/>
        <w:left w:val="none" w:sz="0" w:space="0" w:color="auto"/>
        <w:bottom w:val="none" w:sz="0" w:space="0" w:color="auto"/>
        <w:right w:val="none" w:sz="0" w:space="0" w:color="auto"/>
      </w:divBdr>
    </w:div>
    <w:div w:id="1433940337">
      <w:bodyDiv w:val="1"/>
      <w:marLeft w:val="0"/>
      <w:marRight w:val="0"/>
      <w:marTop w:val="0"/>
      <w:marBottom w:val="0"/>
      <w:divBdr>
        <w:top w:val="none" w:sz="0" w:space="0" w:color="auto"/>
        <w:left w:val="none" w:sz="0" w:space="0" w:color="auto"/>
        <w:bottom w:val="none" w:sz="0" w:space="0" w:color="auto"/>
        <w:right w:val="none" w:sz="0" w:space="0" w:color="auto"/>
      </w:divBdr>
    </w:div>
    <w:div w:id="1482842917">
      <w:bodyDiv w:val="1"/>
      <w:marLeft w:val="0"/>
      <w:marRight w:val="0"/>
      <w:marTop w:val="0"/>
      <w:marBottom w:val="0"/>
      <w:divBdr>
        <w:top w:val="none" w:sz="0" w:space="0" w:color="auto"/>
        <w:left w:val="none" w:sz="0" w:space="0" w:color="auto"/>
        <w:bottom w:val="none" w:sz="0" w:space="0" w:color="auto"/>
        <w:right w:val="none" w:sz="0" w:space="0" w:color="auto"/>
      </w:divBdr>
    </w:div>
    <w:div w:id="1490092808">
      <w:bodyDiv w:val="1"/>
      <w:marLeft w:val="0"/>
      <w:marRight w:val="0"/>
      <w:marTop w:val="0"/>
      <w:marBottom w:val="0"/>
      <w:divBdr>
        <w:top w:val="none" w:sz="0" w:space="0" w:color="auto"/>
        <w:left w:val="none" w:sz="0" w:space="0" w:color="auto"/>
        <w:bottom w:val="none" w:sz="0" w:space="0" w:color="auto"/>
        <w:right w:val="none" w:sz="0" w:space="0" w:color="auto"/>
      </w:divBdr>
    </w:div>
    <w:div w:id="1511719731">
      <w:bodyDiv w:val="1"/>
      <w:marLeft w:val="0"/>
      <w:marRight w:val="0"/>
      <w:marTop w:val="0"/>
      <w:marBottom w:val="0"/>
      <w:divBdr>
        <w:top w:val="none" w:sz="0" w:space="0" w:color="auto"/>
        <w:left w:val="none" w:sz="0" w:space="0" w:color="auto"/>
        <w:bottom w:val="none" w:sz="0" w:space="0" w:color="auto"/>
        <w:right w:val="none" w:sz="0" w:space="0" w:color="auto"/>
      </w:divBdr>
    </w:div>
    <w:div w:id="1511947555">
      <w:bodyDiv w:val="1"/>
      <w:marLeft w:val="0"/>
      <w:marRight w:val="0"/>
      <w:marTop w:val="0"/>
      <w:marBottom w:val="0"/>
      <w:divBdr>
        <w:top w:val="none" w:sz="0" w:space="0" w:color="auto"/>
        <w:left w:val="none" w:sz="0" w:space="0" w:color="auto"/>
        <w:bottom w:val="none" w:sz="0" w:space="0" w:color="auto"/>
        <w:right w:val="none" w:sz="0" w:space="0" w:color="auto"/>
      </w:divBdr>
    </w:div>
    <w:div w:id="1523856374">
      <w:bodyDiv w:val="1"/>
      <w:marLeft w:val="0"/>
      <w:marRight w:val="0"/>
      <w:marTop w:val="0"/>
      <w:marBottom w:val="0"/>
      <w:divBdr>
        <w:top w:val="none" w:sz="0" w:space="0" w:color="auto"/>
        <w:left w:val="none" w:sz="0" w:space="0" w:color="auto"/>
        <w:bottom w:val="none" w:sz="0" w:space="0" w:color="auto"/>
        <w:right w:val="none" w:sz="0" w:space="0" w:color="auto"/>
      </w:divBdr>
    </w:div>
    <w:div w:id="1605649938">
      <w:bodyDiv w:val="1"/>
      <w:marLeft w:val="0"/>
      <w:marRight w:val="0"/>
      <w:marTop w:val="0"/>
      <w:marBottom w:val="0"/>
      <w:divBdr>
        <w:top w:val="none" w:sz="0" w:space="0" w:color="auto"/>
        <w:left w:val="none" w:sz="0" w:space="0" w:color="auto"/>
        <w:bottom w:val="none" w:sz="0" w:space="0" w:color="auto"/>
        <w:right w:val="none" w:sz="0" w:space="0" w:color="auto"/>
      </w:divBdr>
    </w:div>
    <w:div w:id="1606384484">
      <w:bodyDiv w:val="1"/>
      <w:marLeft w:val="0"/>
      <w:marRight w:val="0"/>
      <w:marTop w:val="0"/>
      <w:marBottom w:val="0"/>
      <w:divBdr>
        <w:top w:val="none" w:sz="0" w:space="0" w:color="auto"/>
        <w:left w:val="none" w:sz="0" w:space="0" w:color="auto"/>
        <w:bottom w:val="none" w:sz="0" w:space="0" w:color="auto"/>
        <w:right w:val="none" w:sz="0" w:space="0" w:color="auto"/>
      </w:divBdr>
    </w:div>
    <w:div w:id="1667128537">
      <w:bodyDiv w:val="1"/>
      <w:marLeft w:val="0"/>
      <w:marRight w:val="0"/>
      <w:marTop w:val="0"/>
      <w:marBottom w:val="0"/>
      <w:divBdr>
        <w:top w:val="none" w:sz="0" w:space="0" w:color="auto"/>
        <w:left w:val="none" w:sz="0" w:space="0" w:color="auto"/>
        <w:bottom w:val="none" w:sz="0" w:space="0" w:color="auto"/>
        <w:right w:val="none" w:sz="0" w:space="0" w:color="auto"/>
      </w:divBdr>
    </w:div>
    <w:div w:id="1667247292">
      <w:bodyDiv w:val="1"/>
      <w:marLeft w:val="0"/>
      <w:marRight w:val="0"/>
      <w:marTop w:val="0"/>
      <w:marBottom w:val="0"/>
      <w:divBdr>
        <w:top w:val="none" w:sz="0" w:space="0" w:color="auto"/>
        <w:left w:val="none" w:sz="0" w:space="0" w:color="auto"/>
        <w:bottom w:val="none" w:sz="0" w:space="0" w:color="auto"/>
        <w:right w:val="none" w:sz="0" w:space="0" w:color="auto"/>
      </w:divBdr>
    </w:div>
    <w:div w:id="1807965334">
      <w:bodyDiv w:val="1"/>
      <w:marLeft w:val="0"/>
      <w:marRight w:val="0"/>
      <w:marTop w:val="0"/>
      <w:marBottom w:val="0"/>
      <w:divBdr>
        <w:top w:val="none" w:sz="0" w:space="0" w:color="auto"/>
        <w:left w:val="none" w:sz="0" w:space="0" w:color="auto"/>
        <w:bottom w:val="none" w:sz="0" w:space="0" w:color="auto"/>
        <w:right w:val="none" w:sz="0" w:space="0" w:color="auto"/>
      </w:divBdr>
    </w:div>
    <w:div w:id="1813790258">
      <w:bodyDiv w:val="1"/>
      <w:marLeft w:val="0"/>
      <w:marRight w:val="0"/>
      <w:marTop w:val="0"/>
      <w:marBottom w:val="0"/>
      <w:divBdr>
        <w:top w:val="none" w:sz="0" w:space="0" w:color="auto"/>
        <w:left w:val="none" w:sz="0" w:space="0" w:color="auto"/>
        <w:bottom w:val="none" w:sz="0" w:space="0" w:color="auto"/>
        <w:right w:val="none" w:sz="0" w:space="0" w:color="auto"/>
      </w:divBdr>
    </w:div>
    <w:div w:id="1864394591">
      <w:bodyDiv w:val="1"/>
      <w:marLeft w:val="0"/>
      <w:marRight w:val="0"/>
      <w:marTop w:val="0"/>
      <w:marBottom w:val="0"/>
      <w:divBdr>
        <w:top w:val="none" w:sz="0" w:space="0" w:color="auto"/>
        <w:left w:val="none" w:sz="0" w:space="0" w:color="auto"/>
        <w:bottom w:val="none" w:sz="0" w:space="0" w:color="auto"/>
        <w:right w:val="none" w:sz="0" w:space="0" w:color="auto"/>
      </w:divBdr>
    </w:div>
    <w:div w:id="1924684511">
      <w:bodyDiv w:val="1"/>
      <w:marLeft w:val="0"/>
      <w:marRight w:val="0"/>
      <w:marTop w:val="0"/>
      <w:marBottom w:val="0"/>
      <w:divBdr>
        <w:top w:val="none" w:sz="0" w:space="0" w:color="auto"/>
        <w:left w:val="none" w:sz="0" w:space="0" w:color="auto"/>
        <w:bottom w:val="none" w:sz="0" w:space="0" w:color="auto"/>
        <w:right w:val="none" w:sz="0" w:space="0" w:color="auto"/>
      </w:divBdr>
    </w:div>
    <w:div w:id="1933931020">
      <w:bodyDiv w:val="1"/>
      <w:marLeft w:val="0"/>
      <w:marRight w:val="0"/>
      <w:marTop w:val="0"/>
      <w:marBottom w:val="0"/>
      <w:divBdr>
        <w:top w:val="none" w:sz="0" w:space="0" w:color="auto"/>
        <w:left w:val="none" w:sz="0" w:space="0" w:color="auto"/>
        <w:bottom w:val="none" w:sz="0" w:space="0" w:color="auto"/>
        <w:right w:val="none" w:sz="0" w:space="0" w:color="auto"/>
      </w:divBdr>
    </w:div>
    <w:div w:id="1953434916">
      <w:bodyDiv w:val="1"/>
      <w:marLeft w:val="0"/>
      <w:marRight w:val="0"/>
      <w:marTop w:val="0"/>
      <w:marBottom w:val="0"/>
      <w:divBdr>
        <w:top w:val="none" w:sz="0" w:space="0" w:color="auto"/>
        <w:left w:val="none" w:sz="0" w:space="0" w:color="auto"/>
        <w:bottom w:val="none" w:sz="0" w:space="0" w:color="auto"/>
        <w:right w:val="none" w:sz="0" w:space="0" w:color="auto"/>
      </w:divBdr>
    </w:div>
    <w:div w:id="1973365494">
      <w:bodyDiv w:val="1"/>
      <w:marLeft w:val="0"/>
      <w:marRight w:val="0"/>
      <w:marTop w:val="0"/>
      <w:marBottom w:val="0"/>
      <w:divBdr>
        <w:top w:val="none" w:sz="0" w:space="0" w:color="auto"/>
        <w:left w:val="none" w:sz="0" w:space="0" w:color="auto"/>
        <w:bottom w:val="none" w:sz="0" w:space="0" w:color="auto"/>
        <w:right w:val="none" w:sz="0" w:space="0" w:color="auto"/>
      </w:divBdr>
    </w:div>
    <w:div w:id="2023167580">
      <w:bodyDiv w:val="1"/>
      <w:marLeft w:val="0"/>
      <w:marRight w:val="0"/>
      <w:marTop w:val="0"/>
      <w:marBottom w:val="0"/>
      <w:divBdr>
        <w:top w:val="none" w:sz="0" w:space="0" w:color="auto"/>
        <w:left w:val="none" w:sz="0" w:space="0" w:color="auto"/>
        <w:bottom w:val="none" w:sz="0" w:space="0" w:color="auto"/>
        <w:right w:val="none" w:sz="0" w:space="0" w:color="auto"/>
      </w:divBdr>
    </w:div>
    <w:div w:id="2025814256">
      <w:bodyDiv w:val="1"/>
      <w:marLeft w:val="0"/>
      <w:marRight w:val="0"/>
      <w:marTop w:val="0"/>
      <w:marBottom w:val="0"/>
      <w:divBdr>
        <w:top w:val="none" w:sz="0" w:space="0" w:color="auto"/>
        <w:left w:val="none" w:sz="0" w:space="0" w:color="auto"/>
        <w:bottom w:val="none" w:sz="0" w:space="0" w:color="auto"/>
        <w:right w:val="none" w:sz="0" w:space="0" w:color="auto"/>
      </w:divBdr>
    </w:div>
    <w:div w:id="2090031210">
      <w:bodyDiv w:val="1"/>
      <w:marLeft w:val="0"/>
      <w:marRight w:val="0"/>
      <w:marTop w:val="0"/>
      <w:marBottom w:val="0"/>
      <w:divBdr>
        <w:top w:val="none" w:sz="0" w:space="0" w:color="auto"/>
        <w:left w:val="none" w:sz="0" w:space="0" w:color="auto"/>
        <w:bottom w:val="none" w:sz="0" w:space="0" w:color="auto"/>
        <w:right w:val="none" w:sz="0" w:space="0" w:color="auto"/>
      </w:divBdr>
    </w:div>
    <w:div w:id="2106267930">
      <w:bodyDiv w:val="1"/>
      <w:marLeft w:val="0"/>
      <w:marRight w:val="0"/>
      <w:marTop w:val="0"/>
      <w:marBottom w:val="0"/>
      <w:divBdr>
        <w:top w:val="none" w:sz="0" w:space="0" w:color="auto"/>
        <w:left w:val="none" w:sz="0" w:space="0" w:color="auto"/>
        <w:bottom w:val="none" w:sz="0" w:space="0" w:color="auto"/>
        <w:right w:val="none" w:sz="0" w:space="0" w:color="auto"/>
      </w:divBdr>
    </w:div>
    <w:div w:id="213490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emf"/><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about/service-standards-and-principles/transparency/how-access-commission-documents_fr" TargetMode="External"/><Relationship Id="rId13" Type="http://schemas.openxmlformats.org/officeDocument/2006/relationships/hyperlink" Target="https://www.ombudsman.europa.eu/fr/case/fr/64691" TargetMode="External"/><Relationship Id="rId3" Type="http://schemas.openxmlformats.org/officeDocument/2006/relationships/hyperlink" Target="https://commission.europa.eu/priorities-2024-2029/democracy-and-our-values_fr" TargetMode="External"/><Relationship Id="rId7" Type="http://schemas.openxmlformats.org/officeDocument/2006/relationships/hyperlink" Target="http://data.europa.eu/eli/dec/2024/3080/oj" TargetMode="External"/><Relationship Id="rId12" Type="http://schemas.openxmlformats.org/officeDocument/2006/relationships/hyperlink" Target="https://www.ombudsman.europa.eu/fr/case/fr/66373" TargetMode="External"/><Relationship Id="rId17" Type="http://schemas.openxmlformats.org/officeDocument/2006/relationships/hyperlink" Target="https://www.ombudsman.europa.eu/fr/case/fr/67261" TargetMode="External"/><Relationship Id="rId2" Type="http://schemas.openxmlformats.org/officeDocument/2006/relationships/hyperlink" Target="https://commission.europa.eu/about/organisation/college-commissioners_en" TargetMode="External"/><Relationship Id="rId16" Type="http://schemas.openxmlformats.org/officeDocument/2006/relationships/hyperlink" Target="https://www.ombudsman.europa.eu/fr/case/fr/68195" TargetMode="External"/><Relationship Id="rId1" Type="http://schemas.openxmlformats.org/officeDocument/2006/relationships/hyperlink" Target="https://commission.europa.eu/document/download/e6cd4328-673c-4e7a-8683-f63ffb2cf648_fr" TargetMode="External"/><Relationship Id="rId6" Type="http://schemas.openxmlformats.org/officeDocument/2006/relationships/hyperlink" Target="https://eur-lex.europa.eu/homepage.html?locale=fr" TargetMode="External"/><Relationship Id="rId11" Type="http://schemas.openxmlformats.org/officeDocument/2006/relationships/hyperlink" Target="https://www.ombudsman.europa.eu/fr/case/fr/65469" TargetMode="External"/><Relationship Id="rId5" Type="http://schemas.openxmlformats.org/officeDocument/2006/relationships/hyperlink" Target="https://commission.europa.eu/about/service-standards-and-principles/transparency/how-access-commission-documents_fr" TargetMode="External"/><Relationship Id="rId15" Type="http://schemas.openxmlformats.org/officeDocument/2006/relationships/hyperlink" Target="https://www.ombudsman.europa.eu/fr/case/fr/67020" TargetMode="External"/><Relationship Id="rId10" Type="http://schemas.openxmlformats.org/officeDocument/2006/relationships/hyperlink" Target="https://www.ombudsman.europa.eu/fr/case/fr/64317" TargetMode="External"/><Relationship Id="rId4" Type="http://schemas.openxmlformats.org/officeDocument/2006/relationships/hyperlink" Target="https://ec.europa.eu/transparency/documents-request/home" TargetMode="External"/><Relationship Id="rId9" Type="http://schemas.openxmlformats.org/officeDocument/2006/relationships/hyperlink" Target="https://ec.europa.eu/transparency/documents-register/" TargetMode="External"/><Relationship Id="rId14" Type="http://schemas.openxmlformats.org/officeDocument/2006/relationships/hyperlink" Target="https://www.ombudsman.europa.eu/fr/case/fr/669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C115A-3150-4BD2-898B-4B75EE6E4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12</Pages>
  <Words>2021</Words>
  <Characters>11521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13515</CharactersWithSpaces>
  <SharedDoc>false</SharedDoc>
  <HLinks>
    <vt:vector size="114" baseType="variant">
      <vt:variant>
        <vt:i4>2031667</vt:i4>
      </vt:variant>
      <vt:variant>
        <vt:i4>86</vt:i4>
      </vt:variant>
      <vt:variant>
        <vt:i4>0</vt:i4>
      </vt:variant>
      <vt:variant>
        <vt:i4>5</vt:i4>
      </vt:variant>
      <vt:variant>
        <vt:lpwstr/>
      </vt:variant>
      <vt:variant>
        <vt:lpwstr>_Toc132738343</vt:lpwstr>
      </vt:variant>
      <vt:variant>
        <vt:i4>2031667</vt:i4>
      </vt:variant>
      <vt:variant>
        <vt:i4>80</vt:i4>
      </vt:variant>
      <vt:variant>
        <vt:i4>0</vt:i4>
      </vt:variant>
      <vt:variant>
        <vt:i4>5</vt:i4>
      </vt:variant>
      <vt:variant>
        <vt:lpwstr/>
      </vt:variant>
      <vt:variant>
        <vt:lpwstr>_Toc132738342</vt:lpwstr>
      </vt:variant>
      <vt:variant>
        <vt:i4>2031667</vt:i4>
      </vt:variant>
      <vt:variant>
        <vt:i4>74</vt:i4>
      </vt:variant>
      <vt:variant>
        <vt:i4>0</vt:i4>
      </vt:variant>
      <vt:variant>
        <vt:i4>5</vt:i4>
      </vt:variant>
      <vt:variant>
        <vt:lpwstr/>
      </vt:variant>
      <vt:variant>
        <vt:lpwstr>_Toc132738341</vt:lpwstr>
      </vt:variant>
      <vt:variant>
        <vt:i4>2031667</vt:i4>
      </vt:variant>
      <vt:variant>
        <vt:i4>68</vt:i4>
      </vt:variant>
      <vt:variant>
        <vt:i4>0</vt:i4>
      </vt:variant>
      <vt:variant>
        <vt:i4>5</vt:i4>
      </vt:variant>
      <vt:variant>
        <vt:lpwstr/>
      </vt:variant>
      <vt:variant>
        <vt:lpwstr>_Toc132738340</vt:lpwstr>
      </vt:variant>
      <vt:variant>
        <vt:i4>1572915</vt:i4>
      </vt:variant>
      <vt:variant>
        <vt:i4>62</vt:i4>
      </vt:variant>
      <vt:variant>
        <vt:i4>0</vt:i4>
      </vt:variant>
      <vt:variant>
        <vt:i4>5</vt:i4>
      </vt:variant>
      <vt:variant>
        <vt:lpwstr/>
      </vt:variant>
      <vt:variant>
        <vt:lpwstr>_Toc132738339</vt:lpwstr>
      </vt:variant>
      <vt:variant>
        <vt:i4>1572915</vt:i4>
      </vt:variant>
      <vt:variant>
        <vt:i4>56</vt:i4>
      </vt:variant>
      <vt:variant>
        <vt:i4>0</vt:i4>
      </vt:variant>
      <vt:variant>
        <vt:i4>5</vt:i4>
      </vt:variant>
      <vt:variant>
        <vt:lpwstr/>
      </vt:variant>
      <vt:variant>
        <vt:lpwstr>_Toc132738338</vt:lpwstr>
      </vt:variant>
      <vt:variant>
        <vt:i4>1572915</vt:i4>
      </vt:variant>
      <vt:variant>
        <vt:i4>50</vt:i4>
      </vt:variant>
      <vt:variant>
        <vt:i4>0</vt:i4>
      </vt:variant>
      <vt:variant>
        <vt:i4>5</vt:i4>
      </vt:variant>
      <vt:variant>
        <vt:lpwstr/>
      </vt:variant>
      <vt:variant>
        <vt:lpwstr>_Toc132738337</vt:lpwstr>
      </vt:variant>
      <vt:variant>
        <vt:i4>1572915</vt:i4>
      </vt:variant>
      <vt:variant>
        <vt:i4>44</vt:i4>
      </vt:variant>
      <vt:variant>
        <vt:i4>0</vt:i4>
      </vt:variant>
      <vt:variant>
        <vt:i4>5</vt:i4>
      </vt:variant>
      <vt:variant>
        <vt:lpwstr/>
      </vt:variant>
      <vt:variant>
        <vt:lpwstr>_Toc132738336</vt:lpwstr>
      </vt:variant>
      <vt:variant>
        <vt:i4>1572915</vt:i4>
      </vt:variant>
      <vt:variant>
        <vt:i4>38</vt:i4>
      </vt:variant>
      <vt:variant>
        <vt:i4>0</vt:i4>
      </vt:variant>
      <vt:variant>
        <vt:i4>5</vt:i4>
      </vt:variant>
      <vt:variant>
        <vt:lpwstr/>
      </vt:variant>
      <vt:variant>
        <vt:lpwstr>_Toc132738335</vt:lpwstr>
      </vt:variant>
      <vt:variant>
        <vt:i4>1572915</vt:i4>
      </vt:variant>
      <vt:variant>
        <vt:i4>32</vt:i4>
      </vt:variant>
      <vt:variant>
        <vt:i4>0</vt:i4>
      </vt:variant>
      <vt:variant>
        <vt:i4>5</vt:i4>
      </vt:variant>
      <vt:variant>
        <vt:lpwstr/>
      </vt:variant>
      <vt:variant>
        <vt:lpwstr>_Toc132738334</vt:lpwstr>
      </vt:variant>
      <vt:variant>
        <vt:i4>1572915</vt:i4>
      </vt:variant>
      <vt:variant>
        <vt:i4>26</vt:i4>
      </vt:variant>
      <vt:variant>
        <vt:i4>0</vt:i4>
      </vt:variant>
      <vt:variant>
        <vt:i4>5</vt:i4>
      </vt:variant>
      <vt:variant>
        <vt:lpwstr/>
      </vt:variant>
      <vt:variant>
        <vt:lpwstr>_Toc132738333</vt:lpwstr>
      </vt:variant>
      <vt:variant>
        <vt:i4>1572915</vt:i4>
      </vt:variant>
      <vt:variant>
        <vt:i4>20</vt:i4>
      </vt:variant>
      <vt:variant>
        <vt:i4>0</vt:i4>
      </vt:variant>
      <vt:variant>
        <vt:i4>5</vt:i4>
      </vt:variant>
      <vt:variant>
        <vt:lpwstr/>
      </vt:variant>
      <vt:variant>
        <vt:lpwstr>_Toc132738332</vt:lpwstr>
      </vt:variant>
      <vt:variant>
        <vt:i4>1572915</vt:i4>
      </vt:variant>
      <vt:variant>
        <vt:i4>14</vt:i4>
      </vt:variant>
      <vt:variant>
        <vt:i4>0</vt:i4>
      </vt:variant>
      <vt:variant>
        <vt:i4>5</vt:i4>
      </vt:variant>
      <vt:variant>
        <vt:lpwstr/>
      </vt:variant>
      <vt:variant>
        <vt:lpwstr>_Toc132738331</vt:lpwstr>
      </vt:variant>
      <vt:variant>
        <vt:i4>1572915</vt:i4>
      </vt:variant>
      <vt:variant>
        <vt:i4>8</vt:i4>
      </vt:variant>
      <vt:variant>
        <vt:i4>0</vt:i4>
      </vt:variant>
      <vt:variant>
        <vt:i4>5</vt:i4>
      </vt:variant>
      <vt:variant>
        <vt:lpwstr/>
      </vt:variant>
      <vt:variant>
        <vt:lpwstr>_Toc132738330</vt:lpwstr>
      </vt:variant>
      <vt:variant>
        <vt:i4>1638451</vt:i4>
      </vt:variant>
      <vt:variant>
        <vt:i4>2</vt:i4>
      </vt:variant>
      <vt:variant>
        <vt:i4>0</vt:i4>
      </vt:variant>
      <vt:variant>
        <vt:i4>5</vt:i4>
      </vt:variant>
      <vt:variant>
        <vt:lpwstr/>
      </vt:variant>
      <vt:variant>
        <vt:lpwstr>_Toc132738329</vt:lpwstr>
      </vt:variant>
      <vt:variant>
        <vt:i4>2883668</vt:i4>
      </vt:variant>
      <vt:variant>
        <vt:i4>9</vt:i4>
      </vt:variant>
      <vt:variant>
        <vt:i4>0</vt:i4>
      </vt:variant>
      <vt:variant>
        <vt:i4>5</vt:i4>
      </vt:variant>
      <vt:variant>
        <vt:lpwstr>https://commission.europa.eu/about-european-commission/service-standards-and-principles/transparency/access-documents_en</vt:lpwstr>
      </vt:variant>
      <vt:variant>
        <vt:lpwstr/>
      </vt:variant>
      <vt:variant>
        <vt:i4>6881302</vt:i4>
      </vt:variant>
      <vt:variant>
        <vt:i4>6</vt:i4>
      </vt:variant>
      <vt:variant>
        <vt:i4>0</vt:i4>
      </vt:variant>
      <vt:variant>
        <vt:i4>5</vt:i4>
      </vt:variant>
      <vt:variant>
        <vt:lpwstr>https://commission.europa.eu/about-european-commission/service-standards-and-principles/transparency/access-documents/how-access-commission-documents_en</vt:lpwstr>
      </vt:variant>
      <vt:variant>
        <vt:lpwstr/>
      </vt:variant>
      <vt:variant>
        <vt:i4>8126498</vt:i4>
      </vt:variant>
      <vt:variant>
        <vt:i4>3</vt:i4>
      </vt:variant>
      <vt:variant>
        <vt:i4>0</vt:i4>
      </vt:variant>
      <vt:variant>
        <vt:i4>5</vt:i4>
      </vt:variant>
      <vt:variant>
        <vt:lpwstr>https://www.ec.europa.eu/transparency/documents-request</vt:lpwstr>
      </vt:variant>
      <vt:variant>
        <vt:lpwstr/>
      </vt:variant>
      <vt:variant>
        <vt:i4>8192013</vt:i4>
      </vt:variant>
      <vt:variant>
        <vt:i4>0</vt:i4>
      </vt:variant>
      <vt:variant>
        <vt:i4>0</vt:i4>
      </vt:variant>
      <vt:variant>
        <vt:i4>5</vt:i4>
      </vt:variant>
      <vt:variant>
        <vt:lpwstr>https://commission.europa.eu/strategy-and-policy/priorities-2019-2024/new-push-european-democracy_en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2026-05-04T15:07:00Z</dcterms:created>
  <dcterms:modified xsi:type="dcterms:W3CDTF">2026-06-10T16:06:00Z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2025-02-27T10:53:56Z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b074366e-a599-4e8a-b21c-f4db8fc95b39</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CP-003</vt:lpwstr>
  </property>
</Properties>
</file>