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56515D" w14:textId="767707EB" w:rsidR="00B9074F" w:rsidRDefault="00171830" w:rsidP="00171830">
      <w:pPr>
        <w:pStyle w:val="Pagedecouverture"/>
        <w:rPr>
          <w:noProof/>
        </w:rPr>
      </w:pPr>
      <w:bookmarkStart w:id="0" w:name="LW_BM_COVERPAGE"/>
      <w:r>
        <w:rPr>
          <w:noProof/>
        </w:rPr>
        <w:pict w14:anchorId="6BABF6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E2406701-9EBD-4182-A44C-52D97FEE6859" style="width:455.25pt;height:286.5pt">
            <v:imagedata r:id="rId8" o:title=""/>
          </v:shape>
        </w:pict>
      </w:r>
    </w:p>
    <w:bookmarkEnd w:id="0"/>
    <w:p w14:paraId="227C4C35" w14:textId="77777777" w:rsidR="00B9074F" w:rsidRDefault="00B9074F" w:rsidP="00B9074F">
      <w:pPr>
        <w:rPr>
          <w:noProof/>
        </w:rPr>
        <w:sectPr w:rsidR="00B9074F" w:rsidSect="00171830">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asciiTheme="minorHAnsi" w:eastAsiaTheme="minorHAnsi" w:hAnsiTheme="minorHAnsi" w:cstheme="minorBidi"/>
          <w:b w:val="0"/>
          <w:noProof/>
          <w:sz w:val="22"/>
          <w:szCs w:val="22"/>
        </w:rPr>
        <w:id w:val="-2145805868"/>
        <w:docPartObj>
          <w:docPartGallery w:val="Table of Contents"/>
          <w:docPartUnique/>
        </w:docPartObj>
      </w:sdtPr>
      <w:sdtEndPr>
        <w:rPr>
          <w:bCs/>
        </w:rPr>
      </w:sdtEndPr>
      <w:sdtContent>
        <w:p w14:paraId="158444A1" w14:textId="77777777" w:rsidR="005E2753" w:rsidRPr="00746C2C" w:rsidRDefault="005E2753" w:rsidP="005E2753">
          <w:pPr>
            <w:pStyle w:val="TOCHeading"/>
            <w:rPr>
              <w:noProof/>
            </w:rPr>
          </w:pPr>
          <w:r>
            <w:rPr>
              <w:noProof/>
            </w:rPr>
            <w:t>Cuprins</w:t>
          </w:r>
        </w:p>
        <w:p w14:paraId="7D211A2B" w14:textId="04A4FA50" w:rsidR="007A00E7" w:rsidRDefault="005E2753">
          <w:pPr>
            <w:pStyle w:val="TOC1"/>
            <w:rPr>
              <w:rFonts w:asciiTheme="minorHAnsi" w:eastAsiaTheme="minorEastAsia" w:hAnsiTheme="minorHAnsi" w:cstheme="minorBidi"/>
              <w:noProof/>
              <w:kern w:val="2"/>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30882799" w:history="1">
            <w:r w:rsidR="007A00E7" w:rsidRPr="00E14B4A">
              <w:rPr>
                <w:rStyle w:val="Hyperlink"/>
                <w:noProof/>
              </w:rPr>
              <w:t>1.</w:t>
            </w:r>
            <w:r w:rsidR="007A00E7">
              <w:rPr>
                <w:rFonts w:asciiTheme="minorHAnsi" w:eastAsiaTheme="minorEastAsia" w:hAnsiTheme="minorHAnsi" w:cstheme="minorBidi"/>
                <w:noProof/>
                <w:kern w:val="2"/>
                <w:lang w:val="en-IE" w:eastAsia="en-IE"/>
                <w14:ligatures w14:val="standardContextual"/>
              </w:rPr>
              <w:tab/>
            </w:r>
            <w:r w:rsidR="007A00E7" w:rsidRPr="00E14B4A">
              <w:rPr>
                <w:rStyle w:val="Hyperlink"/>
                <w:noProof/>
              </w:rPr>
              <w:t>Introducere</w:t>
            </w:r>
            <w:r w:rsidR="007A00E7">
              <w:rPr>
                <w:noProof/>
                <w:webHidden/>
              </w:rPr>
              <w:tab/>
            </w:r>
            <w:r w:rsidR="007A00E7">
              <w:rPr>
                <w:noProof/>
                <w:webHidden/>
              </w:rPr>
              <w:fldChar w:fldCharType="begin"/>
            </w:r>
            <w:r w:rsidR="007A00E7">
              <w:rPr>
                <w:noProof/>
                <w:webHidden/>
              </w:rPr>
              <w:instrText xml:space="preserve"> PAGEREF _Toc230882799 \h </w:instrText>
            </w:r>
            <w:r w:rsidR="007A00E7">
              <w:rPr>
                <w:noProof/>
                <w:webHidden/>
              </w:rPr>
            </w:r>
            <w:r w:rsidR="007A00E7">
              <w:rPr>
                <w:noProof/>
                <w:webHidden/>
              </w:rPr>
              <w:fldChar w:fldCharType="separate"/>
            </w:r>
            <w:r w:rsidR="000E2841">
              <w:rPr>
                <w:noProof/>
                <w:webHidden/>
              </w:rPr>
              <w:t>2</w:t>
            </w:r>
            <w:r w:rsidR="007A00E7">
              <w:rPr>
                <w:noProof/>
                <w:webHidden/>
              </w:rPr>
              <w:fldChar w:fldCharType="end"/>
            </w:r>
          </w:hyperlink>
        </w:p>
        <w:p w14:paraId="79F5E565" w14:textId="4821749C" w:rsidR="007A00E7" w:rsidRDefault="00171830">
          <w:pPr>
            <w:pStyle w:val="TOC1"/>
            <w:rPr>
              <w:rFonts w:asciiTheme="minorHAnsi" w:eastAsiaTheme="minorEastAsia" w:hAnsiTheme="minorHAnsi" w:cstheme="minorBidi"/>
              <w:noProof/>
              <w:kern w:val="2"/>
              <w:lang w:val="en-IE" w:eastAsia="en-IE"/>
              <w14:ligatures w14:val="standardContextual"/>
            </w:rPr>
          </w:pPr>
          <w:hyperlink w:anchor="_Toc230882800" w:history="1">
            <w:r w:rsidR="007A00E7" w:rsidRPr="00E14B4A">
              <w:rPr>
                <w:rStyle w:val="Hyperlink"/>
                <w:noProof/>
              </w:rPr>
              <w:t>2.</w:t>
            </w:r>
            <w:r w:rsidR="007A00E7">
              <w:rPr>
                <w:rFonts w:asciiTheme="minorHAnsi" w:eastAsiaTheme="minorEastAsia" w:hAnsiTheme="minorHAnsi" w:cstheme="minorBidi"/>
                <w:noProof/>
                <w:kern w:val="2"/>
                <w:lang w:val="en-IE" w:eastAsia="en-IE"/>
                <w14:ligatures w14:val="standardContextual"/>
              </w:rPr>
              <w:tab/>
            </w:r>
            <w:r w:rsidR="007A00E7" w:rsidRPr="00E14B4A">
              <w:rPr>
                <w:rStyle w:val="Hyperlink"/>
                <w:noProof/>
              </w:rPr>
              <w:t>Punerea la dispoziție online și prin intermediul registrelor a informațiilor și documentelor</w:t>
            </w:r>
            <w:r w:rsidR="007A00E7">
              <w:rPr>
                <w:noProof/>
                <w:webHidden/>
              </w:rPr>
              <w:tab/>
            </w:r>
            <w:r w:rsidR="007A00E7">
              <w:rPr>
                <w:noProof/>
                <w:webHidden/>
              </w:rPr>
              <w:fldChar w:fldCharType="begin"/>
            </w:r>
            <w:r w:rsidR="007A00E7">
              <w:rPr>
                <w:noProof/>
                <w:webHidden/>
              </w:rPr>
              <w:instrText xml:space="preserve"> PAGEREF _Toc230882800 \h </w:instrText>
            </w:r>
            <w:r w:rsidR="007A00E7">
              <w:rPr>
                <w:noProof/>
                <w:webHidden/>
              </w:rPr>
            </w:r>
            <w:r w:rsidR="007A00E7">
              <w:rPr>
                <w:noProof/>
                <w:webHidden/>
              </w:rPr>
              <w:fldChar w:fldCharType="separate"/>
            </w:r>
            <w:r w:rsidR="000E2841">
              <w:rPr>
                <w:noProof/>
                <w:webHidden/>
              </w:rPr>
              <w:t>3</w:t>
            </w:r>
            <w:r w:rsidR="007A00E7">
              <w:rPr>
                <w:noProof/>
                <w:webHidden/>
              </w:rPr>
              <w:fldChar w:fldCharType="end"/>
            </w:r>
          </w:hyperlink>
        </w:p>
        <w:p w14:paraId="696E449B" w14:textId="7E5B9642" w:rsidR="007A00E7" w:rsidRDefault="00171830">
          <w:pPr>
            <w:pStyle w:val="TOC1"/>
            <w:rPr>
              <w:rFonts w:asciiTheme="minorHAnsi" w:eastAsiaTheme="minorEastAsia" w:hAnsiTheme="minorHAnsi" w:cstheme="minorBidi"/>
              <w:noProof/>
              <w:kern w:val="2"/>
              <w:lang w:val="en-IE" w:eastAsia="en-IE"/>
              <w14:ligatures w14:val="standardContextual"/>
            </w:rPr>
          </w:pPr>
          <w:hyperlink w:anchor="_Toc230882801" w:history="1">
            <w:r w:rsidR="007A00E7" w:rsidRPr="00E14B4A">
              <w:rPr>
                <w:rStyle w:val="Hyperlink"/>
                <w:noProof/>
              </w:rPr>
              <w:t>3.</w:t>
            </w:r>
            <w:r w:rsidR="007A00E7">
              <w:rPr>
                <w:rFonts w:asciiTheme="minorHAnsi" w:eastAsiaTheme="minorEastAsia" w:hAnsiTheme="minorHAnsi" w:cstheme="minorBidi"/>
                <w:noProof/>
                <w:kern w:val="2"/>
                <w:lang w:val="en-IE" w:eastAsia="en-IE"/>
                <w14:ligatures w14:val="standardContextual"/>
              </w:rPr>
              <w:tab/>
            </w:r>
            <w:r w:rsidR="007A00E7" w:rsidRPr="00E14B4A">
              <w:rPr>
                <w:rStyle w:val="Hyperlink"/>
                <w:noProof/>
              </w:rPr>
              <w:t>Analiza cererilor de acces la documente</w:t>
            </w:r>
            <w:r w:rsidR="007A00E7">
              <w:rPr>
                <w:noProof/>
                <w:webHidden/>
              </w:rPr>
              <w:tab/>
            </w:r>
            <w:r w:rsidR="007A00E7">
              <w:rPr>
                <w:noProof/>
                <w:webHidden/>
              </w:rPr>
              <w:fldChar w:fldCharType="begin"/>
            </w:r>
            <w:r w:rsidR="007A00E7">
              <w:rPr>
                <w:noProof/>
                <w:webHidden/>
              </w:rPr>
              <w:instrText xml:space="preserve"> PAGEREF _Toc230882801 \h </w:instrText>
            </w:r>
            <w:r w:rsidR="007A00E7">
              <w:rPr>
                <w:noProof/>
                <w:webHidden/>
              </w:rPr>
            </w:r>
            <w:r w:rsidR="007A00E7">
              <w:rPr>
                <w:noProof/>
                <w:webHidden/>
              </w:rPr>
              <w:fldChar w:fldCharType="separate"/>
            </w:r>
            <w:r w:rsidR="000E2841">
              <w:rPr>
                <w:noProof/>
                <w:webHidden/>
              </w:rPr>
              <w:t>4</w:t>
            </w:r>
            <w:r w:rsidR="007A00E7">
              <w:rPr>
                <w:noProof/>
                <w:webHidden/>
              </w:rPr>
              <w:fldChar w:fldCharType="end"/>
            </w:r>
          </w:hyperlink>
        </w:p>
        <w:p w14:paraId="464AE452" w14:textId="2D0AD159" w:rsidR="007A00E7" w:rsidRDefault="00171830" w:rsidP="007A00E7">
          <w:pPr>
            <w:pStyle w:val="TOC2"/>
            <w:ind w:left="1570"/>
            <w:rPr>
              <w:rFonts w:asciiTheme="minorHAnsi" w:eastAsiaTheme="minorEastAsia" w:hAnsiTheme="minorHAnsi" w:cstheme="minorBidi"/>
              <w:noProof/>
              <w:kern w:val="2"/>
              <w:lang w:val="en-IE" w:eastAsia="en-IE"/>
              <w14:ligatures w14:val="standardContextual"/>
            </w:rPr>
          </w:pPr>
          <w:hyperlink w:anchor="_Toc230882802" w:history="1">
            <w:r w:rsidR="007A00E7" w:rsidRPr="00E14B4A">
              <w:rPr>
                <w:rStyle w:val="Hyperlink"/>
                <w:noProof/>
              </w:rPr>
              <w:t>3.1.</w:t>
            </w:r>
            <w:r w:rsidR="007A00E7">
              <w:rPr>
                <w:rFonts w:asciiTheme="minorHAnsi" w:eastAsiaTheme="minorEastAsia" w:hAnsiTheme="minorHAnsi" w:cstheme="minorBidi"/>
                <w:noProof/>
                <w:kern w:val="2"/>
                <w:lang w:val="en-IE" w:eastAsia="en-IE"/>
                <w14:ligatures w14:val="standardContextual"/>
              </w:rPr>
              <w:tab/>
            </w:r>
            <w:r w:rsidR="007A00E7" w:rsidRPr="00E14B4A">
              <w:rPr>
                <w:rStyle w:val="Hyperlink"/>
                <w:noProof/>
              </w:rPr>
              <w:t>Numărul de cereri (anexa – tabelele 3 și 4)</w:t>
            </w:r>
            <w:r w:rsidR="007A00E7">
              <w:rPr>
                <w:noProof/>
                <w:webHidden/>
              </w:rPr>
              <w:tab/>
            </w:r>
            <w:r w:rsidR="007A00E7">
              <w:rPr>
                <w:noProof/>
                <w:webHidden/>
              </w:rPr>
              <w:fldChar w:fldCharType="begin"/>
            </w:r>
            <w:r w:rsidR="007A00E7">
              <w:rPr>
                <w:noProof/>
                <w:webHidden/>
              </w:rPr>
              <w:instrText xml:space="preserve"> PAGEREF _Toc230882802 \h </w:instrText>
            </w:r>
            <w:r w:rsidR="007A00E7">
              <w:rPr>
                <w:noProof/>
                <w:webHidden/>
              </w:rPr>
            </w:r>
            <w:r w:rsidR="007A00E7">
              <w:rPr>
                <w:noProof/>
                <w:webHidden/>
              </w:rPr>
              <w:fldChar w:fldCharType="separate"/>
            </w:r>
            <w:r w:rsidR="000E2841">
              <w:rPr>
                <w:noProof/>
                <w:webHidden/>
              </w:rPr>
              <w:t>4</w:t>
            </w:r>
            <w:r w:rsidR="007A00E7">
              <w:rPr>
                <w:noProof/>
                <w:webHidden/>
              </w:rPr>
              <w:fldChar w:fldCharType="end"/>
            </w:r>
          </w:hyperlink>
        </w:p>
        <w:p w14:paraId="4225FADA" w14:textId="7144772C" w:rsidR="007A00E7" w:rsidRDefault="00171830" w:rsidP="007A00E7">
          <w:pPr>
            <w:pStyle w:val="TOC2"/>
            <w:ind w:left="1570"/>
            <w:rPr>
              <w:rFonts w:asciiTheme="minorHAnsi" w:eastAsiaTheme="minorEastAsia" w:hAnsiTheme="minorHAnsi" w:cstheme="minorBidi"/>
              <w:noProof/>
              <w:kern w:val="2"/>
              <w:lang w:val="en-IE" w:eastAsia="en-IE"/>
              <w14:ligatures w14:val="standardContextual"/>
            </w:rPr>
          </w:pPr>
          <w:hyperlink w:anchor="_Toc230882803" w:history="1">
            <w:r w:rsidR="007A00E7" w:rsidRPr="00E14B4A">
              <w:rPr>
                <w:rStyle w:val="Hyperlink"/>
                <w:noProof/>
              </w:rPr>
              <w:t>3.2.</w:t>
            </w:r>
            <w:r w:rsidR="007A00E7">
              <w:rPr>
                <w:rFonts w:asciiTheme="minorHAnsi" w:eastAsiaTheme="minorEastAsia" w:hAnsiTheme="minorHAnsi" w:cstheme="minorBidi"/>
                <w:noProof/>
                <w:kern w:val="2"/>
                <w:lang w:val="en-IE" w:eastAsia="en-IE"/>
                <w14:ligatures w14:val="standardContextual"/>
              </w:rPr>
              <w:tab/>
            </w:r>
            <w:r w:rsidR="007A00E7" w:rsidRPr="007A00E7">
              <w:rPr>
                <w:rStyle w:val="Hyperlink"/>
                <w:noProof/>
                <w:spacing w:val="-8"/>
              </w:rPr>
              <w:t>Cererile primite de către fiecare direcție generală sau serviciu (anexă – tabelul</w:t>
            </w:r>
            <w:r w:rsidR="007A00E7" w:rsidRPr="007A00E7">
              <w:rPr>
                <w:rStyle w:val="Hyperlink"/>
                <w:noProof/>
                <w:spacing w:val="-8"/>
              </w:rPr>
              <w:br/>
              <w:t>5)</w:t>
            </w:r>
            <w:r w:rsidR="007A00E7">
              <w:rPr>
                <w:noProof/>
                <w:webHidden/>
              </w:rPr>
              <w:tab/>
            </w:r>
            <w:r w:rsidR="007A00E7">
              <w:rPr>
                <w:noProof/>
                <w:webHidden/>
              </w:rPr>
              <w:fldChar w:fldCharType="begin"/>
            </w:r>
            <w:r w:rsidR="007A00E7">
              <w:rPr>
                <w:noProof/>
                <w:webHidden/>
              </w:rPr>
              <w:instrText xml:space="preserve"> PAGEREF _Toc230882803 \h </w:instrText>
            </w:r>
            <w:r w:rsidR="007A00E7">
              <w:rPr>
                <w:noProof/>
                <w:webHidden/>
              </w:rPr>
            </w:r>
            <w:r w:rsidR="007A00E7">
              <w:rPr>
                <w:noProof/>
                <w:webHidden/>
              </w:rPr>
              <w:fldChar w:fldCharType="separate"/>
            </w:r>
            <w:r w:rsidR="000E2841">
              <w:rPr>
                <w:noProof/>
                <w:webHidden/>
              </w:rPr>
              <w:t>5</w:t>
            </w:r>
            <w:r w:rsidR="007A00E7">
              <w:rPr>
                <w:noProof/>
                <w:webHidden/>
              </w:rPr>
              <w:fldChar w:fldCharType="end"/>
            </w:r>
          </w:hyperlink>
        </w:p>
        <w:p w14:paraId="46154799" w14:textId="41C5EF7E" w:rsidR="007A00E7" w:rsidRDefault="00171830">
          <w:pPr>
            <w:pStyle w:val="TOC1"/>
            <w:rPr>
              <w:rFonts w:asciiTheme="minorHAnsi" w:eastAsiaTheme="minorEastAsia" w:hAnsiTheme="minorHAnsi" w:cstheme="minorBidi"/>
              <w:noProof/>
              <w:kern w:val="2"/>
              <w:lang w:val="en-IE" w:eastAsia="en-IE"/>
              <w14:ligatures w14:val="standardContextual"/>
            </w:rPr>
          </w:pPr>
          <w:hyperlink w:anchor="_Toc230882804" w:history="1">
            <w:r w:rsidR="007A00E7" w:rsidRPr="00E14B4A">
              <w:rPr>
                <w:rStyle w:val="Hyperlink"/>
                <w:noProof/>
              </w:rPr>
              <w:t>4.</w:t>
            </w:r>
            <w:r w:rsidR="007A00E7">
              <w:rPr>
                <w:rFonts w:asciiTheme="minorHAnsi" w:eastAsiaTheme="minorEastAsia" w:hAnsiTheme="minorHAnsi" w:cstheme="minorBidi"/>
                <w:noProof/>
                <w:kern w:val="2"/>
                <w:lang w:val="en-IE" w:eastAsia="en-IE"/>
                <w14:ligatures w14:val="standardContextual"/>
              </w:rPr>
              <w:tab/>
            </w:r>
            <w:r w:rsidR="007A00E7" w:rsidRPr="00E14B4A">
              <w:rPr>
                <w:rStyle w:val="Hyperlink"/>
                <w:noProof/>
              </w:rPr>
              <w:t>Excepții de la dreptul de acces</w:t>
            </w:r>
            <w:r w:rsidR="007A00E7">
              <w:rPr>
                <w:noProof/>
                <w:webHidden/>
              </w:rPr>
              <w:tab/>
            </w:r>
            <w:r w:rsidR="007A00E7">
              <w:rPr>
                <w:noProof/>
                <w:webHidden/>
              </w:rPr>
              <w:fldChar w:fldCharType="begin"/>
            </w:r>
            <w:r w:rsidR="007A00E7">
              <w:rPr>
                <w:noProof/>
                <w:webHidden/>
              </w:rPr>
              <w:instrText xml:space="preserve"> PAGEREF _Toc230882804 \h </w:instrText>
            </w:r>
            <w:r w:rsidR="007A00E7">
              <w:rPr>
                <w:noProof/>
                <w:webHidden/>
              </w:rPr>
            </w:r>
            <w:r w:rsidR="007A00E7">
              <w:rPr>
                <w:noProof/>
                <w:webHidden/>
              </w:rPr>
              <w:fldChar w:fldCharType="separate"/>
            </w:r>
            <w:r w:rsidR="000E2841">
              <w:rPr>
                <w:noProof/>
                <w:webHidden/>
              </w:rPr>
              <w:t>7</w:t>
            </w:r>
            <w:r w:rsidR="007A00E7">
              <w:rPr>
                <w:noProof/>
                <w:webHidden/>
              </w:rPr>
              <w:fldChar w:fldCharType="end"/>
            </w:r>
          </w:hyperlink>
        </w:p>
        <w:p w14:paraId="3968A095" w14:textId="42C462F4" w:rsidR="007A00E7" w:rsidRDefault="00171830" w:rsidP="007A00E7">
          <w:pPr>
            <w:pStyle w:val="TOC2"/>
            <w:ind w:left="1570"/>
            <w:rPr>
              <w:rFonts w:asciiTheme="minorHAnsi" w:eastAsiaTheme="minorEastAsia" w:hAnsiTheme="minorHAnsi" w:cstheme="minorBidi"/>
              <w:noProof/>
              <w:kern w:val="2"/>
              <w:lang w:val="en-IE" w:eastAsia="en-IE"/>
              <w14:ligatures w14:val="standardContextual"/>
            </w:rPr>
          </w:pPr>
          <w:hyperlink w:anchor="_Toc230882805" w:history="1">
            <w:r w:rsidR="007A00E7" w:rsidRPr="00E14B4A">
              <w:rPr>
                <w:rStyle w:val="Hyperlink"/>
                <w:noProof/>
              </w:rPr>
              <w:t>4.1.</w:t>
            </w:r>
            <w:r w:rsidR="007A00E7">
              <w:rPr>
                <w:rFonts w:asciiTheme="minorHAnsi" w:eastAsiaTheme="minorEastAsia" w:hAnsiTheme="minorHAnsi" w:cstheme="minorBidi"/>
                <w:noProof/>
                <w:kern w:val="2"/>
                <w:lang w:val="en-IE" w:eastAsia="en-IE"/>
                <w14:ligatures w14:val="standardContextual"/>
              </w:rPr>
              <w:tab/>
            </w:r>
            <w:r w:rsidR="007A00E7" w:rsidRPr="00E14B4A">
              <w:rPr>
                <w:rStyle w:val="Hyperlink"/>
                <w:noProof/>
              </w:rPr>
              <w:t>Nivelul de acces acordat documentelor solicitate (anexă – tabelele 8 și 9)</w:t>
            </w:r>
            <w:r w:rsidR="007A00E7">
              <w:rPr>
                <w:noProof/>
                <w:webHidden/>
              </w:rPr>
              <w:tab/>
            </w:r>
            <w:r w:rsidR="007A00E7">
              <w:rPr>
                <w:noProof/>
                <w:webHidden/>
              </w:rPr>
              <w:fldChar w:fldCharType="begin"/>
            </w:r>
            <w:r w:rsidR="007A00E7">
              <w:rPr>
                <w:noProof/>
                <w:webHidden/>
              </w:rPr>
              <w:instrText xml:space="preserve"> PAGEREF _Toc230882805 \h </w:instrText>
            </w:r>
            <w:r w:rsidR="007A00E7">
              <w:rPr>
                <w:noProof/>
                <w:webHidden/>
              </w:rPr>
            </w:r>
            <w:r w:rsidR="007A00E7">
              <w:rPr>
                <w:noProof/>
                <w:webHidden/>
              </w:rPr>
              <w:fldChar w:fldCharType="separate"/>
            </w:r>
            <w:r w:rsidR="000E2841">
              <w:rPr>
                <w:noProof/>
                <w:webHidden/>
              </w:rPr>
              <w:t>7</w:t>
            </w:r>
            <w:r w:rsidR="007A00E7">
              <w:rPr>
                <w:noProof/>
                <w:webHidden/>
              </w:rPr>
              <w:fldChar w:fldCharType="end"/>
            </w:r>
          </w:hyperlink>
        </w:p>
        <w:p w14:paraId="7DE55276" w14:textId="5EF95AE7" w:rsidR="007A00E7" w:rsidRDefault="00171830" w:rsidP="007A00E7">
          <w:pPr>
            <w:pStyle w:val="TOC2"/>
            <w:ind w:left="1570"/>
            <w:rPr>
              <w:rFonts w:asciiTheme="minorHAnsi" w:eastAsiaTheme="minorEastAsia" w:hAnsiTheme="minorHAnsi" w:cstheme="minorBidi"/>
              <w:noProof/>
              <w:kern w:val="2"/>
              <w:lang w:val="en-IE" w:eastAsia="en-IE"/>
              <w14:ligatures w14:val="standardContextual"/>
            </w:rPr>
          </w:pPr>
          <w:hyperlink w:anchor="_Toc230882806" w:history="1">
            <w:r w:rsidR="007A00E7" w:rsidRPr="00E14B4A">
              <w:rPr>
                <w:rStyle w:val="Hyperlink"/>
                <w:noProof/>
              </w:rPr>
              <w:t>4.2.</w:t>
            </w:r>
            <w:r w:rsidR="007A00E7">
              <w:rPr>
                <w:rFonts w:asciiTheme="minorHAnsi" w:eastAsiaTheme="minorEastAsia" w:hAnsiTheme="minorHAnsi" w:cstheme="minorBidi"/>
                <w:noProof/>
                <w:kern w:val="2"/>
                <w:lang w:val="en-IE" w:eastAsia="en-IE"/>
                <w14:ligatures w14:val="standardContextual"/>
              </w:rPr>
              <w:tab/>
            </w:r>
            <w:r w:rsidR="007A00E7" w:rsidRPr="00E14B4A">
              <w:rPr>
                <w:rStyle w:val="Hyperlink"/>
                <w:noProof/>
              </w:rPr>
              <w:t>Excepții aplicate cu privire la documentele solicitate (anexă – tabelul 10)</w:t>
            </w:r>
            <w:r w:rsidR="007A00E7">
              <w:rPr>
                <w:noProof/>
                <w:webHidden/>
              </w:rPr>
              <w:tab/>
            </w:r>
            <w:r w:rsidR="007A00E7">
              <w:rPr>
                <w:noProof/>
                <w:webHidden/>
              </w:rPr>
              <w:fldChar w:fldCharType="begin"/>
            </w:r>
            <w:r w:rsidR="007A00E7">
              <w:rPr>
                <w:noProof/>
                <w:webHidden/>
              </w:rPr>
              <w:instrText xml:space="preserve"> PAGEREF _Toc230882806 \h </w:instrText>
            </w:r>
            <w:r w:rsidR="007A00E7">
              <w:rPr>
                <w:noProof/>
                <w:webHidden/>
              </w:rPr>
            </w:r>
            <w:r w:rsidR="007A00E7">
              <w:rPr>
                <w:noProof/>
                <w:webHidden/>
              </w:rPr>
              <w:fldChar w:fldCharType="separate"/>
            </w:r>
            <w:r w:rsidR="000E2841">
              <w:rPr>
                <w:noProof/>
                <w:webHidden/>
              </w:rPr>
              <w:t>8</w:t>
            </w:r>
            <w:r w:rsidR="007A00E7">
              <w:rPr>
                <w:noProof/>
                <w:webHidden/>
              </w:rPr>
              <w:fldChar w:fldCharType="end"/>
            </w:r>
          </w:hyperlink>
        </w:p>
        <w:p w14:paraId="61996D01" w14:textId="04C1262A" w:rsidR="007A00E7" w:rsidRDefault="00171830">
          <w:pPr>
            <w:pStyle w:val="TOC1"/>
            <w:rPr>
              <w:rFonts w:asciiTheme="minorHAnsi" w:eastAsiaTheme="minorEastAsia" w:hAnsiTheme="minorHAnsi" w:cstheme="minorBidi"/>
              <w:noProof/>
              <w:kern w:val="2"/>
              <w:lang w:val="en-IE" w:eastAsia="en-IE"/>
              <w14:ligatures w14:val="standardContextual"/>
            </w:rPr>
          </w:pPr>
          <w:hyperlink w:anchor="_Toc230882807" w:history="1">
            <w:r w:rsidR="007A00E7" w:rsidRPr="00E14B4A">
              <w:rPr>
                <w:rStyle w:val="Hyperlink"/>
                <w:noProof/>
              </w:rPr>
              <w:t>5.</w:t>
            </w:r>
            <w:r w:rsidR="007A00E7">
              <w:rPr>
                <w:rFonts w:asciiTheme="minorHAnsi" w:eastAsiaTheme="minorEastAsia" w:hAnsiTheme="minorHAnsi" w:cstheme="minorBidi"/>
                <w:noProof/>
                <w:kern w:val="2"/>
                <w:lang w:val="en-IE" w:eastAsia="en-IE"/>
                <w14:ligatures w14:val="standardContextual"/>
              </w:rPr>
              <w:tab/>
            </w:r>
            <w:r w:rsidR="007A00E7" w:rsidRPr="00E14B4A">
              <w:rPr>
                <w:rStyle w:val="Hyperlink"/>
                <w:noProof/>
              </w:rPr>
              <w:t>Plângeri adresate Ombudsmanului European</w:t>
            </w:r>
            <w:r w:rsidR="007A00E7">
              <w:rPr>
                <w:noProof/>
                <w:webHidden/>
              </w:rPr>
              <w:tab/>
            </w:r>
            <w:r w:rsidR="007A00E7">
              <w:rPr>
                <w:noProof/>
                <w:webHidden/>
              </w:rPr>
              <w:fldChar w:fldCharType="begin"/>
            </w:r>
            <w:r w:rsidR="007A00E7">
              <w:rPr>
                <w:noProof/>
                <w:webHidden/>
              </w:rPr>
              <w:instrText xml:space="preserve"> PAGEREF _Toc230882807 \h </w:instrText>
            </w:r>
            <w:r w:rsidR="007A00E7">
              <w:rPr>
                <w:noProof/>
                <w:webHidden/>
              </w:rPr>
            </w:r>
            <w:r w:rsidR="007A00E7">
              <w:rPr>
                <w:noProof/>
                <w:webHidden/>
              </w:rPr>
              <w:fldChar w:fldCharType="separate"/>
            </w:r>
            <w:r w:rsidR="000E2841">
              <w:rPr>
                <w:noProof/>
                <w:webHidden/>
              </w:rPr>
              <w:t>8</w:t>
            </w:r>
            <w:r w:rsidR="007A00E7">
              <w:rPr>
                <w:noProof/>
                <w:webHidden/>
              </w:rPr>
              <w:fldChar w:fldCharType="end"/>
            </w:r>
          </w:hyperlink>
        </w:p>
        <w:p w14:paraId="55F7AE2E" w14:textId="03C14A81" w:rsidR="007A00E7" w:rsidRDefault="00171830">
          <w:pPr>
            <w:pStyle w:val="TOC1"/>
            <w:rPr>
              <w:rFonts w:asciiTheme="minorHAnsi" w:eastAsiaTheme="minorEastAsia" w:hAnsiTheme="minorHAnsi" w:cstheme="minorBidi"/>
              <w:noProof/>
              <w:kern w:val="2"/>
              <w:lang w:val="en-IE" w:eastAsia="en-IE"/>
              <w14:ligatures w14:val="standardContextual"/>
            </w:rPr>
          </w:pPr>
          <w:hyperlink w:anchor="_Toc230882808" w:history="1">
            <w:r w:rsidR="007A00E7" w:rsidRPr="00E14B4A">
              <w:rPr>
                <w:rStyle w:val="Hyperlink"/>
                <w:noProof/>
              </w:rPr>
              <w:t>6.</w:t>
            </w:r>
            <w:r w:rsidR="007A00E7">
              <w:rPr>
                <w:rFonts w:asciiTheme="minorHAnsi" w:eastAsiaTheme="minorEastAsia" w:hAnsiTheme="minorHAnsi" w:cstheme="minorBidi"/>
                <w:noProof/>
                <w:kern w:val="2"/>
                <w:lang w:val="en-IE" w:eastAsia="en-IE"/>
                <w14:ligatures w14:val="standardContextual"/>
              </w:rPr>
              <w:tab/>
            </w:r>
            <w:r w:rsidR="007A00E7" w:rsidRPr="00E14B4A">
              <w:rPr>
                <w:rStyle w:val="Hyperlink"/>
                <w:noProof/>
              </w:rPr>
              <w:t>Jurisprudență nouă privind accesul la documente</w:t>
            </w:r>
            <w:r w:rsidR="007A00E7">
              <w:rPr>
                <w:noProof/>
                <w:webHidden/>
              </w:rPr>
              <w:tab/>
            </w:r>
            <w:r w:rsidR="007A00E7">
              <w:rPr>
                <w:noProof/>
                <w:webHidden/>
              </w:rPr>
              <w:fldChar w:fldCharType="begin"/>
            </w:r>
            <w:r w:rsidR="007A00E7">
              <w:rPr>
                <w:noProof/>
                <w:webHidden/>
              </w:rPr>
              <w:instrText xml:space="preserve"> PAGEREF _Toc230882808 \h </w:instrText>
            </w:r>
            <w:r w:rsidR="007A00E7">
              <w:rPr>
                <w:noProof/>
                <w:webHidden/>
              </w:rPr>
            </w:r>
            <w:r w:rsidR="007A00E7">
              <w:rPr>
                <w:noProof/>
                <w:webHidden/>
              </w:rPr>
              <w:fldChar w:fldCharType="separate"/>
            </w:r>
            <w:r w:rsidR="000E2841">
              <w:rPr>
                <w:noProof/>
                <w:webHidden/>
              </w:rPr>
              <w:t>9</w:t>
            </w:r>
            <w:r w:rsidR="007A00E7">
              <w:rPr>
                <w:noProof/>
                <w:webHidden/>
              </w:rPr>
              <w:fldChar w:fldCharType="end"/>
            </w:r>
          </w:hyperlink>
        </w:p>
        <w:p w14:paraId="19E20D5B" w14:textId="0B73D1CB" w:rsidR="007A00E7" w:rsidRDefault="00171830" w:rsidP="007A00E7">
          <w:pPr>
            <w:pStyle w:val="TOC2"/>
            <w:ind w:left="1570"/>
            <w:rPr>
              <w:rFonts w:asciiTheme="minorHAnsi" w:eastAsiaTheme="minorEastAsia" w:hAnsiTheme="minorHAnsi" w:cstheme="minorBidi"/>
              <w:noProof/>
              <w:kern w:val="2"/>
              <w:lang w:val="en-IE" w:eastAsia="en-IE"/>
              <w14:ligatures w14:val="standardContextual"/>
            </w:rPr>
          </w:pPr>
          <w:hyperlink w:anchor="_Toc230882809" w:history="1">
            <w:r w:rsidR="007A00E7" w:rsidRPr="00E14B4A">
              <w:rPr>
                <w:rStyle w:val="Hyperlink"/>
                <w:noProof/>
              </w:rPr>
              <w:t>6.1.</w:t>
            </w:r>
            <w:r w:rsidR="007A00E7">
              <w:rPr>
                <w:rFonts w:asciiTheme="minorHAnsi" w:eastAsiaTheme="minorEastAsia" w:hAnsiTheme="minorHAnsi" w:cstheme="minorBidi"/>
                <w:noProof/>
                <w:kern w:val="2"/>
                <w:lang w:val="en-IE" w:eastAsia="en-IE"/>
                <w14:ligatures w14:val="standardContextual"/>
              </w:rPr>
              <w:tab/>
            </w:r>
            <w:r w:rsidR="007A00E7" w:rsidRPr="00E14B4A">
              <w:rPr>
                <w:rStyle w:val="Hyperlink"/>
                <w:noProof/>
              </w:rPr>
              <w:t>Curtea de Justiție</w:t>
            </w:r>
            <w:r w:rsidR="007A00E7">
              <w:rPr>
                <w:noProof/>
                <w:webHidden/>
              </w:rPr>
              <w:tab/>
            </w:r>
            <w:r w:rsidR="007A00E7">
              <w:rPr>
                <w:noProof/>
                <w:webHidden/>
              </w:rPr>
              <w:fldChar w:fldCharType="begin"/>
            </w:r>
            <w:r w:rsidR="007A00E7">
              <w:rPr>
                <w:noProof/>
                <w:webHidden/>
              </w:rPr>
              <w:instrText xml:space="preserve"> PAGEREF _Toc230882809 \h </w:instrText>
            </w:r>
            <w:r w:rsidR="007A00E7">
              <w:rPr>
                <w:noProof/>
                <w:webHidden/>
              </w:rPr>
            </w:r>
            <w:r w:rsidR="007A00E7">
              <w:rPr>
                <w:noProof/>
                <w:webHidden/>
              </w:rPr>
              <w:fldChar w:fldCharType="separate"/>
            </w:r>
            <w:r w:rsidR="000E2841">
              <w:rPr>
                <w:noProof/>
                <w:webHidden/>
              </w:rPr>
              <w:t>9</w:t>
            </w:r>
            <w:r w:rsidR="007A00E7">
              <w:rPr>
                <w:noProof/>
                <w:webHidden/>
              </w:rPr>
              <w:fldChar w:fldCharType="end"/>
            </w:r>
          </w:hyperlink>
        </w:p>
        <w:p w14:paraId="10270C17" w14:textId="7F5228A3" w:rsidR="007A00E7" w:rsidRDefault="00171830" w:rsidP="007A00E7">
          <w:pPr>
            <w:pStyle w:val="TOC3"/>
            <w:ind w:left="2290"/>
            <w:rPr>
              <w:rFonts w:asciiTheme="minorHAnsi" w:eastAsiaTheme="minorEastAsia" w:hAnsiTheme="minorHAnsi" w:cstheme="minorBidi"/>
              <w:noProof/>
              <w:kern w:val="2"/>
              <w:lang w:val="en-IE" w:eastAsia="en-IE"/>
              <w14:ligatures w14:val="standardContextual"/>
            </w:rPr>
          </w:pPr>
          <w:hyperlink w:anchor="_Toc230882810" w:history="1">
            <w:r w:rsidR="007A00E7" w:rsidRPr="00E14B4A">
              <w:rPr>
                <w:rStyle w:val="Hyperlink"/>
                <w:noProof/>
              </w:rPr>
              <w:t>6.1.1.</w:t>
            </w:r>
            <w:r w:rsidR="007A00E7">
              <w:rPr>
                <w:rFonts w:asciiTheme="minorHAnsi" w:eastAsiaTheme="minorEastAsia" w:hAnsiTheme="minorHAnsi" w:cstheme="minorBidi"/>
                <w:noProof/>
                <w:kern w:val="2"/>
                <w:lang w:val="en-IE" w:eastAsia="en-IE"/>
                <w14:ligatures w14:val="standardContextual"/>
              </w:rPr>
              <w:tab/>
            </w:r>
            <w:r w:rsidR="007A00E7" w:rsidRPr="00E14B4A">
              <w:rPr>
                <w:rStyle w:val="Hyperlink"/>
                <w:noProof/>
              </w:rPr>
              <w:t>Clarificări ale normelor de fond</w:t>
            </w:r>
            <w:r w:rsidR="007A00E7">
              <w:rPr>
                <w:noProof/>
                <w:webHidden/>
              </w:rPr>
              <w:tab/>
            </w:r>
            <w:r w:rsidR="007A00E7">
              <w:rPr>
                <w:noProof/>
                <w:webHidden/>
              </w:rPr>
              <w:fldChar w:fldCharType="begin"/>
            </w:r>
            <w:r w:rsidR="007A00E7">
              <w:rPr>
                <w:noProof/>
                <w:webHidden/>
              </w:rPr>
              <w:instrText xml:space="preserve"> PAGEREF _Toc230882810 \h </w:instrText>
            </w:r>
            <w:r w:rsidR="007A00E7">
              <w:rPr>
                <w:noProof/>
                <w:webHidden/>
              </w:rPr>
            </w:r>
            <w:r w:rsidR="007A00E7">
              <w:rPr>
                <w:noProof/>
                <w:webHidden/>
              </w:rPr>
              <w:fldChar w:fldCharType="separate"/>
            </w:r>
            <w:r w:rsidR="000E2841">
              <w:rPr>
                <w:noProof/>
                <w:webHidden/>
              </w:rPr>
              <w:t>9</w:t>
            </w:r>
            <w:r w:rsidR="007A00E7">
              <w:rPr>
                <w:noProof/>
                <w:webHidden/>
              </w:rPr>
              <w:fldChar w:fldCharType="end"/>
            </w:r>
          </w:hyperlink>
        </w:p>
        <w:p w14:paraId="45079264" w14:textId="2967602E" w:rsidR="007A00E7" w:rsidRDefault="00171830" w:rsidP="007A00E7">
          <w:pPr>
            <w:pStyle w:val="TOC2"/>
            <w:ind w:left="1570"/>
            <w:rPr>
              <w:rFonts w:asciiTheme="minorHAnsi" w:eastAsiaTheme="minorEastAsia" w:hAnsiTheme="minorHAnsi" w:cstheme="minorBidi"/>
              <w:noProof/>
              <w:kern w:val="2"/>
              <w:lang w:val="en-IE" w:eastAsia="en-IE"/>
              <w14:ligatures w14:val="standardContextual"/>
            </w:rPr>
          </w:pPr>
          <w:hyperlink w:anchor="_Toc230882811" w:history="1">
            <w:r w:rsidR="007A00E7" w:rsidRPr="00E14B4A">
              <w:rPr>
                <w:rStyle w:val="Hyperlink"/>
                <w:noProof/>
              </w:rPr>
              <w:t>6.2.</w:t>
            </w:r>
            <w:r w:rsidR="007A00E7">
              <w:rPr>
                <w:rFonts w:asciiTheme="minorHAnsi" w:eastAsiaTheme="minorEastAsia" w:hAnsiTheme="minorHAnsi" w:cstheme="minorBidi"/>
                <w:noProof/>
                <w:kern w:val="2"/>
                <w:lang w:val="en-IE" w:eastAsia="en-IE"/>
                <w14:ligatures w14:val="standardContextual"/>
              </w:rPr>
              <w:tab/>
            </w:r>
            <w:r w:rsidR="007A00E7" w:rsidRPr="00E14B4A">
              <w:rPr>
                <w:rStyle w:val="Hyperlink"/>
                <w:noProof/>
              </w:rPr>
              <w:t>Tribunalul</w:t>
            </w:r>
            <w:r w:rsidR="007A00E7">
              <w:rPr>
                <w:noProof/>
                <w:webHidden/>
              </w:rPr>
              <w:tab/>
            </w:r>
            <w:r w:rsidR="007A00E7">
              <w:rPr>
                <w:noProof/>
                <w:webHidden/>
              </w:rPr>
              <w:fldChar w:fldCharType="begin"/>
            </w:r>
            <w:r w:rsidR="007A00E7">
              <w:rPr>
                <w:noProof/>
                <w:webHidden/>
              </w:rPr>
              <w:instrText xml:space="preserve"> PAGEREF _Toc230882811 \h </w:instrText>
            </w:r>
            <w:r w:rsidR="007A00E7">
              <w:rPr>
                <w:noProof/>
                <w:webHidden/>
              </w:rPr>
            </w:r>
            <w:r w:rsidR="007A00E7">
              <w:rPr>
                <w:noProof/>
                <w:webHidden/>
              </w:rPr>
              <w:fldChar w:fldCharType="separate"/>
            </w:r>
            <w:r w:rsidR="000E2841">
              <w:rPr>
                <w:noProof/>
                <w:webHidden/>
              </w:rPr>
              <w:t>9</w:t>
            </w:r>
            <w:r w:rsidR="007A00E7">
              <w:rPr>
                <w:noProof/>
                <w:webHidden/>
              </w:rPr>
              <w:fldChar w:fldCharType="end"/>
            </w:r>
          </w:hyperlink>
        </w:p>
        <w:p w14:paraId="4E87DD78" w14:textId="2D1ABA67" w:rsidR="007A00E7" w:rsidRDefault="00171830" w:rsidP="007A00E7">
          <w:pPr>
            <w:pStyle w:val="TOC3"/>
            <w:ind w:left="2290"/>
            <w:rPr>
              <w:rFonts w:asciiTheme="minorHAnsi" w:eastAsiaTheme="minorEastAsia" w:hAnsiTheme="minorHAnsi" w:cstheme="minorBidi"/>
              <w:noProof/>
              <w:kern w:val="2"/>
              <w:lang w:val="en-IE" w:eastAsia="en-IE"/>
              <w14:ligatures w14:val="standardContextual"/>
            </w:rPr>
          </w:pPr>
          <w:hyperlink w:anchor="_Toc230882812" w:history="1">
            <w:r w:rsidR="007A00E7" w:rsidRPr="00E14B4A">
              <w:rPr>
                <w:rStyle w:val="Hyperlink"/>
                <w:noProof/>
              </w:rPr>
              <w:t>6.2.1.</w:t>
            </w:r>
            <w:r w:rsidR="007A00E7">
              <w:rPr>
                <w:rFonts w:asciiTheme="minorHAnsi" w:eastAsiaTheme="minorEastAsia" w:hAnsiTheme="minorHAnsi" w:cstheme="minorBidi"/>
                <w:noProof/>
                <w:kern w:val="2"/>
                <w:lang w:val="en-IE" w:eastAsia="en-IE"/>
                <w14:ligatures w14:val="standardContextual"/>
              </w:rPr>
              <w:tab/>
            </w:r>
            <w:r w:rsidR="007A00E7" w:rsidRPr="00E14B4A">
              <w:rPr>
                <w:rStyle w:val="Hyperlink"/>
                <w:noProof/>
              </w:rPr>
              <w:t>Clarificări ale normelor de fond</w:t>
            </w:r>
            <w:r w:rsidR="007A00E7">
              <w:rPr>
                <w:noProof/>
                <w:webHidden/>
              </w:rPr>
              <w:tab/>
            </w:r>
            <w:r w:rsidR="007A00E7">
              <w:rPr>
                <w:noProof/>
                <w:webHidden/>
              </w:rPr>
              <w:fldChar w:fldCharType="begin"/>
            </w:r>
            <w:r w:rsidR="007A00E7">
              <w:rPr>
                <w:noProof/>
                <w:webHidden/>
              </w:rPr>
              <w:instrText xml:space="preserve"> PAGEREF _Toc230882812 \h </w:instrText>
            </w:r>
            <w:r w:rsidR="007A00E7">
              <w:rPr>
                <w:noProof/>
                <w:webHidden/>
              </w:rPr>
            </w:r>
            <w:r w:rsidR="007A00E7">
              <w:rPr>
                <w:noProof/>
                <w:webHidden/>
              </w:rPr>
              <w:fldChar w:fldCharType="separate"/>
            </w:r>
            <w:r w:rsidR="000E2841">
              <w:rPr>
                <w:noProof/>
                <w:webHidden/>
              </w:rPr>
              <w:t>10</w:t>
            </w:r>
            <w:r w:rsidR="007A00E7">
              <w:rPr>
                <w:noProof/>
                <w:webHidden/>
              </w:rPr>
              <w:fldChar w:fldCharType="end"/>
            </w:r>
          </w:hyperlink>
        </w:p>
        <w:p w14:paraId="4D4827F3" w14:textId="39D55CB3" w:rsidR="007A00E7" w:rsidRDefault="00171830" w:rsidP="007A00E7">
          <w:pPr>
            <w:pStyle w:val="TOC3"/>
            <w:ind w:left="2290"/>
            <w:rPr>
              <w:rFonts w:asciiTheme="minorHAnsi" w:eastAsiaTheme="minorEastAsia" w:hAnsiTheme="minorHAnsi" w:cstheme="minorBidi"/>
              <w:noProof/>
              <w:kern w:val="2"/>
              <w:lang w:val="en-IE" w:eastAsia="en-IE"/>
              <w14:ligatures w14:val="standardContextual"/>
            </w:rPr>
          </w:pPr>
          <w:hyperlink w:anchor="_Toc230882813" w:history="1">
            <w:r w:rsidR="007A00E7" w:rsidRPr="00E14B4A">
              <w:rPr>
                <w:rStyle w:val="Hyperlink"/>
                <w:noProof/>
              </w:rPr>
              <w:t>6.2.2.</w:t>
            </w:r>
            <w:r w:rsidR="007A00E7">
              <w:rPr>
                <w:rFonts w:asciiTheme="minorHAnsi" w:eastAsiaTheme="minorEastAsia" w:hAnsiTheme="minorHAnsi" w:cstheme="minorBidi"/>
                <w:noProof/>
                <w:kern w:val="2"/>
                <w:lang w:val="en-IE" w:eastAsia="en-IE"/>
                <w14:ligatures w14:val="standardContextual"/>
              </w:rPr>
              <w:tab/>
            </w:r>
            <w:r w:rsidR="007A00E7" w:rsidRPr="00E14B4A">
              <w:rPr>
                <w:rStyle w:val="Hyperlink"/>
                <w:noProof/>
              </w:rPr>
              <w:t>Clarificări ale normelor procedurale</w:t>
            </w:r>
            <w:r w:rsidR="007A00E7">
              <w:rPr>
                <w:noProof/>
                <w:webHidden/>
              </w:rPr>
              <w:tab/>
            </w:r>
            <w:r w:rsidR="007A00E7">
              <w:rPr>
                <w:noProof/>
                <w:webHidden/>
              </w:rPr>
              <w:fldChar w:fldCharType="begin"/>
            </w:r>
            <w:r w:rsidR="007A00E7">
              <w:rPr>
                <w:noProof/>
                <w:webHidden/>
              </w:rPr>
              <w:instrText xml:space="preserve"> PAGEREF _Toc230882813 \h </w:instrText>
            </w:r>
            <w:r w:rsidR="007A00E7">
              <w:rPr>
                <w:noProof/>
                <w:webHidden/>
              </w:rPr>
            </w:r>
            <w:r w:rsidR="007A00E7">
              <w:rPr>
                <w:noProof/>
                <w:webHidden/>
              </w:rPr>
              <w:fldChar w:fldCharType="separate"/>
            </w:r>
            <w:r w:rsidR="000E2841">
              <w:rPr>
                <w:noProof/>
                <w:webHidden/>
              </w:rPr>
              <w:t>10</w:t>
            </w:r>
            <w:r w:rsidR="007A00E7">
              <w:rPr>
                <w:noProof/>
                <w:webHidden/>
              </w:rPr>
              <w:fldChar w:fldCharType="end"/>
            </w:r>
          </w:hyperlink>
        </w:p>
        <w:p w14:paraId="64316992" w14:textId="014812F7" w:rsidR="007A00E7" w:rsidRDefault="00171830" w:rsidP="007A00E7">
          <w:pPr>
            <w:pStyle w:val="TOC2"/>
            <w:ind w:left="1570"/>
            <w:rPr>
              <w:rFonts w:asciiTheme="minorHAnsi" w:eastAsiaTheme="minorEastAsia" w:hAnsiTheme="minorHAnsi" w:cstheme="minorBidi"/>
              <w:noProof/>
              <w:kern w:val="2"/>
              <w:lang w:val="en-IE" w:eastAsia="en-IE"/>
              <w14:ligatures w14:val="standardContextual"/>
            </w:rPr>
          </w:pPr>
          <w:hyperlink w:anchor="_Toc230882814" w:history="1">
            <w:r w:rsidR="007A00E7" w:rsidRPr="00E14B4A">
              <w:rPr>
                <w:rStyle w:val="Hyperlink"/>
                <w:noProof/>
              </w:rPr>
              <w:t>6.3.</w:t>
            </w:r>
            <w:r w:rsidR="007A00E7">
              <w:rPr>
                <w:rFonts w:asciiTheme="minorHAnsi" w:eastAsiaTheme="minorEastAsia" w:hAnsiTheme="minorHAnsi" w:cstheme="minorBidi"/>
                <w:noProof/>
                <w:kern w:val="2"/>
                <w:lang w:val="en-IE" w:eastAsia="en-IE"/>
                <w14:ligatures w14:val="standardContextual"/>
              </w:rPr>
              <w:tab/>
            </w:r>
            <w:r w:rsidR="007A00E7" w:rsidRPr="00E14B4A">
              <w:rPr>
                <w:rStyle w:val="Hyperlink"/>
                <w:noProof/>
              </w:rPr>
              <w:t>Noi cauze introduse împotriva Comisiei Europene</w:t>
            </w:r>
            <w:r w:rsidR="007A00E7">
              <w:rPr>
                <w:noProof/>
                <w:webHidden/>
              </w:rPr>
              <w:tab/>
            </w:r>
            <w:r w:rsidR="007A00E7">
              <w:rPr>
                <w:noProof/>
                <w:webHidden/>
              </w:rPr>
              <w:fldChar w:fldCharType="begin"/>
            </w:r>
            <w:r w:rsidR="007A00E7">
              <w:rPr>
                <w:noProof/>
                <w:webHidden/>
              </w:rPr>
              <w:instrText xml:space="preserve"> PAGEREF _Toc230882814 \h </w:instrText>
            </w:r>
            <w:r w:rsidR="007A00E7">
              <w:rPr>
                <w:noProof/>
                <w:webHidden/>
              </w:rPr>
            </w:r>
            <w:r w:rsidR="007A00E7">
              <w:rPr>
                <w:noProof/>
                <w:webHidden/>
              </w:rPr>
              <w:fldChar w:fldCharType="separate"/>
            </w:r>
            <w:r w:rsidR="000E2841">
              <w:rPr>
                <w:noProof/>
                <w:webHidden/>
              </w:rPr>
              <w:t>11</w:t>
            </w:r>
            <w:r w:rsidR="007A00E7">
              <w:rPr>
                <w:noProof/>
                <w:webHidden/>
              </w:rPr>
              <w:fldChar w:fldCharType="end"/>
            </w:r>
          </w:hyperlink>
        </w:p>
        <w:p w14:paraId="61478F85" w14:textId="56ABED24" w:rsidR="005E2753" w:rsidRPr="00746C2C" w:rsidRDefault="005E2753" w:rsidP="005E2753">
          <w:pPr>
            <w:rPr>
              <w:noProof/>
            </w:rPr>
          </w:pPr>
          <w:r>
            <w:rPr>
              <w:b/>
              <w:noProof/>
            </w:rPr>
            <w:fldChar w:fldCharType="end"/>
          </w:r>
        </w:p>
      </w:sdtContent>
    </w:sdt>
    <w:p w14:paraId="1159CFFD" w14:textId="77777777" w:rsidR="005E2753" w:rsidRPr="00746C2C" w:rsidRDefault="005E2753" w:rsidP="005E2753">
      <w:pPr>
        <w:rPr>
          <w:rFonts w:ascii="Times New Roman" w:hAnsi="Times New Roman" w:cs="Times New Roman"/>
          <w:noProof/>
          <w:sz w:val="24"/>
          <w:szCs w:val="24"/>
        </w:rPr>
      </w:pPr>
      <w:r>
        <w:rPr>
          <w:noProof/>
        </w:rPr>
        <w:br w:type="page"/>
      </w:r>
    </w:p>
    <w:p w14:paraId="3D8CDB40" w14:textId="77777777" w:rsidR="005E2753" w:rsidRPr="00746C2C" w:rsidRDefault="005E2753" w:rsidP="005E2753">
      <w:pPr>
        <w:pStyle w:val="Heading1"/>
        <w:spacing w:after="360"/>
        <w:ind w:left="851" w:hanging="851"/>
        <w:rPr>
          <w:noProof/>
        </w:rPr>
      </w:pPr>
      <w:bookmarkStart w:id="2" w:name="_Toc230882799"/>
      <w:r>
        <w:rPr>
          <w:noProof/>
        </w:rPr>
        <w:t>Introducere</w:t>
      </w:r>
      <w:bookmarkEnd w:id="2"/>
    </w:p>
    <w:p w14:paraId="11D8E7E4" w14:textId="38228AE9" w:rsidR="00142CBD" w:rsidRDefault="005E2753" w:rsidP="005E2753">
      <w:pPr>
        <w:spacing w:before="240" w:after="0"/>
        <w:jc w:val="both"/>
        <w:rPr>
          <w:rFonts w:ascii="Times New Roman" w:eastAsia="Times New Roman" w:hAnsi="Times New Roman" w:cs="Times New Roman"/>
          <w:noProof/>
          <w:sz w:val="24"/>
          <w:szCs w:val="24"/>
        </w:rPr>
      </w:pPr>
      <w:r>
        <w:rPr>
          <w:rFonts w:ascii="Times New Roman" w:hAnsi="Times New Roman"/>
          <w:noProof/>
          <w:sz w:val="24"/>
        </w:rPr>
        <w:t>Prezentul raport anual este elaborat în conformitate cu articolul 17 alineatul (1) din Regulamentul (CE) nr. 1049/2001 privind accesul public la documentele Parlamentului European, ale Consiliului și ale Comisiei</w:t>
      </w:r>
      <w:r>
        <w:rPr>
          <w:rStyle w:val="FootnoteReference"/>
          <w:rFonts w:ascii="Times New Roman" w:eastAsia="Times New Roman" w:hAnsi="Times New Roman" w:cs="Times New Roman"/>
          <w:noProof/>
          <w:sz w:val="24"/>
          <w:szCs w:val="24"/>
          <w:lang w:val="en-IE" w:eastAsia="en-GB"/>
        </w:rPr>
        <w:footnoteReference w:id="2"/>
      </w:r>
      <w:r>
        <w:rPr>
          <w:rFonts w:ascii="Times New Roman" w:hAnsi="Times New Roman"/>
          <w:noProof/>
          <w:sz w:val="24"/>
        </w:rPr>
        <w:t xml:space="preserve"> [denumit în continuare „Regulamentul (CE) nr. 1049/2001”]. Acesta explică modul în care Comisia Europeană a pus în aplicare în 2025 Regulamentul (CE) nr. 1049/2001, pe baza datelor statistice</w:t>
      </w:r>
      <w:r>
        <w:rPr>
          <w:rFonts w:ascii="Times New Roman" w:eastAsia="Times New Roman" w:hAnsi="Times New Roman" w:cs="Times New Roman"/>
          <w:noProof/>
          <w:sz w:val="24"/>
          <w:szCs w:val="24"/>
          <w:vertAlign w:val="superscript"/>
          <w:lang w:val="en-IE"/>
        </w:rPr>
        <w:footnoteReference w:id="3"/>
      </w:r>
      <w:r>
        <w:rPr>
          <w:rFonts w:ascii="Times New Roman" w:hAnsi="Times New Roman"/>
          <w:noProof/>
          <w:sz w:val="24"/>
        </w:rPr>
        <w:t xml:space="preserve"> rezumate în anexă. De asemenea, raportul se bazează pe constatările Ombudsmanului European cu privire la punerea în aplicare de către Comisia Europeană a Regulamentului (CE) nr. 1049/2001 și la hotărârile pronunțate de instanțele UE.</w:t>
      </w:r>
    </w:p>
    <w:p w14:paraId="4F1C411A" w14:textId="0C1A232F" w:rsidR="005E2753" w:rsidRPr="00746C2C" w:rsidRDefault="004E23C5" w:rsidP="005E2753">
      <w:pPr>
        <w:spacing w:before="240" w:after="0"/>
        <w:jc w:val="both"/>
        <w:rPr>
          <w:rFonts w:ascii="Times New Roman" w:eastAsia="Times New Roman" w:hAnsi="Times New Roman" w:cs="Times New Roman"/>
          <w:b/>
          <w:i/>
          <w:noProof/>
          <w:sz w:val="24"/>
          <w:szCs w:val="24"/>
        </w:rPr>
      </w:pPr>
      <w:r>
        <w:rPr>
          <w:rFonts w:ascii="Times New Roman" w:hAnsi="Times New Roman"/>
          <w:noProof/>
          <w:sz w:val="24"/>
        </w:rPr>
        <w:t>Transparența, integritatea și răspunderea sunt condițiile prealabile esențiale ale unei democrații bazate pe statul de drept. Acestea sunt principii-cheie pentru promovarea bunei guvernanțe și consolidarea încrederii în procesul de luare a deciziilor, sporind astfel legitimitatea și credibilitatea instituțiilor publice. În completarea Orientărilor politice pentru următoarea Comisie Europeană 2024-2029 ale președintei Ursula von der Leyen</w:t>
      </w:r>
      <w:r>
        <w:rPr>
          <w:rStyle w:val="FootnoteReference"/>
          <w:rFonts w:ascii="Times New Roman" w:eastAsia="Times New Roman" w:hAnsi="Times New Roman" w:cs="Times New Roman"/>
          <w:noProof/>
          <w:sz w:val="24"/>
          <w:szCs w:val="24"/>
          <w:lang w:val="en-IE" w:eastAsia="en-GB"/>
        </w:rPr>
        <w:footnoteReference w:id="4"/>
      </w:r>
      <w:r>
        <w:rPr>
          <w:rFonts w:ascii="Times New Roman" w:hAnsi="Times New Roman"/>
          <w:noProof/>
          <w:sz w:val="24"/>
        </w:rPr>
        <w:t>, partea generală a scrisorilor de misiune adresate comisarilor</w:t>
      </w:r>
      <w:r>
        <w:rPr>
          <w:rStyle w:val="FootnoteReference"/>
          <w:rFonts w:ascii="Times New Roman" w:eastAsia="Times New Roman" w:hAnsi="Times New Roman" w:cs="Times New Roman"/>
          <w:noProof/>
          <w:sz w:val="24"/>
          <w:szCs w:val="24"/>
          <w:lang w:val="en-IE" w:eastAsia="en-GB"/>
        </w:rPr>
        <w:footnoteReference w:id="5"/>
      </w:r>
      <w:r>
        <w:rPr>
          <w:rFonts w:ascii="Times New Roman" w:hAnsi="Times New Roman"/>
          <w:noProof/>
          <w:sz w:val="24"/>
        </w:rPr>
        <w:t xml:space="preserve"> angajează colegiul să pună în practică principiile deschiderii și transparenței în relațiile sale cu colegiuitorii, reprezentanții de interese și publicul. Protejarea dreptului cetățenilor de a avea acces la documente rămâne o parte integrantă a priorităților Comisiei Europene pentru perioada 2024-2029</w:t>
      </w:r>
      <w:r>
        <w:rPr>
          <w:rStyle w:val="FootnoteReference"/>
          <w:rFonts w:ascii="Times New Roman" w:eastAsia="Times New Roman" w:hAnsi="Times New Roman" w:cs="Times New Roman"/>
          <w:noProof/>
          <w:sz w:val="24"/>
          <w:szCs w:val="24"/>
          <w:lang w:val="en-IE" w:eastAsia="en-GB"/>
        </w:rPr>
        <w:footnoteReference w:id="6"/>
      </w:r>
      <w:r>
        <w:rPr>
          <w:rFonts w:ascii="Times New Roman" w:hAnsi="Times New Roman"/>
          <w:noProof/>
          <w:sz w:val="24"/>
        </w:rPr>
        <w:t>. Statisticile din capitolul 4 privind documentele divulgate integral sau parțial demonstrează angajamentul Comisiei Europene de a permite publicului să își exercite dreptul de acces la documente, ca parte a politicii mai ample a Comisiei Europene în materie de transparență.</w:t>
      </w:r>
    </w:p>
    <w:p w14:paraId="59ED4E11" w14:textId="37950AA6" w:rsidR="007B7B92" w:rsidRDefault="005E2753" w:rsidP="00931055">
      <w:pPr>
        <w:spacing w:before="240" w:after="0"/>
        <w:jc w:val="both"/>
        <w:rPr>
          <w:rFonts w:ascii="Times New Roman" w:eastAsia="Times New Roman" w:hAnsi="Times New Roman" w:cs="Times New Roman"/>
          <w:noProof/>
          <w:sz w:val="24"/>
          <w:szCs w:val="24"/>
        </w:rPr>
      </w:pPr>
      <w:r>
        <w:rPr>
          <w:rFonts w:ascii="Times New Roman" w:hAnsi="Times New Roman"/>
          <w:noProof/>
          <w:sz w:val="24"/>
        </w:rPr>
        <w:t xml:space="preserve">În cadrul Comisiei Europene, cererile inițiale de acces la documente sunt tratate în mod descentralizat de către fiecare departament al Comisiei. În 2025 s-au înregistrat </w:t>
      </w:r>
      <w:r>
        <w:rPr>
          <w:rFonts w:ascii="Times New Roman" w:hAnsi="Times New Roman"/>
          <w:b/>
          <w:noProof/>
          <w:sz w:val="24"/>
        </w:rPr>
        <w:t>6 434 de cereri inițiale</w:t>
      </w:r>
      <w:r>
        <w:rPr>
          <w:rFonts w:ascii="Times New Roman" w:hAnsi="Times New Roman"/>
          <w:noProof/>
          <w:sz w:val="24"/>
        </w:rPr>
        <w:t xml:space="preserve">. Numărul de </w:t>
      </w:r>
      <w:r>
        <w:rPr>
          <w:rFonts w:ascii="Times New Roman" w:hAnsi="Times New Roman"/>
          <w:b/>
          <w:noProof/>
          <w:sz w:val="24"/>
        </w:rPr>
        <w:t>cereri de confirmare</w:t>
      </w:r>
      <w:r>
        <w:rPr>
          <w:rFonts w:ascii="Times New Roman" w:hAnsi="Times New Roman"/>
          <w:noProof/>
          <w:sz w:val="24"/>
        </w:rPr>
        <w:t xml:space="preserve">, prin care solicitanții cer reexaminarea răspunsurilor inițiale prin care accesul le-a fost refuzat parțial sau integral, a fost de </w:t>
      </w:r>
      <w:r>
        <w:rPr>
          <w:rFonts w:ascii="Times New Roman" w:hAnsi="Times New Roman"/>
          <w:b/>
          <w:noProof/>
          <w:sz w:val="24"/>
        </w:rPr>
        <w:t>697</w:t>
      </w:r>
      <w:r>
        <w:rPr>
          <w:rFonts w:ascii="Times New Roman" w:hAnsi="Times New Roman"/>
          <w:noProof/>
          <w:sz w:val="24"/>
        </w:rPr>
        <w:t>.</w:t>
      </w:r>
    </w:p>
    <w:p w14:paraId="03FB080D" w14:textId="00C6D176" w:rsidR="00931055" w:rsidRPr="00746C2C" w:rsidRDefault="000830EA" w:rsidP="0015678E">
      <w:pPr>
        <w:spacing w:before="240" w:after="0"/>
        <w:jc w:val="both"/>
        <w:rPr>
          <w:rFonts w:ascii="Times New Roman" w:hAnsi="Times New Roman"/>
          <w:noProof/>
          <w:sz w:val="24"/>
          <w:szCs w:val="24"/>
        </w:rPr>
      </w:pPr>
      <w:r>
        <w:rPr>
          <w:rFonts w:ascii="Times New Roman" w:hAnsi="Times New Roman"/>
          <w:noProof/>
          <w:sz w:val="24"/>
        </w:rPr>
        <w:t>Cererile de confirmare sunt tratate în mod centralizat de unitatea Gestionarea documentelor și accesul la documente din cadrul Secretariatului General, pentru a se asigura o reexaminare independentă a răspunsurilor inițiale. Această unitate gestionează, de asemenea, EASE</w:t>
      </w:r>
      <w:r>
        <w:rPr>
          <w:rStyle w:val="FootnoteReference"/>
          <w:rFonts w:ascii="Times New Roman" w:eastAsia="Times New Roman" w:hAnsi="Times New Roman" w:cs="Times New Roman"/>
          <w:noProof/>
          <w:sz w:val="24"/>
          <w:szCs w:val="24"/>
          <w:lang w:val="en-IE" w:eastAsia="en-GB"/>
        </w:rPr>
        <w:footnoteReference w:id="7"/>
      </w:r>
      <w:r>
        <w:rPr>
          <w:rFonts w:ascii="Times New Roman" w:hAnsi="Times New Roman"/>
          <w:noProof/>
          <w:sz w:val="24"/>
        </w:rPr>
        <w:t>, sistemul informatic de la nivelul întregii Comisii Europene pentru tratarea cererilor de acces la documente.</w:t>
      </w:r>
    </w:p>
    <w:p w14:paraId="7427C65B" w14:textId="6F540C6B" w:rsidR="005E2753" w:rsidRPr="00746C2C" w:rsidRDefault="000830EA" w:rsidP="005E2753">
      <w:pPr>
        <w:spacing w:before="240" w:after="0"/>
        <w:jc w:val="both"/>
        <w:rPr>
          <w:rFonts w:ascii="Times New Roman" w:eastAsia="Times New Roman" w:hAnsi="Times New Roman" w:cs="Times New Roman"/>
          <w:noProof/>
          <w:sz w:val="24"/>
          <w:szCs w:val="24"/>
        </w:rPr>
      </w:pPr>
      <w:r>
        <w:rPr>
          <w:rFonts w:ascii="Times New Roman" w:hAnsi="Times New Roman"/>
          <w:noProof/>
          <w:sz w:val="24"/>
        </w:rPr>
        <w:t>Departamentele Comisiei Europene sunt sprijinite de Serviciul Arhive Istorice (HAS), implicat în special în cazurile în care cererile de acces la documente se referă la arhivele foștilor comisari și ale cabinetelor acestora sau la documente mai vechi care au fost transferate în arhivele istorice în conformitate cu normele de gestionare a documentelor. În 2025, HAS a oferit asistență în 427 de cazuri, în principal Secretariatului General (105) și direcțiilor generale: Politici Climatice (40); Piață Internă, Industrie, Antreprenoriat și IMM-uri (34); Sănătate și Siguranță Alimentară (25); Agricultură și Dezvoltare Rurală (24); Mediu (24); Justiție și Consumatori (22).</w:t>
      </w:r>
    </w:p>
    <w:p w14:paraId="34F1807A" w14:textId="2BAFE47E" w:rsidR="005E2753" w:rsidRPr="00746C2C" w:rsidRDefault="005E2753" w:rsidP="005E2753">
      <w:pPr>
        <w:pStyle w:val="Heading1"/>
        <w:spacing w:after="360"/>
        <w:ind w:left="851" w:hanging="851"/>
        <w:rPr>
          <w:noProof/>
        </w:rPr>
      </w:pPr>
      <w:bookmarkStart w:id="3" w:name="_Toc480274551"/>
      <w:bookmarkStart w:id="4" w:name="_Toc8824304"/>
      <w:bookmarkStart w:id="5" w:name="_Toc230882800"/>
      <w:r>
        <w:rPr>
          <w:noProof/>
        </w:rPr>
        <w:t>Punerea la dispoziție online și prin intermediul registrelor a informațiilor și documentelor</w:t>
      </w:r>
      <w:bookmarkEnd w:id="3"/>
      <w:bookmarkEnd w:id="4"/>
      <w:bookmarkEnd w:id="5"/>
    </w:p>
    <w:p w14:paraId="2FDAA60F" w14:textId="43FBD17E" w:rsidR="005E2753" w:rsidRPr="00746C2C" w:rsidRDefault="005E2753" w:rsidP="00984485">
      <w:pPr>
        <w:pStyle w:val="NormalWeb"/>
        <w:spacing w:before="240" w:after="240"/>
        <w:jc w:val="both"/>
        <w:rPr>
          <w:rFonts w:eastAsia="Times New Roman"/>
          <w:noProof/>
        </w:rPr>
      </w:pPr>
      <w:r>
        <w:rPr>
          <w:noProof/>
        </w:rPr>
        <w:t>Comisia Europeană publică în mod proactiv o gamă largă de documente juridice, de politică, administrative și de altă natură pe diferite site-uri internet și în diferite registre</w:t>
      </w:r>
      <w:r>
        <w:rPr>
          <w:rStyle w:val="FootnoteReference"/>
          <w:rFonts w:eastAsia="Times New Roman"/>
          <w:noProof/>
          <w:lang w:val="en-IE" w:eastAsia="en-GB"/>
        </w:rPr>
        <w:footnoteReference w:id="8"/>
      </w:r>
      <w:r>
        <w:rPr>
          <w:noProof/>
        </w:rPr>
        <w:t>. Multe dintre acestea sunt disponibile în registrul documentelor Comisiei (RegDoc), în Registrul actelor delegate și de punere în aplicare și în alte registre ale instituțiilor gestionate de Secretariatul General. Altele pot fi găsite pe site-urile gestionate de direcțiile generale sau pe EUR-Lex</w:t>
      </w:r>
      <w:r>
        <w:rPr>
          <w:rStyle w:val="FootnoteReference"/>
          <w:rFonts w:eastAsia="Times New Roman"/>
          <w:noProof/>
          <w:lang w:val="en-IE" w:eastAsia="en-GB"/>
        </w:rPr>
        <w:footnoteReference w:id="9"/>
      </w:r>
      <w:r>
        <w:rPr>
          <w:noProof/>
        </w:rPr>
        <w:t>. În plus, articolul 3 din anexa la regulamentul de procedură al Comisiei</w:t>
      </w:r>
      <w:r>
        <w:rPr>
          <w:rFonts w:eastAsia="Times New Roman"/>
          <w:noProof/>
          <w:vertAlign w:val="superscript"/>
          <w:lang w:val="en-IE"/>
        </w:rPr>
        <w:footnoteReference w:id="10"/>
      </w:r>
      <w:r>
        <w:rPr>
          <w:noProof/>
        </w:rPr>
        <w:t>, adoptat la 4 decembrie 2024, sporește și mai mult transparența proactivă prin enumerarea categoriilor de documente care sunt direct accesibile publicului.</w:t>
      </w:r>
    </w:p>
    <w:p w14:paraId="68B5033A" w14:textId="601F5358" w:rsidR="00777179" w:rsidRPr="00746C2C" w:rsidRDefault="005E2753" w:rsidP="005E2753">
      <w:pPr>
        <w:spacing w:before="240" w:after="0"/>
        <w:jc w:val="both"/>
        <w:rPr>
          <w:rFonts w:ascii="Times New Roman" w:eastAsia="Times New Roman" w:hAnsi="Times New Roman" w:cs="Times New Roman"/>
          <w:noProof/>
          <w:sz w:val="24"/>
          <w:szCs w:val="24"/>
        </w:rPr>
      </w:pPr>
      <w:r>
        <w:rPr>
          <w:rFonts w:ascii="Times New Roman" w:hAnsi="Times New Roman"/>
          <w:noProof/>
          <w:sz w:val="24"/>
        </w:rPr>
        <w:t>În 2025, în RegDoc au fost adăugate 11 274 de documente noi (a se vedea tabelul 1 din anexă), în următoarele categorii: C – acte autonome ale Comisiei, inclusiv acte delegate și de punere în aplicare, alte tipuri de decizii etc.; COM – propuneri, recomandări, comunicări, rapoarte ale Comisiei etc.; JOIN – acte adoptate în comun de Comisie și de Înaltul Reprezentant; OJ – ordini de zi ale reuniunilor Comisiei; P - decizii ale președintelui Comisiei; PV – procese-verbale ale reuniunilor Comisiei; SEC – documente ale Comisiei care nu pot fi clasificate în niciuna dintre celelalte serii; SWD – documente de lucru ale serviciilor Comisiei.</w:t>
      </w:r>
    </w:p>
    <w:p w14:paraId="536DB905" w14:textId="0BDA5281" w:rsidR="005E2753" w:rsidRPr="00746C2C" w:rsidRDefault="005E2753" w:rsidP="005E2753">
      <w:pPr>
        <w:spacing w:before="240" w:after="0"/>
        <w:jc w:val="both"/>
        <w:rPr>
          <w:rFonts w:ascii="Times New Roman" w:eastAsia="Times New Roman" w:hAnsi="Times New Roman" w:cs="Times New Roman"/>
          <w:noProof/>
          <w:sz w:val="24"/>
          <w:szCs w:val="24"/>
        </w:rPr>
      </w:pPr>
      <w:r>
        <w:rPr>
          <w:rFonts w:ascii="Times New Roman" w:hAnsi="Times New Roman"/>
          <w:noProof/>
          <w:sz w:val="24"/>
        </w:rPr>
        <w:t xml:space="preserve">În 2025, numărul de vizualizări ale paginilor web a ajuns la 16 159 în cazul site-ul-ui „Accesul la documente” de pe domeniul </w:t>
      </w:r>
      <w:r>
        <w:rPr>
          <w:rFonts w:ascii="Times New Roman" w:hAnsi="Times New Roman"/>
          <w:i/>
          <w:noProof/>
          <w:sz w:val="24"/>
        </w:rPr>
        <w:t>Europa</w:t>
      </w:r>
      <w:r>
        <w:rPr>
          <w:rFonts w:ascii="Times New Roman" w:eastAsia="Times New Roman" w:hAnsi="Times New Roman" w:cs="Times New Roman"/>
          <w:noProof/>
          <w:sz w:val="24"/>
          <w:szCs w:val="24"/>
          <w:vertAlign w:val="superscript"/>
          <w:lang w:val="en-IE"/>
        </w:rPr>
        <w:footnoteReference w:id="11"/>
      </w:r>
      <w:r>
        <w:rPr>
          <w:rFonts w:ascii="Times New Roman" w:hAnsi="Times New Roman"/>
          <w:noProof/>
          <w:sz w:val="24"/>
        </w:rPr>
        <w:t xml:space="preserve"> și la 70 950 în cazul paginii RegDoc</w:t>
      </w:r>
      <w:r>
        <w:rPr>
          <w:rStyle w:val="FootnoteReference"/>
          <w:rFonts w:ascii="Times New Roman" w:hAnsi="Times New Roman"/>
          <w:noProof/>
          <w:sz w:val="24"/>
          <w:szCs w:val="24"/>
          <w:lang w:val="en-IE" w:eastAsia="en-GB"/>
        </w:rPr>
        <w:footnoteReference w:id="12"/>
      </w:r>
      <w:bookmarkStart w:id="6" w:name="_Toc480274553"/>
      <w:bookmarkStart w:id="7" w:name="_Toc8824306"/>
      <w:r>
        <w:rPr>
          <w:rFonts w:ascii="Times New Roman" w:hAnsi="Times New Roman"/>
          <w:noProof/>
          <w:sz w:val="24"/>
        </w:rPr>
        <w:t>.</w:t>
      </w:r>
    </w:p>
    <w:p w14:paraId="335FD03B" w14:textId="7BFCA6E6" w:rsidR="005E2753" w:rsidRPr="00746C2C" w:rsidRDefault="005E2753" w:rsidP="005E2753">
      <w:pPr>
        <w:pStyle w:val="Heading1"/>
        <w:spacing w:before="240" w:after="0"/>
        <w:ind w:left="851" w:hanging="851"/>
        <w:rPr>
          <w:noProof/>
        </w:rPr>
      </w:pPr>
      <w:bookmarkStart w:id="8" w:name="_Toc230882801"/>
      <w:r>
        <w:rPr>
          <w:noProof/>
        </w:rPr>
        <w:t>Analiza cererilor de acces la documente</w:t>
      </w:r>
      <w:bookmarkEnd w:id="8"/>
    </w:p>
    <w:p w14:paraId="7DC448FD" w14:textId="710A4B9B" w:rsidR="005E2753" w:rsidRPr="00746C2C" w:rsidRDefault="008D60F1" w:rsidP="003049A9">
      <w:pPr>
        <w:pStyle w:val="Heading2"/>
        <w:numPr>
          <w:ilvl w:val="1"/>
          <w:numId w:val="2"/>
        </w:numPr>
        <w:spacing w:before="240" w:after="0"/>
        <w:ind w:left="851" w:hanging="624"/>
        <w:rPr>
          <w:b w:val="0"/>
          <w:noProof/>
        </w:rPr>
      </w:pPr>
      <w:bookmarkStart w:id="9" w:name="_Toc8824307"/>
      <w:bookmarkStart w:id="10" w:name="_Toc230882802"/>
      <w:bookmarkEnd w:id="6"/>
      <w:bookmarkEnd w:id="7"/>
      <w:r>
        <w:rPr>
          <w:b w:val="0"/>
          <w:noProof/>
        </w:rPr>
        <w:t>Numărul de cereri</w:t>
      </w:r>
      <w:r>
        <w:rPr>
          <w:rStyle w:val="FootnoteReference"/>
          <w:b w:val="0"/>
          <w:noProof/>
          <w:lang w:val="en-IE"/>
        </w:rPr>
        <w:footnoteReference w:id="13"/>
      </w:r>
      <w:bookmarkEnd w:id="9"/>
      <w:r>
        <w:rPr>
          <w:noProof/>
        </w:rPr>
        <w:t xml:space="preserve"> </w:t>
      </w:r>
      <w:r>
        <w:rPr>
          <w:b w:val="0"/>
          <w:noProof/>
        </w:rPr>
        <w:t>(anexa – tabelele 3 și 4)</w:t>
      </w:r>
      <w:bookmarkEnd w:id="10"/>
      <w:r>
        <w:rPr>
          <w:rStyle w:val="CommentReference"/>
          <w:b w:val="0"/>
          <w:noProof/>
        </w:rPr>
        <w:t xml:space="preserve"> </w:t>
      </w:r>
    </w:p>
    <w:p w14:paraId="2579D52B" w14:textId="49CAAA6D" w:rsidR="00742A2A" w:rsidRDefault="008A5A3E" w:rsidP="00201164">
      <w:pPr>
        <w:tabs>
          <w:tab w:val="left" w:pos="8460"/>
        </w:tabs>
        <w:spacing w:before="240" w:after="0"/>
        <w:jc w:val="both"/>
        <w:rPr>
          <w:rFonts w:ascii="Times New Roman" w:hAnsi="Times New Roman"/>
          <w:noProof/>
          <w:sz w:val="24"/>
        </w:rPr>
      </w:pPr>
      <w:r>
        <w:rPr>
          <w:rFonts w:ascii="Times New Roman" w:hAnsi="Times New Roman"/>
          <w:noProof/>
          <w:sz w:val="24"/>
        </w:rPr>
        <w:t>Astfel cum s-a menționat mai sus, în 2025 au fost depuse 6 434 de cereri inițiale de acces la documente. Comisia a furnizat 4 471 de răspunsuri în temeiul Regulamentului (CE) nr. 1049/2001 și 6 408 de răspunsuri în total. O singură cerere poate viza mai multe documente deținute de diferite departamente ale Comisiei și, prin urmare, poate primi mai multe răspunsuri. Pe de altă parte, mai multe cereri pot fi uneori grupate și pot face obiectul unui singur răspuns. Numărul de alte răspunsuri se referă la răspunsuri furnizate în temeiul altor cadre juridice (ca urmare a conținutului cererii sau a statutului solicitantului etc.) sau la decizii de închidere deoarece solicitantul nu a furnizat clarificările solicitate sau nu a îndeplinit cerințele procedurale.</w:t>
      </w:r>
    </w:p>
    <w:p w14:paraId="7641E32D" w14:textId="096261DE" w:rsidR="000215A2" w:rsidRDefault="00293388" w:rsidP="0041408C">
      <w:pPr>
        <w:tabs>
          <w:tab w:val="left" w:pos="8460"/>
        </w:tabs>
        <w:spacing w:before="240" w:after="0"/>
        <w:jc w:val="both"/>
        <w:rPr>
          <w:rFonts w:ascii="Times New Roman" w:eastAsia="Times New Roman" w:hAnsi="Times New Roman" w:cs="Times New Roman"/>
          <w:noProof/>
          <w:sz w:val="24"/>
          <w:szCs w:val="24"/>
        </w:rPr>
      </w:pPr>
      <w:r w:rsidRPr="00293388">
        <w:rPr>
          <w:rFonts w:ascii="Times New Roman" w:eastAsia="Times New Roman" w:hAnsi="Times New Roman" w:cs="Times New Roman"/>
          <w:noProof/>
          <w:sz w:val="24"/>
          <w:szCs w:val="24"/>
          <w:lang w:val="en-GB" w:eastAsia="en-GB"/>
        </w:rPr>
        <w:drawing>
          <wp:inline distT="0" distB="0" distL="0" distR="0" wp14:anchorId="1E514935" wp14:editId="5C71BA85">
            <wp:extent cx="5522400" cy="2880000"/>
            <wp:effectExtent l="0" t="0" r="2540" b="0"/>
            <wp:docPr id="2105484652" name="Picture 1" descr="A graph of numbers and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484652" name="Picture 1" descr="A graph of numbers and a number of objects&#10;&#10;AI-generated content may be incorrect."/>
                    <pic:cNvPicPr/>
                  </pic:nvPicPr>
                  <pic:blipFill>
                    <a:blip r:embed="rId15"/>
                    <a:stretch>
                      <a:fillRect/>
                    </a:stretch>
                  </pic:blipFill>
                  <pic:spPr>
                    <a:xfrm>
                      <a:off x="0" y="0"/>
                      <a:ext cx="5522400" cy="2880000"/>
                    </a:xfrm>
                    <a:prstGeom prst="rect">
                      <a:avLst/>
                    </a:prstGeom>
                  </pic:spPr>
                </pic:pic>
              </a:graphicData>
            </a:graphic>
          </wp:inline>
        </w:drawing>
      </w:r>
    </w:p>
    <w:p w14:paraId="1F459CE0" w14:textId="5623B963" w:rsidR="005A4D3E" w:rsidRDefault="00254DC1" w:rsidP="000A2274">
      <w:pPr>
        <w:spacing w:before="240" w:after="0"/>
        <w:jc w:val="both"/>
        <w:rPr>
          <w:rFonts w:ascii="Times New Roman" w:hAnsi="Times New Roman"/>
          <w:noProof/>
          <w:sz w:val="24"/>
        </w:rPr>
      </w:pPr>
      <w:r>
        <w:rPr>
          <w:rFonts w:ascii="Times New Roman" w:hAnsi="Times New Roman"/>
          <w:noProof/>
          <w:sz w:val="24"/>
        </w:rPr>
        <w:t>În 2025, s-au înregistrat 697 de cereri de confirmare. Comisia a furnizat 384 de răspunsuri în temeiul Regulamentului (CE) nr. 1049/2001 și 681 de răspunsuri în total.</w:t>
      </w:r>
    </w:p>
    <w:p w14:paraId="0CE3B50C" w14:textId="52A65EF5" w:rsidR="00195E0E" w:rsidRDefault="00293388" w:rsidP="000A2274">
      <w:pPr>
        <w:spacing w:before="240" w:after="0"/>
        <w:jc w:val="both"/>
        <w:rPr>
          <w:rFonts w:ascii="Times New Roman" w:eastAsia="Times New Roman" w:hAnsi="Times New Roman" w:cs="Times New Roman"/>
          <w:noProof/>
          <w:sz w:val="24"/>
          <w:szCs w:val="24"/>
        </w:rPr>
      </w:pPr>
      <w:r w:rsidRPr="00293388">
        <w:rPr>
          <w:rFonts w:ascii="Times New Roman" w:eastAsia="Times New Roman" w:hAnsi="Times New Roman" w:cs="Times New Roman"/>
          <w:noProof/>
          <w:sz w:val="24"/>
          <w:szCs w:val="24"/>
          <w:lang w:val="en-GB" w:eastAsia="en-GB"/>
        </w:rPr>
        <w:drawing>
          <wp:inline distT="0" distB="0" distL="0" distR="0" wp14:anchorId="5395BABD" wp14:editId="4D875918">
            <wp:extent cx="5227200" cy="2952000"/>
            <wp:effectExtent l="0" t="0" r="0" b="1270"/>
            <wp:docPr id="160243467" name="Picture 1" descr="A graph of numbers and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43467" name="Picture 1" descr="A graph of numbers and a number of objects&#10;&#10;AI-generated content may be incorrect."/>
                    <pic:cNvPicPr/>
                  </pic:nvPicPr>
                  <pic:blipFill>
                    <a:blip r:embed="rId16"/>
                    <a:stretch>
                      <a:fillRect/>
                    </a:stretch>
                  </pic:blipFill>
                  <pic:spPr>
                    <a:xfrm>
                      <a:off x="0" y="0"/>
                      <a:ext cx="5227200" cy="2952000"/>
                    </a:xfrm>
                    <a:prstGeom prst="rect">
                      <a:avLst/>
                    </a:prstGeom>
                  </pic:spPr>
                </pic:pic>
              </a:graphicData>
            </a:graphic>
          </wp:inline>
        </w:drawing>
      </w:r>
    </w:p>
    <w:p w14:paraId="22477045" w14:textId="6E6417A9" w:rsidR="005E2753" w:rsidRPr="00746C2C" w:rsidRDefault="00254DC1" w:rsidP="003049A9">
      <w:pPr>
        <w:pStyle w:val="Heading2"/>
        <w:numPr>
          <w:ilvl w:val="1"/>
          <w:numId w:val="2"/>
        </w:numPr>
        <w:spacing w:before="240" w:after="0"/>
        <w:ind w:left="851" w:hanging="624"/>
        <w:rPr>
          <w:noProof/>
          <w:color w:val="000066"/>
        </w:rPr>
      </w:pPr>
      <w:bookmarkStart w:id="11" w:name="_Toc8824308"/>
      <w:bookmarkStart w:id="12" w:name="_Toc230882803"/>
      <w:r>
        <w:rPr>
          <w:b w:val="0"/>
          <w:noProof/>
        </w:rPr>
        <w:t>Cererile primite de către fiecare direcție generală sau serviciu (anexă – tabelul 5)</w:t>
      </w:r>
      <w:r>
        <w:rPr>
          <w:rStyle w:val="FootnoteReference"/>
          <w:b w:val="0"/>
          <w:noProof/>
          <w:lang w:val="en-IE"/>
        </w:rPr>
        <w:footnoteReference w:id="14"/>
      </w:r>
      <w:bookmarkEnd w:id="11"/>
      <w:bookmarkEnd w:id="12"/>
    </w:p>
    <w:p w14:paraId="0133853B" w14:textId="5DE83587" w:rsidR="000A7102" w:rsidRDefault="005E2753" w:rsidP="00DF45F0">
      <w:pPr>
        <w:spacing w:before="240" w:after="0"/>
        <w:jc w:val="both"/>
        <w:rPr>
          <w:rFonts w:ascii="Times New Roman" w:hAnsi="Times New Roman"/>
          <w:noProof/>
          <w:sz w:val="24"/>
        </w:rPr>
      </w:pPr>
      <w:r>
        <w:rPr>
          <w:rFonts w:ascii="Times New Roman" w:hAnsi="Times New Roman"/>
          <w:noProof/>
          <w:sz w:val="24"/>
        </w:rPr>
        <w:t>În 2025, Direcția Generală Piață Internă, Industrie, Antreprenoriat și IMM-uri a primit cel mai mare procent de cereri inițiale (14,3 %). Aceasta a fost urmată de Secretariatul General (12,5 %) și de direcțiile generale: Sănătate și Siguranță Alimentară (6,1 %); Mediu (5,7 %); și Rețele de Comunicare, Conținut și Tehnologie (5,6 %). Celelalte departamente reprezintă fiecare mai puțin de 5 % din totalul cererilor inițiale.</w:t>
      </w:r>
    </w:p>
    <w:p w14:paraId="303DEB50" w14:textId="47EBBBB0" w:rsidR="00EA01E9" w:rsidRDefault="00794399" w:rsidP="00DF45F0">
      <w:pPr>
        <w:spacing w:before="240" w:after="0"/>
        <w:jc w:val="both"/>
        <w:rPr>
          <w:rFonts w:ascii="Times New Roman" w:eastAsia="Times New Roman" w:hAnsi="Times New Roman" w:cs="Times New Roman"/>
          <w:noProof/>
          <w:sz w:val="24"/>
          <w:szCs w:val="24"/>
        </w:rPr>
      </w:pPr>
      <w:r w:rsidRPr="00794399">
        <w:rPr>
          <w:rFonts w:ascii="Times New Roman" w:eastAsia="Times New Roman" w:hAnsi="Times New Roman" w:cs="Times New Roman"/>
          <w:noProof/>
          <w:sz w:val="24"/>
          <w:szCs w:val="24"/>
          <w:lang w:val="en-GB" w:eastAsia="en-GB"/>
        </w:rPr>
        <w:drawing>
          <wp:inline distT="0" distB="0" distL="0" distR="0" wp14:anchorId="398C2E79" wp14:editId="4478B55D">
            <wp:extent cx="5634000" cy="3067200"/>
            <wp:effectExtent l="0" t="0" r="5080" b="0"/>
            <wp:docPr id="1669525102"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525102" name="Picture 1" descr="A graph of different colored bars&#10;&#10;AI-generated content may be incorrect."/>
                    <pic:cNvPicPr/>
                  </pic:nvPicPr>
                  <pic:blipFill>
                    <a:blip r:embed="rId17"/>
                    <a:stretch>
                      <a:fillRect/>
                    </a:stretch>
                  </pic:blipFill>
                  <pic:spPr>
                    <a:xfrm>
                      <a:off x="0" y="0"/>
                      <a:ext cx="5634000" cy="3067200"/>
                    </a:xfrm>
                    <a:prstGeom prst="rect">
                      <a:avLst/>
                    </a:prstGeom>
                  </pic:spPr>
                </pic:pic>
              </a:graphicData>
            </a:graphic>
          </wp:inline>
        </w:drawing>
      </w:r>
    </w:p>
    <w:p w14:paraId="45C642EC" w14:textId="50C63135" w:rsidR="00167523" w:rsidRDefault="00754FC3" w:rsidP="00E25820">
      <w:pPr>
        <w:spacing w:before="240" w:after="0"/>
        <w:jc w:val="both"/>
        <w:rPr>
          <w:rFonts w:ascii="Times New Roman" w:hAnsi="Times New Roman"/>
          <w:noProof/>
          <w:sz w:val="24"/>
        </w:rPr>
      </w:pPr>
      <w:r>
        <w:rPr>
          <w:rFonts w:ascii="Times New Roman" w:hAnsi="Times New Roman"/>
          <w:noProof/>
          <w:sz w:val="24"/>
        </w:rPr>
        <w:t>În 2025, cea mai mare proporție de cereri de confirmare s-a înregistrat în cazurile tratate în etapa inițială de către Direcția Generală Piață Internă, Industrie, Antreprenoriat și IMM-uri (12,9 %). Aceasta a fost urmată de Direcția Generală Sănătate și Siguranță Alimentară (9,3 %), de Secretariatul General (8 %) și de direcțiile generale: Mediu (7,3 %); Rețele de Comunicare, Conținut și Tehnologie (6,3 %); și Migrație și Afaceri Interne (5,6 %). Celelalte departamente reprezintă fiecare mai puțin de 5 % din totalul cererilor de confirmare.</w:t>
      </w:r>
      <w:bookmarkStart w:id="14" w:name="_Toc480274554"/>
    </w:p>
    <w:p w14:paraId="542B085E" w14:textId="51D2D16B" w:rsidR="009226AE" w:rsidRDefault="00794399" w:rsidP="00E25820">
      <w:pPr>
        <w:spacing w:before="240" w:after="0"/>
        <w:jc w:val="both"/>
        <w:rPr>
          <w:rFonts w:ascii="Times New Roman" w:eastAsia="Times New Roman" w:hAnsi="Times New Roman" w:cs="Times New Roman"/>
          <w:noProof/>
          <w:sz w:val="24"/>
          <w:szCs w:val="24"/>
        </w:rPr>
      </w:pPr>
      <w:r w:rsidRPr="00794399">
        <w:rPr>
          <w:rFonts w:ascii="Times New Roman" w:eastAsia="Times New Roman" w:hAnsi="Times New Roman" w:cs="Times New Roman"/>
          <w:noProof/>
          <w:sz w:val="24"/>
          <w:szCs w:val="24"/>
          <w:lang w:val="en-GB" w:eastAsia="en-GB"/>
        </w:rPr>
        <w:drawing>
          <wp:inline distT="0" distB="0" distL="0" distR="0" wp14:anchorId="1FB8CA2B" wp14:editId="05F288DA">
            <wp:extent cx="5695200" cy="3078000"/>
            <wp:effectExtent l="0" t="0" r="1270" b="8255"/>
            <wp:docPr id="1362368235"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368235" name="Picture 1" descr="A graph of different colored bars&#10;&#10;AI-generated content may be incorrect."/>
                    <pic:cNvPicPr/>
                  </pic:nvPicPr>
                  <pic:blipFill>
                    <a:blip r:embed="rId18"/>
                    <a:stretch>
                      <a:fillRect/>
                    </a:stretch>
                  </pic:blipFill>
                  <pic:spPr>
                    <a:xfrm>
                      <a:off x="0" y="0"/>
                      <a:ext cx="5695200" cy="3078000"/>
                    </a:xfrm>
                    <a:prstGeom prst="rect">
                      <a:avLst/>
                    </a:prstGeom>
                  </pic:spPr>
                </pic:pic>
              </a:graphicData>
            </a:graphic>
          </wp:inline>
        </w:drawing>
      </w:r>
    </w:p>
    <w:p w14:paraId="26FD7667" w14:textId="23E61B32" w:rsidR="005E2753" w:rsidRPr="00746C2C" w:rsidRDefault="00254DC1" w:rsidP="005E2753">
      <w:pPr>
        <w:pStyle w:val="Heading1"/>
        <w:spacing w:after="0"/>
        <w:ind w:left="851" w:hanging="851"/>
        <w:rPr>
          <w:noProof/>
        </w:rPr>
      </w:pPr>
      <w:bookmarkStart w:id="15" w:name="_Toc8824311"/>
      <w:bookmarkStart w:id="16" w:name="_Toc230882804"/>
      <w:r>
        <w:rPr>
          <w:noProof/>
        </w:rPr>
        <w:t>Excepții de la dreptul de acces</w:t>
      </w:r>
      <w:r>
        <w:rPr>
          <w:rStyle w:val="FootnoteReference"/>
          <w:noProof/>
          <w:lang w:val="en-IE"/>
        </w:rPr>
        <w:footnoteReference w:id="15"/>
      </w:r>
      <w:bookmarkEnd w:id="15"/>
      <w:bookmarkEnd w:id="16"/>
    </w:p>
    <w:p w14:paraId="64B40A42" w14:textId="4F22DC03" w:rsidR="005E2753" w:rsidRPr="00746C2C" w:rsidRDefault="005E2753" w:rsidP="005E2753">
      <w:pPr>
        <w:spacing w:before="240" w:after="0"/>
        <w:jc w:val="both"/>
        <w:rPr>
          <w:rFonts w:ascii="Times New Roman" w:hAnsi="Times New Roman" w:cs="Times New Roman"/>
          <w:noProof/>
          <w:sz w:val="24"/>
          <w:szCs w:val="24"/>
        </w:rPr>
      </w:pPr>
      <w:r>
        <w:rPr>
          <w:rFonts w:ascii="Times New Roman" w:hAnsi="Times New Roman"/>
          <w:noProof/>
          <w:sz w:val="24"/>
        </w:rPr>
        <w:t>Dreptul de acces prevăzut în Regulamentul (CE) nr. 1049/2001 face obiectul unei serii de excepții specifice, care sunt prevăzute la articolul 4. Orice decizie de respingere a unei cereri de acces la un document, fie el integral sau parțial, trebuie justificată prin cel puțin una dintre aceste excepții.</w:t>
      </w:r>
    </w:p>
    <w:p w14:paraId="39DD82C7" w14:textId="638849C9" w:rsidR="004A601D" w:rsidRDefault="00254DC1" w:rsidP="004A601D">
      <w:pPr>
        <w:pStyle w:val="Heading2"/>
        <w:numPr>
          <w:ilvl w:val="1"/>
          <w:numId w:val="2"/>
        </w:numPr>
        <w:spacing w:before="240" w:after="0"/>
        <w:ind w:left="851" w:hanging="624"/>
        <w:rPr>
          <w:b w:val="0"/>
          <w:noProof/>
        </w:rPr>
      </w:pPr>
      <w:bookmarkStart w:id="17" w:name="_Toc8824312"/>
      <w:bookmarkStart w:id="18" w:name="_Toc230882805"/>
      <w:r>
        <w:rPr>
          <w:b w:val="0"/>
          <w:noProof/>
        </w:rPr>
        <w:t>Nivelul de acces acordat documentelor solicitate (anexă – tabelele 8 și 9)</w:t>
      </w:r>
      <w:bookmarkEnd w:id="14"/>
      <w:bookmarkEnd w:id="17"/>
      <w:bookmarkEnd w:id="18"/>
    </w:p>
    <w:p w14:paraId="71C0E3D0" w14:textId="3DF710AB" w:rsidR="00CD68DB" w:rsidRPr="00746C2C" w:rsidRDefault="00286791" w:rsidP="004A601D">
      <w:pPr>
        <w:jc w:val="center"/>
        <w:rPr>
          <w:rFonts w:ascii="Times New Roman" w:eastAsia="Times New Roman" w:hAnsi="Times New Roman" w:cs="Times New Roman"/>
          <w:noProof/>
          <w:sz w:val="24"/>
          <w:szCs w:val="24"/>
        </w:rPr>
      </w:pPr>
      <w:r w:rsidRPr="00286791">
        <w:rPr>
          <w:rFonts w:ascii="Times New Roman" w:eastAsia="Times New Roman" w:hAnsi="Times New Roman" w:cs="Times New Roman"/>
          <w:noProof/>
          <w:sz w:val="24"/>
          <w:szCs w:val="24"/>
          <w:lang w:val="en-GB" w:eastAsia="en-GB"/>
        </w:rPr>
        <w:drawing>
          <wp:inline distT="0" distB="0" distL="0" distR="0" wp14:anchorId="590239CC" wp14:editId="4600BB5C">
            <wp:extent cx="3708000" cy="2059200"/>
            <wp:effectExtent l="0" t="0" r="6985" b="0"/>
            <wp:docPr id="1705016297" name="Picture 1" descr="A graph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016297" name="Picture 1" descr="A graph with text and numbers&#10;&#10;AI-generated content may be incorrect."/>
                    <pic:cNvPicPr/>
                  </pic:nvPicPr>
                  <pic:blipFill>
                    <a:blip r:embed="rId19"/>
                    <a:stretch>
                      <a:fillRect/>
                    </a:stretch>
                  </pic:blipFill>
                  <pic:spPr>
                    <a:xfrm>
                      <a:off x="0" y="0"/>
                      <a:ext cx="3708000" cy="2059200"/>
                    </a:xfrm>
                    <a:prstGeom prst="rect">
                      <a:avLst/>
                    </a:prstGeom>
                  </pic:spPr>
                </pic:pic>
              </a:graphicData>
            </a:graphic>
          </wp:inline>
        </w:drawing>
      </w:r>
      <w:r w:rsidRPr="00286791">
        <w:rPr>
          <w:rFonts w:ascii="Times New Roman" w:eastAsia="Times New Roman" w:hAnsi="Times New Roman" w:cs="Times New Roman"/>
          <w:noProof/>
          <w:sz w:val="24"/>
          <w:szCs w:val="24"/>
          <w:lang w:val="en-GB" w:eastAsia="en-GB"/>
        </w:rPr>
        <w:drawing>
          <wp:inline distT="0" distB="0" distL="0" distR="0" wp14:anchorId="4A474F94" wp14:editId="70775C9C">
            <wp:extent cx="4755600" cy="2160000"/>
            <wp:effectExtent l="0" t="0" r="6985" b="0"/>
            <wp:docPr id="1580269837" name="Picture 1"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269837" name="Picture 1" descr="A graph with different colored bars&#10;&#10;AI-generated content may be incorrect."/>
                    <pic:cNvPicPr/>
                  </pic:nvPicPr>
                  <pic:blipFill>
                    <a:blip r:embed="rId20"/>
                    <a:stretch>
                      <a:fillRect/>
                    </a:stretch>
                  </pic:blipFill>
                  <pic:spPr>
                    <a:xfrm>
                      <a:off x="0" y="0"/>
                      <a:ext cx="4755600" cy="2160000"/>
                    </a:xfrm>
                    <a:prstGeom prst="rect">
                      <a:avLst/>
                    </a:prstGeom>
                  </pic:spPr>
                </pic:pic>
              </a:graphicData>
            </a:graphic>
          </wp:inline>
        </w:drawing>
      </w:r>
    </w:p>
    <w:p w14:paraId="074E55C8" w14:textId="7F2A16C5" w:rsidR="005E2753" w:rsidRDefault="00254DC1" w:rsidP="000E2841">
      <w:pPr>
        <w:pStyle w:val="Heading2"/>
        <w:numPr>
          <w:ilvl w:val="1"/>
          <w:numId w:val="2"/>
        </w:numPr>
        <w:spacing w:before="240"/>
        <w:ind w:left="851" w:hanging="624"/>
        <w:rPr>
          <w:b w:val="0"/>
          <w:noProof/>
        </w:rPr>
      </w:pPr>
      <w:bookmarkStart w:id="19" w:name="_Toc8824313"/>
      <w:bookmarkStart w:id="20" w:name="_Toc230882806"/>
      <w:r>
        <w:rPr>
          <w:b w:val="0"/>
          <w:noProof/>
        </w:rPr>
        <w:t>Excepții aplicate cu privire la documentele solicitate (anexă – tabelul 10)</w:t>
      </w:r>
      <w:bookmarkEnd w:id="19"/>
      <w:bookmarkEnd w:id="20"/>
    </w:p>
    <w:p w14:paraId="4EC75E47" w14:textId="5FBCF0D4" w:rsidR="00266053" w:rsidRPr="00266053" w:rsidRDefault="00286791" w:rsidP="00266053">
      <w:pPr>
        <w:jc w:val="center"/>
        <w:rPr>
          <w:noProof/>
        </w:rPr>
      </w:pPr>
      <w:r w:rsidRPr="00286791">
        <w:rPr>
          <w:noProof/>
          <w:lang w:val="en-GB" w:eastAsia="en-GB"/>
        </w:rPr>
        <w:drawing>
          <wp:inline distT="0" distB="0" distL="0" distR="0" wp14:anchorId="6E6FE315" wp14:editId="14F6628B">
            <wp:extent cx="5626836" cy="3287467"/>
            <wp:effectExtent l="0" t="0" r="0" b="8255"/>
            <wp:docPr id="1391243431" name="Picture 1" descr="A pie chart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243431" name="Picture 1" descr="A pie chart with numbers and text&#10;&#10;AI-generated content may be incorrect."/>
                    <pic:cNvPicPr/>
                  </pic:nvPicPr>
                  <pic:blipFill>
                    <a:blip r:embed="rId21"/>
                    <a:stretch>
                      <a:fillRect/>
                    </a:stretch>
                  </pic:blipFill>
                  <pic:spPr>
                    <a:xfrm>
                      <a:off x="0" y="0"/>
                      <a:ext cx="5626836" cy="3287467"/>
                    </a:xfrm>
                    <a:prstGeom prst="rect">
                      <a:avLst/>
                    </a:prstGeom>
                  </pic:spPr>
                </pic:pic>
              </a:graphicData>
            </a:graphic>
          </wp:inline>
        </w:drawing>
      </w:r>
    </w:p>
    <w:p w14:paraId="6B5DB49E" w14:textId="29F4413F" w:rsidR="00CD68DB" w:rsidRPr="00746C2C" w:rsidRDefault="00286791" w:rsidP="00266053">
      <w:pPr>
        <w:spacing w:before="240" w:after="0"/>
        <w:jc w:val="center"/>
        <w:rPr>
          <w:rFonts w:ascii="Times New Roman" w:eastAsia="Times New Roman" w:hAnsi="Times New Roman" w:cs="Times New Roman"/>
          <w:noProof/>
          <w:sz w:val="24"/>
          <w:szCs w:val="24"/>
        </w:rPr>
      </w:pPr>
      <w:r w:rsidRPr="00286791">
        <w:rPr>
          <w:rFonts w:ascii="Times New Roman" w:eastAsia="Times New Roman" w:hAnsi="Times New Roman" w:cs="Times New Roman"/>
          <w:noProof/>
          <w:sz w:val="24"/>
          <w:szCs w:val="24"/>
          <w:lang w:val="en-GB" w:eastAsia="en-GB"/>
        </w:rPr>
        <w:drawing>
          <wp:inline distT="0" distB="0" distL="0" distR="0" wp14:anchorId="1A77CB1B" wp14:editId="07BC6CF2">
            <wp:extent cx="5580000" cy="3258000"/>
            <wp:effectExtent l="0" t="0" r="1905" b="0"/>
            <wp:docPr id="259170204" name="Picture 1" descr="A pie chart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170204" name="Picture 1" descr="A pie chart with numbers and text&#10;&#10;AI-generated content may be incorrect."/>
                    <pic:cNvPicPr/>
                  </pic:nvPicPr>
                  <pic:blipFill>
                    <a:blip r:embed="rId22"/>
                    <a:stretch>
                      <a:fillRect/>
                    </a:stretch>
                  </pic:blipFill>
                  <pic:spPr>
                    <a:xfrm>
                      <a:off x="0" y="0"/>
                      <a:ext cx="5580000" cy="3258000"/>
                    </a:xfrm>
                    <a:prstGeom prst="rect">
                      <a:avLst/>
                    </a:prstGeom>
                  </pic:spPr>
                </pic:pic>
              </a:graphicData>
            </a:graphic>
          </wp:inline>
        </w:drawing>
      </w:r>
    </w:p>
    <w:p w14:paraId="6F225A94" w14:textId="77777777" w:rsidR="005E2753" w:rsidRPr="00746C2C" w:rsidRDefault="005E2753" w:rsidP="005E2753">
      <w:pPr>
        <w:pStyle w:val="Heading1"/>
        <w:spacing w:before="240" w:after="0"/>
        <w:ind w:left="851" w:hanging="851"/>
        <w:rPr>
          <w:noProof/>
        </w:rPr>
      </w:pPr>
      <w:bookmarkStart w:id="21" w:name="_Toc230882807"/>
      <w:r>
        <w:rPr>
          <w:noProof/>
        </w:rPr>
        <w:t>Plângeri adresate Ombudsmanului European</w:t>
      </w:r>
      <w:bookmarkEnd w:id="21"/>
    </w:p>
    <w:p w14:paraId="6F7493EA" w14:textId="4E173F41" w:rsidR="005E2753" w:rsidRPr="00746C2C" w:rsidRDefault="008627DC" w:rsidP="005E2753">
      <w:pPr>
        <w:spacing w:before="240" w:after="0"/>
        <w:jc w:val="both"/>
        <w:rPr>
          <w:rFonts w:ascii="Times New Roman" w:eastAsia="Times New Roman" w:hAnsi="Times New Roman" w:cs="Times New Roman"/>
          <w:noProof/>
          <w:sz w:val="24"/>
          <w:szCs w:val="24"/>
        </w:rPr>
      </w:pPr>
      <w:r>
        <w:rPr>
          <w:rFonts w:ascii="Times New Roman" w:hAnsi="Times New Roman"/>
          <w:noProof/>
          <w:sz w:val="24"/>
        </w:rPr>
        <w:t>În 2025, Ombudsmanul European a deschis 100 noi anchete în cazuri care implică Comisia Europeană, în care accesul la documente reprezenta fie partea principală, fie o parte secundară a plângerii, și a închis 104 plângeri</w:t>
      </w:r>
      <w:r>
        <w:rPr>
          <w:rFonts w:ascii="Times New Roman" w:eastAsia="Times New Roman" w:hAnsi="Times New Roman" w:cs="Times New Roman"/>
          <w:noProof/>
          <w:sz w:val="24"/>
          <w:szCs w:val="24"/>
          <w:vertAlign w:val="superscript"/>
          <w:lang w:val="en-IE"/>
        </w:rPr>
        <w:footnoteReference w:id="16"/>
      </w:r>
      <w:r>
        <w:rPr>
          <w:rFonts w:ascii="Times New Roman" w:hAnsi="Times New Roman"/>
          <w:noProof/>
          <w:sz w:val="24"/>
        </w:rPr>
        <w:t>. Ombudsmanul European a constatat existența unor situații de administrare defectuoasă doar în opt cazuri, reprezentând 7,6 % din totalul plângerilor</w:t>
      </w:r>
      <w:r>
        <w:rPr>
          <w:rStyle w:val="FootnoteReference"/>
          <w:rFonts w:ascii="Times New Roman" w:eastAsia="Times New Roman" w:hAnsi="Times New Roman" w:cs="Times New Roman"/>
          <w:noProof/>
          <w:sz w:val="24"/>
          <w:szCs w:val="24"/>
          <w:lang w:val="en-IE"/>
        </w:rPr>
        <w:footnoteReference w:id="17"/>
      </w:r>
      <w:r>
        <w:rPr>
          <w:rFonts w:ascii="Times New Roman" w:hAnsi="Times New Roman"/>
          <w:noProof/>
          <w:sz w:val="24"/>
        </w:rPr>
        <w:t>. Celelalte 96 cazuri au fost închise fără observații.</w:t>
      </w:r>
    </w:p>
    <w:p w14:paraId="665B7D87" w14:textId="03A77CCD" w:rsidR="005E2753" w:rsidRPr="00746C2C" w:rsidRDefault="005E2753" w:rsidP="005E2753">
      <w:pPr>
        <w:pStyle w:val="Heading1"/>
        <w:spacing w:before="240"/>
        <w:ind w:left="851" w:hanging="851"/>
        <w:rPr>
          <w:noProof/>
        </w:rPr>
      </w:pPr>
      <w:r>
        <w:rPr>
          <w:noProof/>
        </w:rPr>
        <w:t xml:space="preserve"> </w:t>
      </w:r>
      <w:bookmarkStart w:id="23" w:name="_Toc230882808"/>
      <w:r>
        <w:rPr>
          <w:noProof/>
        </w:rPr>
        <w:t>Jurisprudență nouă privind accesul la documente</w:t>
      </w:r>
      <w:bookmarkEnd w:id="23"/>
    </w:p>
    <w:p w14:paraId="5EEB9841" w14:textId="77777777" w:rsidR="005E2753" w:rsidRPr="00746C2C" w:rsidRDefault="005E2753" w:rsidP="005E2753">
      <w:pPr>
        <w:pStyle w:val="Heading2"/>
        <w:numPr>
          <w:ilvl w:val="1"/>
          <w:numId w:val="2"/>
        </w:numPr>
        <w:spacing w:before="240" w:after="0"/>
        <w:ind w:left="851" w:hanging="624"/>
        <w:rPr>
          <w:b w:val="0"/>
          <w:noProof/>
        </w:rPr>
      </w:pPr>
      <w:bookmarkStart w:id="24" w:name="_Toc230882809"/>
      <w:r>
        <w:rPr>
          <w:b w:val="0"/>
          <w:noProof/>
        </w:rPr>
        <w:t>Curtea de Justiție</w:t>
      </w:r>
      <w:bookmarkEnd w:id="24"/>
    </w:p>
    <w:p w14:paraId="5852E12E" w14:textId="6DCB38ED" w:rsidR="006E17BC" w:rsidRPr="00056053" w:rsidRDefault="00056053" w:rsidP="005E2753">
      <w:pPr>
        <w:spacing w:before="240" w:after="0"/>
        <w:jc w:val="both"/>
        <w:rPr>
          <w:rFonts w:ascii="Times New Roman" w:eastAsia="Times New Roman" w:hAnsi="Times New Roman" w:cs="Times New Roman"/>
          <w:noProof/>
          <w:sz w:val="24"/>
          <w:szCs w:val="24"/>
        </w:rPr>
      </w:pPr>
      <w:r>
        <w:rPr>
          <w:rFonts w:ascii="Times New Roman" w:hAnsi="Times New Roman"/>
          <w:noProof/>
          <w:sz w:val="24"/>
        </w:rPr>
        <w:t>În 2025, Curtea de Justiție a pronunțat o hotărâre</w:t>
      </w:r>
      <w:r>
        <w:rPr>
          <w:rStyle w:val="FootnoteReference"/>
          <w:rFonts w:ascii="Times New Roman" w:eastAsia="Times New Roman" w:hAnsi="Times New Roman" w:cs="Times New Roman"/>
          <w:noProof/>
          <w:sz w:val="24"/>
          <w:szCs w:val="24"/>
          <w:lang w:val="en-IE"/>
        </w:rPr>
        <w:footnoteReference w:id="18"/>
      </w:r>
      <w:r>
        <w:rPr>
          <w:rFonts w:ascii="Times New Roman" w:hAnsi="Times New Roman"/>
          <w:noProof/>
          <w:sz w:val="24"/>
        </w:rPr>
        <w:t xml:space="preserve"> și o ordonanță</w:t>
      </w:r>
      <w:r>
        <w:rPr>
          <w:rStyle w:val="FootnoteReference"/>
          <w:rFonts w:ascii="Times New Roman" w:eastAsia="Times New Roman" w:hAnsi="Times New Roman" w:cs="Times New Roman"/>
          <w:noProof/>
          <w:sz w:val="24"/>
          <w:szCs w:val="24"/>
          <w:lang w:val="en-IE"/>
        </w:rPr>
        <w:footnoteReference w:id="19"/>
      </w:r>
      <w:r>
        <w:rPr>
          <w:rFonts w:ascii="Times New Roman" w:hAnsi="Times New Roman"/>
          <w:noProof/>
          <w:sz w:val="24"/>
        </w:rPr>
        <w:t xml:space="preserve"> referitoare la căi de atac introduse în ceea ce privește dreptul de acces public la documente în temeiul Regulamentului (CE) nr. 1049/2001 în care Comisia Europeană era parte la proceduri.</w:t>
      </w:r>
    </w:p>
    <w:p w14:paraId="0DC8CE4F" w14:textId="3BAFE755" w:rsidR="00897A53" w:rsidRPr="00C140AF" w:rsidRDefault="005434B6" w:rsidP="005E2753">
      <w:pPr>
        <w:spacing w:before="240" w:after="0"/>
        <w:jc w:val="both"/>
        <w:rPr>
          <w:rFonts w:ascii="Times New Roman" w:hAnsi="Times New Roman" w:cs="Times New Roman"/>
          <w:noProof/>
          <w:sz w:val="24"/>
          <w:szCs w:val="24"/>
        </w:rPr>
      </w:pPr>
      <w:r>
        <w:rPr>
          <w:rFonts w:ascii="Times New Roman" w:hAnsi="Times New Roman"/>
          <w:noProof/>
          <w:sz w:val="24"/>
        </w:rPr>
        <w:t>Aceasta a respins recursul în una dintre cauze</w:t>
      </w:r>
      <w:r>
        <w:rPr>
          <w:rFonts w:ascii="Times New Roman" w:eastAsia="Times New Roman" w:hAnsi="Times New Roman" w:cs="Times New Roman"/>
          <w:noProof/>
          <w:sz w:val="24"/>
          <w:szCs w:val="24"/>
          <w:vertAlign w:val="superscript"/>
          <w:lang w:val="en-IE"/>
        </w:rPr>
        <w:footnoteReference w:id="20"/>
      </w:r>
      <w:r>
        <w:rPr>
          <w:rFonts w:ascii="Times New Roman" w:hAnsi="Times New Roman"/>
          <w:noProof/>
          <w:sz w:val="24"/>
        </w:rPr>
        <w:t>. Într-o cauză</w:t>
      </w:r>
      <w:r>
        <w:rPr>
          <w:rFonts w:ascii="Times New Roman" w:eastAsia="Times New Roman" w:hAnsi="Times New Roman" w:cs="Times New Roman"/>
          <w:noProof/>
          <w:sz w:val="24"/>
          <w:szCs w:val="24"/>
          <w:vertAlign w:val="superscript"/>
          <w:lang w:val="en-IE"/>
        </w:rPr>
        <w:footnoteReference w:id="21"/>
      </w:r>
      <w:r>
        <w:rPr>
          <w:rFonts w:ascii="Times New Roman" w:hAnsi="Times New Roman"/>
          <w:noProof/>
          <w:sz w:val="24"/>
        </w:rPr>
        <w:t>, aceasta a suspendat executarea punctului 2 din dispozitivul hotărârii Tribunalului în cauza T-761/21 până la</w:t>
      </w:r>
      <w:r>
        <w:rPr>
          <w:noProof/>
        </w:rPr>
        <w:t xml:space="preserve"> </w:t>
      </w:r>
      <w:r>
        <w:rPr>
          <w:rFonts w:ascii="Times New Roman" w:hAnsi="Times New Roman"/>
          <w:noProof/>
          <w:sz w:val="24"/>
        </w:rPr>
        <w:t>pronunțarea hotărârii prin care se finalizează procedura de recurs în cauza C-632/24 P, ca urmare a cererii de măsuri provizorii formulate de Comisie.</w:t>
      </w:r>
    </w:p>
    <w:p w14:paraId="77D8D195" w14:textId="25F752B4" w:rsidR="00C303FC" w:rsidRPr="00746C2C" w:rsidRDefault="00C303FC" w:rsidP="00C303FC">
      <w:pPr>
        <w:pStyle w:val="Heading3"/>
        <w:numPr>
          <w:ilvl w:val="2"/>
          <w:numId w:val="2"/>
        </w:numPr>
        <w:tabs>
          <w:tab w:val="clear" w:pos="850"/>
          <w:tab w:val="num" w:pos="1701"/>
        </w:tabs>
        <w:spacing w:before="240" w:after="0"/>
        <w:ind w:left="1702" w:hanging="851"/>
        <w:rPr>
          <w:noProof/>
        </w:rPr>
      </w:pPr>
      <w:bookmarkStart w:id="25" w:name="_Toc230882810"/>
      <w:r>
        <w:rPr>
          <w:noProof/>
        </w:rPr>
        <w:t>Clarificări ale normelor de fond</w:t>
      </w:r>
      <w:bookmarkEnd w:id="25"/>
    </w:p>
    <w:p w14:paraId="7CC3DDF3" w14:textId="6601AEBE" w:rsidR="00EC4A29" w:rsidRPr="007F1D75" w:rsidRDefault="00C140AF" w:rsidP="005E2753">
      <w:pPr>
        <w:spacing w:before="240" w:after="0"/>
        <w:jc w:val="both"/>
        <w:rPr>
          <w:rFonts w:ascii="Times New Roman" w:hAnsi="Times New Roman" w:cs="Times New Roman"/>
          <w:noProof/>
          <w:sz w:val="24"/>
          <w:szCs w:val="24"/>
        </w:rPr>
      </w:pPr>
      <w:r>
        <w:rPr>
          <w:rFonts w:ascii="Times New Roman" w:hAnsi="Times New Roman"/>
          <w:noProof/>
          <w:sz w:val="24"/>
        </w:rPr>
        <w:t>În 2025, clarificările de fond aduse de Curtea de Justiție au vizat aplicarea excepțiilor referitoare la protecția procesului decizional</w:t>
      </w:r>
      <w:r>
        <w:rPr>
          <w:rFonts w:ascii="Times New Roman" w:eastAsia="Times New Roman" w:hAnsi="Times New Roman" w:cs="Times New Roman"/>
          <w:noProof/>
          <w:sz w:val="24"/>
          <w:szCs w:val="24"/>
          <w:vertAlign w:val="superscript"/>
          <w:lang w:val="en-IE"/>
        </w:rPr>
        <w:footnoteReference w:id="22"/>
      </w:r>
      <w:r>
        <w:rPr>
          <w:rFonts w:ascii="Times New Roman" w:hAnsi="Times New Roman"/>
          <w:noProof/>
          <w:sz w:val="24"/>
        </w:rPr>
        <w:t>.</w:t>
      </w:r>
    </w:p>
    <w:p w14:paraId="2F19D6D5" w14:textId="77777777" w:rsidR="005E2753" w:rsidRPr="00746C2C" w:rsidRDefault="005E2753" w:rsidP="005E2753">
      <w:pPr>
        <w:pStyle w:val="Heading2"/>
        <w:numPr>
          <w:ilvl w:val="1"/>
          <w:numId w:val="2"/>
        </w:numPr>
        <w:spacing w:before="240" w:after="0"/>
        <w:ind w:left="851" w:hanging="624"/>
        <w:rPr>
          <w:b w:val="0"/>
          <w:noProof/>
        </w:rPr>
      </w:pPr>
      <w:bookmarkStart w:id="26" w:name="_Toc8824319"/>
      <w:bookmarkStart w:id="27" w:name="_Toc230882811"/>
      <w:r>
        <w:rPr>
          <w:b w:val="0"/>
          <w:noProof/>
        </w:rPr>
        <w:t>Tribunalul</w:t>
      </w:r>
      <w:bookmarkEnd w:id="26"/>
      <w:bookmarkEnd w:id="27"/>
    </w:p>
    <w:p w14:paraId="5F9BBD34" w14:textId="0971534A" w:rsidR="006F4DDF" w:rsidRDefault="00FF4967" w:rsidP="005E2753">
      <w:pPr>
        <w:spacing w:before="240" w:after="0"/>
        <w:jc w:val="both"/>
        <w:rPr>
          <w:rFonts w:ascii="Times New Roman" w:eastAsia="Times New Roman" w:hAnsi="Times New Roman" w:cs="Times New Roman"/>
          <w:noProof/>
          <w:sz w:val="24"/>
          <w:szCs w:val="24"/>
        </w:rPr>
      </w:pPr>
      <w:r>
        <w:rPr>
          <w:rFonts w:ascii="Times New Roman" w:hAnsi="Times New Roman"/>
          <w:noProof/>
          <w:sz w:val="24"/>
        </w:rPr>
        <w:t>În 2025, Tribunalul a pronunțat șase hotărâri</w:t>
      </w:r>
      <w:r>
        <w:rPr>
          <w:rFonts w:ascii="Times New Roman" w:eastAsia="Times New Roman" w:hAnsi="Times New Roman" w:cs="Times New Roman"/>
          <w:noProof/>
          <w:sz w:val="24"/>
          <w:szCs w:val="24"/>
          <w:vertAlign w:val="superscript"/>
          <w:lang w:val="en-IE"/>
        </w:rPr>
        <w:footnoteReference w:id="23"/>
      </w:r>
      <w:r>
        <w:rPr>
          <w:rFonts w:ascii="Times New Roman" w:hAnsi="Times New Roman"/>
          <w:noProof/>
          <w:sz w:val="24"/>
        </w:rPr>
        <w:t xml:space="preserve"> și 12 ordonanțe</w:t>
      </w:r>
      <w:r>
        <w:rPr>
          <w:rFonts w:ascii="Times New Roman" w:eastAsia="Times New Roman" w:hAnsi="Times New Roman" w:cs="Times New Roman"/>
          <w:noProof/>
          <w:sz w:val="24"/>
          <w:szCs w:val="24"/>
          <w:vertAlign w:val="superscript"/>
          <w:lang w:val="en-IE"/>
        </w:rPr>
        <w:footnoteReference w:id="24"/>
      </w:r>
      <w:r>
        <w:rPr>
          <w:rFonts w:ascii="Times New Roman" w:hAnsi="Times New Roman"/>
          <w:noProof/>
          <w:sz w:val="24"/>
        </w:rPr>
        <w:t xml:space="preserve"> referitoare la dreptul de acces public la documente în temeiul Regulamentului (CE) nr. 1049/2001 în care Comisia Europeană era parte la proceduri.</w:t>
      </w:r>
    </w:p>
    <w:p w14:paraId="2C97B204" w14:textId="5442F1D2" w:rsidR="00977980" w:rsidRDefault="00977980" w:rsidP="005E2753">
      <w:pPr>
        <w:spacing w:before="240" w:after="0"/>
        <w:jc w:val="both"/>
        <w:rPr>
          <w:rFonts w:ascii="Times New Roman" w:hAnsi="Times New Roman" w:cs="Times New Roman"/>
          <w:noProof/>
          <w:sz w:val="24"/>
          <w:szCs w:val="24"/>
        </w:rPr>
      </w:pPr>
      <w:r>
        <w:rPr>
          <w:rFonts w:ascii="Times New Roman" w:hAnsi="Times New Roman"/>
          <w:noProof/>
          <w:sz w:val="24"/>
        </w:rPr>
        <w:t>Acțiunea în anulare a fost respinsă în două cauze</w:t>
      </w:r>
      <w:r>
        <w:rPr>
          <w:rStyle w:val="FootnoteReference"/>
          <w:rFonts w:ascii="Times New Roman" w:eastAsia="Times New Roman" w:hAnsi="Times New Roman" w:cs="Times New Roman"/>
          <w:noProof/>
          <w:sz w:val="24"/>
          <w:szCs w:val="24"/>
          <w:lang w:val="en-IE"/>
        </w:rPr>
        <w:footnoteReference w:id="25"/>
      </w:r>
      <w:r>
        <w:rPr>
          <w:rFonts w:ascii="Times New Roman" w:hAnsi="Times New Roman"/>
          <w:noProof/>
          <w:sz w:val="24"/>
        </w:rPr>
        <w:t>. În trei cauze, Tribunalul a anulat parțial decizia Comisiei Europene și a respins în rest acțiunea</w:t>
      </w:r>
      <w:r>
        <w:rPr>
          <w:rStyle w:val="FootnoteReference"/>
          <w:rFonts w:ascii="Times New Roman" w:eastAsia="Times New Roman" w:hAnsi="Times New Roman" w:cs="Times New Roman"/>
          <w:noProof/>
          <w:sz w:val="24"/>
          <w:szCs w:val="24"/>
          <w:lang w:val="en-IE"/>
        </w:rPr>
        <w:footnoteReference w:id="26"/>
      </w:r>
      <w:r>
        <w:rPr>
          <w:rFonts w:ascii="Times New Roman" w:hAnsi="Times New Roman"/>
          <w:noProof/>
          <w:sz w:val="24"/>
        </w:rPr>
        <w:t>. În două cazuri, Tribunalul a anulat decizia Comisiei Europene</w:t>
      </w:r>
      <w:r>
        <w:rPr>
          <w:rStyle w:val="FootnoteReference"/>
          <w:rFonts w:ascii="Times New Roman" w:eastAsia="Times New Roman" w:hAnsi="Times New Roman" w:cs="Times New Roman"/>
          <w:noProof/>
          <w:sz w:val="24"/>
          <w:szCs w:val="24"/>
          <w:lang w:val="en-IE"/>
        </w:rPr>
        <w:footnoteReference w:id="27"/>
      </w:r>
      <w:r>
        <w:rPr>
          <w:rFonts w:ascii="Times New Roman" w:hAnsi="Times New Roman"/>
          <w:noProof/>
          <w:sz w:val="24"/>
        </w:rPr>
        <w:t>.</w:t>
      </w:r>
    </w:p>
    <w:p w14:paraId="73A99864" w14:textId="55AE2E31" w:rsidR="005E2753" w:rsidRPr="00C81CC6" w:rsidRDefault="0041312C" w:rsidP="005E2753">
      <w:pPr>
        <w:spacing w:before="240" w:after="0"/>
        <w:jc w:val="both"/>
        <w:rPr>
          <w:rFonts w:ascii="Times New Roman" w:eastAsia="Times New Roman" w:hAnsi="Times New Roman" w:cs="Times New Roman"/>
          <w:noProof/>
          <w:sz w:val="24"/>
          <w:szCs w:val="24"/>
        </w:rPr>
      </w:pPr>
      <w:r>
        <w:rPr>
          <w:rFonts w:ascii="Times New Roman" w:hAnsi="Times New Roman"/>
          <w:noProof/>
          <w:sz w:val="24"/>
        </w:rPr>
        <w:t>În cinci cauze, acesta a declarat că nu mai era necesar să se pronunțe asupra fondului cauzei</w:t>
      </w:r>
      <w:r>
        <w:rPr>
          <w:rStyle w:val="FootnoteReference"/>
          <w:rFonts w:ascii="Times New Roman" w:eastAsia="Times New Roman" w:hAnsi="Times New Roman" w:cs="Times New Roman"/>
          <w:noProof/>
          <w:sz w:val="24"/>
          <w:szCs w:val="24"/>
          <w:lang w:val="en-IE"/>
        </w:rPr>
        <w:footnoteReference w:id="28"/>
      </w:r>
      <w:r>
        <w:rPr>
          <w:rFonts w:ascii="Times New Roman" w:hAnsi="Times New Roman"/>
          <w:noProof/>
          <w:sz w:val="24"/>
        </w:rPr>
        <w:t>. În două cauze, acesta a dispus radierea cauzei din registrul Tribunalului</w:t>
      </w:r>
      <w:r>
        <w:rPr>
          <w:rStyle w:val="FootnoteReference"/>
          <w:rFonts w:ascii="Times New Roman" w:eastAsia="Times New Roman" w:hAnsi="Times New Roman" w:cs="Times New Roman"/>
          <w:noProof/>
          <w:sz w:val="24"/>
          <w:szCs w:val="24"/>
          <w:lang w:val="en-IE"/>
        </w:rPr>
        <w:footnoteReference w:id="29"/>
      </w:r>
      <w:r>
        <w:rPr>
          <w:rFonts w:ascii="Times New Roman" w:hAnsi="Times New Roman"/>
          <w:noProof/>
          <w:sz w:val="24"/>
        </w:rPr>
        <w:t>. Într-o cauză, acesta a respins acțiunea în parte pentru lipsă vădită de competență și în parte ca vădit inadmisibilă</w:t>
      </w:r>
      <w:r>
        <w:rPr>
          <w:rStyle w:val="FootnoteReference"/>
          <w:rFonts w:ascii="Times New Roman" w:eastAsia="Times New Roman" w:hAnsi="Times New Roman" w:cs="Times New Roman"/>
          <w:noProof/>
          <w:sz w:val="24"/>
          <w:szCs w:val="24"/>
          <w:lang w:val="en-IE"/>
        </w:rPr>
        <w:footnoteReference w:id="30"/>
      </w:r>
      <w:r>
        <w:rPr>
          <w:rFonts w:ascii="Times New Roman" w:hAnsi="Times New Roman"/>
          <w:noProof/>
          <w:sz w:val="24"/>
        </w:rPr>
        <w:t>. Într-o cauză, acesta a refuzat cererea de măsuri provizorii</w:t>
      </w:r>
      <w:r>
        <w:rPr>
          <w:rStyle w:val="FootnoteReference"/>
          <w:rFonts w:ascii="Times New Roman" w:eastAsia="Times New Roman" w:hAnsi="Times New Roman" w:cs="Times New Roman"/>
          <w:noProof/>
          <w:sz w:val="24"/>
          <w:szCs w:val="24"/>
          <w:lang w:val="en-IE"/>
        </w:rPr>
        <w:footnoteReference w:id="31"/>
      </w:r>
      <w:r>
        <w:rPr>
          <w:rFonts w:ascii="Times New Roman" w:hAnsi="Times New Roman"/>
          <w:noProof/>
          <w:sz w:val="24"/>
        </w:rPr>
        <w:t>. Într-o cauză, acesta a respins acțiunea ca inadmisibilă</w:t>
      </w:r>
      <w:r>
        <w:rPr>
          <w:rStyle w:val="FootnoteReference"/>
          <w:rFonts w:ascii="Times New Roman" w:eastAsia="Times New Roman" w:hAnsi="Times New Roman" w:cs="Times New Roman"/>
          <w:noProof/>
          <w:sz w:val="24"/>
          <w:szCs w:val="24"/>
          <w:lang w:val="en-IE"/>
        </w:rPr>
        <w:footnoteReference w:id="32"/>
      </w:r>
      <w:r>
        <w:rPr>
          <w:rFonts w:ascii="Times New Roman" w:hAnsi="Times New Roman"/>
          <w:noProof/>
          <w:sz w:val="24"/>
        </w:rPr>
        <w:t>. Într-o cauză, acesta a constatat că nu mai era necesar să se pronunțe și a respins în rest acțiunea</w:t>
      </w:r>
      <w:r>
        <w:rPr>
          <w:rStyle w:val="FootnoteReference"/>
          <w:rFonts w:ascii="Times New Roman" w:eastAsia="Times New Roman" w:hAnsi="Times New Roman" w:cs="Times New Roman"/>
          <w:noProof/>
          <w:sz w:val="24"/>
          <w:szCs w:val="24"/>
          <w:lang w:val="en-IE"/>
        </w:rPr>
        <w:footnoteReference w:id="33"/>
      </w:r>
      <w:r>
        <w:rPr>
          <w:rFonts w:ascii="Times New Roman" w:hAnsi="Times New Roman"/>
          <w:noProof/>
          <w:sz w:val="24"/>
        </w:rPr>
        <w:t>.</w:t>
      </w:r>
    </w:p>
    <w:p w14:paraId="0D493E70" w14:textId="1429D616" w:rsidR="00893112" w:rsidRPr="00746C2C" w:rsidRDefault="005E2753" w:rsidP="005E2753">
      <w:pPr>
        <w:pStyle w:val="Heading3"/>
        <w:numPr>
          <w:ilvl w:val="2"/>
          <w:numId w:val="2"/>
        </w:numPr>
        <w:tabs>
          <w:tab w:val="clear" w:pos="850"/>
          <w:tab w:val="num" w:pos="1701"/>
        </w:tabs>
        <w:spacing w:before="240" w:after="0"/>
        <w:ind w:left="1702" w:hanging="851"/>
        <w:rPr>
          <w:noProof/>
        </w:rPr>
      </w:pPr>
      <w:bookmarkStart w:id="28" w:name="_Toc230882812"/>
      <w:r>
        <w:rPr>
          <w:noProof/>
        </w:rPr>
        <w:t>Clarificări ale normelor de fond</w:t>
      </w:r>
      <w:bookmarkEnd w:id="28"/>
    </w:p>
    <w:p w14:paraId="32A7B908" w14:textId="7587FDA0" w:rsidR="00C81CC6" w:rsidRDefault="00C81CC6" w:rsidP="00893112">
      <w:pPr>
        <w:spacing w:before="240"/>
        <w:jc w:val="both"/>
        <w:rPr>
          <w:rFonts w:ascii="Times New Roman" w:hAnsi="Times New Roman" w:cs="Times New Roman"/>
          <w:noProof/>
          <w:sz w:val="24"/>
          <w:szCs w:val="24"/>
        </w:rPr>
      </w:pPr>
      <w:r>
        <w:rPr>
          <w:rFonts w:ascii="Times New Roman" w:hAnsi="Times New Roman"/>
          <w:noProof/>
          <w:sz w:val="24"/>
        </w:rPr>
        <w:t>În 2025, clarificările de fond aduse de Tribunal au vizat aplicarea excepțiilor referitoare la protecția relațiilor internaționale</w:t>
      </w:r>
      <w:r>
        <w:rPr>
          <w:rStyle w:val="FootnoteReference"/>
          <w:rFonts w:ascii="Times New Roman" w:eastAsia="Times New Roman" w:hAnsi="Times New Roman" w:cs="Times New Roman"/>
          <w:noProof/>
          <w:sz w:val="24"/>
          <w:szCs w:val="24"/>
          <w:lang w:val="en-IE"/>
        </w:rPr>
        <w:footnoteReference w:id="34"/>
      </w:r>
      <w:r>
        <w:rPr>
          <w:rFonts w:ascii="Times New Roman" w:hAnsi="Times New Roman"/>
          <w:noProof/>
          <w:sz w:val="24"/>
        </w:rPr>
        <w:t>, a intereselor comerciale</w:t>
      </w:r>
      <w:r>
        <w:rPr>
          <w:rStyle w:val="FootnoteReference"/>
          <w:rFonts w:ascii="Times New Roman" w:eastAsia="Times New Roman" w:hAnsi="Times New Roman" w:cs="Times New Roman"/>
          <w:noProof/>
          <w:sz w:val="24"/>
          <w:szCs w:val="24"/>
          <w:lang w:val="en-IE"/>
        </w:rPr>
        <w:footnoteReference w:id="35"/>
      </w:r>
      <w:r>
        <w:rPr>
          <w:rFonts w:ascii="Times New Roman" w:hAnsi="Times New Roman"/>
          <w:noProof/>
          <w:sz w:val="24"/>
        </w:rPr>
        <w:t xml:space="preserve"> și a procesului decizional</w:t>
      </w:r>
      <w:r>
        <w:rPr>
          <w:rStyle w:val="FootnoteReference"/>
          <w:rFonts w:ascii="Times New Roman" w:eastAsia="Times New Roman" w:hAnsi="Times New Roman" w:cs="Times New Roman"/>
          <w:noProof/>
          <w:sz w:val="24"/>
          <w:szCs w:val="24"/>
          <w:lang w:val="en-IE"/>
        </w:rPr>
        <w:footnoteReference w:id="36"/>
      </w:r>
      <w:r>
        <w:rPr>
          <w:rFonts w:ascii="Times New Roman" w:hAnsi="Times New Roman"/>
          <w:noProof/>
          <w:sz w:val="24"/>
        </w:rPr>
        <w:t>.</w:t>
      </w:r>
    </w:p>
    <w:p w14:paraId="6D307252" w14:textId="3D192BD3" w:rsidR="00893112" w:rsidRPr="00746C2C" w:rsidRDefault="00F1333D" w:rsidP="00893112">
      <w:pPr>
        <w:spacing w:before="240"/>
        <w:jc w:val="both"/>
        <w:rPr>
          <w:rFonts w:ascii="Times New Roman" w:hAnsi="Times New Roman" w:cs="Times New Roman"/>
          <w:noProof/>
          <w:sz w:val="24"/>
          <w:szCs w:val="24"/>
        </w:rPr>
      </w:pPr>
      <w:r>
        <w:rPr>
          <w:rFonts w:ascii="Times New Roman" w:hAnsi="Times New Roman"/>
          <w:noProof/>
          <w:sz w:val="24"/>
        </w:rPr>
        <w:t>Tribunalul a clarificat, de asemenea, extragerea și evaluarea documentelor din bazele de date</w:t>
      </w:r>
      <w:r>
        <w:rPr>
          <w:rStyle w:val="FootnoteReference"/>
          <w:rFonts w:ascii="Times New Roman" w:eastAsia="Times New Roman" w:hAnsi="Times New Roman" w:cs="Times New Roman"/>
          <w:noProof/>
          <w:sz w:val="24"/>
          <w:szCs w:val="24"/>
          <w:lang w:val="en-IE"/>
        </w:rPr>
        <w:footnoteReference w:id="37"/>
      </w:r>
      <w:r>
        <w:rPr>
          <w:rFonts w:ascii="Times New Roman" w:hAnsi="Times New Roman"/>
          <w:noProof/>
          <w:sz w:val="24"/>
        </w:rPr>
        <w:t xml:space="preserve"> și prezumția de veridicitate a declarației Comisiei de nedeținere a documentelor</w:t>
      </w:r>
      <w:r>
        <w:rPr>
          <w:rStyle w:val="FootnoteReference"/>
          <w:rFonts w:ascii="Times New Roman" w:eastAsia="Times New Roman" w:hAnsi="Times New Roman" w:cs="Times New Roman"/>
          <w:noProof/>
          <w:sz w:val="24"/>
          <w:szCs w:val="24"/>
          <w:lang w:val="en-IE"/>
        </w:rPr>
        <w:footnoteReference w:id="38"/>
      </w:r>
      <w:r>
        <w:rPr>
          <w:rFonts w:ascii="Times New Roman" w:hAnsi="Times New Roman"/>
          <w:noProof/>
          <w:sz w:val="24"/>
        </w:rPr>
        <w:t>.</w:t>
      </w:r>
    </w:p>
    <w:p w14:paraId="4C483A60" w14:textId="58CCF825" w:rsidR="005E2753" w:rsidRPr="00746C2C" w:rsidRDefault="00893112" w:rsidP="005E2753">
      <w:pPr>
        <w:pStyle w:val="Heading3"/>
        <w:numPr>
          <w:ilvl w:val="2"/>
          <w:numId w:val="2"/>
        </w:numPr>
        <w:tabs>
          <w:tab w:val="clear" w:pos="850"/>
          <w:tab w:val="num" w:pos="1701"/>
        </w:tabs>
        <w:spacing w:before="240" w:after="0"/>
        <w:ind w:left="1702" w:hanging="851"/>
        <w:rPr>
          <w:noProof/>
        </w:rPr>
      </w:pPr>
      <w:bookmarkStart w:id="29" w:name="_Toc230882813"/>
      <w:r>
        <w:rPr>
          <w:noProof/>
        </w:rPr>
        <w:t>Clarificări ale normelor procedurale</w:t>
      </w:r>
      <w:bookmarkEnd w:id="29"/>
    </w:p>
    <w:p w14:paraId="583F5BF6" w14:textId="2AB473FC" w:rsidR="005E2753" w:rsidRPr="00746C2C" w:rsidRDefault="000E305A" w:rsidP="005E2753">
      <w:pPr>
        <w:spacing w:before="240" w:after="0"/>
        <w:jc w:val="both"/>
        <w:rPr>
          <w:rFonts w:ascii="Times New Roman" w:eastAsia="Times New Roman" w:hAnsi="Times New Roman" w:cs="Times New Roman"/>
          <w:noProof/>
          <w:sz w:val="24"/>
          <w:szCs w:val="24"/>
        </w:rPr>
      </w:pPr>
      <w:r>
        <w:rPr>
          <w:rFonts w:ascii="Times New Roman" w:hAnsi="Times New Roman"/>
          <w:noProof/>
          <w:sz w:val="24"/>
        </w:rPr>
        <w:t>Principalul aspect procedural clarificat de Tribunal în 2025 a vizat evaluarea de către Comisie a obiecțiilor terților față de divulgarea documentelor lor</w:t>
      </w:r>
      <w:r>
        <w:rPr>
          <w:rStyle w:val="FootnoteReference"/>
          <w:rFonts w:ascii="Times New Roman" w:eastAsia="Times New Roman" w:hAnsi="Times New Roman" w:cs="Times New Roman"/>
          <w:noProof/>
          <w:sz w:val="24"/>
          <w:szCs w:val="24"/>
          <w:lang w:val="en-IE"/>
        </w:rPr>
        <w:footnoteReference w:id="39"/>
      </w:r>
      <w:r>
        <w:rPr>
          <w:rFonts w:ascii="Times New Roman" w:hAnsi="Times New Roman"/>
          <w:noProof/>
          <w:sz w:val="24"/>
        </w:rPr>
        <w:t>.</w:t>
      </w:r>
    </w:p>
    <w:p w14:paraId="11B7D8CB" w14:textId="1410EA27" w:rsidR="005E2753" w:rsidRPr="00746C2C" w:rsidRDefault="005E2753" w:rsidP="005E2753">
      <w:pPr>
        <w:pStyle w:val="Heading2"/>
        <w:numPr>
          <w:ilvl w:val="1"/>
          <w:numId w:val="2"/>
        </w:numPr>
        <w:spacing w:before="240" w:after="0"/>
        <w:ind w:left="851" w:hanging="624"/>
        <w:rPr>
          <w:b w:val="0"/>
          <w:noProof/>
        </w:rPr>
      </w:pPr>
      <w:bookmarkStart w:id="30" w:name="_Toc8824323"/>
      <w:bookmarkStart w:id="31" w:name="_Toc230882814"/>
      <w:r>
        <w:rPr>
          <w:b w:val="0"/>
          <w:noProof/>
        </w:rPr>
        <w:t>Noi cauze introduse împotriva Comisiei Europene</w:t>
      </w:r>
      <w:bookmarkEnd w:id="30"/>
      <w:bookmarkEnd w:id="31"/>
    </w:p>
    <w:p w14:paraId="2EF3CA4E" w14:textId="077F19BF" w:rsidR="0051494B" w:rsidRDefault="0051494B" w:rsidP="005E2753">
      <w:pPr>
        <w:spacing w:before="240" w:after="0"/>
        <w:jc w:val="both"/>
        <w:rPr>
          <w:rFonts w:ascii="Times New Roman" w:eastAsia="Times New Roman" w:hAnsi="Times New Roman" w:cs="Times New Roman"/>
          <w:noProof/>
          <w:sz w:val="24"/>
          <w:szCs w:val="24"/>
        </w:rPr>
      </w:pPr>
      <w:r>
        <w:rPr>
          <w:rFonts w:ascii="Times New Roman" w:hAnsi="Times New Roman"/>
          <w:noProof/>
          <w:sz w:val="24"/>
        </w:rPr>
        <w:t>În 2025, au fost înaintate instanțelor europene 19 cauze privind dreptul de acces la documente în temeiul Regulamentului (CE) nr. 1049/2001 în care a fost implicată Comisia Europeană.</w:t>
      </w:r>
    </w:p>
    <w:p w14:paraId="550490DA" w14:textId="73DCEBCC" w:rsidR="005E2753" w:rsidRPr="00746C2C" w:rsidRDefault="001E5EFE" w:rsidP="005E2753">
      <w:pPr>
        <w:spacing w:before="240" w:after="0"/>
        <w:jc w:val="both"/>
        <w:rPr>
          <w:rFonts w:ascii="Times New Roman" w:eastAsia="Times New Roman" w:hAnsi="Times New Roman" w:cs="Times New Roman"/>
          <w:noProof/>
          <w:sz w:val="24"/>
          <w:szCs w:val="24"/>
        </w:rPr>
      </w:pPr>
      <w:r>
        <w:rPr>
          <w:rFonts w:ascii="Times New Roman" w:hAnsi="Times New Roman"/>
          <w:noProof/>
          <w:sz w:val="24"/>
        </w:rPr>
        <w:t>Dintre aceste 19 cauze, 18 au fost aduse în fața Tribunalului</w:t>
      </w:r>
      <w:r>
        <w:rPr>
          <w:rStyle w:val="FootnoteReference"/>
          <w:rFonts w:ascii="Times New Roman" w:eastAsia="Times New Roman" w:hAnsi="Times New Roman" w:cs="Times New Roman"/>
          <w:noProof/>
          <w:sz w:val="24"/>
          <w:szCs w:val="24"/>
          <w:lang w:val="en-IE"/>
        </w:rPr>
        <w:footnoteReference w:id="40"/>
      </w:r>
      <w:r>
        <w:rPr>
          <w:rFonts w:ascii="Times New Roman" w:hAnsi="Times New Roman"/>
          <w:noProof/>
          <w:sz w:val="24"/>
        </w:rPr>
        <w:t>, iar dintre acestea din urmă trei au fost soluționate în 2025</w:t>
      </w:r>
      <w:r>
        <w:rPr>
          <w:rStyle w:val="FootnoteReference"/>
          <w:rFonts w:ascii="Times New Roman" w:eastAsia="Times New Roman" w:hAnsi="Times New Roman" w:cs="Times New Roman"/>
          <w:noProof/>
          <w:sz w:val="24"/>
          <w:szCs w:val="24"/>
          <w:lang w:val="en-IE"/>
        </w:rPr>
        <w:footnoteReference w:id="41"/>
      </w:r>
      <w:r>
        <w:rPr>
          <w:rFonts w:ascii="Times New Roman" w:hAnsi="Times New Roman"/>
          <w:noProof/>
          <w:sz w:val="24"/>
        </w:rPr>
        <w:t>.</w:t>
      </w:r>
    </w:p>
    <w:p w14:paraId="4D0D167A" w14:textId="2BBCB26E" w:rsidR="00B7024A" w:rsidRPr="00746C2C" w:rsidRDefault="009B2E80" w:rsidP="00A0553F">
      <w:pPr>
        <w:spacing w:before="240" w:after="0"/>
        <w:jc w:val="both"/>
        <w:rPr>
          <w:rFonts w:ascii="Times New Roman" w:eastAsia="Times New Roman" w:hAnsi="Times New Roman" w:cs="Times New Roman"/>
          <w:noProof/>
          <w:sz w:val="24"/>
          <w:szCs w:val="24"/>
        </w:rPr>
      </w:pPr>
      <w:r>
        <w:rPr>
          <w:rFonts w:ascii="Times New Roman" w:hAnsi="Times New Roman"/>
          <w:noProof/>
          <w:sz w:val="24"/>
        </w:rPr>
        <w:t>În paralel, la Curtea de Justiție a fost introdus un recurs împotriva unei hotărâri a Tribunalului într-un caz în care Comisia Europeană era parte la procedură</w:t>
      </w:r>
      <w:r>
        <w:rPr>
          <w:rStyle w:val="FootnoteReference"/>
          <w:rFonts w:ascii="Times New Roman" w:eastAsia="Times New Roman" w:hAnsi="Times New Roman" w:cs="Times New Roman"/>
          <w:noProof/>
          <w:sz w:val="24"/>
          <w:szCs w:val="24"/>
          <w:lang w:val="en-IE"/>
        </w:rPr>
        <w:footnoteReference w:id="42"/>
      </w:r>
      <w:r>
        <w:rPr>
          <w:rFonts w:ascii="Times New Roman" w:hAnsi="Times New Roman"/>
          <w:noProof/>
          <w:sz w:val="24"/>
        </w:rPr>
        <w:t>.</w:t>
      </w:r>
    </w:p>
    <w:sectPr w:rsidR="00B7024A" w:rsidRPr="00746C2C" w:rsidSect="00DC1AD1">
      <w:headerReference w:type="even" r:id="rId23"/>
      <w:headerReference w:type="default" r:id="rId24"/>
      <w:footerReference w:type="even" r:id="rId25"/>
      <w:footerReference w:type="default" r:id="rId26"/>
      <w:headerReference w:type="first" r:id="rId27"/>
      <w:footerReference w:type="first" r:id="rId28"/>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C56D62" w14:textId="77777777" w:rsidR="007D32EF" w:rsidRDefault="007D32EF" w:rsidP="00B9074F">
      <w:pPr>
        <w:spacing w:after="0" w:line="240" w:lineRule="auto"/>
      </w:pPr>
      <w:r>
        <w:separator/>
      </w:r>
    </w:p>
  </w:endnote>
  <w:endnote w:type="continuationSeparator" w:id="0">
    <w:p w14:paraId="598ECD24" w14:textId="77777777" w:rsidR="007D32EF" w:rsidRDefault="007D32EF" w:rsidP="00B9074F">
      <w:pPr>
        <w:spacing w:after="0" w:line="240" w:lineRule="auto"/>
      </w:pPr>
      <w:r>
        <w:continuationSeparator/>
      </w:r>
    </w:p>
  </w:endnote>
  <w:endnote w:type="continuationNotice" w:id="1">
    <w:p w14:paraId="5A81C141" w14:textId="77777777" w:rsidR="007D32EF" w:rsidRDefault="007D32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687F9" w14:textId="6593A647" w:rsidR="00171830" w:rsidRPr="00171830" w:rsidRDefault="00171830" w:rsidP="00171830">
    <w:pPr>
      <w:pStyle w:val="FooterCoverPage"/>
      <w:rPr>
        <w:rFonts w:ascii="Arial" w:hAnsi="Arial" w:cs="Arial"/>
        <w:b/>
        <w:sz w:val="48"/>
      </w:rPr>
    </w:pPr>
    <w:r w:rsidRPr="00171830">
      <w:rPr>
        <w:rFonts w:ascii="Arial" w:hAnsi="Arial" w:cs="Arial"/>
        <w:b/>
        <w:sz w:val="48"/>
      </w:rPr>
      <w:t>RO</w:t>
    </w:r>
    <w:r w:rsidRPr="00171830">
      <w:rPr>
        <w:rFonts w:ascii="Arial" w:hAnsi="Arial" w:cs="Arial"/>
        <w:b/>
        <w:sz w:val="48"/>
      </w:rPr>
      <w:tab/>
    </w:r>
    <w:r w:rsidRPr="00171830">
      <w:rPr>
        <w:rFonts w:ascii="Arial" w:hAnsi="Arial" w:cs="Arial"/>
        <w:b/>
        <w:sz w:val="48"/>
      </w:rPr>
      <w:tab/>
    </w:r>
    <w:r w:rsidRPr="00171830">
      <w:tab/>
    </w:r>
    <w:r w:rsidRPr="0017183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97F98" w14:textId="137A931F" w:rsidR="00171830" w:rsidRPr="00171830" w:rsidRDefault="00171830" w:rsidP="00171830">
    <w:pPr>
      <w:pStyle w:val="FooterCoverPage"/>
      <w:rPr>
        <w:rFonts w:ascii="Arial" w:hAnsi="Arial" w:cs="Arial"/>
        <w:b/>
        <w:sz w:val="48"/>
      </w:rPr>
    </w:pPr>
    <w:r w:rsidRPr="00171830">
      <w:rPr>
        <w:rFonts w:ascii="Arial" w:hAnsi="Arial" w:cs="Arial"/>
        <w:b/>
        <w:sz w:val="48"/>
      </w:rPr>
      <w:t>RO</w:t>
    </w:r>
    <w:r w:rsidRPr="00171830">
      <w:rPr>
        <w:rFonts w:ascii="Arial" w:hAnsi="Arial" w:cs="Arial"/>
        <w:b/>
        <w:sz w:val="48"/>
      </w:rPr>
      <w:tab/>
    </w:r>
    <w:r w:rsidRPr="00171830">
      <w:rPr>
        <w:rFonts w:ascii="Arial" w:hAnsi="Arial" w:cs="Arial"/>
        <w:b/>
        <w:sz w:val="48"/>
      </w:rPr>
      <w:tab/>
    </w:r>
    <w:r w:rsidRPr="00171830">
      <w:tab/>
    </w:r>
    <w:r w:rsidRPr="0017183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54B19" w14:textId="77777777" w:rsidR="00171830" w:rsidRPr="00171830" w:rsidRDefault="00171830" w:rsidP="0017183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94501" w14:textId="77777777" w:rsidR="008B0271" w:rsidRDefault="008B027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34B1D" w14:textId="33855E2E" w:rsidR="008B0271" w:rsidRPr="003564C7" w:rsidRDefault="00B40556">
    <w:pPr>
      <w:pStyle w:val="Footer"/>
      <w:jc w:val="center"/>
      <w:rPr>
        <w:rFonts w:ascii="Times New Roman" w:hAnsi="Times New Roman" w:cs="Times New Roman"/>
        <w:caps/>
        <w:noProof/>
        <w:color w:val="000000" w:themeColor="text1"/>
      </w:rPr>
    </w:pPr>
    <w:r>
      <w:rPr>
        <w:rFonts w:ascii="Times New Roman" w:hAnsi="Times New Roman" w:cs="Times New Roman"/>
        <w:caps/>
        <w:color w:val="000000" w:themeColor="text1"/>
      </w:rPr>
      <w:fldChar w:fldCharType="begin"/>
    </w:r>
    <w:r>
      <w:rPr>
        <w:rFonts w:ascii="Times New Roman" w:hAnsi="Times New Roman" w:cs="Times New Roman"/>
        <w:caps/>
        <w:color w:val="000000" w:themeColor="text1"/>
      </w:rPr>
      <w:instrText xml:space="preserve"> PAGE   \* MERGEFORMAT </w:instrText>
    </w:r>
    <w:r>
      <w:rPr>
        <w:rFonts w:ascii="Times New Roman" w:hAnsi="Times New Roman" w:cs="Times New Roman"/>
        <w:caps/>
        <w:color w:val="000000" w:themeColor="text1"/>
      </w:rPr>
      <w:fldChar w:fldCharType="separate"/>
    </w:r>
    <w:r w:rsidR="00171830">
      <w:rPr>
        <w:rFonts w:ascii="Times New Roman" w:hAnsi="Times New Roman" w:cs="Times New Roman"/>
        <w:caps/>
        <w:noProof/>
        <w:color w:val="000000" w:themeColor="text1"/>
      </w:rPr>
      <w:t>1</w:t>
    </w:r>
    <w:r>
      <w:rPr>
        <w:rFonts w:ascii="Times New Roman" w:hAnsi="Times New Roman" w:cs="Times New Roman"/>
        <w:caps/>
        <w:color w:val="000000" w:themeColor="text1"/>
      </w:rPr>
      <w:fldChar w:fldCharType="end"/>
    </w:r>
  </w:p>
  <w:p w14:paraId="11657C04" w14:textId="77777777" w:rsidR="008B0271" w:rsidRDefault="008B027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DD458" w14:textId="77777777" w:rsidR="008B0271" w:rsidRDefault="008B02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172DF8" w14:textId="77777777" w:rsidR="007D32EF" w:rsidRDefault="007D32EF" w:rsidP="00B9074F">
      <w:pPr>
        <w:spacing w:after="0" w:line="240" w:lineRule="auto"/>
      </w:pPr>
      <w:r>
        <w:separator/>
      </w:r>
    </w:p>
  </w:footnote>
  <w:footnote w:type="continuationSeparator" w:id="0">
    <w:p w14:paraId="474A2236" w14:textId="77777777" w:rsidR="007D32EF" w:rsidRDefault="007D32EF" w:rsidP="00B9074F">
      <w:pPr>
        <w:spacing w:after="0" w:line="240" w:lineRule="auto"/>
      </w:pPr>
      <w:r>
        <w:continuationSeparator/>
      </w:r>
    </w:p>
  </w:footnote>
  <w:footnote w:type="continuationNotice" w:id="1">
    <w:p w14:paraId="1E8F8789" w14:textId="77777777" w:rsidR="007D32EF" w:rsidRDefault="007D32EF">
      <w:pPr>
        <w:spacing w:after="0" w:line="240" w:lineRule="auto"/>
      </w:pPr>
    </w:p>
  </w:footnote>
  <w:footnote w:id="2">
    <w:p w14:paraId="6C649ED6" w14:textId="3B11E2BE" w:rsidR="00BC433A" w:rsidRPr="00AA17B1" w:rsidRDefault="00BC433A" w:rsidP="00DC77C9">
      <w:pPr>
        <w:pStyle w:val="FootnoteText"/>
        <w:ind w:left="284" w:hanging="284"/>
        <w:rPr>
          <w:sz w:val="18"/>
          <w:szCs w:val="18"/>
        </w:rPr>
      </w:pPr>
      <w:r>
        <w:rPr>
          <w:rStyle w:val="FootnoteReference"/>
          <w:sz w:val="18"/>
          <w:szCs w:val="18"/>
        </w:rPr>
        <w:footnoteRef/>
      </w:r>
      <w:r>
        <w:rPr>
          <w:sz w:val="18"/>
        </w:rPr>
        <w:t xml:space="preserve"> </w:t>
      </w:r>
      <w:r>
        <w:tab/>
      </w:r>
      <w:r>
        <w:rPr>
          <w:sz w:val="18"/>
        </w:rPr>
        <w:t>Regulamentul (CE) nr. 1049/2001 al Parlamentului European și al Consiliului din 30 mai 2001 privind accesul public la documentele Parlamentului European, ale Consiliului și ale Comisiei; JO L 145, 31.5.2001, p. 43.</w:t>
      </w:r>
    </w:p>
  </w:footnote>
  <w:footnote w:id="3">
    <w:p w14:paraId="0CA64F0C" w14:textId="3B15357C" w:rsidR="00E01F23" w:rsidRPr="00F00C85" w:rsidRDefault="00E01F23" w:rsidP="00DC77C9">
      <w:pPr>
        <w:pStyle w:val="FootnoteText"/>
        <w:ind w:left="284" w:hanging="284"/>
        <w:rPr>
          <w:sz w:val="18"/>
          <w:szCs w:val="18"/>
        </w:rPr>
      </w:pPr>
      <w:r>
        <w:rPr>
          <w:rStyle w:val="FootnoteReference"/>
          <w:sz w:val="18"/>
          <w:szCs w:val="18"/>
          <w:lang w:val="en-IE"/>
        </w:rPr>
        <w:footnoteRef/>
      </w:r>
      <w:r>
        <w:rPr>
          <w:sz w:val="18"/>
        </w:rPr>
        <w:t xml:space="preserve"> </w:t>
      </w:r>
      <w:r>
        <w:tab/>
      </w:r>
      <w:r>
        <w:rPr>
          <w:sz w:val="18"/>
        </w:rPr>
        <w:t>Procentele sunt rotunjite la cea mai apropiată zecimală. Statisticile includ, printre altele, numărul de cereri primite și de răspunsuri furnizate în 2025. Pot exista ușoare diferențe între cifrele din prezentul raport și cele din rapoartele anterioare ca urmare a controalelor și corecțiilor periodice.</w:t>
      </w:r>
    </w:p>
  </w:footnote>
  <w:footnote w:id="4">
    <w:p w14:paraId="04671CD7" w14:textId="48533496" w:rsidR="00127596" w:rsidRPr="00127596" w:rsidRDefault="00127596" w:rsidP="00DC77C9">
      <w:pPr>
        <w:pStyle w:val="FootnoteText"/>
        <w:ind w:left="284" w:hanging="284"/>
        <w:rPr>
          <w:sz w:val="18"/>
          <w:szCs w:val="18"/>
        </w:rPr>
      </w:pPr>
      <w:r>
        <w:rPr>
          <w:rStyle w:val="FootnoteReference"/>
          <w:sz w:val="18"/>
          <w:szCs w:val="18"/>
        </w:rPr>
        <w:footnoteRef/>
      </w:r>
      <w:r>
        <w:rPr>
          <w:sz w:val="18"/>
        </w:rPr>
        <w:t xml:space="preserve"> </w:t>
      </w:r>
      <w:r>
        <w:tab/>
      </w:r>
      <w:hyperlink r:id="rId1" w:history="1">
        <w:r>
          <w:rPr>
            <w:rStyle w:val="Hyperlink"/>
            <w:sz w:val="18"/>
          </w:rPr>
          <w:t>https://commission.europa.eu/document/download/e6cd4328-673c-4e7a-8683-f63ffb2cf648_ro?filename=Political%20Guidelines%202024-2029_RO.pdf</w:t>
        </w:r>
      </w:hyperlink>
      <w:r>
        <w:t>.</w:t>
      </w:r>
    </w:p>
  </w:footnote>
  <w:footnote w:id="5">
    <w:p w14:paraId="400989A4" w14:textId="155BE458" w:rsidR="00127596" w:rsidRPr="00127596" w:rsidRDefault="00127596" w:rsidP="00DC77C9">
      <w:pPr>
        <w:pStyle w:val="FootnoteText"/>
        <w:ind w:left="284" w:hanging="284"/>
      </w:pPr>
      <w:r>
        <w:rPr>
          <w:rStyle w:val="FootnoteReference"/>
          <w:sz w:val="18"/>
          <w:szCs w:val="18"/>
        </w:rPr>
        <w:footnoteRef/>
      </w:r>
      <w:r>
        <w:rPr>
          <w:sz w:val="18"/>
        </w:rPr>
        <w:t xml:space="preserve"> </w:t>
      </w:r>
      <w:r>
        <w:tab/>
      </w:r>
      <w:hyperlink r:id="rId2" w:history="1">
        <w:r>
          <w:rPr>
            <w:rStyle w:val="Hyperlink"/>
            <w:sz w:val="18"/>
          </w:rPr>
          <w:t>https://commission.europa.eu/about/organisation/college-commissioners_ro</w:t>
        </w:r>
      </w:hyperlink>
      <w:r>
        <w:t>.</w:t>
      </w:r>
    </w:p>
  </w:footnote>
  <w:footnote w:id="6">
    <w:p w14:paraId="76D8C643" w14:textId="39C1388E" w:rsidR="00610819" w:rsidRPr="00F00C85" w:rsidRDefault="00610819" w:rsidP="00DC77C9">
      <w:pPr>
        <w:pStyle w:val="FootnoteText"/>
        <w:ind w:left="284" w:hanging="284"/>
        <w:rPr>
          <w:sz w:val="18"/>
          <w:szCs w:val="18"/>
        </w:rPr>
      </w:pPr>
      <w:r>
        <w:rPr>
          <w:rStyle w:val="FootnoteReference"/>
          <w:sz w:val="18"/>
          <w:szCs w:val="18"/>
        </w:rPr>
        <w:footnoteRef/>
      </w:r>
      <w:r>
        <w:rPr>
          <w:sz w:val="18"/>
        </w:rPr>
        <w:t xml:space="preserve"> </w:t>
      </w:r>
      <w:r>
        <w:tab/>
      </w:r>
      <w:hyperlink r:id="rId3" w:history="1">
        <w:r>
          <w:rPr>
            <w:rStyle w:val="Hyperlink"/>
            <w:sz w:val="18"/>
          </w:rPr>
          <w:t>https://commission.europa.eu/priorities-2024-2029/democracy-and-our-values_ro</w:t>
        </w:r>
      </w:hyperlink>
      <w:r>
        <w:t>.</w:t>
      </w:r>
      <w:r>
        <w:rPr>
          <w:sz w:val="18"/>
        </w:rPr>
        <w:t xml:space="preserve"> </w:t>
      </w:r>
    </w:p>
  </w:footnote>
  <w:footnote w:id="7">
    <w:p w14:paraId="22E1F59F" w14:textId="2FD2EA0E" w:rsidR="00004AAB" w:rsidRPr="00F00C85" w:rsidRDefault="00004AAB" w:rsidP="00DC77C9">
      <w:pPr>
        <w:pStyle w:val="FootnoteText"/>
        <w:ind w:left="284" w:hanging="284"/>
        <w:rPr>
          <w:sz w:val="18"/>
          <w:szCs w:val="18"/>
        </w:rPr>
      </w:pPr>
      <w:r>
        <w:rPr>
          <w:rStyle w:val="FootnoteReference"/>
          <w:sz w:val="18"/>
          <w:szCs w:val="18"/>
        </w:rPr>
        <w:footnoteRef/>
      </w:r>
      <w:r>
        <w:rPr>
          <w:sz w:val="18"/>
        </w:rPr>
        <w:t xml:space="preserve"> </w:t>
      </w:r>
      <w:r>
        <w:tab/>
      </w:r>
      <w:r>
        <w:rPr>
          <w:sz w:val="18"/>
        </w:rPr>
        <w:t xml:space="preserve">„Electronic AccesS to European Commission Documents” - Acces electronic la documentele Comisiei Europene; </w:t>
      </w:r>
      <w:hyperlink r:id="rId4" w:history="1">
        <w:r>
          <w:rPr>
            <w:rStyle w:val="Hyperlink"/>
            <w:sz w:val="18"/>
          </w:rPr>
          <w:t>https://ec.europa.eu/transparency/documents-request/home</w:t>
        </w:r>
      </w:hyperlink>
      <w:r>
        <w:t>.</w:t>
      </w:r>
    </w:p>
  </w:footnote>
  <w:footnote w:id="8">
    <w:p w14:paraId="50C7102B" w14:textId="32544491" w:rsidR="001C654F" w:rsidRPr="00F00C85" w:rsidRDefault="001C654F" w:rsidP="00DC77C9">
      <w:pPr>
        <w:pStyle w:val="FootnoteText"/>
        <w:ind w:left="284" w:hanging="284"/>
        <w:rPr>
          <w:sz w:val="18"/>
          <w:szCs w:val="18"/>
        </w:rPr>
      </w:pPr>
      <w:r>
        <w:rPr>
          <w:rStyle w:val="FootnoteReference"/>
          <w:sz w:val="18"/>
          <w:szCs w:val="18"/>
        </w:rPr>
        <w:footnoteRef/>
      </w:r>
      <w:r>
        <w:rPr>
          <w:sz w:val="18"/>
        </w:rPr>
        <w:t xml:space="preserve"> </w:t>
      </w:r>
      <w:r>
        <w:tab/>
      </w:r>
      <w:hyperlink r:id="rId5" w:history="1">
        <w:r>
          <w:rPr>
            <w:rStyle w:val="Hyperlink"/>
            <w:sz w:val="18"/>
          </w:rPr>
          <w:t>https://commission.europa.eu/about/service-standards-and-principles/transparency/how-access-commission-documents_ro</w:t>
        </w:r>
      </w:hyperlink>
      <w:r>
        <w:t>.</w:t>
      </w:r>
    </w:p>
  </w:footnote>
  <w:footnote w:id="9">
    <w:p w14:paraId="0F6BBC57" w14:textId="669D3D11" w:rsidR="00636E0B" w:rsidRPr="00636E0B" w:rsidRDefault="00636E0B" w:rsidP="00DC77C9">
      <w:pPr>
        <w:pStyle w:val="FootnoteText"/>
        <w:ind w:left="284" w:hanging="284"/>
        <w:rPr>
          <w:sz w:val="18"/>
          <w:szCs w:val="18"/>
        </w:rPr>
      </w:pPr>
      <w:r>
        <w:rPr>
          <w:rStyle w:val="FootnoteReference"/>
          <w:sz w:val="18"/>
          <w:szCs w:val="18"/>
        </w:rPr>
        <w:footnoteRef/>
      </w:r>
      <w:r>
        <w:rPr>
          <w:sz w:val="18"/>
        </w:rPr>
        <w:t xml:space="preserve"> </w:t>
      </w:r>
      <w:r>
        <w:tab/>
      </w:r>
      <w:hyperlink r:id="rId6" w:history="1">
        <w:r>
          <w:rPr>
            <w:rStyle w:val="Hyperlink"/>
            <w:sz w:val="18"/>
          </w:rPr>
          <w:t>https://eur-lex.europa.eu/</w:t>
        </w:r>
      </w:hyperlink>
      <w:r>
        <w:t>.</w:t>
      </w:r>
      <w:r>
        <w:rPr>
          <w:sz w:val="18"/>
        </w:rPr>
        <w:t xml:space="preserve"> </w:t>
      </w:r>
    </w:p>
  </w:footnote>
  <w:footnote w:id="10">
    <w:p w14:paraId="68CF2B59" w14:textId="77777777" w:rsidR="00A54D66" w:rsidRPr="00F00C85" w:rsidRDefault="00A54D66" w:rsidP="00A54D66">
      <w:pPr>
        <w:pStyle w:val="FootnoteText"/>
        <w:widowControl w:val="0"/>
        <w:ind w:left="284" w:hanging="284"/>
        <w:rPr>
          <w:sz w:val="18"/>
          <w:szCs w:val="18"/>
        </w:rPr>
      </w:pPr>
      <w:r>
        <w:rPr>
          <w:rStyle w:val="FootnoteReference"/>
          <w:sz w:val="18"/>
          <w:szCs w:val="18"/>
          <w:lang w:val="en-IE"/>
        </w:rPr>
        <w:footnoteRef/>
      </w:r>
      <w:r>
        <w:rPr>
          <w:sz w:val="18"/>
        </w:rPr>
        <w:t xml:space="preserve"> </w:t>
      </w:r>
      <w:r>
        <w:tab/>
      </w:r>
      <w:r>
        <w:rPr>
          <w:sz w:val="18"/>
        </w:rPr>
        <w:t xml:space="preserve">Decizia (UE) 2024/3080 a Comisiei din 4 decembrie 2024 de stabilire a regulamentului de procedură al Comisiei și de modificare a Deciziei C(2000) 3614 (JO L, 2024/3080, 5.12.2024, ELI: </w:t>
      </w:r>
      <w:hyperlink r:id="rId7" w:history="1">
        <w:r>
          <w:rPr>
            <w:rStyle w:val="Hyperlink"/>
            <w:sz w:val="18"/>
          </w:rPr>
          <w:t>http://data.europa.eu/eli/dec/2024/3080/oj</w:t>
        </w:r>
      </w:hyperlink>
      <w:r>
        <w:rPr>
          <w:sz w:val="18"/>
        </w:rPr>
        <w:t>).</w:t>
      </w:r>
    </w:p>
  </w:footnote>
  <w:footnote w:id="11">
    <w:p w14:paraId="2797B2D3" w14:textId="58C10EAE" w:rsidR="005E2753" w:rsidRPr="00FD041B" w:rsidRDefault="005E2753" w:rsidP="00DC77C9">
      <w:pPr>
        <w:pStyle w:val="FootnoteText"/>
        <w:ind w:left="284" w:hanging="284"/>
        <w:rPr>
          <w:sz w:val="18"/>
          <w:szCs w:val="18"/>
        </w:rPr>
      </w:pPr>
      <w:r>
        <w:rPr>
          <w:rStyle w:val="FootnoteReference"/>
          <w:sz w:val="18"/>
          <w:szCs w:val="18"/>
          <w:lang w:val="en-IE"/>
        </w:rPr>
        <w:footnoteRef/>
      </w:r>
      <w:r>
        <w:t xml:space="preserve"> </w:t>
      </w:r>
      <w:r>
        <w:tab/>
      </w:r>
      <w:hyperlink r:id="rId8" w:history="1">
        <w:r>
          <w:rPr>
            <w:rStyle w:val="Hyperlink"/>
            <w:sz w:val="18"/>
          </w:rPr>
          <w:t>https://commission.europa.eu/about/service-standards-and-principles/transparency/how-access-commission-documents_ro</w:t>
        </w:r>
      </w:hyperlink>
      <w:r>
        <w:t>.</w:t>
      </w:r>
    </w:p>
  </w:footnote>
  <w:footnote w:id="12">
    <w:p w14:paraId="11E4156D" w14:textId="258EAD55" w:rsidR="008B4402" w:rsidRDefault="008B4402" w:rsidP="00DC77C9">
      <w:pPr>
        <w:pStyle w:val="FootnoteText"/>
        <w:ind w:left="284" w:hanging="284"/>
      </w:pPr>
      <w:r>
        <w:rPr>
          <w:rStyle w:val="FootnoteReference"/>
          <w:sz w:val="18"/>
          <w:szCs w:val="18"/>
        </w:rPr>
        <w:footnoteRef/>
      </w:r>
      <w:r>
        <w:rPr>
          <w:sz w:val="18"/>
        </w:rPr>
        <w:t xml:space="preserve"> </w:t>
      </w:r>
      <w:r>
        <w:tab/>
      </w:r>
      <w:hyperlink r:id="rId9" w:history="1">
        <w:r>
          <w:rPr>
            <w:rStyle w:val="Hyperlink"/>
            <w:sz w:val="18"/>
          </w:rPr>
          <w:t>https://ec.europa.eu/transparency/documents-register/</w:t>
        </w:r>
      </w:hyperlink>
      <w:r>
        <w:t>.</w:t>
      </w:r>
    </w:p>
  </w:footnote>
  <w:footnote w:id="13">
    <w:p w14:paraId="73AE4B48" w14:textId="6D9C6813" w:rsidR="000B3482" w:rsidRPr="00F00C85" w:rsidRDefault="000B3482" w:rsidP="00DC77C9">
      <w:pPr>
        <w:pStyle w:val="FootnoteText"/>
        <w:ind w:left="284" w:hanging="284"/>
        <w:rPr>
          <w:sz w:val="18"/>
          <w:szCs w:val="18"/>
        </w:rPr>
      </w:pPr>
      <w:r>
        <w:rPr>
          <w:rStyle w:val="FootnoteReference"/>
          <w:sz w:val="18"/>
          <w:szCs w:val="18"/>
        </w:rPr>
        <w:footnoteRef/>
      </w:r>
      <w:r>
        <w:rPr>
          <w:sz w:val="18"/>
        </w:rPr>
        <w:t xml:space="preserve"> </w:t>
      </w:r>
      <w:r>
        <w:tab/>
      </w:r>
      <w:r>
        <w:rPr>
          <w:sz w:val="18"/>
        </w:rPr>
        <w:t xml:space="preserve">În tabelele 6 și 7 din anexă sunt furnizate statistici privind categoria socioprofesională și originea geografică a solicitanților. </w:t>
      </w:r>
    </w:p>
  </w:footnote>
  <w:footnote w:id="14">
    <w:p w14:paraId="6DF2B257" w14:textId="40545E59" w:rsidR="005E2753" w:rsidRPr="00F00C85" w:rsidRDefault="005E2753" w:rsidP="00DC77C9">
      <w:pPr>
        <w:pStyle w:val="FootnoteText"/>
        <w:ind w:left="284" w:hanging="284"/>
        <w:rPr>
          <w:sz w:val="18"/>
          <w:szCs w:val="18"/>
        </w:rPr>
      </w:pPr>
      <w:r>
        <w:rPr>
          <w:rStyle w:val="FootnoteReference"/>
          <w:sz w:val="18"/>
          <w:szCs w:val="18"/>
          <w:lang w:val="en-IE"/>
        </w:rPr>
        <w:footnoteRef/>
      </w:r>
      <w:r>
        <w:tab/>
      </w:r>
      <w:r>
        <w:rPr>
          <w:sz w:val="18"/>
        </w:rPr>
        <w:t>Grupul Operativ pentru Reforme și Investiții (SG REFORM) a fost creat în februarie 2025 prin fuzionarea Grupului operativ pentru redresare și reziliență (SG RECOVER) și a Direcției Generale Sprijin pentru Reforme Structurale (DG REFORM). Datele pentru Oficiul European de Luptă Antifraudă includ cererile de acces la documentele referitoare la activitățile sale administrative, care sunt înregistrate în același sistem informatic (EASE) utilizat și de celelalte departamente ale Comisiei Europene. Prezentul raport nu vizează cererile de acces la documentele referitoare la activitățile de investigare ale OLAF.</w:t>
      </w:r>
      <w:bookmarkStart w:id="13" w:name="_Hlk191747176"/>
      <w:r>
        <w:rPr>
          <w:sz w:val="18"/>
        </w:rPr>
        <w:t xml:space="preserve"> Direcția Generală Extindere și Vecinătate Estică (DG ENEST) și-a început activitatea în februarie 2025, după ce Direcția Generală Vecinătate și Negocieri privind Extinderea (DG NEAR) a fost împărțită în DG ENEST și Direcția Generală Orientul Mijlociu, Africa de Nord și Golful Persic (DG MENA). De la înființarea Serviciului European de Acțiune Externă (SEAE) numai documentele Serviciului Instrumente de Politică Externă (FPI) sunt păstrate de Comisia Europene. Statisticile privind FPI cuprind unele cereri inițiale primite de Instrumentul european pentru pace (IEP). IEP este un instrument extrabugetar care sporește capacitatea UE de a acționa ca furnizor de securitate la nivel mondial. În temeiul Deciziei C(2021) 2011 a Comisiei, Comisia Europeană a fost de acord să îndeplinească rolurile de administrator, contabil și auditor intern pentru măsurile de asistență ale IEP. În 2025, Comisia Europeană, în calitatea sa de administrator al măsurilor de asistență, a primit șapte astfel de cereri inițiale și nicio cerere de confirmare.</w:t>
      </w:r>
      <w:bookmarkEnd w:id="13"/>
    </w:p>
  </w:footnote>
  <w:footnote w:id="15">
    <w:p w14:paraId="54528012" w14:textId="0F973C8A" w:rsidR="00DB322F" w:rsidRPr="00DB322F" w:rsidRDefault="00B91319" w:rsidP="00DC77C9">
      <w:pPr>
        <w:pStyle w:val="FootnoteText"/>
        <w:ind w:left="284" w:hanging="284"/>
        <w:rPr>
          <w:sz w:val="18"/>
          <w:szCs w:val="18"/>
        </w:rPr>
      </w:pPr>
      <w:r>
        <w:rPr>
          <w:rStyle w:val="FootnoteReference"/>
          <w:sz w:val="18"/>
          <w:szCs w:val="18"/>
        </w:rPr>
        <w:footnoteRef/>
      </w:r>
      <w:r>
        <w:rPr>
          <w:sz w:val="18"/>
        </w:rPr>
        <w:t xml:space="preserve"> </w:t>
      </w:r>
      <w:r>
        <w:tab/>
      </w:r>
      <w:r>
        <w:rPr>
          <w:sz w:val="18"/>
        </w:rPr>
        <w:t>Cererile individuale pot viza mai multe documente sau dosare întregi referitoare la un anumit subiect sau la o anumită procedură. Datorită modulului în care</w:t>
      </w:r>
      <w:r w:rsidR="007A00E7">
        <w:rPr>
          <w:sz w:val="18"/>
        </w:rPr>
        <w:t xml:space="preserve"> </w:t>
      </w:r>
      <w:r>
        <w:rPr>
          <w:sz w:val="18"/>
        </w:rPr>
        <w:t>este conceput EASE, cifrele din capitolul 4 al prezentului raport reflectă documentele solicitate în cazurile tratate în cadrul EASE și închise în 2025.</w:t>
      </w:r>
    </w:p>
  </w:footnote>
  <w:footnote w:id="16">
    <w:p w14:paraId="29E43E3A" w14:textId="4CA7CBFA" w:rsidR="00DB7D87" w:rsidRPr="00F00C85" w:rsidRDefault="00DB7D87" w:rsidP="00DC77C9">
      <w:pPr>
        <w:pStyle w:val="FootnoteText"/>
        <w:ind w:left="284" w:hanging="284"/>
        <w:rPr>
          <w:sz w:val="18"/>
          <w:szCs w:val="18"/>
        </w:rPr>
      </w:pPr>
      <w:r>
        <w:rPr>
          <w:rStyle w:val="FootnoteReference"/>
          <w:sz w:val="18"/>
          <w:szCs w:val="18"/>
          <w:lang w:val="en-IE"/>
        </w:rPr>
        <w:footnoteRef/>
      </w:r>
      <w:r>
        <w:tab/>
      </w:r>
      <w:r>
        <w:rPr>
          <w:sz w:val="18"/>
        </w:rPr>
        <w:t xml:space="preserve">Statisticile se referă la cazurile adresate Ombudsmanului European ce privesc toate departamentele Comisiei Europene, cu excepția </w:t>
      </w:r>
      <w:bookmarkStart w:id="22" w:name="_Hlk224918263"/>
      <w:r>
        <w:rPr>
          <w:sz w:val="18"/>
        </w:rPr>
        <w:t>Oficiului European de Luptă Antifraudă</w:t>
      </w:r>
      <w:bookmarkEnd w:id="22"/>
      <w:r>
        <w:rPr>
          <w:sz w:val="18"/>
        </w:rPr>
        <w:t>.</w:t>
      </w:r>
    </w:p>
  </w:footnote>
  <w:footnote w:id="17">
    <w:p w14:paraId="75B53AF2" w14:textId="67D9703C" w:rsidR="00713AE1" w:rsidRPr="001B1DF5" w:rsidRDefault="007D60B6" w:rsidP="00DC77C9">
      <w:pPr>
        <w:pStyle w:val="FootnoteText"/>
        <w:ind w:left="284" w:hanging="284"/>
        <w:rPr>
          <w:sz w:val="18"/>
          <w:szCs w:val="18"/>
        </w:rPr>
      </w:pPr>
      <w:r>
        <w:rPr>
          <w:rStyle w:val="FootnoteReference"/>
          <w:sz w:val="18"/>
          <w:szCs w:val="18"/>
          <w:lang w:val="en-IE"/>
        </w:rPr>
        <w:footnoteRef/>
      </w:r>
      <w:r>
        <w:tab/>
      </w:r>
      <w:r>
        <w:rPr>
          <w:sz w:val="18"/>
        </w:rPr>
        <w:t>Ombudsmanul a considerat că întârzierea în furnizarea unui răspuns solicitantului constituie un caz de administrare defectuoasă în cazul 1249/2023 (</w:t>
      </w:r>
      <w:hyperlink r:id="rId10" w:history="1">
        <w:r>
          <w:rPr>
            <w:rStyle w:val="Hyperlink"/>
            <w:sz w:val="18"/>
          </w:rPr>
          <w:t>https://www.ombudsman.europa.eu/ro/case/ro/64317</w:t>
        </w:r>
      </w:hyperlink>
      <w:r>
        <w:rPr>
          <w:sz w:val="18"/>
        </w:rPr>
        <w:t>). Ombudsmanul a concluzionat că refuzul de a acorda un acces public larg constituie un caz de administrare defectuoasă în cazurile 2421/2023 (</w:t>
      </w:r>
      <w:hyperlink r:id="rId11" w:history="1">
        <w:r>
          <w:rPr>
            <w:rStyle w:val="Hyperlink"/>
            <w:sz w:val="18"/>
          </w:rPr>
          <w:t>https://www.ombudsman.europa.eu/ro/case/ro/65469</w:t>
        </w:r>
      </w:hyperlink>
      <w:r>
        <w:rPr>
          <w:sz w:val="18"/>
        </w:rPr>
        <w:t>) și 849/2024 (</w:t>
      </w:r>
      <w:hyperlink r:id="rId12" w:history="1">
        <w:r>
          <w:rPr>
            <w:rStyle w:val="Hyperlink"/>
            <w:sz w:val="18"/>
          </w:rPr>
          <w:t>https://www.ombudsman.europa.eu/ro/case/ro/66373</w:t>
        </w:r>
      </w:hyperlink>
      <w:r>
        <w:rPr>
          <w:sz w:val="18"/>
        </w:rPr>
        <w:t>). Ombudsmanul a considerat că refuzul Comisiei de a trata cererile de acces public ale reclamantului constituie un caz de administrare defectuoasă în cazul 1634/2023 (</w:t>
      </w:r>
      <w:hyperlink r:id="rId13" w:history="1">
        <w:r>
          <w:rPr>
            <w:rStyle w:val="Hyperlink"/>
            <w:sz w:val="18"/>
          </w:rPr>
          <w:t>https://www.ombudsman.europa.eu/ro/case/ro/64691</w:t>
        </w:r>
      </w:hyperlink>
      <w:r>
        <w:rPr>
          <w:sz w:val="18"/>
        </w:rPr>
        <w:t>). Ombudsmanul a considerat că a existat o administrare defectuoasă din partea Comisiei în modul în care a tratat cererile de acces public în cazurile</w:t>
      </w:r>
      <w:r>
        <w:tab/>
        <w:t xml:space="preserve"> </w:t>
      </w:r>
      <w:r>
        <w:br/>
      </w:r>
      <w:r>
        <w:rPr>
          <w:sz w:val="18"/>
        </w:rPr>
        <w:t>1405/2024 (</w:t>
      </w:r>
      <w:hyperlink r:id="rId14" w:history="1">
        <w:r>
          <w:rPr>
            <w:rStyle w:val="Hyperlink"/>
            <w:sz w:val="18"/>
          </w:rPr>
          <w:t>https://www.ombudsman.europa.eu/ro/case/ro/66916</w:t>
        </w:r>
      </w:hyperlink>
      <w:r>
        <w:rPr>
          <w:sz w:val="18"/>
        </w:rPr>
        <w:t>),</w:t>
      </w:r>
      <w:r>
        <w:tab/>
        <w:t xml:space="preserve"> </w:t>
      </w:r>
      <w:r>
        <w:br/>
      </w:r>
      <w:r>
        <w:rPr>
          <w:sz w:val="18"/>
        </w:rPr>
        <w:t>1498/2024 (</w:t>
      </w:r>
      <w:hyperlink r:id="rId15" w:history="1">
        <w:r>
          <w:rPr>
            <w:rStyle w:val="Hyperlink"/>
            <w:sz w:val="18"/>
          </w:rPr>
          <w:t>https://www.ombudsman.europa.eu/ro/case/ro/67020</w:t>
        </w:r>
      </w:hyperlink>
      <w:r>
        <w:rPr>
          <w:sz w:val="18"/>
        </w:rPr>
        <w:t>)</w:t>
      </w:r>
      <w:r>
        <w:tab/>
        <w:t xml:space="preserve"> </w:t>
      </w:r>
      <w:r>
        <w:br/>
      </w:r>
      <w:r>
        <w:rPr>
          <w:sz w:val="18"/>
        </w:rPr>
        <w:t>și 318/2025 (</w:t>
      </w:r>
      <w:hyperlink r:id="rId16" w:history="1">
        <w:r>
          <w:rPr>
            <w:rStyle w:val="Hyperlink"/>
            <w:sz w:val="18"/>
          </w:rPr>
          <w:t>https://www.ombudsman.europa.eu/ro/case/ro/68195</w:t>
        </w:r>
      </w:hyperlink>
      <w:r>
        <w:rPr>
          <w:sz w:val="18"/>
        </w:rPr>
        <w:t>).</w:t>
      </w:r>
      <w:r>
        <w:tab/>
        <w:t xml:space="preserve"> </w:t>
      </w:r>
      <w:r>
        <w:br/>
      </w:r>
      <w:r>
        <w:rPr>
          <w:sz w:val="18"/>
        </w:rPr>
        <w:t>Ombudsmanul a considerat că utilizarea de către Comisie a unei prezumții generale de nedivulgare constituie un caz de administrare defectuoasă în cazul 1746/2024 (</w:t>
      </w:r>
      <w:hyperlink r:id="rId17" w:history="1">
        <w:r>
          <w:rPr>
            <w:rStyle w:val="Hyperlink"/>
            <w:sz w:val="18"/>
          </w:rPr>
          <w:t>https://www.ombudsman.europa.eu/ro/case/ro/67261</w:t>
        </w:r>
      </w:hyperlink>
      <w:r>
        <w:rPr>
          <w:sz w:val="18"/>
        </w:rPr>
        <w:t>).</w:t>
      </w:r>
    </w:p>
  </w:footnote>
  <w:footnote w:id="18">
    <w:p w14:paraId="006AA979" w14:textId="74DCEE53" w:rsidR="00056053" w:rsidRPr="001B59F8" w:rsidRDefault="00056053" w:rsidP="00DC77C9">
      <w:pPr>
        <w:pStyle w:val="FootnoteText"/>
        <w:ind w:left="284" w:hanging="284"/>
        <w:rPr>
          <w:sz w:val="18"/>
          <w:szCs w:val="18"/>
        </w:rPr>
      </w:pPr>
      <w:r>
        <w:rPr>
          <w:rStyle w:val="FootnoteReference"/>
          <w:sz w:val="18"/>
          <w:szCs w:val="18"/>
          <w:lang w:val="en-IE"/>
        </w:rPr>
        <w:footnoteRef/>
      </w:r>
      <w:r>
        <w:rPr>
          <w:sz w:val="18"/>
        </w:rPr>
        <w:t xml:space="preserve"> </w:t>
      </w:r>
      <w:r>
        <w:tab/>
      </w:r>
      <w:r>
        <w:rPr>
          <w:sz w:val="18"/>
        </w:rPr>
        <w:t>Hotărârea din 16 ianuarie 2025 pronunțată în cauza Comisia/Pollinis France, C-726/22 P, EU:C:2025:17.</w:t>
      </w:r>
    </w:p>
  </w:footnote>
  <w:footnote w:id="19">
    <w:p w14:paraId="0FFC4655" w14:textId="78172A4E" w:rsidR="00056053" w:rsidRPr="001B59F8" w:rsidRDefault="00056053" w:rsidP="004F2FDA">
      <w:pPr>
        <w:pStyle w:val="FootnoteText"/>
        <w:ind w:left="284" w:hanging="284"/>
        <w:rPr>
          <w:sz w:val="18"/>
          <w:szCs w:val="18"/>
        </w:rPr>
      </w:pPr>
      <w:r>
        <w:rPr>
          <w:rStyle w:val="FootnoteReference"/>
          <w:sz w:val="18"/>
          <w:szCs w:val="18"/>
          <w:lang w:val="en-IE"/>
        </w:rPr>
        <w:footnoteRef/>
      </w:r>
      <w:r>
        <w:rPr>
          <w:sz w:val="18"/>
        </w:rPr>
        <w:t xml:space="preserve"> </w:t>
      </w:r>
      <w:r>
        <w:tab/>
      </w:r>
      <w:r>
        <w:rPr>
          <w:sz w:val="18"/>
        </w:rPr>
        <w:t>Hotărârea din 4 februarie 2025 pronunțată în cauza Comisia/Courtois și alții, C-632/24 P-R, EU:C:2025:70.</w:t>
      </w:r>
    </w:p>
  </w:footnote>
  <w:footnote w:id="20">
    <w:p w14:paraId="66E80BAD" w14:textId="1FE7BC23" w:rsidR="005434B6" w:rsidRPr="001B59F8" w:rsidRDefault="005434B6" w:rsidP="004F2FDA">
      <w:pPr>
        <w:pStyle w:val="FootnoteText"/>
        <w:ind w:left="284" w:hanging="284"/>
        <w:rPr>
          <w:sz w:val="18"/>
          <w:szCs w:val="18"/>
        </w:rPr>
      </w:pPr>
      <w:r>
        <w:rPr>
          <w:rStyle w:val="FootnoteReference"/>
          <w:sz w:val="18"/>
          <w:szCs w:val="18"/>
          <w:lang w:val="en-IE"/>
        </w:rPr>
        <w:footnoteRef/>
      </w:r>
      <w:r>
        <w:tab/>
      </w:r>
      <w:r>
        <w:rPr>
          <w:sz w:val="18"/>
        </w:rPr>
        <w:t xml:space="preserve">Hotărârea pronunțată în cauza </w:t>
      </w:r>
      <w:r>
        <w:t>Comisia/Pollinis France</w:t>
      </w:r>
      <w:r>
        <w:rPr>
          <w:sz w:val="18"/>
        </w:rPr>
        <w:t xml:space="preserve">, C-726/22 P, </w:t>
      </w:r>
      <w:r>
        <w:rPr>
          <w:i/>
          <w:sz w:val="18"/>
        </w:rPr>
        <w:t>op.cit</w:t>
      </w:r>
      <w:r>
        <w:rPr>
          <w:sz w:val="18"/>
        </w:rPr>
        <w:t>.</w:t>
      </w:r>
    </w:p>
  </w:footnote>
  <w:footnote w:id="21">
    <w:p w14:paraId="41749AB6" w14:textId="6B3BBEE1" w:rsidR="00C140AF" w:rsidRPr="001B59F8" w:rsidRDefault="00C140AF" w:rsidP="004F2FDA">
      <w:pPr>
        <w:pStyle w:val="FootnoteText"/>
        <w:ind w:left="284" w:hanging="284"/>
        <w:rPr>
          <w:sz w:val="18"/>
          <w:szCs w:val="18"/>
        </w:rPr>
      </w:pPr>
      <w:r>
        <w:rPr>
          <w:rStyle w:val="FootnoteReference"/>
          <w:sz w:val="18"/>
          <w:szCs w:val="18"/>
          <w:lang w:val="en-IE"/>
        </w:rPr>
        <w:footnoteRef/>
      </w:r>
      <w:r>
        <w:tab/>
      </w:r>
      <w:r>
        <w:rPr>
          <w:sz w:val="18"/>
        </w:rPr>
        <w:t xml:space="preserve">Ordonanța pronunțată în cauza </w:t>
      </w:r>
      <w:r>
        <w:t>Comisia/Courtois și alții</w:t>
      </w:r>
      <w:r>
        <w:rPr>
          <w:sz w:val="18"/>
        </w:rPr>
        <w:t xml:space="preserve">, C-632/24 P-R, </w:t>
      </w:r>
      <w:r>
        <w:rPr>
          <w:i/>
          <w:sz w:val="18"/>
        </w:rPr>
        <w:t>op.cit</w:t>
      </w:r>
      <w:r>
        <w:rPr>
          <w:sz w:val="18"/>
        </w:rPr>
        <w:t>.</w:t>
      </w:r>
    </w:p>
  </w:footnote>
  <w:footnote w:id="22">
    <w:p w14:paraId="14E66955" w14:textId="75D88274" w:rsidR="00C140AF" w:rsidRPr="001B59F8" w:rsidRDefault="00C140AF" w:rsidP="004F2FDA">
      <w:pPr>
        <w:pStyle w:val="FootnoteText"/>
        <w:ind w:left="284" w:hanging="284"/>
        <w:rPr>
          <w:sz w:val="18"/>
          <w:szCs w:val="18"/>
        </w:rPr>
      </w:pPr>
      <w:r>
        <w:rPr>
          <w:rStyle w:val="FootnoteReference"/>
          <w:sz w:val="18"/>
          <w:szCs w:val="18"/>
          <w:lang w:val="en-IE"/>
        </w:rPr>
        <w:footnoteRef/>
      </w:r>
      <w:r>
        <w:tab/>
      </w:r>
      <w:r>
        <w:rPr>
          <w:sz w:val="18"/>
        </w:rPr>
        <w:t xml:space="preserve">Hotărârea pronunțată în cauza </w:t>
      </w:r>
      <w:r>
        <w:t>Comisia/Pollinis France</w:t>
      </w:r>
      <w:r>
        <w:rPr>
          <w:sz w:val="18"/>
        </w:rPr>
        <w:t xml:space="preserve">, C-726/22 P, </w:t>
      </w:r>
      <w:r>
        <w:rPr>
          <w:i/>
          <w:sz w:val="18"/>
        </w:rPr>
        <w:t>op.cit</w:t>
      </w:r>
      <w:r>
        <w:rPr>
          <w:sz w:val="18"/>
        </w:rPr>
        <w:t>., punctele 65, 71-74 și 78-79.</w:t>
      </w:r>
    </w:p>
  </w:footnote>
  <w:footnote w:id="23">
    <w:p w14:paraId="621F485C" w14:textId="45C2E078" w:rsidR="00C371F8" w:rsidRPr="00FF4967" w:rsidRDefault="00C371F8" w:rsidP="004F2FDA">
      <w:pPr>
        <w:pStyle w:val="FootnoteText"/>
        <w:ind w:left="284" w:hanging="284"/>
        <w:rPr>
          <w:sz w:val="18"/>
          <w:szCs w:val="18"/>
        </w:rPr>
      </w:pPr>
      <w:r>
        <w:rPr>
          <w:rStyle w:val="FootnoteReference"/>
          <w:sz w:val="18"/>
          <w:szCs w:val="18"/>
          <w:lang w:val="en-IE"/>
        </w:rPr>
        <w:footnoteRef/>
      </w:r>
      <w:r>
        <w:tab/>
      </w:r>
      <w:r>
        <w:rPr>
          <w:sz w:val="18"/>
        </w:rPr>
        <w:t>Hotărârea din 14 mai 2025 în cauza Stevi și The New York Times/Comisia, T-36/23, EU:T:2025:483; hotărârea din 22</w:t>
      </w:r>
      <w:r w:rsidR="004A257B">
        <w:rPr>
          <w:sz w:val="18"/>
        </w:rPr>
        <w:t> </w:t>
      </w:r>
      <w:r>
        <w:rPr>
          <w:sz w:val="18"/>
        </w:rPr>
        <w:t>ianuarie 2025 în cauza eClear/Comisia, T-127/23, EU:T:2025:51; hotărârea din 3 septembrie 2025 în cauza Huhtamaki Holding/Comisia, T-225/24, EU:T:2025:830; hotărârea din 14 mai 2025 în cauza Smart Kid/Comisia, T</w:t>
      </w:r>
      <w:r w:rsidR="004A257B">
        <w:rPr>
          <w:sz w:val="18"/>
        </w:rPr>
        <w:t>­</w:t>
      </w:r>
      <w:r>
        <w:rPr>
          <w:sz w:val="18"/>
        </w:rPr>
        <w:t>227/24, EU:T:2025:488; hotărârea din 18 iunie 2025 în cauza Zver/Comisia, T-235/24, EU:T:2025:607; hotărârea din 10</w:t>
      </w:r>
      <w:r w:rsidR="004A257B">
        <w:rPr>
          <w:sz w:val="18"/>
        </w:rPr>
        <w:t> </w:t>
      </w:r>
      <w:r>
        <w:rPr>
          <w:sz w:val="18"/>
        </w:rPr>
        <w:t>septembrie 2025 în cauza Smart Kid/Comisia, T-337/24, EU:T:2025:848.</w:t>
      </w:r>
    </w:p>
  </w:footnote>
  <w:footnote w:id="24">
    <w:p w14:paraId="5E7EEC26" w14:textId="57EFFB92" w:rsidR="00C371F8" w:rsidRPr="001B59F8" w:rsidRDefault="00C371F8" w:rsidP="004F2FDA">
      <w:pPr>
        <w:pStyle w:val="FootnoteText"/>
        <w:ind w:left="284" w:hanging="284"/>
        <w:rPr>
          <w:sz w:val="18"/>
          <w:szCs w:val="18"/>
        </w:rPr>
      </w:pPr>
      <w:r>
        <w:rPr>
          <w:rStyle w:val="FootnoteReference"/>
          <w:sz w:val="18"/>
          <w:szCs w:val="18"/>
          <w:lang w:val="en-IE"/>
        </w:rPr>
        <w:footnoteRef/>
      </w:r>
      <w:r>
        <w:tab/>
      </w:r>
      <w:r>
        <w:rPr>
          <w:sz w:val="18"/>
        </w:rPr>
        <w:t>Ordonanța din 21 mai 2025 în cauza APEDA și O'Connor/Comisia, T-70/25; ordonanța din 8 octombrie 2025 în cauza WS/Comisia, T-90/25, EU:T:2025:955; ordonanța din 16 mai 2025 în cauza Rizza/Comisia, T-118/25; ordonanța din 11</w:t>
      </w:r>
      <w:r w:rsidR="004A257B">
        <w:rPr>
          <w:sz w:val="18"/>
        </w:rPr>
        <w:t> </w:t>
      </w:r>
      <w:r>
        <w:rPr>
          <w:sz w:val="18"/>
        </w:rPr>
        <w:t>februarie 2025 în cauza Reverbel/Comisia, T-178/24, EU:T:2025:173; ordonanța din 18 septembrie 2025 în cauza Onescu/OLAF, T-299/25; ordonanța din 16 iulie 2025 în cauza Onescu/OLAF, T-299/25 R; ordonanța din 7 ianuarie 2025 în cauza Compass-Datenbank/Comisia, T-350/24, EU:T:2025:20; ordonanța din 14 aprilie 2025 în cauza Molitorisová/Comisia, T-353/24; ordonanța din 20 august 2025 în cauza APEDA și O'Connor/Comisia, T-458/24; ordonanța din 27 ianuarie 2025 în cauza Pech/Comisia, T-485/24; ordonanța din 16 iunie 2025 în cauza Reclaim și Martínez González/Comisia, T-546/24; ordonanța din 20 martie 2025 în cauza Public.Resource.Org și Right to Know/Comisia, T-580/24.</w:t>
      </w:r>
    </w:p>
  </w:footnote>
  <w:footnote w:id="25">
    <w:p w14:paraId="3B9A550B" w14:textId="2C13A68C" w:rsidR="00977980" w:rsidRPr="0041312C" w:rsidRDefault="00977980" w:rsidP="004F2FDA">
      <w:pPr>
        <w:pStyle w:val="FootnoteText"/>
        <w:ind w:left="284" w:hanging="284"/>
        <w:rPr>
          <w:iCs/>
          <w:sz w:val="18"/>
          <w:szCs w:val="18"/>
        </w:rPr>
      </w:pPr>
      <w:r>
        <w:rPr>
          <w:rStyle w:val="FootnoteReference"/>
          <w:sz w:val="18"/>
          <w:szCs w:val="18"/>
          <w:lang w:val="en-IE"/>
        </w:rPr>
        <w:footnoteRef/>
      </w:r>
      <w:r>
        <w:tab/>
      </w:r>
      <w:r>
        <w:rPr>
          <w:sz w:val="18"/>
        </w:rPr>
        <w:t xml:space="preserve">Hotărârea pronunțată în cauza Huhtamaki Holding/Comisia, T-225/24, </w:t>
      </w:r>
      <w:r>
        <w:rPr>
          <w:i/>
          <w:sz w:val="18"/>
        </w:rPr>
        <w:t>op.cit.</w:t>
      </w:r>
      <w:r>
        <w:rPr>
          <w:sz w:val="18"/>
        </w:rPr>
        <w:t xml:space="preserve">; ordonanța pronunțată în cauza Onescu/OLAF, T-299/25, </w:t>
      </w:r>
      <w:r>
        <w:rPr>
          <w:i/>
          <w:sz w:val="18"/>
        </w:rPr>
        <w:t>op.cit.</w:t>
      </w:r>
    </w:p>
  </w:footnote>
  <w:footnote w:id="26">
    <w:p w14:paraId="434688B5" w14:textId="6F026B72" w:rsidR="00977980" w:rsidRPr="001B59F8" w:rsidRDefault="00977980" w:rsidP="004F2FDA">
      <w:pPr>
        <w:pStyle w:val="FootnoteText"/>
        <w:ind w:left="284" w:hanging="284"/>
        <w:rPr>
          <w:sz w:val="18"/>
          <w:szCs w:val="18"/>
        </w:rPr>
      </w:pPr>
      <w:r>
        <w:rPr>
          <w:rStyle w:val="FootnoteReference"/>
          <w:sz w:val="18"/>
          <w:szCs w:val="18"/>
          <w:lang w:val="en-IE"/>
        </w:rPr>
        <w:footnoteRef/>
      </w:r>
      <w:r>
        <w:tab/>
      </w:r>
      <w:r>
        <w:rPr>
          <w:sz w:val="18"/>
        </w:rPr>
        <w:t xml:space="preserve">Hotărârile pronunțate în cauzele </w:t>
      </w:r>
      <w:r>
        <w:t>eClear/Comisia</w:t>
      </w:r>
      <w:r>
        <w:rPr>
          <w:sz w:val="18"/>
        </w:rPr>
        <w:t xml:space="preserve">, T-127/23, </w:t>
      </w:r>
      <w:r>
        <w:rPr>
          <w:i/>
          <w:sz w:val="18"/>
        </w:rPr>
        <w:t>op.cit</w:t>
      </w:r>
      <w:r>
        <w:rPr>
          <w:sz w:val="18"/>
        </w:rPr>
        <w:t xml:space="preserve">.; Zver/Comisia, T-235/24, </w:t>
      </w:r>
      <w:r>
        <w:rPr>
          <w:i/>
          <w:sz w:val="18"/>
        </w:rPr>
        <w:t>op.cit</w:t>
      </w:r>
      <w:r>
        <w:rPr>
          <w:sz w:val="18"/>
        </w:rPr>
        <w:t xml:space="preserve">.; Smart Kid/Comisia, T-337/24, </w:t>
      </w:r>
      <w:r>
        <w:rPr>
          <w:i/>
          <w:sz w:val="18"/>
        </w:rPr>
        <w:t>op.cit</w:t>
      </w:r>
      <w:r>
        <w:rPr>
          <w:sz w:val="18"/>
        </w:rPr>
        <w:t>.</w:t>
      </w:r>
    </w:p>
  </w:footnote>
  <w:footnote w:id="27">
    <w:p w14:paraId="11AE51FD" w14:textId="2E3B5B04" w:rsidR="00FF4D5B" w:rsidRPr="001B59F8" w:rsidRDefault="00FF4D5B" w:rsidP="004F2FDA">
      <w:pPr>
        <w:pStyle w:val="FootnoteText"/>
        <w:ind w:left="284" w:hanging="284"/>
        <w:rPr>
          <w:sz w:val="18"/>
          <w:szCs w:val="18"/>
        </w:rPr>
      </w:pPr>
      <w:r>
        <w:rPr>
          <w:rStyle w:val="FootnoteReference"/>
          <w:sz w:val="18"/>
          <w:szCs w:val="18"/>
          <w:lang w:val="en-IE"/>
        </w:rPr>
        <w:footnoteRef/>
      </w:r>
      <w:r>
        <w:tab/>
      </w:r>
      <w:r>
        <w:rPr>
          <w:sz w:val="18"/>
        </w:rPr>
        <w:t xml:space="preserve">Hotărârile pronunțate în cauzele Stevi și The New York Times/Comisia, T-36/23, </w:t>
      </w:r>
      <w:r>
        <w:rPr>
          <w:i/>
          <w:sz w:val="18"/>
        </w:rPr>
        <w:t>op.cit</w:t>
      </w:r>
      <w:r>
        <w:rPr>
          <w:sz w:val="18"/>
        </w:rPr>
        <w:t xml:space="preserve">.; Smart Kid/Comisia, T-227/24, </w:t>
      </w:r>
      <w:r>
        <w:rPr>
          <w:i/>
          <w:sz w:val="18"/>
        </w:rPr>
        <w:t>op.cit</w:t>
      </w:r>
      <w:r>
        <w:rPr>
          <w:sz w:val="18"/>
        </w:rPr>
        <w:t>.</w:t>
      </w:r>
    </w:p>
  </w:footnote>
  <w:footnote w:id="28">
    <w:p w14:paraId="7D41F161" w14:textId="4FA105DD" w:rsidR="0041312C" w:rsidRPr="0041312C" w:rsidRDefault="0041312C" w:rsidP="004F2FDA">
      <w:pPr>
        <w:pStyle w:val="FootnoteText"/>
        <w:ind w:left="284" w:hanging="284"/>
        <w:rPr>
          <w:sz w:val="18"/>
          <w:szCs w:val="18"/>
        </w:rPr>
      </w:pPr>
      <w:r>
        <w:rPr>
          <w:rStyle w:val="FootnoteReference"/>
          <w:sz w:val="18"/>
          <w:szCs w:val="18"/>
          <w:lang w:val="en-IE"/>
        </w:rPr>
        <w:footnoteRef/>
      </w:r>
      <w:r>
        <w:tab/>
      </w:r>
      <w:r>
        <w:rPr>
          <w:sz w:val="18"/>
        </w:rPr>
        <w:t xml:space="preserve">Ordonanțele pronunțate în cauzele </w:t>
      </w:r>
      <w:r>
        <w:t>WS/Comisia</w:t>
      </w:r>
      <w:r>
        <w:rPr>
          <w:sz w:val="18"/>
        </w:rPr>
        <w:t xml:space="preserve">, T-90/25, </w:t>
      </w:r>
      <w:r>
        <w:rPr>
          <w:i/>
          <w:sz w:val="18"/>
        </w:rPr>
        <w:t>op.cit</w:t>
      </w:r>
      <w:r>
        <w:rPr>
          <w:sz w:val="18"/>
        </w:rPr>
        <w:t xml:space="preserve">.; Reverbel/Comisia, T-178/24, </w:t>
      </w:r>
      <w:r>
        <w:rPr>
          <w:i/>
          <w:sz w:val="18"/>
        </w:rPr>
        <w:t>op.cit</w:t>
      </w:r>
      <w:r>
        <w:rPr>
          <w:sz w:val="18"/>
        </w:rPr>
        <w:t xml:space="preserve">.; Compass-Datenbank/Comisia, T-350/24, </w:t>
      </w:r>
      <w:r>
        <w:rPr>
          <w:i/>
          <w:sz w:val="18"/>
        </w:rPr>
        <w:t>op.cit</w:t>
      </w:r>
      <w:r>
        <w:rPr>
          <w:sz w:val="18"/>
        </w:rPr>
        <w:t xml:space="preserve">.; Pech/Comisia, T-485/24, </w:t>
      </w:r>
      <w:r>
        <w:rPr>
          <w:i/>
          <w:sz w:val="18"/>
        </w:rPr>
        <w:t>op.cit</w:t>
      </w:r>
      <w:r>
        <w:rPr>
          <w:sz w:val="18"/>
        </w:rPr>
        <w:t>.; Reclaim și Martínez González/Comisia, T</w:t>
      </w:r>
      <w:r w:rsidR="004A257B">
        <w:rPr>
          <w:sz w:val="18"/>
        </w:rPr>
        <w:t>­</w:t>
      </w:r>
      <w:r>
        <w:rPr>
          <w:sz w:val="18"/>
        </w:rPr>
        <w:t xml:space="preserve">546/24, </w:t>
      </w:r>
      <w:r>
        <w:rPr>
          <w:i/>
          <w:sz w:val="18"/>
        </w:rPr>
        <w:t>op.cit</w:t>
      </w:r>
      <w:r>
        <w:rPr>
          <w:sz w:val="18"/>
        </w:rPr>
        <w:t>.</w:t>
      </w:r>
    </w:p>
  </w:footnote>
  <w:footnote w:id="29">
    <w:p w14:paraId="79B92F71" w14:textId="711CA67D" w:rsidR="0041312C" w:rsidRPr="0041312C" w:rsidRDefault="0041312C" w:rsidP="004F2FDA">
      <w:pPr>
        <w:pStyle w:val="FootnoteText"/>
        <w:ind w:left="284" w:hanging="284"/>
        <w:rPr>
          <w:sz w:val="18"/>
          <w:szCs w:val="18"/>
        </w:rPr>
      </w:pPr>
      <w:r>
        <w:rPr>
          <w:rStyle w:val="FootnoteReference"/>
          <w:sz w:val="18"/>
          <w:szCs w:val="18"/>
          <w:lang w:val="en-IE"/>
        </w:rPr>
        <w:footnoteRef/>
      </w:r>
      <w:r>
        <w:tab/>
      </w:r>
      <w:r>
        <w:rPr>
          <w:sz w:val="18"/>
        </w:rPr>
        <w:t xml:space="preserve">Ordonanțele pronunțate în cauzele Rizza/Comisia, T-118/25, </w:t>
      </w:r>
      <w:r>
        <w:rPr>
          <w:i/>
          <w:sz w:val="18"/>
        </w:rPr>
        <w:t>op.cit</w:t>
      </w:r>
      <w:r>
        <w:rPr>
          <w:sz w:val="18"/>
        </w:rPr>
        <w:t>.; Public.Resource.Org și Right to Know/Comisia, T</w:t>
      </w:r>
      <w:r w:rsidR="004A257B">
        <w:rPr>
          <w:sz w:val="18"/>
        </w:rPr>
        <w:t>­</w:t>
      </w:r>
      <w:r>
        <w:rPr>
          <w:sz w:val="18"/>
        </w:rPr>
        <w:t xml:space="preserve">580/24, </w:t>
      </w:r>
      <w:r>
        <w:rPr>
          <w:i/>
          <w:sz w:val="18"/>
        </w:rPr>
        <w:t>op.cit</w:t>
      </w:r>
      <w:r>
        <w:rPr>
          <w:sz w:val="18"/>
        </w:rPr>
        <w:t>.</w:t>
      </w:r>
    </w:p>
  </w:footnote>
  <w:footnote w:id="30">
    <w:p w14:paraId="370E0C26" w14:textId="5781F1BD" w:rsidR="002163C2" w:rsidRPr="0041312C" w:rsidRDefault="002163C2" w:rsidP="004F2FDA">
      <w:pPr>
        <w:pStyle w:val="FootnoteText"/>
        <w:ind w:left="284" w:hanging="284"/>
        <w:rPr>
          <w:sz w:val="18"/>
          <w:szCs w:val="18"/>
        </w:rPr>
      </w:pPr>
      <w:r>
        <w:rPr>
          <w:rStyle w:val="FootnoteReference"/>
          <w:sz w:val="18"/>
          <w:szCs w:val="18"/>
          <w:lang w:val="en-IE"/>
        </w:rPr>
        <w:footnoteRef/>
      </w:r>
      <w:r>
        <w:tab/>
      </w:r>
      <w:r>
        <w:rPr>
          <w:sz w:val="18"/>
        </w:rPr>
        <w:t xml:space="preserve">Ordonanța pronunțată în cauza </w:t>
      </w:r>
      <w:r>
        <w:t>APEDA și O'Connor/Comisia</w:t>
      </w:r>
      <w:r>
        <w:rPr>
          <w:sz w:val="18"/>
        </w:rPr>
        <w:t xml:space="preserve">, T-70/25, </w:t>
      </w:r>
      <w:r>
        <w:rPr>
          <w:i/>
          <w:sz w:val="18"/>
        </w:rPr>
        <w:t>op.cit</w:t>
      </w:r>
      <w:r>
        <w:rPr>
          <w:sz w:val="18"/>
        </w:rPr>
        <w:t>.</w:t>
      </w:r>
    </w:p>
  </w:footnote>
  <w:footnote w:id="31">
    <w:p w14:paraId="3BB2B5C8" w14:textId="0BF16E40" w:rsidR="002163C2" w:rsidRPr="0041312C" w:rsidRDefault="002163C2" w:rsidP="004F2FDA">
      <w:pPr>
        <w:pStyle w:val="FootnoteText"/>
        <w:ind w:left="284" w:hanging="284"/>
        <w:rPr>
          <w:sz w:val="18"/>
          <w:szCs w:val="18"/>
        </w:rPr>
      </w:pPr>
      <w:r>
        <w:rPr>
          <w:rStyle w:val="FootnoteReference"/>
          <w:sz w:val="18"/>
          <w:szCs w:val="18"/>
          <w:lang w:val="en-IE"/>
        </w:rPr>
        <w:footnoteRef/>
      </w:r>
      <w:r>
        <w:tab/>
      </w:r>
      <w:r>
        <w:rPr>
          <w:sz w:val="18"/>
        </w:rPr>
        <w:t>Ordonanța pronunțată în cauza</w:t>
      </w:r>
      <w:r>
        <w:t xml:space="preserve"> Onescu/OLAF</w:t>
      </w:r>
      <w:r>
        <w:rPr>
          <w:sz w:val="18"/>
        </w:rPr>
        <w:t xml:space="preserve">, T-299/25 R, </w:t>
      </w:r>
      <w:r>
        <w:rPr>
          <w:i/>
          <w:sz w:val="18"/>
        </w:rPr>
        <w:t>op.cit</w:t>
      </w:r>
      <w:r>
        <w:rPr>
          <w:sz w:val="18"/>
        </w:rPr>
        <w:t>.</w:t>
      </w:r>
    </w:p>
  </w:footnote>
  <w:footnote w:id="32">
    <w:p w14:paraId="2E1628F5" w14:textId="3877B992" w:rsidR="002163C2" w:rsidRPr="0041312C" w:rsidRDefault="002163C2" w:rsidP="004F2FDA">
      <w:pPr>
        <w:pStyle w:val="FootnoteText"/>
        <w:ind w:left="284" w:hanging="284"/>
        <w:rPr>
          <w:sz w:val="18"/>
          <w:szCs w:val="18"/>
        </w:rPr>
      </w:pPr>
      <w:r>
        <w:rPr>
          <w:rStyle w:val="FootnoteReference"/>
          <w:sz w:val="18"/>
          <w:szCs w:val="18"/>
          <w:lang w:val="en-IE"/>
        </w:rPr>
        <w:footnoteRef/>
      </w:r>
      <w:r>
        <w:tab/>
      </w:r>
      <w:r>
        <w:rPr>
          <w:sz w:val="18"/>
        </w:rPr>
        <w:t xml:space="preserve">Ordonanța pronunțată în cauza </w:t>
      </w:r>
      <w:r>
        <w:t>Molitorisová/Comisia</w:t>
      </w:r>
      <w:r>
        <w:rPr>
          <w:sz w:val="18"/>
        </w:rPr>
        <w:t xml:space="preserve">, T-353/24, </w:t>
      </w:r>
      <w:r>
        <w:rPr>
          <w:i/>
          <w:sz w:val="18"/>
        </w:rPr>
        <w:t>op.cit</w:t>
      </w:r>
      <w:r>
        <w:rPr>
          <w:sz w:val="18"/>
        </w:rPr>
        <w:t>.</w:t>
      </w:r>
    </w:p>
  </w:footnote>
  <w:footnote w:id="33">
    <w:p w14:paraId="3914984F" w14:textId="5FCC5319" w:rsidR="002163C2" w:rsidRPr="0041312C" w:rsidRDefault="002163C2" w:rsidP="004F2FDA">
      <w:pPr>
        <w:pStyle w:val="FootnoteText"/>
        <w:ind w:left="284" w:hanging="284"/>
        <w:rPr>
          <w:sz w:val="18"/>
          <w:szCs w:val="18"/>
        </w:rPr>
      </w:pPr>
      <w:r>
        <w:rPr>
          <w:rStyle w:val="FootnoteReference"/>
          <w:sz w:val="18"/>
          <w:szCs w:val="18"/>
          <w:lang w:val="en-IE"/>
        </w:rPr>
        <w:footnoteRef/>
      </w:r>
      <w:r>
        <w:tab/>
      </w:r>
      <w:r>
        <w:rPr>
          <w:sz w:val="18"/>
        </w:rPr>
        <w:t xml:space="preserve">Ordonanța pronunțată în cauza </w:t>
      </w:r>
      <w:r>
        <w:t>APEDA și O'Connor/Comisia</w:t>
      </w:r>
      <w:r>
        <w:rPr>
          <w:sz w:val="18"/>
        </w:rPr>
        <w:t xml:space="preserve">, T-458/24, </w:t>
      </w:r>
      <w:r>
        <w:rPr>
          <w:i/>
          <w:sz w:val="18"/>
        </w:rPr>
        <w:t>op.cit</w:t>
      </w:r>
      <w:r>
        <w:rPr>
          <w:sz w:val="18"/>
        </w:rPr>
        <w:t>.</w:t>
      </w:r>
    </w:p>
  </w:footnote>
  <w:footnote w:id="34">
    <w:p w14:paraId="082910E5" w14:textId="65F14198" w:rsidR="00C81CC6" w:rsidRPr="0041312C" w:rsidRDefault="00C81CC6" w:rsidP="004F2FDA">
      <w:pPr>
        <w:pStyle w:val="FootnoteText"/>
        <w:ind w:left="284" w:hanging="284"/>
        <w:rPr>
          <w:iCs/>
          <w:sz w:val="18"/>
          <w:szCs w:val="18"/>
        </w:rPr>
      </w:pPr>
      <w:r>
        <w:rPr>
          <w:rStyle w:val="FootnoteReference"/>
          <w:sz w:val="18"/>
          <w:szCs w:val="18"/>
          <w:lang w:val="en-IE"/>
        </w:rPr>
        <w:footnoteRef/>
      </w:r>
      <w:r>
        <w:tab/>
      </w:r>
      <w:r>
        <w:rPr>
          <w:sz w:val="18"/>
        </w:rPr>
        <w:t xml:space="preserve">Hotărârea pronunțată în cauza </w:t>
      </w:r>
      <w:r>
        <w:t>Smart Kid/Comisia</w:t>
      </w:r>
      <w:r>
        <w:rPr>
          <w:sz w:val="18"/>
        </w:rPr>
        <w:t xml:space="preserve">, T-337/24, </w:t>
      </w:r>
      <w:r>
        <w:rPr>
          <w:i/>
          <w:sz w:val="18"/>
        </w:rPr>
        <w:t>op.cit</w:t>
      </w:r>
      <w:r>
        <w:rPr>
          <w:sz w:val="18"/>
        </w:rPr>
        <w:t>., punctele 40-42, 49-54 și 61-67</w:t>
      </w:r>
      <w:r>
        <w:rPr>
          <w:i/>
          <w:sz w:val="18"/>
        </w:rPr>
        <w:t>.</w:t>
      </w:r>
    </w:p>
  </w:footnote>
  <w:footnote w:id="35">
    <w:p w14:paraId="216458D3" w14:textId="67721591" w:rsidR="00C81CC6" w:rsidRPr="0041312C" w:rsidRDefault="00C81CC6" w:rsidP="004F2FDA">
      <w:pPr>
        <w:pStyle w:val="FootnoteText"/>
        <w:ind w:left="284" w:hanging="284"/>
        <w:rPr>
          <w:iCs/>
          <w:sz w:val="18"/>
          <w:szCs w:val="18"/>
        </w:rPr>
      </w:pPr>
      <w:r>
        <w:rPr>
          <w:rStyle w:val="FootnoteReference"/>
          <w:sz w:val="18"/>
          <w:szCs w:val="18"/>
          <w:lang w:val="en-IE"/>
        </w:rPr>
        <w:footnoteRef/>
      </w:r>
      <w:r>
        <w:tab/>
      </w:r>
      <w:r>
        <w:rPr>
          <w:sz w:val="18"/>
        </w:rPr>
        <w:t xml:space="preserve">Hotărârile pronunțate în cauzele Smart Kid/Comisia, T-227/24, </w:t>
      </w:r>
      <w:r>
        <w:rPr>
          <w:i/>
          <w:sz w:val="18"/>
        </w:rPr>
        <w:t>op.cit</w:t>
      </w:r>
      <w:r>
        <w:rPr>
          <w:sz w:val="18"/>
        </w:rPr>
        <w:t xml:space="preserve">., punctele 38-39, 46, 56-60, 64-66, 72-79 și 80-88 și eClear/Comisia, T-127/23, </w:t>
      </w:r>
      <w:r>
        <w:rPr>
          <w:i/>
          <w:sz w:val="18"/>
        </w:rPr>
        <w:t>op.cit</w:t>
      </w:r>
      <w:r>
        <w:rPr>
          <w:sz w:val="18"/>
        </w:rPr>
        <w:t>., punctele 86-92.</w:t>
      </w:r>
    </w:p>
  </w:footnote>
  <w:footnote w:id="36">
    <w:p w14:paraId="086B285D" w14:textId="39C6AC11" w:rsidR="00C81CC6" w:rsidRPr="00324B5E" w:rsidRDefault="00C81CC6" w:rsidP="004F2FDA">
      <w:pPr>
        <w:pStyle w:val="FootnoteText"/>
        <w:ind w:left="284" w:hanging="284"/>
        <w:rPr>
          <w:iCs/>
          <w:sz w:val="18"/>
          <w:szCs w:val="18"/>
        </w:rPr>
      </w:pPr>
      <w:r>
        <w:rPr>
          <w:rStyle w:val="FootnoteReference"/>
          <w:sz w:val="18"/>
          <w:szCs w:val="18"/>
          <w:lang w:val="en-IE"/>
        </w:rPr>
        <w:footnoteRef/>
      </w:r>
      <w:r>
        <w:tab/>
      </w:r>
      <w:r>
        <w:rPr>
          <w:sz w:val="18"/>
        </w:rPr>
        <w:t>Hotărârea pronunțată în cauza</w:t>
      </w:r>
      <w:r>
        <w:t xml:space="preserve"> Zver/Comisia</w:t>
      </w:r>
      <w:r>
        <w:rPr>
          <w:sz w:val="18"/>
        </w:rPr>
        <w:t xml:space="preserve">, T-235/24, </w:t>
      </w:r>
      <w:r>
        <w:rPr>
          <w:i/>
          <w:sz w:val="18"/>
        </w:rPr>
        <w:t>op.cit</w:t>
      </w:r>
      <w:r>
        <w:rPr>
          <w:sz w:val="18"/>
        </w:rPr>
        <w:t>., punctele 96-98 și 103-107</w:t>
      </w:r>
      <w:r>
        <w:rPr>
          <w:i/>
          <w:sz w:val="18"/>
        </w:rPr>
        <w:t>.</w:t>
      </w:r>
    </w:p>
  </w:footnote>
  <w:footnote w:id="37">
    <w:p w14:paraId="05418D73" w14:textId="1894302D" w:rsidR="00F1333D" w:rsidRPr="00324B5E" w:rsidRDefault="00F1333D" w:rsidP="004F2FDA">
      <w:pPr>
        <w:pStyle w:val="FootnoteText"/>
        <w:ind w:left="284" w:hanging="284"/>
        <w:rPr>
          <w:iCs/>
          <w:sz w:val="18"/>
          <w:szCs w:val="18"/>
        </w:rPr>
      </w:pPr>
      <w:r>
        <w:rPr>
          <w:rStyle w:val="FootnoteReference"/>
          <w:sz w:val="18"/>
          <w:szCs w:val="18"/>
          <w:lang w:val="en-IE"/>
        </w:rPr>
        <w:footnoteRef/>
      </w:r>
      <w:r>
        <w:tab/>
      </w:r>
      <w:r>
        <w:rPr>
          <w:sz w:val="18"/>
        </w:rPr>
        <w:t xml:space="preserve">Hotărârea pronunțată în cauza </w:t>
      </w:r>
      <w:r>
        <w:t>eClear/Comisia</w:t>
      </w:r>
      <w:r>
        <w:rPr>
          <w:sz w:val="18"/>
        </w:rPr>
        <w:t xml:space="preserve">, T-127/23, </w:t>
      </w:r>
      <w:r>
        <w:rPr>
          <w:i/>
          <w:sz w:val="18"/>
        </w:rPr>
        <w:t>op.cit</w:t>
      </w:r>
      <w:r>
        <w:rPr>
          <w:sz w:val="18"/>
        </w:rPr>
        <w:t>., punctele 46-48, 76-77 și 101-102</w:t>
      </w:r>
      <w:r>
        <w:rPr>
          <w:i/>
          <w:sz w:val="18"/>
        </w:rPr>
        <w:t>.</w:t>
      </w:r>
    </w:p>
  </w:footnote>
  <w:footnote w:id="38">
    <w:p w14:paraId="21513CA5" w14:textId="5B2A8686" w:rsidR="00F1333D" w:rsidRPr="00324B5E" w:rsidRDefault="00F1333D" w:rsidP="004F2FDA">
      <w:pPr>
        <w:pStyle w:val="FootnoteText"/>
        <w:ind w:left="284" w:hanging="284"/>
        <w:rPr>
          <w:iCs/>
          <w:sz w:val="18"/>
          <w:szCs w:val="18"/>
        </w:rPr>
      </w:pPr>
      <w:r>
        <w:rPr>
          <w:rStyle w:val="FootnoteReference"/>
          <w:sz w:val="18"/>
          <w:szCs w:val="18"/>
          <w:lang w:val="en-IE"/>
        </w:rPr>
        <w:footnoteRef/>
      </w:r>
      <w:r>
        <w:tab/>
      </w:r>
      <w:r>
        <w:rPr>
          <w:sz w:val="18"/>
        </w:rPr>
        <w:t xml:space="preserve">Hotărârea pronunțată în cauza </w:t>
      </w:r>
      <w:r>
        <w:t>Stevi și The New York Times/Comisia</w:t>
      </w:r>
      <w:r>
        <w:rPr>
          <w:sz w:val="18"/>
        </w:rPr>
        <w:t xml:space="preserve">, T-36/23, </w:t>
      </w:r>
      <w:r>
        <w:rPr>
          <w:i/>
          <w:sz w:val="18"/>
        </w:rPr>
        <w:t>op.cit</w:t>
      </w:r>
      <w:r>
        <w:rPr>
          <w:sz w:val="18"/>
        </w:rPr>
        <w:t>., punctele 38-41, 45-48, 57-60, 67-68, 72-73, 79 și 81-85</w:t>
      </w:r>
      <w:r>
        <w:rPr>
          <w:i/>
          <w:sz w:val="18"/>
        </w:rPr>
        <w:t>.</w:t>
      </w:r>
    </w:p>
  </w:footnote>
  <w:footnote w:id="39">
    <w:p w14:paraId="2FE44E93" w14:textId="511D798D" w:rsidR="000E305A" w:rsidRPr="0041312C" w:rsidRDefault="000E305A" w:rsidP="004F2FDA">
      <w:pPr>
        <w:pStyle w:val="FootnoteText"/>
        <w:ind w:left="284" w:hanging="284"/>
        <w:rPr>
          <w:iCs/>
          <w:sz w:val="18"/>
          <w:szCs w:val="18"/>
        </w:rPr>
      </w:pPr>
      <w:r>
        <w:rPr>
          <w:rStyle w:val="FootnoteReference"/>
          <w:sz w:val="18"/>
          <w:szCs w:val="18"/>
          <w:lang w:val="en-IE"/>
        </w:rPr>
        <w:footnoteRef/>
      </w:r>
      <w:r>
        <w:tab/>
      </w:r>
      <w:r>
        <w:rPr>
          <w:sz w:val="18"/>
        </w:rPr>
        <w:t xml:space="preserve">Hotărârea pronunțată în cauza </w:t>
      </w:r>
      <w:r>
        <w:t>Smart Kid/Comisia</w:t>
      </w:r>
      <w:r>
        <w:rPr>
          <w:sz w:val="18"/>
        </w:rPr>
        <w:t xml:space="preserve">, T-337/24, </w:t>
      </w:r>
      <w:r>
        <w:rPr>
          <w:i/>
          <w:sz w:val="18"/>
        </w:rPr>
        <w:t>op.cit</w:t>
      </w:r>
      <w:r>
        <w:rPr>
          <w:sz w:val="18"/>
        </w:rPr>
        <w:t>., punctele 33-37</w:t>
      </w:r>
      <w:r>
        <w:rPr>
          <w:i/>
          <w:sz w:val="18"/>
        </w:rPr>
        <w:t>.</w:t>
      </w:r>
    </w:p>
  </w:footnote>
  <w:footnote w:id="40">
    <w:p w14:paraId="3C17255D" w14:textId="7ADE64C3" w:rsidR="00780D09" w:rsidRPr="0035691F" w:rsidRDefault="00780D09" w:rsidP="004F2FDA">
      <w:pPr>
        <w:pStyle w:val="FootnoteText"/>
        <w:ind w:left="284" w:hanging="284"/>
        <w:rPr>
          <w:sz w:val="18"/>
          <w:szCs w:val="18"/>
        </w:rPr>
      </w:pPr>
      <w:r>
        <w:rPr>
          <w:rStyle w:val="FootnoteReference"/>
          <w:sz w:val="18"/>
          <w:szCs w:val="18"/>
          <w:lang w:val="en-IE"/>
        </w:rPr>
        <w:footnoteRef/>
      </w:r>
      <w:r>
        <w:tab/>
      </w:r>
      <w:r>
        <w:rPr>
          <w:sz w:val="18"/>
        </w:rPr>
        <w:t xml:space="preserve">Cauzele Public.Resource.Org și Right to Know/Comisia, T-53/25; APEDA și O'Connor/Comisia, T-70/25, </w:t>
      </w:r>
      <w:r>
        <w:rPr>
          <w:i/>
          <w:sz w:val="18"/>
        </w:rPr>
        <w:t>op.cit</w:t>
      </w:r>
      <w:r>
        <w:rPr>
          <w:sz w:val="18"/>
        </w:rPr>
        <w:t xml:space="preserve">.; WS/Comisia, T-90/25; Rizza/Comisia, T-118/25, </w:t>
      </w:r>
      <w:r>
        <w:rPr>
          <w:i/>
          <w:sz w:val="18"/>
        </w:rPr>
        <w:t>op.cit</w:t>
      </w:r>
      <w:r>
        <w:rPr>
          <w:sz w:val="18"/>
        </w:rPr>
        <w:t>.; Nouwen/Comisia, T-132/25; De Capitani și alții/Comisia, T</w:t>
      </w:r>
      <w:r w:rsidR="004A257B">
        <w:rPr>
          <w:sz w:val="18"/>
        </w:rPr>
        <w:t>­</w:t>
      </w:r>
      <w:r>
        <w:rPr>
          <w:sz w:val="18"/>
        </w:rPr>
        <w:t xml:space="preserve">146/25; Rizza/Comisia, T-205/25; Galić/Comisia, T-276/25; Onescu/OLAF, T-299/25, </w:t>
      </w:r>
      <w:r>
        <w:rPr>
          <w:i/>
          <w:sz w:val="18"/>
        </w:rPr>
        <w:t>op.cit</w:t>
      </w:r>
      <w:r>
        <w:rPr>
          <w:sz w:val="18"/>
        </w:rPr>
        <w:t>.; Pakistan și Altius/Comisia, T-360/25; Wölken/Comisia, T-483/25; Access Info Europe/Comisia, T-507/25; Mowi Poland/Comisia, T-567/25; De Capitani/Comisia, T-621/25; ClientEarth/Comisia, T-641/25; Wölken/Comisia, T-662/25; ClientEarth/Comisia, T-738/25; Wölken/Comisia, T-784/25.</w:t>
      </w:r>
    </w:p>
  </w:footnote>
  <w:footnote w:id="41">
    <w:p w14:paraId="5F0130BB" w14:textId="6B3F3562" w:rsidR="00780D09" w:rsidRPr="00637BC3" w:rsidRDefault="00780D09" w:rsidP="004F2FDA">
      <w:pPr>
        <w:pStyle w:val="FootnoteText"/>
        <w:ind w:left="284" w:hanging="284"/>
        <w:rPr>
          <w:sz w:val="18"/>
          <w:szCs w:val="18"/>
        </w:rPr>
      </w:pPr>
      <w:r>
        <w:rPr>
          <w:rStyle w:val="FootnoteReference"/>
          <w:sz w:val="18"/>
          <w:szCs w:val="18"/>
          <w:lang w:val="en-IE"/>
        </w:rPr>
        <w:footnoteRef/>
      </w:r>
      <w:r>
        <w:tab/>
      </w:r>
      <w:r>
        <w:rPr>
          <w:sz w:val="18"/>
        </w:rPr>
        <w:t xml:space="preserve">Cauzele </w:t>
      </w:r>
      <w:r>
        <w:t>APEDA și O'Connor/Comisia</w:t>
      </w:r>
      <w:r>
        <w:rPr>
          <w:sz w:val="18"/>
        </w:rPr>
        <w:t xml:space="preserve">, T-70/25, </w:t>
      </w:r>
      <w:r>
        <w:rPr>
          <w:i/>
          <w:sz w:val="18"/>
        </w:rPr>
        <w:t>op.cit</w:t>
      </w:r>
      <w:r>
        <w:rPr>
          <w:sz w:val="18"/>
        </w:rPr>
        <w:t xml:space="preserve">.; Rizza/Comisia, T-118/25, </w:t>
      </w:r>
      <w:r>
        <w:rPr>
          <w:i/>
          <w:sz w:val="18"/>
        </w:rPr>
        <w:t>op.cit</w:t>
      </w:r>
      <w:r>
        <w:rPr>
          <w:sz w:val="18"/>
        </w:rPr>
        <w:t xml:space="preserve">.; Onescu/OLAF, T-299/25, </w:t>
      </w:r>
      <w:r>
        <w:rPr>
          <w:i/>
          <w:sz w:val="18"/>
        </w:rPr>
        <w:t>op.cit</w:t>
      </w:r>
      <w:r>
        <w:rPr>
          <w:sz w:val="18"/>
        </w:rPr>
        <w:t>.</w:t>
      </w:r>
    </w:p>
  </w:footnote>
  <w:footnote w:id="42">
    <w:p w14:paraId="4F1C60E3" w14:textId="7A071FCE" w:rsidR="009B2E80" w:rsidRPr="006E7CC6" w:rsidRDefault="009B2E80" w:rsidP="004F2FDA">
      <w:pPr>
        <w:pStyle w:val="FootnoteText"/>
        <w:ind w:left="284" w:hanging="284"/>
        <w:rPr>
          <w:sz w:val="18"/>
          <w:szCs w:val="18"/>
        </w:rPr>
      </w:pPr>
      <w:r>
        <w:rPr>
          <w:rStyle w:val="FootnoteReference"/>
          <w:sz w:val="18"/>
          <w:szCs w:val="18"/>
          <w:lang w:val="en-IE"/>
        </w:rPr>
        <w:footnoteRef/>
      </w:r>
      <w:r>
        <w:tab/>
      </w:r>
      <w:r>
        <w:rPr>
          <w:sz w:val="18"/>
        </w:rPr>
        <w:t xml:space="preserve">Cauza </w:t>
      </w:r>
      <w:r>
        <w:t>Molitorisová/Comisia</w:t>
      </w:r>
      <w:r>
        <w:rPr>
          <w:sz w:val="18"/>
        </w:rPr>
        <w:t>, C-396/25 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3CA5B" w14:textId="77777777" w:rsidR="00171830" w:rsidRPr="00171830" w:rsidRDefault="00171830" w:rsidP="0017183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B9827" w14:textId="77777777" w:rsidR="00171830" w:rsidRPr="00171830" w:rsidRDefault="00171830" w:rsidP="0017183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6177D" w14:textId="77777777" w:rsidR="00171830" w:rsidRPr="00171830" w:rsidRDefault="00171830" w:rsidP="0017183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EE115" w14:textId="77777777" w:rsidR="008B0271" w:rsidRDefault="008B027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85DB8" w14:textId="77777777" w:rsidR="008B0271" w:rsidRDefault="008B027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D2DBA" w14:textId="77777777" w:rsidR="008B0271" w:rsidRDefault="008B02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679B2"/>
    <w:multiLevelType w:val="hybridMultilevel"/>
    <w:tmpl w:val="CC3E0390"/>
    <w:lvl w:ilvl="0" w:tplc="819A67D0">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3339429C"/>
    <w:multiLevelType w:val="hybridMultilevel"/>
    <w:tmpl w:val="33163204"/>
    <w:lvl w:ilvl="0" w:tplc="819A67D0">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75C26F71"/>
    <w:multiLevelType w:val="multilevel"/>
    <w:tmpl w:val="DAFEFAF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
  </w:num>
  <w:num w:numId="2">
    <w:abstractNumId w:val="2"/>
    <w:lvlOverride w:ilvl="0">
      <w:lvl w:ilvl="0">
        <w:start w:val="1"/>
        <w:numFmt w:val="decimal"/>
        <w:lvlRestart w:val="0"/>
        <w:pStyle w:val="Heading1"/>
        <w:lvlText w:val="%1."/>
        <w:lvlJc w:val="left"/>
        <w:pPr>
          <w:tabs>
            <w:tab w:val="num" w:pos="850"/>
          </w:tabs>
          <w:ind w:left="850" w:hanging="850"/>
        </w:pPr>
        <w:rPr>
          <w:rFonts w:hint="default"/>
        </w:rPr>
      </w:lvl>
    </w:lvlOverride>
    <w:lvlOverride w:ilvl="1">
      <w:lvl w:ilvl="1">
        <w:start w:val="1"/>
        <w:numFmt w:val="decimal"/>
        <w:pStyle w:val="Heading2"/>
        <w:lvlText w:val="%1.%2."/>
        <w:lvlJc w:val="left"/>
        <w:pPr>
          <w:tabs>
            <w:tab w:val="num" w:pos="850"/>
          </w:tabs>
          <w:ind w:left="850" w:hanging="623"/>
        </w:pPr>
        <w:rPr>
          <w:rFonts w:hint="default"/>
          <w:b w:val="0"/>
          <w:color w:val="auto"/>
        </w:rPr>
      </w:lvl>
    </w:lvlOverride>
    <w:lvlOverride w:ilvl="2">
      <w:lvl w:ilvl="2">
        <w:start w:val="1"/>
        <w:numFmt w:val="decimal"/>
        <w:pStyle w:val="Heading3"/>
        <w:lvlText w:val="%1.%2.%3."/>
        <w:lvlJc w:val="left"/>
        <w:pPr>
          <w:tabs>
            <w:tab w:val="num" w:pos="850"/>
          </w:tabs>
          <w:ind w:left="850" w:hanging="850"/>
        </w:pPr>
        <w:rPr>
          <w:rFonts w:hint="default"/>
        </w:rPr>
      </w:lvl>
    </w:lvlOverride>
    <w:lvlOverride w:ilvl="3">
      <w:lvl w:ilvl="3">
        <w:start w:val="1"/>
        <w:numFmt w:val="decimal"/>
        <w:pStyle w:val="Heading4"/>
        <w:lvlText w:val="%1.%2.%3.%4."/>
        <w:lvlJc w:val="left"/>
        <w:pPr>
          <w:tabs>
            <w:tab w:val="num" w:pos="850"/>
          </w:tabs>
          <w:ind w:left="850" w:hanging="85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2406701-9EBD-4182-A44C-52D97FEE6859"/>
    <w:docVar w:name="LW_COVERPAGE_TYPE" w:val="1"/>
    <w:docVar w:name="LW_CROSSREFERENCE" w:val="&lt;UNUSED&gt;"/>
    <w:docVar w:name="LW_DocType" w:val="NORMAL"/>
    <w:docVar w:name="LW_EMISSION" w:val="11.6.2026"/>
    <w:docVar w:name="LW_EMISSION_ISODATE" w:val="2026-06-11"/>
    <w:docVar w:name="LW_EMISSION_LOCATION" w:val="BRX"/>
    <w:docVar w:name="LW_EMISSION_PREFIX" w:val="Bruxelles, "/>
    <w:docVar w:name="LW_EMISSION_SUFFIX" w:val=" "/>
    <w:docVar w:name="LW_ID_DOCTYPE_NONLW" w:val="CP-003"/>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7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u privire la aplicarea în 2025 a Regulamentului (CE) nr. 1049/2001 privind accesul public la documentele Parlamentului European, ale Consiliului \u537?i ale Comisiei"/>
    <w:docVar w:name="LW_TYPE.DOC.CP" w:val="RAPORT AL COMISIEI"/>
    <w:docVar w:name="LwApiVersions" w:val="LW4CoDe 1.24.5.0; LW 9.2, Build 20251112"/>
  </w:docVars>
  <w:rsids>
    <w:rsidRoot w:val="00B9074F"/>
    <w:rsid w:val="00002FEC"/>
    <w:rsid w:val="00004AAB"/>
    <w:rsid w:val="00011693"/>
    <w:rsid w:val="00011E1A"/>
    <w:rsid w:val="00017D9C"/>
    <w:rsid w:val="000215A2"/>
    <w:rsid w:val="00021885"/>
    <w:rsid w:val="00021922"/>
    <w:rsid w:val="00026824"/>
    <w:rsid w:val="0003769D"/>
    <w:rsid w:val="00040E12"/>
    <w:rsid w:val="00042707"/>
    <w:rsid w:val="00045106"/>
    <w:rsid w:val="000508A9"/>
    <w:rsid w:val="00056053"/>
    <w:rsid w:val="00056831"/>
    <w:rsid w:val="0005774F"/>
    <w:rsid w:val="00063527"/>
    <w:rsid w:val="00064C56"/>
    <w:rsid w:val="00065832"/>
    <w:rsid w:val="0006611F"/>
    <w:rsid w:val="000830EA"/>
    <w:rsid w:val="00083819"/>
    <w:rsid w:val="00084E37"/>
    <w:rsid w:val="000872D4"/>
    <w:rsid w:val="00087727"/>
    <w:rsid w:val="00091E91"/>
    <w:rsid w:val="000937A8"/>
    <w:rsid w:val="0009420E"/>
    <w:rsid w:val="00096BCE"/>
    <w:rsid w:val="000A2274"/>
    <w:rsid w:val="000A44FE"/>
    <w:rsid w:val="000A51BC"/>
    <w:rsid w:val="000A54E0"/>
    <w:rsid w:val="000A7102"/>
    <w:rsid w:val="000B0D67"/>
    <w:rsid w:val="000B20B8"/>
    <w:rsid w:val="000B2601"/>
    <w:rsid w:val="000B3482"/>
    <w:rsid w:val="000B6111"/>
    <w:rsid w:val="000C503F"/>
    <w:rsid w:val="000C5B2A"/>
    <w:rsid w:val="000C7680"/>
    <w:rsid w:val="000D548D"/>
    <w:rsid w:val="000D7F0F"/>
    <w:rsid w:val="000E05B6"/>
    <w:rsid w:val="000E1A0F"/>
    <w:rsid w:val="000E2841"/>
    <w:rsid w:val="000E305A"/>
    <w:rsid w:val="000E3696"/>
    <w:rsid w:val="000E5C44"/>
    <w:rsid w:val="000E7B5B"/>
    <w:rsid w:val="000F03A4"/>
    <w:rsid w:val="001046F8"/>
    <w:rsid w:val="001059C7"/>
    <w:rsid w:val="00106938"/>
    <w:rsid w:val="00107AE2"/>
    <w:rsid w:val="001173D9"/>
    <w:rsid w:val="001175A4"/>
    <w:rsid w:val="00123AE3"/>
    <w:rsid w:val="00127596"/>
    <w:rsid w:val="001300B2"/>
    <w:rsid w:val="0013572C"/>
    <w:rsid w:val="00137F92"/>
    <w:rsid w:val="00140EE0"/>
    <w:rsid w:val="00142CBD"/>
    <w:rsid w:val="00151933"/>
    <w:rsid w:val="0015478D"/>
    <w:rsid w:val="00154805"/>
    <w:rsid w:val="0015678E"/>
    <w:rsid w:val="00157984"/>
    <w:rsid w:val="00157A96"/>
    <w:rsid w:val="00161CCA"/>
    <w:rsid w:val="00162A37"/>
    <w:rsid w:val="00166632"/>
    <w:rsid w:val="00167523"/>
    <w:rsid w:val="00171830"/>
    <w:rsid w:val="00171DB6"/>
    <w:rsid w:val="00173567"/>
    <w:rsid w:val="00175379"/>
    <w:rsid w:val="00176481"/>
    <w:rsid w:val="00182688"/>
    <w:rsid w:val="00182777"/>
    <w:rsid w:val="0018307F"/>
    <w:rsid w:val="00184461"/>
    <w:rsid w:val="00186E09"/>
    <w:rsid w:val="001919A6"/>
    <w:rsid w:val="00195E0E"/>
    <w:rsid w:val="001A112D"/>
    <w:rsid w:val="001A6595"/>
    <w:rsid w:val="001B0CE0"/>
    <w:rsid w:val="001B1DF5"/>
    <w:rsid w:val="001B20D5"/>
    <w:rsid w:val="001B3B01"/>
    <w:rsid w:val="001B59F8"/>
    <w:rsid w:val="001C2572"/>
    <w:rsid w:val="001C4163"/>
    <w:rsid w:val="001C4323"/>
    <w:rsid w:val="001C654F"/>
    <w:rsid w:val="001C67B6"/>
    <w:rsid w:val="001C7A10"/>
    <w:rsid w:val="001D61D1"/>
    <w:rsid w:val="001E0FAD"/>
    <w:rsid w:val="001E5EFE"/>
    <w:rsid w:val="001F211B"/>
    <w:rsid w:val="001F5C11"/>
    <w:rsid w:val="001F630D"/>
    <w:rsid w:val="001F681A"/>
    <w:rsid w:val="001F71EA"/>
    <w:rsid w:val="001F775E"/>
    <w:rsid w:val="00201164"/>
    <w:rsid w:val="00201C72"/>
    <w:rsid w:val="00207D61"/>
    <w:rsid w:val="00211720"/>
    <w:rsid w:val="00214C23"/>
    <w:rsid w:val="002163C2"/>
    <w:rsid w:val="00216945"/>
    <w:rsid w:val="002202DA"/>
    <w:rsid w:val="00220388"/>
    <w:rsid w:val="0022281F"/>
    <w:rsid w:val="00226438"/>
    <w:rsid w:val="0022784F"/>
    <w:rsid w:val="00227E94"/>
    <w:rsid w:val="00231F3D"/>
    <w:rsid w:val="00232F96"/>
    <w:rsid w:val="00235EA7"/>
    <w:rsid w:val="00236422"/>
    <w:rsid w:val="0024241F"/>
    <w:rsid w:val="00244C29"/>
    <w:rsid w:val="0025329E"/>
    <w:rsid w:val="00254044"/>
    <w:rsid w:val="00254DC1"/>
    <w:rsid w:val="00262104"/>
    <w:rsid w:val="00266053"/>
    <w:rsid w:val="00270012"/>
    <w:rsid w:val="002701B7"/>
    <w:rsid w:val="002723F6"/>
    <w:rsid w:val="00280C1C"/>
    <w:rsid w:val="00283498"/>
    <w:rsid w:val="00286791"/>
    <w:rsid w:val="0028725F"/>
    <w:rsid w:val="00293388"/>
    <w:rsid w:val="00295AB6"/>
    <w:rsid w:val="00296C56"/>
    <w:rsid w:val="002A0005"/>
    <w:rsid w:val="002A061A"/>
    <w:rsid w:val="002A4FC6"/>
    <w:rsid w:val="002B39A5"/>
    <w:rsid w:val="002B60A5"/>
    <w:rsid w:val="002C1BCB"/>
    <w:rsid w:val="002C20C6"/>
    <w:rsid w:val="002C5C35"/>
    <w:rsid w:val="002D4CD9"/>
    <w:rsid w:val="002D5AD8"/>
    <w:rsid w:val="002D748E"/>
    <w:rsid w:val="002E0900"/>
    <w:rsid w:val="002F0A8B"/>
    <w:rsid w:val="002F49CE"/>
    <w:rsid w:val="002F65D7"/>
    <w:rsid w:val="002F78B9"/>
    <w:rsid w:val="00302ADB"/>
    <w:rsid w:val="00303027"/>
    <w:rsid w:val="00303559"/>
    <w:rsid w:val="003049A9"/>
    <w:rsid w:val="00306AAB"/>
    <w:rsid w:val="0031689E"/>
    <w:rsid w:val="00316CBC"/>
    <w:rsid w:val="00317EF9"/>
    <w:rsid w:val="003224BE"/>
    <w:rsid w:val="00324B5E"/>
    <w:rsid w:val="003257AC"/>
    <w:rsid w:val="00327FCA"/>
    <w:rsid w:val="00330283"/>
    <w:rsid w:val="00332567"/>
    <w:rsid w:val="00336852"/>
    <w:rsid w:val="00340974"/>
    <w:rsid w:val="00345D7B"/>
    <w:rsid w:val="00350093"/>
    <w:rsid w:val="00350EC4"/>
    <w:rsid w:val="00352DDC"/>
    <w:rsid w:val="0035691F"/>
    <w:rsid w:val="00356FAB"/>
    <w:rsid w:val="0036758A"/>
    <w:rsid w:val="00370D29"/>
    <w:rsid w:val="00373E7F"/>
    <w:rsid w:val="00374C18"/>
    <w:rsid w:val="00376E46"/>
    <w:rsid w:val="0038342D"/>
    <w:rsid w:val="00385513"/>
    <w:rsid w:val="00387958"/>
    <w:rsid w:val="0039203C"/>
    <w:rsid w:val="00392DFD"/>
    <w:rsid w:val="00393733"/>
    <w:rsid w:val="00395B02"/>
    <w:rsid w:val="003A2545"/>
    <w:rsid w:val="003A3949"/>
    <w:rsid w:val="003A49B8"/>
    <w:rsid w:val="003A7CEC"/>
    <w:rsid w:val="003B5A9B"/>
    <w:rsid w:val="003B5BB4"/>
    <w:rsid w:val="003B5DD0"/>
    <w:rsid w:val="003B7D25"/>
    <w:rsid w:val="003C1AB6"/>
    <w:rsid w:val="003C4CA0"/>
    <w:rsid w:val="003D315B"/>
    <w:rsid w:val="003D5BBC"/>
    <w:rsid w:val="003E35DD"/>
    <w:rsid w:val="003E6FAC"/>
    <w:rsid w:val="003E7895"/>
    <w:rsid w:val="003F1431"/>
    <w:rsid w:val="003F16BA"/>
    <w:rsid w:val="003F62A3"/>
    <w:rsid w:val="004013D8"/>
    <w:rsid w:val="004015AE"/>
    <w:rsid w:val="00401976"/>
    <w:rsid w:val="00401FA2"/>
    <w:rsid w:val="00402EF7"/>
    <w:rsid w:val="00405B92"/>
    <w:rsid w:val="0041039E"/>
    <w:rsid w:val="0041312C"/>
    <w:rsid w:val="00414020"/>
    <w:rsid w:val="0041408C"/>
    <w:rsid w:val="00422515"/>
    <w:rsid w:val="004237FF"/>
    <w:rsid w:val="004260B3"/>
    <w:rsid w:val="004261FE"/>
    <w:rsid w:val="00430352"/>
    <w:rsid w:val="0043620A"/>
    <w:rsid w:val="00440636"/>
    <w:rsid w:val="00441D8E"/>
    <w:rsid w:val="00441ECA"/>
    <w:rsid w:val="00444C72"/>
    <w:rsid w:val="00447FC6"/>
    <w:rsid w:val="0045168C"/>
    <w:rsid w:val="0045327F"/>
    <w:rsid w:val="00455B32"/>
    <w:rsid w:val="00455BF8"/>
    <w:rsid w:val="004621E3"/>
    <w:rsid w:val="00462345"/>
    <w:rsid w:val="00462D84"/>
    <w:rsid w:val="004663BF"/>
    <w:rsid w:val="00484E8A"/>
    <w:rsid w:val="00487BF7"/>
    <w:rsid w:val="00491DA6"/>
    <w:rsid w:val="004A12F7"/>
    <w:rsid w:val="004A257B"/>
    <w:rsid w:val="004A532F"/>
    <w:rsid w:val="004A601D"/>
    <w:rsid w:val="004B75CA"/>
    <w:rsid w:val="004C1792"/>
    <w:rsid w:val="004C3F67"/>
    <w:rsid w:val="004C7874"/>
    <w:rsid w:val="004D615B"/>
    <w:rsid w:val="004E0C1E"/>
    <w:rsid w:val="004E23C5"/>
    <w:rsid w:val="004E512F"/>
    <w:rsid w:val="004F19A0"/>
    <w:rsid w:val="004F2FDA"/>
    <w:rsid w:val="004F3934"/>
    <w:rsid w:val="004F532F"/>
    <w:rsid w:val="004F561C"/>
    <w:rsid w:val="004F65C5"/>
    <w:rsid w:val="005003CB"/>
    <w:rsid w:val="00503D35"/>
    <w:rsid w:val="005129DE"/>
    <w:rsid w:val="005136D7"/>
    <w:rsid w:val="0051494B"/>
    <w:rsid w:val="0051655E"/>
    <w:rsid w:val="00520B09"/>
    <w:rsid w:val="0052200A"/>
    <w:rsid w:val="00525991"/>
    <w:rsid w:val="0052699D"/>
    <w:rsid w:val="005300CF"/>
    <w:rsid w:val="00535349"/>
    <w:rsid w:val="0053790D"/>
    <w:rsid w:val="005409C0"/>
    <w:rsid w:val="005434B6"/>
    <w:rsid w:val="0054559D"/>
    <w:rsid w:val="005500BC"/>
    <w:rsid w:val="00553A0A"/>
    <w:rsid w:val="00553C96"/>
    <w:rsid w:val="00560494"/>
    <w:rsid w:val="00572C92"/>
    <w:rsid w:val="00580FDD"/>
    <w:rsid w:val="005838EC"/>
    <w:rsid w:val="0059128F"/>
    <w:rsid w:val="005912C5"/>
    <w:rsid w:val="00591EAB"/>
    <w:rsid w:val="00592C57"/>
    <w:rsid w:val="00593A63"/>
    <w:rsid w:val="00594326"/>
    <w:rsid w:val="005A4686"/>
    <w:rsid w:val="005A4D3E"/>
    <w:rsid w:val="005A4F96"/>
    <w:rsid w:val="005A5478"/>
    <w:rsid w:val="005A586A"/>
    <w:rsid w:val="005B58E5"/>
    <w:rsid w:val="005B74DC"/>
    <w:rsid w:val="005C1977"/>
    <w:rsid w:val="005D0F15"/>
    <w:rsid w:val="005D2FA0"/>
    <w:rsid w:val="005D6658"/>
    <w:rsid w:val="005E2753"/>
    <w:rsid w:val="005E35BF"/>
    <w:rsid w:val="005E767C"/>
    <w:rsid w:val="005F0214"/>
    <w:rsid w:val="005F445C"/>
    <w:rsid w:val="00602B64"/>
    <w:rsid w:val="006049D3"/>
    <w:rsid w:val="00605E23"/>
    <w:rsid w:val="00606BF1"/>
    <w:rsid w:val="00610819"/>
    <w:rsid w:val="006145B5"/>
    <w:rsid w:val="006156DA"/>
    <w:rsid w:val="006161D3"/>
    <w:rsid w:val="006176E4"/>
    <w:rsid w:val="00623C70"/>
    <w:rsid w:val="00626934"/>
    <w:rsid w:val="00627A63"/>
    <w:rsid w:val="00627BC0"/>
    <w:rsid w:val="006313F9"/>
    <w:rsid w:val="006363EB"/>
    <w:rsid w:val="00636E0B"/>
    <w:rsid w:val="00637BC3"/>
    <w:rsid w:val="00643B8B"/>
    <w:rsid w:val="006456F2"/>
    <w:rsid w:val="0065196C"/>
    <w:rsid w:val="00651B11"/>
    <w:rsid w:val="006548B0"/>
    <w:rsid w:val="006561AD"/>
    <w:rsid w:val="00661FC2"/>
    <w:rsid w:val="006664DA"/>
    <w:rsid w:val="006743FF"/>
    <w:rsid w:val="00675A68"/>
    <w:rsid w:val="006761C5"/>
    <w:rsid w:val="00690566"/>
    <w:rsid w:val="00690E04"/>
    <w:rsid w:val="006977C8"/>
    <w:rsid w:val="00697B0A"/>
    <w:rsid w:val="006A16C1"/>
    <w:rsid w:val="006A539B"/>
    <w:rsid w:val="006A5B39"/>
    <w:rsid w:val="006A6810"/>
    <w:rsid w:val="006A7758"/>
    <w:rsid w:val="006B00D1"/>
    <w:rsid w:val="006B0D04"/>
    <w:rsid w:val="006B2FCD"/>
    <w:rsid w:val="006B56F2"/>
    <w:rsid w:val="006C1D6D"/>
    <w:rsid w:val="006C7514"/>
    <w:rsid w:val="006D46CC"/>
    <w:rsid w:val="006E17BC"/>
    <w:rsid w:val="006E6835"/>
    <w:rsid w:val="006E7CC6"/>
    <w:rsid w:val="006F25AC"/>
    <w:rsid w:val="006F44C8"/>
    <w:rsid w:val="006F4621"/>
    <w:rsid w:val="006F4DDF"/>
    <w:rsid w:val="006F56D2"/>
    <w:rsid w:val="00700D54"/>
    <w:rsid w:val="007025E7"/>
    <w:rsid w:val="00703297"/>
    <w:rsid w:val="00703F6A"/>
    <w:rsid w:val="007052C7"/>
    <w:rsid w:val="00707368"/>
    <w:rsid w:val="00713AE1"/>
    <w:rsid w:val="0072346F"/>
    <w:rsid w:val="00724DF7"/>
    <w:rsid w:val="00727AD9"/>
    <w:rsid w:val="00730357"/>
    <w:rsid w:val="00731B64"/>
    <w:rsid w:val="00734602"/>
    <w:rsid w:val="007350D6"/>
    <w:rsid w:val="0073682B"/>
    <w:rsid w:val="00737571"/>
    <w:rsid w:val="007414F1"/>
    <w:rsid w:val="00742A2A"/>
    <w:rsid w:val="00744A7F"/>
    <w:rsid w:val="00745A6D"/>
    <w:rsid w:val="00746C2C"/>
    <w:rsid w:val="00747D85"/>
    <w:rsid w:val="00750A05"/>
    <w:rsid w:val="007541A8"/>
    <w:rsid w:val="00754FC3"/>
    <w:rsid w:val="00755EB1"/>
    <w:rsid w:val="007560DF"/>
    <w:rsid w:val="00761FA9"/>
    <w:rsid w:val="0076370F"/>
    <w:rsid w:val="007670A6"/>
    <w:rsid w:val="007710A7"/>
    <w:rsid w:val="0077225B"/>
    <w:rsid w:val="00775621"/>
    <w:rsid w:val="00777179"/>
    <w:rsid w:val="00777FF5"/>
    <w:rsid w:val="00780D09"/>
    <w:rsid w:val="0078170E"/>
    <w:rsid w:val="00783BCA"/>
    <w:rsid w:val="00785125"/>
    <w:rsid w:val="0078789F"/>
    <w:rsid w:val="00792FF4"/>
    <w:rsid w:val="007938AE"/>
    <w:rsid w:val="00794399"/>
    <w:rsid w:val="00796F2E"/>
    <w:rsid w:val="007A00E7"/>
    <w:rsid w:val="007A1C9B"/>
    <w:rsid w:val="007A222C"/>
    <w:rsid w:val="007A622F"/>
    <w:rsid w:val="007A6CC1"/>
    <w:rsid w:val="007B4F25"/>
    <w:rsid w:val="007B7B28"/>
    <w:rsid w:val="007B7B92"/>
    <w:rsid w:val="007C3238"/>
    <w:rsid w:val="007D078B"/>
    <w:rsid w:val="007D32EF"/>
    <w:rsid w:val="007D36D3"/>
    <w:rsid w:val="007D60B6"/>
    <w:rsid w:val="007D66D7"/>
    <w:rsid w:val="007E425E"/>
    <w:rsid w:val="007F13C3"/>
    <w:rsid w:val="007F1D75"/>
    <w:rsid w:val="007F348C"/>
    <w:rsid w:val="007F42D2"/>
    <w:rsid w:val="007F5868"/>
    <w:rsid w:val="0080054E"/>
    <w:rsid w:val="00804A3E"/>
    <w:rsid w:val="00810310"/>
    <w:rsid w:val="00816CCB"/>
    <w:rsid w:val="00816DF4"/>
    <w:rsid w:val="00817E29"/>
    <w:rsid w:val="0082144C"/>
    <w:rsid w:val="00823153"/>
    <w:rsid w:val="00826446"/>
    <w:rsid w:val="00836450"/>
    <w:rsid w:val="00852F30"/>
    <w:rsid w:val="00856EA6"/>
    <w:rsid w:val="00857E34"/>
    <w:rsid w:val="00861373"/>
    <w:rsid w:val="0086142B"/>
    <w:rsid w:val="008627DC"/>
    <w:rsid w:val="008645FF"/>
    <w:rsid w:val="0087030B"/>
    <w:rsid w:val="008711AC"/>
    <w:rsid w:val="008773D8"/>
    <w:rsid w:val="008860E4"/>
    <w:rsid w:val="00887011"/>
    <w:rsid w:val="00893112"/>
    <w:rsid w:val="00896231"/>
    <w:rsid w:val="00896EC3"/>
    <w:rsid w:val="00897A53"/>
    <w:rsid w:val="008A2CB7"/>
    <w:rsid w:val="008A5A3E"/>
    <w:rsid w:val="008A6A35"/>
    <w:rsid w:val="008B0271"/>
    <w:rsid w:val="008B429D"/>
    <w:rsid w:val="008B4402"/>
    <w:rsid w:val="008B63E9"/>
    <w:rsid w:val="008D0DBC"/>
    <w:rsid w:val="008D1A24"/>
    <w:rsid w:val="008D60F1"/>
    <w:rsid w:val="008D6599"/>
    <w:rsid w:val="008E4BB5"/>
    <w:rsid w:val="00900D40"/>
    <w:rsid w:val="00901B23"/>
    <w:rsid w:val="00903996"/>
    <w:rsid w:val="0090420F"/>
    <w:rsid w:val="00905E8A"/>
    <w:rsid w:val="00907C27"/>
    <w:rsid w:val="009105A6"/>
    <w:rsid w:val="00912EF8"/>
    <w:rsid w:val="00916A34"/>
    <w:rsid w:val="0092184E"/>
    <w:rsid w:val="00921EEE"/>
    <w:rsid w:val="009226AE"/>
    <w:rsid w:val="0092367B"/>
    <w:rsid w:val="009261A2"/>
    <w:rsid w:val="00926ACA"/>
    <w:rsid w:val="00931055"/>
    <w:rsid w:val="00936DA4"/>
    <w:rsid w:val="00937B37"/>
    <w:rsid w:val="00940144"/>
    <w:rsid w:val="00943EA4"/>
    <w:rsid w:val="00944E39"/>
    <w:rsid w:val="00952101"/>
    <w:rsid w:val="009543DF"/>
    <w:rsid w:val="009602BC"/>
    <w:rsid w:val="0096030C"/>
    <w:rsid w:val="00967270"/>
    <w:rsid w:val="00970FEC"/>
    <w:rsid w:val="0097416D"/>
    <w:rsid w:val="00977980"/>
    <w:rsid w:val="00980DC2"/>
    <w:rsid w:val="00983054"/>
    <w:rsid w:val="00983A12"/>
    <w:rsid w:val="00983C66"/>
    <w:rsid w:val="00984143"/>
    <w:rsid w:val="00984485"/>
    <w:rsid w:val="009912B3"/>
    <w:rsid w:val="00996CEA"/>
    <w:rsid w:val="009A2C17"/>
    <w:rsid w:val="009B2E80"/>
    <w:rsid w:val="009B4FA4"/>
    <w:rsid w:val="009B4FB4"/>
    <w:rsid w:val="009B6DF6"/>
    <w:rsid w:val="009D0174"/>
    <w:rsid w:val="009D0660"/>
    <w:rsid w:val="009D08B0"/>
    <w:rsid w:val="009D4176"/>
    <w:rsid w:val="009D69DC"/>
    <w:rsid w:val="009F0B8F"/>
    <w:rsid w:val="009F5051"/>
    <w:rsid w:val="00A013B6"/>
    <w:rsid w:val="00A017DC"/>
    <w:rsid w:val="00A03B93"/>
    <w:rsid w:val="00A0553F"/>
    <w:rsid w:val="00A070E6"/>
    <w:rsid w:val="00A11B66"/>
    <w:rsid w:val="00A1246D"/>
    <w:rsid w:val="00A16B64"/>
    <w:rsid w:val="00A22ABD"/>
    <w:rsid w:val="00A22F4D"/>
    <w:rsid w:val="00A235F9"/>
    <w:rsid w:val="00A3481D"/>
    <w:rsid w:val="00A43C5B"/>
    <w:rsid w:val="00A44732"/>
    <w:rsid w:val="00A478CA"/>
    <w:rsid w:val="00A54D66"/>
    <w:rsid w:val="00A56BB7"/>
    <w:rsid w:val="00A608C3"/>
    <w:rsid w:val="00A61F8A"/>
    <w:rsid w:val="00A64C71"/>
    <w:rsid w:val="00A705E7"/>
    <w:rsid w:val="00A72E56"/>
    <w:rsid w:val="00A753E8"/>
    <w:rsid w:val="00A80D77"/>
    <w:rsid w:val="00A840F6"/>
    <w:rsid w:val="00A96E15"/>
    <w:rsid w:val="00AA15CE"/>
    <w:rsid w:val="00AA17B1"/>
    <w:rsid w:val="00AA34F8"/>
    <w:rsid w:val="00AA5E76"/>
    <w:rsid w:val="00AB0514"/>
    <w:rsid w:val="00AB4A02"/>
    <w:rsid w:val="00AB5FEE"/>
    <w:rsid w:val="00AB7BE4"/>
    <w:rsid w:val="00AC0100"/>
    <w:rsid w:val="00AC06FA"/>
    <w:rsid w:val="00AC1DE1"/>
    <w:rsid w:val="00AC44FD"/>
    <w:rsid w:val="00AC6878"/>
    <w:rsid w:val="00AD014A"/>
    <w:rsid w:val="00AD03B1"/>
    <w:rsid w:val="00AD1B60"/>
    <w:rsid w:val="00AD5779"/>
    <w:rsid w:val="00AD76A6"/>
    <w:rsid w:val="00AE5408"/>
    <w:rsid w:val="00AF242E"/>
    <w:rsid w:val="00AF2874"/>
    <w:rsid w:val="00AF3291"/>
    <w:rsid w:val="00AF5067"/>
    <w:rsid w:val="00AF582D"/>
    <w:rsid w:val="00AF7A4C"/>
    <w:rsid w:val="00B07EEC"/>
    <w:rsid w:val="00B12EA2"/>
    <w:rsid w:val="00B145BF"/>
    <w:rsid w:val="00B156E7"/>
    <w:rsid w:val="00B167C0"/>
    <w:rsid w:val="00B20F2E"/>
    <w:rsid w:val="00B2144B"/>
    <w:rsid w:val="00B23ED8"/>
    <w:rsid w:val="00B30E77"/>
    <w:rsid w:val="00B36593"/>
    <w:rsid w:val="00B40556"/>
    <w:rsid w:val="00B41886"/>
    <w:rsid w:val="00B52E6E"/>
    <w:rsid w:val="00B54BCB"/>
    <w:rsid w:val="00B60669"/>
    <w:rsid w:val="00B7024A"/>
    <w:rsid w:val="00B77364"/>
    <w:rsid w:val="00B82886"/>
    <w:rsid w:val="00B84BE6"/>
    <w:rsid w:val="00B85485"/>
    <w:rsid w:val="00B86DDA"/>
    <w:rsid w:val="00B9074F"/>
    <w:rsid w:val="00B91319"/>
    <w:rsid w:val="00B917E1"/>
    <w:rsid w:val="00B93935"/>
    <w:rsid w:val="00BA0D6E"/>
    <w:rsid w:val="00BA4D28"/>
    <w:rsid w:val="00BB0D71"/>
    <w:rsid w:val="00BB0F1F"/>
    <w:rsid w:val="00BB1807"/>
    <w:rsid w:val="00BB3A84"/>
    <w:rsid w:val="00BC433A"/>
    <w:rsid w:val="00BC6608"/>
    <w:rsid w:val="00BD1927"/>
    <w:rsid w:val="00BD2A03"/>
    <w:rsid w:val="00BD5701"/>
    <w:rsid w:val="00BD7B2B"/>
    <w:rsid w:val="00BE07C4"/>
    <w:rsid w:val="00BE11A1"/>
    <w:rsid w:val="00BE11BA"/>
    <w:rsid w:val="00BE2E98"/>
    <w:rsid w:val="00BE6490"/>
    <w:rsid w:val="00BF0DF3"/>
    <w:rsid w:val="00BF5208"/>
    <w:rsid w:val="00C048E7"/>
    <w:rsid w:val="00C05976"/>
    <w:rsid w:val="00C06445"/>
    <w:rsid w:val="00C140AF"/>
    <w:rsid w:val="00C20513"/>
    <w:rsid w:val="00C2306F"/>
    <w:rsid w:val="00C25E04"/>
    <w:rsid w:val="00C303FC"/>
    <w:rsid w:val="00C32A5D"/>
    <w:rsid w:val="00C332B2"/>
    <w:rsid w:val="00C3487C"/>
    <w:rsid w:val="00C371F8"/>
    <w:rsid w:val="00C37EB6"/>
    <w:rsid w:val="00C402B3"/>
    <w:rsid w:val="00C42906"/>
    <w:rsid w:val="00C43DBD"/>
    <w:rsid w:val="00C44C46"/>
    <w:rsid w:val="00C529DD"/>
    <w:rsid w:val="00C5606C"/>
    <w:rsid w:val="00C565D5"/>
    <w:rsid w:val="00C57178"/>
    <w:rsid w:val="00C57334"/>
    <w:rsid w:val="00C60E0B"/>
    <w:rsid w:val="00C61612"/>
    <w:rsid w:val="00C62C6E"/>
    <w:rsid w:val="00C64719"/>
    <w:rsid w:val="00C64F74"/>
    <w:rsid w:val="00C677AD"/>
    <w:rsid w:val="00C70546"/>
    <w:rsid w:val="00C727D2"/>
    <w:rsid w:val="00C739E5"/>
    <w:rsid w:val="00C75AA3"/>
    <w:rsid w:val="00C77626"/>
    <w:rsid w:val="00C81CC6"/>
    <w:rsid w:val="00C820D0"/>
    <w:rsid w:val="00C844EB"/>
    <w:rsid w:val="00C845B1"/>
    <w:rsid w:val="00C90595"/>
    <w:rsid w:val="00C91579"/>
    <w:rsid w:val="00C92B80"/>
    <w:rsid w:val="00C9557E"/>
    <w:rsid w:val="00C97EBA"/>
    <w:rsid w:val="00CA15E3"/>
    <w:rsid w:val="00CA2B33"/>
    <w:rsid w:val="00CC07BB"/>
    <w:rsid w:val="00CC7867"/>
    <w:rsid w:val="00CD0FA7"/>
    <w:rsid w:val="00CD2FF0"/>
    <w:rsid w:val="00CD68DB"/>
    <w:rsid w:val="00CD6F74"/>
    <w:rsid w:val="00CE22EA"/>
    <w:rsid w:val="00CE23C8"/>
    <w:rsid w:val="00CF2E55"/>
    <w:rsid w:val="00CF2E6E"/>
    <w:rsid w:val="00CF4928"/>
    <w:rsid w:val="00D00134"/>
    <w:rsid w:val="00D01304"/>
    <w:rsid w:val="00D078F5"/>
    <w:rsid w:val="00D44EF9"/>
    <w:rsid w:val="00D54E40"/>
    <w:rsid w:val="00D55B5B"/>
    <w:rsid w:val="00D5713B"/>
    <w:rsid w:val="00D57C3C"/>
    <w:rsid w:val="00D60D5B"/>
    <w:rsid w:val="00D61319"/>
    <w:rsid w:val="00D65007"/>
    <w:rsid w:val="00D65B63"/>
    <w:rsid w:val="00D72B09"/>
    <w:rsid w:val="00D74AD2"/>
    <w:rsid w:val="00D74D04"/>
    <w:rsid w:val="00D7627A"/>
    <w:rsid w:val="00D7684A"/>
    <w:rsid w:val="00D8252D"/>
    <w:rsid w:val="00D87E0C"/>
    <w:rsid w:val="00D935FD"/>
    <w:rsid w:val="00DB25F6"/>
    <w:rsid w:val="00DB26A6"/>
    <w:rsid w:val="00DB322F"/>
    <w:rsid w:val="00DB42AB"/>
    <w:rsid w:val="00DB5AB8"/>
    <w:rsid w:val="00DB7D87"/>
    <w:rsid w:val="00DC0BC7"/>
    <w:rsid w:val="00DC136E"/>
    <w:rsid w:val="00DC15AC"/>
    <w:rsid w:val="00DC1C0F"/>
    <w:rsid w:val="00DC4F5E"/>
    <w:rsid w:val="00DC6285"/>
    <w:rsid w:val="00DC77C9"/>
    <w:rsid w:val="00DD30FA"/>
    <w:rsid w:val="00DD7C39"/>
    <w:rsid w:val="00DE2DA3"/>
    <w:rsid w:val="00DF015C"/>
    <w:rsid w:val="00DF3F71"/>
    <w:rsid w:val="00DF45F0"/>
    <w:rsid w:val="00DF5788"/>
    <w:rsid w:val="00DF618B"/>
    <w:rsid w:val="00DF63F3"/>
    <w:rsid w:val="00E018E4"/>
    <w:rsid w:val="00E01F23"/>
    <w:rsid w:val="00E068B3"/>
    <w:rsid w:val="00E12D3B"/>
    <w:rsid w:val="00E14206"/>
    <w:rsid w:val="00E14F21"/>
    <w:rsid w:val="00E15D4A"/>
    <w:rsid w:val="00E20A12"/>
    <w:rsid w:val="00E25820"/>
    <w:rsid w:val="00E308E8"/>
    <w:rsid w:val="00E32101"/>
    <w:rsid w:val="00E3588E"/>
    <w:rsid w:val="00E40879"/>
    <w:rsid w:val="00E55259"/>
    <w:rsid w:val="00E56E69"/>
    <w:rsid w:val="00E60D34"/>
    <w:rsid w:val="00E64402"/>
    <w:rsid w:val="00E64C88"/>
    <w:rsid w:val="00E661D7"/>
    <w:rsid w:val="00E673DB"/>
    <w:rsid w:val="00E7722F"/>
    <w:rsid w:val="00E8365A"/>
    <w:rsid w:val="00E86B0B"/>
    <w:rsid w:val="00E92563"/>
    <w:rsid w:val="00EA01E9"/>
    <w:rsid w:val="00EA193F"/>
    <w:rsid w:val="00EA585F"/>
    <w:rsid w:val="00EA7023"/>
    <w:rsid w:val="00EA7E1D"/>
    <w:rsid w:val="00EB1D01"/>
    <w:rsid w:val="00EB5F17"/>
    <w:rsid w:val="00EB670D"/>
    <w:rsid w:val="00EC0333"/>
    <w:rsid w:val="00EC380E"/>
    <w:rsid w:val="00EC4740"/>
    <w:rsid w:val="00EC4A29"/>
    <w:rsid w:val="00EC5E89"/>
    <w:rsid w:val="00EC7A26"/>
    <w:rsid w:val="00ED3AFE"/>
    <w:rsid w:val="00ED6F49"/>
    <w:rsid w:val="00ED71CA"/>
    <w:rsid w:val="00EE2059"/>
    <w:rsid w:val="00EE3B3C"/>
    <w:rsid w:val="00EF0C50"/>
    <w:rsid w:val="00EF3345"/>
    <w:rsid w:val="00EF4451"/>
    <w:rsid w:val="00EF60A7"/>
    <w:rsid w:val="00EF6679"/>
    <w:rsid w:val="00F00C85"/>
    <w:rsid w:val="00F015BA"/>
    <w:rsid w:val="00F015D9"/>
    <w:rsid w:val="00F0505C"/>
    <w:rsid w:val="00F06667"/>
    <w:rsid w:val="00F11B62"/>
    <w:rsid w:val="00F1333D"/>
    <w:rsid w:val="00F13578"/>
    <w:rsid w:val="00F148C7"/>
    <w:rsid w:val="00F150FC"/>
    <w:rsid w:val="00F22914"/>
    <w:rsid w:val="00F23443"/>
    <w:rsid w:val="00F26FDA"/>
    <w:rsid w:val="00F31E87"/>
    <w:rsid w:val="00F31FD8"/>
    <w:rsid w:val="00F3385C"/>
    <w:rsid w:val="00F3389A"/>
    <w:rsid w:val="00F55338"/>
    <w:rsid w:val="00F5537C"/>
    <w:rsid w:val="00F628D1"/>
    <w:rsid w:val="00F629C1"/>
    <w:rsid w:val="00F63859"/>
    <w:rsid w:val="00F70DE7"/>
    <w:rsid w:val="00F720E5"/>
    <w:rsid w:val="00F925BD"/>
    <w:rsid w:val="00F977D7"/>
    <w:rsid w:val="00FA0B48"/>
    <w:rsid w:val="00FA17CE"/>
    <w:rsid w:val="00FA1839"/>
    <w:rsid w:val="00FA2294"/>
    <w:rsid w:val="00FA312A"/>
    <w:rsid w:val="00FA369D"/>
    <w:rsid w:val="00FA5B25"/>
    <w:rsid w:val="00FB5A88"/>
    <w:rsid w:val="00FB7A0D"/>
    <w:rsid w:val="00FC1C2B"/>
    <w:rsid w:val="00FC4A26"/>
    <w:rsid w:val="00FD041B"/>
    <w:rsid w:val="00FD3A5C"/>
    <w:rsid w:val="00FD6BC2"/>
    <w:rsid w:val="00FE0D20"/>
    <w:rsid w:val="00FE2623"/>
    <w:rsid w:val="00FE3F60"/>
    <w:rsid w:val="00FE5D9B"/>
    <w:rsid w:val="00FE705E"/>
    <w:rsid w:val="00FE7494"/>
    <w:rsid w:val="00FF4967"/>
    <w:rsid w:val="00FF49AE"/>
    <w:rsid w:val="00FF4D5B"/>
    <w:rsid w:val="00FF7026"/>
    <w:rsid w:val="02305E88"/>
    <w:rsid w:val="229B7FB5"/>
    <w:rsid w:val="575867E9"/>
    <w:rsid w:val="7525939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1137D3"/>
  <w15:chartTrackingRefBased/>
  <w15:docId w15:val="{15CB28A5-C9F3-4885-99CE-2EB4BAC47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5E2753"/>
    <w:pPr>
      <w:keepNext/>
      <w:numPr>
        <w:numId w:val="1"/>
      </w:numPr>
      <w:spacing w:before="360" w:after="120" w:line="240" w:lineRule="auto"/>
      <w:jc w:val="both"/>
      <w:outlineLvl w:val="0"/>
    </w:pPr>
    <w:rPr>
      <w:rFonts w:ascii="Times New Roman" w:eastAsia="Times New Roman" w:hAnsi="Times New Roman" w:cs="Times New Roman"/>
      <w:b/>
      <w:bCs/>
      <w:smallCaps/>
      <w:sz w:val="24"/>
      <w:szCs w:val="32"/>
    </w:rPr>
  </w:style>
  <w:style w:type="paragraph" w:styleId="Heading2">
    <w:name w:val="heading 2"/>
    <w:basedOn w:val="Normal"/>
    <w:next w:val="Normal"/>
    <w:link w:val="Heading2Char"/>
    <w:qFormat/>
    <w:rsid w:val="005E2753"/>
    <w:pPr>
      <w:keepNext/>
      <w:numPr>
        <w:ilvl w:val="1"/>
        <w:numId w:val="1"/>
      </w:numPr>
      <w:spacing w:before="120" w:after="120" w:line="240" w:lineRule="auto"/>
      <w:jc w:val="both"/>
      <w:outlineLvl w:val="1"/>
    </w:pPr>
    <w:rPr>
      <w:rFonts w:ascii="Times New Roman" w:eastAsia="Times New Roman" w:hAnsi="Times New Roman" w:cs="Times New Roman"/>
      <w:b/>
      <w:bCs/>
      <w:iCs/>
      <w:sz w:val="24"/>
      <w:szCs w:val="28"/>
    </w:rPr>
  </w:style>
  <w:style w:type="paragraph" w:styleId="Heading3">
    <w:name w:val="heading 3"/>
    <w:basedOn w:val="Normal"/>
    <w:next w:val="Normal"/>
    <w:link w:val="Heading3Char"/>
    <w:qFormat/>
    <w:rsid w:val="005E2753"/>
    <w:pPr>
      <w:keepNext/>
      <w:numPr>
        <w:ilvl w:val="2"/>
        <w:numId w:val="1"/>
      </w:numPr>
      <w:spacing w:before="120" w:after="120" w:line="240" w:lineRule="auto"/>
      <w:jc w:val="both"/>
      <w:outlineLvl w:val="2"/>
    </w:pPr>
    <w:rPr>
      <w:rFonts w:ascii="Times New Roman" w:eastAsia="Times New Roman" w:hAnsi="Times New Roman" w:cs="Times New Roman"/>
      <w:bCs/>
      <w:i/>
      <w:sz w:val="24"/>
      <w:szCs w:val="26"/>
    </w:rPr>
  </w:style>
  <w:style w:type="paragraph" w:styleId="Heading4">
    <w:name w:val="heading 4"/>
    <w:basedOn w:val="Normal"/>
    <w:next w:val="Normal"/>
    <w:link w:val="Heading4Char"/>
    <w:qFormat/>
    <w:rsid w:val="005E2753"/>
    <w:pPr>
      <w:keepNext/>
      <w:numPr>
        <w:ilvl w:val="3"/>
        <w:numId w:val="1"/>
      </w:numPr>
      <w:spacing w:before="120" w:after="120" w:line="240" w:lineRule="auto"/>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B9074F"/>
    <w:rPr>
      <w:color w:val="0000FF"/>
      <w:shd w:val="clear" w:color="auto" w:fill="auto"/>
    </w:rPr>
  </w:style>
  <w:style w:type="paragraph" w:styleId="Header">
    <w:name w:val="header"/>
    <w:basedOn w:val="Normal"/>
    <w:link w:val="HeaderChar"/>
    <w:uiPriority w:val="99"/>
    <w:unhideWhenUsed/>
    <w:rsid w:val="00B907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074F"/>
  </w:style>
  <w:style w:type="paragraph" w:styleId="Footer">
    <w:name w:val="footer"/>
    <w:basedOn w:val="Normal"/>
    <w:link w:val="FooterChar"/>
    <w:uiPriority w:val="99"/>
    <w:unhideWhenUsed/>
    <w:rsid w:val="00B907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074F"/>
  </w:style>
  <w:style w:type="paragraph" w:customStyle="1" w:styleId="Pagedecouverture">
    <w:name w:val="Page de couverture"/>
    <w:basedOn w:val="Normal"/>
    <w:next w:val="Normal"/>
    <w:rsid w:val="00B9074F"/>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B9074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B9074F"/>
    <w:rPr>
      <w:rFonts w:ascii="Times New Roman" w:hAnsi="Times New Roman" w:cs="Times New Roman"/>
      <w:sz w:val="24"/>
    </w:rPr>
  </w:style>
  <w:style w:type="paragraph" w:customStyle="1" w:styleId="FooterSensitivity">
    <w:name w:val="Footer Sensitivity"/>
    <w:basedOn w:val="Normal"/>
    <w:link w:val="FooterSensitivityChar"/>
    <w:rsid w:val="00B9074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9074F"/>
    <w:rPr>
      <w:rFonts w:ascii="Times New Roman" w:hAnsi="Times New Roman" w:cs="Times New Roman"/>
      <w:b/>
      <w:sz w:val="32"/>
    </w:rPr>
  </w:style>
  <w:style w:type="paragraph" w:customStyle="1" w:styleId="HeaderCoverPage">
    <w:name w:val="Header Cover Page"/>
    <w:basedOn w:val="Normal"/>
    <w:link w:val="HeaderCoverPageChar"/>
    <w:rsid w:val="00B9074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9074F"/>
    <w:rPr>
      <w:rFonts w:ascii="Times New Roman" w:hAnsi="Times New Roman" w:cs="Times New Roman"/>
      <w:sz w:val="24"/>
    </w:rPr>
  </w:style>
  <w:style w:type="paragraph" w:customStyle="1" w:styleId="HeaderSensitivity">
    <w:name w:val="Header Sensitivity"/>
    <w:basedOn w:val="Normal"/>
    <w:link w:val="HeaderSensitivityChar"/>
    <w:rsid w:val="00B9074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9074F"/>
    <w:rPr>
      <w:rFonts w:ascii="Times New Roman" w:hAnsi="Times New Roman" w:cs="Times New Roman"/>
      <w:b/>
      <w:sz w:val="32"/>
    </w:rPr>
  </w:style>
  <w:style w:type="paragraph" w:customStyle="1" w:styleId="HeaderSensitivityRight">
    <w:name w:val="Header Sensitivity Right"/>
    <w:basedOn w:val="Normal"/>
    <w:link w:val="HeaderSensitivityRightChar"/>
    <w:rsid w:val="00B9074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9074F"/>
    <w:rPr>
      <w:rFonts w:ascii="Times New Roman" w:hAnsi="Times New Roman" w:cs="Times New Roman"/>
      <w:sz w:val="28"/>
    </w:rPr>
  </w:style>
  <w:style w:type="character" w:customStyle="1" w:styleId="Heading1Char">
    <w:name w:val="Heading 1 Char"/>
    <w:basedOn w:val="DefaultParagraphFont"/>
    <w:link w:val="Heading1"/>
    <w:rsid w:val="005E2753"/>
    <w:rPr>
      <w:rFonts w:ascii="Times New Roman" w:eastAsia="Times New Roman" w:hAnsi="Times New Roman" w:cs="Times New Roman"/>
      <w:b/>
      <w:bCs/>
      <w:smallCaps/>
      <w:sz w:val="24"/>
      <w:szCs w:val="32"/>
    </w:rPr>
  </w:style>
  <w:style w:type="character" w:customStyle="1" w:styleId="Heading2Char">
    <w:name w:val="Heading 2 Char"/>
    <w:basedOn w:val="DefaultParagraphFont"/>
    <w:link w:val="Heading2"/>
    <w:rsid w:val="005E2753"/>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rsid w:val="005E2753"/>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rsid w:val="005E2753"/>
    <w:rPr>
      <w:rFonts w:ascii="Times New Roman" w:eastAsia="Times New Roman" w:hAnsi="Times New Roman" w:cs="Times New Roman"/>
      <w:bCs/>
      <w:sz w:val="24"/>
      <w:szCs w:val="28"/>
    </w:rPr>
  </w:style>
  <w:style w:type="character" w:styleId="FootnoteReference">
    <w:name w:val="footnote reference"/>
    <w:aliases w:val="Footnote number,Footnote symbol,note TESI,Ref,de nota al pie,(NECG) Footnote Reference,fr,Footnote Reference1,Footnote Reference11,o,Footnote,Footnote Reference Superscript,Footnote reference number,Footnote Reference Number,FR,FR1,R"/>
    <w:link w:val="Nota"/>
    <w:uiPriority w:val="99"/>
    <w:qFormat/>
    <w:rsid w:val="005E2753"/>
    <w:rPr>
      <w:vertAlign w:val="superscript"/>
    </w:rPr>
  </w:style>
  <w:style w:type="paragraph" w:styleId="FootnoteText">
    <w:name w:val="footnote text"/>
    <w:aliases w:val="Footnote Text Char2 Char,Footnote Text Char Char Char1,Footnote Text Char1 Char Char Char,Footnote Text Char2 Char Char Char Char,Footnote Text Char1 Char1 Char Char Char Char,Footnote Text Char Char1 Char Char Char Cha,fn,stile 1,Märk"/>
    <w:basedOn w:val="Normal"/>
    <w:link w:val="FootnoteTextChar"/>
    <w:uiPriority w:val="99"/>
    <w:qFormat/>
    <w:rsid w:val="005E2753"/>
    <w:pPr>
      <w:spacing w:after="0" w:line="240" w:lineRule="auto"/>
      <w:ind w:left="720" w:hanging="720"/>
      <w:jc w:val="both"/>
    </w:pPr>
    <w:rPr>
      <w:rFonts w:ascii="Times New Roman" w:eastAsia="Times New Roman" w:hAnsi="Times New Roman" w:cs="Times New Roman"/>
      <w:sz w:val="20"/>
      <w:szCs w:val="20"/>
    </w:rPr>
  </w:style>
  <w:style w:type="character" w:customStyle="1" w:styleId="FootnoteTextChar">
    <w:name w:val="Footnote Text Char"/>
    <w:aliases w:val="Footnote Text Char2 Char Char,Footnote Text Char Char Char1 Char,Footnote Text Char1 Char Char Char Char,Footnote Text Char2 Char Char Char Char Char,Footnote Text Char1 Char1 Char Char Char Char Char,fn Char,stile 1 Char,Märk Char"/>
    <w:basedOn w:val="DefaultParagraphFont"/>
    <w:link w:val="FootnoteText"/>
    <w:uiPriority w:val="99"/>
    <w:qFormat/>
    <w:rsid w:val="005E2753"/>
    <w:rPr>
      <w:rFonts w:ascii="Times New Roman" w:eastAsia="Times New Roman" w:hAnsi="Times New Roman" w:cs="Times New Roman"/>
      <w:sz w:val="20"/>
      <w:szCs w:val="20"/>
    </w:rPr>
  </w:style>
  <w:style w:type="paragraph" w:styleId="TOC1">
    <w:name w:val="toc 1"/>
    <w:basedOn w:val="Normal"/>
    <w:next w:val="Normal"/>
    <w:uiPriority w:val="39"/>
    <w:rsid w:val="005E2753"/>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uiPriority w:val="39"/>
    <w:rsid w:val="005E2753"/>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uiPriority w:val="39"/>
    <w:rsid w:val="005E2753"/>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Heading">
    <w:name w:val="TOC Heading"/>
    <w:basedOn w:val="Normal"/>
    <w:next w:val="Normal"/>
    <w:uiPriority w:val="39"/>
    <w:qFormat/>
    <w:rsid w:val="005E2753"/>
    <w:pPr>
      <w:spacing w:before="120" w:after="240" w:line="240" w:lineRule="auto"/>
      <w:jc w:val="center"/>
    </w:pPr>
    <w:rPr>
      <w:rFonts w:ascii="Times New Roman" w:eastAsia="Times New Roman" w:hAnsi="Times New Roman" w:cs="Times New Roman"/>
      <w:b/>
      <w:sz w:val="28"/>
      <w:szCs w:val="24"/>
    </w:rPr>
  </w:style>
  <w:style w:type="character" w:styleId="Hyperlink">
    <w:name w:val="Hyperlink"/>
    <w:uiPriority w:val="99"/>
    <w:rsid w:val="005E2753"/>
    <w:rPr>
      <w:color w:val="0000FF"/>
      <w:u w:val="single"/>
      <w:shd w:val="clear" w:color="auto" w:fill="auto"/>
    </w:rPr>
  </w:style>
  <w:style w:type="character" w:styleId="CommentReference">
    <w:name w:val="annotation reference"/>
    <w:uiPriority w:val="99"/>
    <w:rsid w:val="005E2753"/>
    <w:rPr>
      <w:sz w:val="16"/>
      <w:shd w:val="clear" w:color="auto" w:fill="auto"/>
    </w:rPr>
  </w:style>
  <w:style w:type="paragraph" w:styleId="ListParagraph">
    <w:name w:val="List Paragraph"/>
    <w:basedOn w:val="Normal"/>
    <w:uiPriority w:val="34"/>
    <w:qFormat/>
    <w:rsid w:val="005E2753"/>
    <w:pPr>
      <w:spacing w:after="0" w:line="240" w:lineRule="auto"/>
      <w:ind w:left="720"/>
    </w:pPr>
    <w:rPr>
      <w:rFonts w:ascii="Calibri" w:eastAsia="Times New Roman" w:hAnsi="Calibri" w:cs="Times New Roman"/>
    </w:rPr>
  </w:style>
  <w:style w:type="paragraph" w:styleId="NormalWeb">
    <w:name w:val="Normal (Web)"/>
    <w:basedOn w:val="Normal"/>
    <w:uiPriority w:val="99"/>
    <w:unhideWhenUsed/>
    <w:rsid w:val="005E2753"/>
    <w:rPr>
      <w:rFonts w:ascii="Times New Roman" w:hAnsi="Times New Roman" w:cs="Times New Roman"/>
      <w:sz w:val="24"/>
      <w:szCs w:val="24"/>
    </w:rPr>
  </w:style>
  <w:style w:type="character" w:customStyle="1" w:styleId="outputecliaff">
    <w:name w:val="outputecliaff"/>
    <w:basedOn w:val="DefaultParagraphFont"/>
    <w:rsid w:val="005E2753"/>
  </w:style>
  <w:style w:type="paragraph" w:customStyle="1" w:styleId="Nota">
    <w:name w:val="Nota"/>
    <w:aliases w:val="Char1,Appel note de bas de p,Style 6,Signature Ch,stylish,number,F,styl"/>
    <w:basedOn w:val="Normal"/>
    <w:link w:val="FootnoteReference"/>
    <w:uiPriority w:val="99"/>
    <w:rsid w:val="005E2753"/>
    <w:pPr>
      <w:spacing w:before="120" w:after="160" w:line="240" w:lineRule="exact"/>
      <w:jc w:val="both"/>
    </w:pPr>
    <w:rPr>
      <w:vertAlign w:val="superscript"/>
    </w:rPr>
  </w:style>
  <w:style w:type="paragraph" w:styleId="CommentText">
    <w:name w:val="annotation text"/>
    <w:basedOn w:val="Normal"/>
    <w:link w:val="CommentTextChar"/>
    <w:uiPriority w:val="99"/>
    <w:unhideWhenUsed/>
    <w:rsid w:val="00FC1C2B"/>
    <w:pPr>
      <w:spacing w:line="240" w:lineRule="auto"/>
    </w:pPr>
    <w:rPr>
      <w:sz w:val="20"/>
      <w:szCs w:val="20"/>
    </w:rPr>
  </w:style>
  <w:style w:type="character" w:customStyle="1" w:styleId="CommentTextChar">
    <w:name w:val="Comment Text Char"/>
    <w:basedOn w:val="DefaultParagraphFont"/>
    <w:link w:val="CommentText"/>
    <w:uiPriority w:val="99"/>
    <w:rsid w:val="00FC1C2B"/>
    <w:rPr>
      <w:sz w:val="20"/>
      <w:szCs w:val="20"/>
    </w:rPr>
  </w:style>
  <w:style w:type="paragraph" w:styleId="CommentSubject">
    <w:name w:val="annotation subject"/>
    <w:basedOn w:val="CommentText"/>
    <w:next w:val="CommentText"/>
    <w:link w:val="CommentSubjectChar"/>
    <w:uiPriority w:val="99"/>
    <w:semiHidden/>
    <w:unhideWhenUsed/>
    <w:rsid w:val="00FC1C2B"/>
    <w:rPr>
      <w:b/>
      <w:bCs/>
    </w:rPr>
  </w:style>
  <w:style w:type="character" w:customStyle="1" w:styleId="CommentSubjectChar">
    <w:name w:val="Comment Subject Char"/>
    <w:basedOn w:val="CommentTextChar"/>
    <w:link w:val="CommentSubject"/>
    <w:uiPriority w:val="99"/>
    <w:semiHidden/>
    <w:rsid w:val="00FC1C2B"/>
    <w:rPr>
      <w:b/>
      <w:bCs/>
      <w:sz w:val="20"/>
      <w:szCs w:val="20"/>
    </w:rPr>
  </w:style>
  <w:style w:type="paragraph" w:styleId="BalloonText">
    <w:name w:val="Balloon Text"/>
    <w:basedOn w:val="Normal"/>
    <w:link w:val="BalloonTextChar"/>
    <w:uiPriority w:val="99"/>
    <w:semiHidden/>
    <w:unhideWhenUsed/>
    <w:rsid w:val="00E12D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2D3B"/>
    <w:rPr>
      <w:rFonts w:ascii="Segoe UI" w:hAnsi="Segoe UI" w:cs="Segoe UI"/>
      <w:sz w:val="18"/>
      <w:szCs w:val="18"/>
    </w:rPr>
  </w:style>
  <w:style w:type="character" w:styleId="FollowedHyperlink">
    <w:name w:val="FollowedHyperlink"/>
    <w:basedOn w:val="DefaultParagraphFont"/>
    <w:uiPriority w:val="99"/>
    <w:semiHidden/>
    <w:unhideWhenUsed/>
    <w:rsid w:val="00A017DC"/>
    <w:rPr>
      <w:color w:val="800080" w:themeColor="followedHyperlink"/>
      <w:u w:val="single"/>
    </w:rPr>
  </w:style>
  <w:style w:type="paragraph" w:styleId="Revision">
    <w:name w:val="Revision"/>
    <w:hidden/>
    <w:uiPriority w:val="99"/>
    <w:semiHidden/>
    <w:rsid w:val="002D748E"/>
    <w:pPr>
      <w:spacing w:after="0" w:line="240" w:lineRule="auto"/>
    </w:pPr>
  </w:style>
  <w:style w:type="character" w:customStyle="1" w:styleId="UnresolvedMention">
    <w:name w:val="Unresolved Mention"/>
    <w:basedOn w:val="DefaultParagraphFont"/>
    <w:uiPriority w:val="99"/>
    <w:semiHidden/>
    <w:unhideWhenUsed/>
    <w:rsid w:val="00931055"/>
    <w:rPr>
      <w:color w:val="605E5C"/>
      <w:shd w:val="clear" w:color="auto" w:fill="E1DFDD"/>
    </w:rPr>
  </w:style>
  <w:style w:type="paragraph" w:customStyle="1" w:styleId="Languesfaisantfoi">
    <w:name w:val="Langues faisant foi"/>
    <w:basedOn w:val="Normal"/>
    <w:next w:val="Normal"/>
    <w:rsid w:val="007F42D2"/>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7F42D2"/>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7F42D2"/>
    <w:pPr>
      <w:spacing w:after="0"/>
    </w:pPr>
  </w:style>
  <w:style w:type="paragraph" w:customStyle="1" w:styleId="IntrtEEEPagedecouverture">
    <w:name w:val="Intérêt EEE (Page de couverture)"/>
    <w:basedOn w:val="IntrtEEE"/>
    <w:next w:val="Normal"/>
    <w:rsid w:val="007F42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40830">
      <w:bodyDiv w:val="1"/>
      <w:marLeft w:val="0"/>
      <w:marRight w:val="0"/>
      <w:marTop w:val="0"/>
      <w:marBottom w:val="0"/>
      <w:divBdr>
        <w:top w:val="none" w:sz="0" w:space="0" w:color="auto"/>
        <w:left w:val="none" w:sz="0" w:space="0" w:color="auto"/>
        <w:bottom w:val="none" w:sz="0" w:space="0" w:color="auto"/>
        <w:right w:val="none" w:sz="0" w:space="0" w:color="auto"/>
      </w:divBdr>
    </w:div>
    <w:div w:id="56512682">
      <w:bodyDiv w:val="1"/>
      <w:marLeft w:val="0"/>
      <w:marRight w:val="0"/>
      <w:marTop w:val="0"/>
      <w:marBottom w:val="0"/>
      <w:divBdr>
        <w:top w:val="none" w:sz="0" w:space="0" w:color="auto"/>
        <w:left w:val="none" w:sz="0" w:space="0" w:color="auto"/>
        <w:bottom w:val="none" w:sz="0" w:space="0" w:color="auto"/>
        <w:right w:val="none" w:sz="0" w:space="0" w:color="auto"/>
      </w:divBdr>
    </w:div>
    <w:div w:id="133179194">
      <w:bodyDiv w:val="1"/>
      <w:marLeft w:val="0"/>
      <w:marRight w:val="0"/>
      <w:marTop w:val="0"/>
      <w:marBottom w:val="0"/>
      <w:divBdr>
        <w:top w:val="none" w:sz="0" w:space="0" w:color="auto"/>
        <w:left w:val="none" w:sz="0" w:space="0" w:color="auto"/>
        <w:bottom w:val="none" w:sz="0" w:space="0" w:color="auto"/>
        <w:right w:val="none" w:sz="0" w:space="0" w:color="auto"/>
      </w:divBdr>
    </w:div>
    <w:div w:id="188221348">
      <w:bodyDiv w:val="1"/>
      <w:marLeft w:val="0"/>
      <w:marRight w:val="0"/>
      <w:marTop w:val="0"/>
      <w:marBottom w:val="0"/>
      <w:divBdr>
        <w:top w:val="none" w:sz="0" w:space="0" w:color="auto"/>
        <w:left w:val="none" w:sz="0" w:space="0" w:color="auto"/>
        <w:bottom w:val="none" w:sz="0" w:space="0" w:color="auto"/>
        <w:right w:val="none" w:sz="0" w:space="0" w:color="auto"/>
      </w:divBdr>
    </w:div>
    <w:div w:id="240066226">
      <w:bodyDiv w:val="1"/>
      <w:marLeft w:val="0"/>
      <w:marRight w:val="0"/>
      <w:marTop w:val="0"/>
      <w:marBottom w:val="0"/>
      <w:divBdr>
        <w:top w:val="none" w:sz="0" w:space="0" w:color="auto"/>
        <w:left w:val="none" w:sz="0" w:space="0" w:color="auto"/>
        <w:bottom w:val="none" w:sz="0" w:space="0" w:color="auto"/>
        <w:right w:val="none" w:sz="0" w:space="0" w:color="auto"/>
      </w:divBdr>
    </w:div>
    <w:div w:id="275017257">
      <w:bodyDiv w:val="1"/>
      <w:marLeft w:val="0"/>
      <w:marRight w:val="0"/>
      <w:marTop w:val="0"/>
      <w:marBottom w:val="0"/>
      <w:divBdr>
        <w:top w:val="none" w:sz="0" w:space="0" w:color="auto"/>
        <w:left w:val="none" w:sz="0" w:space="0" w:color="auto"/>
        <w:bottom w:val="none" w:sz="0" w:space="0" w:color="auto"/>
        <w:right w:val="none" w:sz="0" w:space="0" w:color="auto"/>
      </w:divBdr>
    </w:div>
    <w:div w:id="294794643">
      <w:bodyDiv w:val="1"/>
      <w:marLeft w:val="0"/>
      <w:marRight w:val="0"/>
      <w:marTop w:val="0"/>
      <w:marBottom w:val="0"/>
      <w:divBdr>
        <w:top w:val="none" w:sz="0" w:space="0" w:color="auto"/>
        <w:left w:val="none" w:sz="0" w:space="0" w:color="auto"/>
        <w:bottom w:val="none" w:sz="0" w:space="0" w:color="auto"/>
        <w:right w:val="none" w:sz="0" w:space="0" w:color="auto"/>
      </w:divBdr>
    </w:div>
    <w:div w:id="314455760">
      <w:bodyDiv w:val="1"/>
      <w:marLeft w:val="0"/>
      <w:marRight w:val="0"/>
      <w:marTop w:val="0"/>
      <w:marBottom w:val="0"/>
      <w:divBdr>
        <w:top w:val="none" w:sz="0" w:space="0" w:color="auto"/>
        <w:left w:val="none" w:sz="0" w:space="0" w:color="auto"/>
        <w:bottom w:val="none" w:sz="0" w:space="0" w:color="auto"/>
        <w:right w:val="none" w:sz="0" w:space="0" w:color="auto"/>
      </w:divBdr>
    </w:div>
    <w:div w:id="329869295">
      <w:bodyDiv w:val="1"/>
      <w:marLeft w:val="0"/>
      <w:marRight w:val="0"/>
      <w:marTop w:val="0"/>
      <w:marBottom w:val="0"/>
      <w:divBdr>
        <w:top w:val="none" w:sz="0" w:space="0" w:color="auto"/>
        <w:left w:val="none" w:sz="0" w:space="0" w:color="auto"/>
        <w:bottom w:val="none" w:sz="0" w:space="0" w:color="auto"/>
        <w:right w:val="none" w:sz="0" w:space="0" w:color="auto"/>
      </w:divBdr>
    </w:div>
    <w:div w:id="384763036">
      <w:bodyDiv w:val="1"/>
      <w:marLeft w:val="0"/>
      <w:marRight w:val="0"/>
      <w:marTop w:val="0"/>
      <w:marBottom w:val="0"/>
      <w:divBdr>
        <w:top w:val="none" w:sz="0" w:space="0" w:color="auto"/>
        <w:left w:val="none" w:sz="0" w:space="0" w:color="auto"/>
        <w:bottom w:val="none" w:sz="0" w:space="0" w:color="auto"/>
        <w:right w:val="none" w:sz="0" w:space="0" w:color="auto"/>
      </w:divBdr>
    </w:div>
    <w:div w:id="392044680">
      <w:bodyDiv w:val="1"/>
      <w:marLeft w:val="0"/>
      <w:marRight w:val="0"/>
      <w:marTop w:val="0"/>
      <w:marBottom w:val="0"/>
      <w:divBdr>
        <w:top w:val="none" w:sz="0" w:space="0" w:color="auto"/>
        <w:left w:val="none" w:sz="0" w:space="0" w:color="auto"/>
        <w:bottom w:val="none" w:sz="0" w:space="0" w:color="auto"/>
        <w:right w:val="none" w:sz="0" w:space="0" w:color="auto"/>
      </w:divBdr>
    </w:div>
    <w:div w:id="409624458">
      <w:bodyDiv w:val="1"/>
      <w:marLeft w:val="0"/>
      <w:marRight w:val="0"/>
      <w:marTop w:val="0"/>
      <w:marBottom w:val="0"/>
      <w:divBdr>
        <w:top w:val="none" w:sz="0" w:space="0" w:color="auto"/>
        <w:left w:val="none" w:sz="0" w:space="0" w:color="auto"/>
        <w:bottom w:val="none" w:sz="0" w:space="0" w:color="auto"/>
        <w:right w:val="none" w:sz="0" w:space="0" w:color="auto"/>
      </w:divBdr>
    </w:div>
    <w:div w:id="542520149">
      <w:bodyDiv w:val="1"/>
      <w:marLeft w:val="0"/>
      <w:marRight w:val="0"/>
      <w:marTop w:val="0"/>
      <w:marBottom w:val="0"/>
      <w:divBdr>
        <w:top w:val="none" w:sz="0" w:space="0" w:color="auto"/>
        <w:left w:val="none" w:sz="0" w:space="0" w:color="auto"/>
        <w:bottom w:val="none" w:sz="0" w:space="0" w:color="auto"/>
        <w:right w:val="none" w:sz="0" w:space="0" w:color="auto"/>
      </w:divBdr>
    </w:div>
    <w:div w:id="582834872">
      <w:bodyDiv w:val="1"/>
      <w:marLeft w:val="0"/>
      <w:marRight w:val="0"/>
      <w:marTop w:val="0"/>
      <w:marBottom w:val="0"/>
      <w:divBdr>
        <w:top w:val="none" w:sz="0" w:space="0" w:color="auto"/>
        <w:left w:val="none" w:sz="0" w:space="0" w:color="auto"/>
        <w:bottom w:val="none" w:sz="0" w:space="0" w:color="auto"/>
        <w:right w:val="none" w:sz="0" w:space="0" w:color="auto"/>
      </w:divBdr>
    </w:div>
    <w:div w:id="604928210">
      <w:bodyDiv w:val="1"/>
      <w:marLeft w:val="0"/>
      <w:marRight w:val="0"/>
      <w:marTop w:val="0"/>
      <w:marBottom w:val="0"/>
      <w:divBdr>
        <w:top w:val="none" w:sz="0" w:space="0" w:color="auto"/>
        <w:left w:val="none" w:sz="0" w:space="0" w:color="auto"/>
        <w:bottom w:val="none" w:sz="0" w:space="0" w:color="auto"/>
        <w:right w:val="none" w:sz="0" w:space="0" w:color="auto"/>
      </w:divBdr>
    </w:div>
    <w:div w:id="635260388">
      <w:bodyDiv w:val="1"/>
      <w:marLeft w:val="0"/>
      <w:marRight w:val="0"/>
      <w:marTop w:val="0"/>
      <w:marBottom w:val="0"/>
      <w:divBdr>
        <w:top w:val="none" w:sz="0" w:space="0" w:color="auto"/>
        <w:left w:val="none" w:sz="0" w:space="0" w:color="auto"/>
        <w:bottom w:val="none" w:sz="0" w:space="0" w:color="auto"/>
        <w:right w:val="none" w:sz="0" w:space="0" w:color="auto"/>
      </w:divBdr>
    </w:div>
    <w:div w:id="705329508">
      <w:bodyDiv w:val="1"/>
      <w:marLeft w:val="0"/>
      <w:marRight w:val="0"/>
      <w:marTop w:val="0"/>
      <w:marBottom w:val="0"/>
      <w:divBdr>
        <w:top w:val="none" w:sz="0" w:space="0" w:color="auto"/>
        <w:left w:val="none" w:sz="0" w:space="0" w:color="auto"/>
        <w:bottom w:val="none" w:sz="0" w:space="0" w:color="auto"/>
        <w:right w:val="none" w:sz="0" w:space="0" w:color="auto"/>
      </w:divBdr>
    </w:div>
    <w:div w:id="705522982">
      <w:bodyDiv w:val="1"/>
      <w:marLeft w:val="0"/>
      <w:marRight w:val="0"/>
      <w:marTop w:val="0"/>
      <w:marBottom w:val="0"/>
      <w:divBdr>
        <w:top w:val="none" w:sz="0" w:space="0" w:color="auto"/>
        <w:left w:val="none" w:sz="0" w:space="0" w:color="auto"/>
        <w:bottom w:val="none" w:sz="0" w:space="0" w:color="auto"/>
        <w:right w:val="none" w:sz="0" w:space="0" w:color="auto"/>
      </w:divBdr>
    </w:div>
    <w:div w:id="710765556">
      <w:bodyDiv w:val="1"/>
      <w:marLeft w:val="0"/>
      <w:marRight w:val="0"/>
      <w:marTop w:val="0"/>
      <w:marBottom w:val="0"/>
      <w:divBdr>
        <w:top w:val="none" w:sz="0" w:space="0" w:color="auto"/>
        <w:left w:val="none" w:sz="0" w:space="0" w:color="auto"/>
        <w:bottom w:val="none" w:sz="0" w:space="0" w:color="auto"/>
        <w:right w:val="none" w:sz="0" w:space="0" w:color="auto"/>
      </w:divBdr>
    </w:div>
    <w:div w:id="728379306">
      <w:bodyDiv w:val="1"/>
      <w:marLeft w:val="0"/>
      <w:marRight w:val="0"/>
      <w:marTop w:val="0"/>
      <w:marBottom w:val="0"/>
      <w:divBdr>
        <w:top w:val="none" w:sz="0" w:space="0" w:color="auto"/>
        <w:left w:val="none" w:sz="0" w:space="0" w:color="auto"/>
        <w:bottom w:val="none" w:sz="0" w:space="0" w:color="auto"/>
        <w:right w:val="none" w:sz="0" w:space="0" w:color="auto"/>
      </w:divBdr>
    </w:div>
    <w:div w:id="728964998">
      <w:bodyDiv w:val="1"/>
      <w:marLeft w:val="0"/>
      <w:marRight w:val="0"/>
      <w:marTop w:val="0"/>
      <w:marBottom w:val="0"/>
      <w:divBdr>
        <w:top w:val="none" w:sz="0" w:space="0" w:color="auto"/>
        <w:left w:val="none" w:sz="0" w:space="0" w:color="auto"/>
        <w:bottom w:val="none" w:sz="0" w:space="0" w:color="auto"/>
        <w:right w:val="none" w:sz="0" w:space="0" w:color="auto"/>
      </w:divBdr>
      <w:divsChild>
        <w:div w:id="323050206">
          <w:marLeft w:val="0"/>
          <w:marRight w:val="0"/>
          <w:marTop w:val="0"/>
          <w:marBottom w:val="0"/>
          <w:divBdr>
            <w:top w:val="none" w:sz="0" w:space="0" w:color="auto"/>
            <w:left w:val="none" w:sz="0" w:space="0" w:color="auto"/>
            <w:bottom w:val="none" w:sz="0" w:space="0" w:color="auto"/>
            <w:right w:val="none" w:sz="0" w:space="0" w:color="auto"/>
          </w:divBdr>
          <w:divsChild>
            <w:div w:id="893976973">
              <w:marLeft w:val="0"/>
              <w:marRight w:val="0"/>
              <w:marTop w:val="0"/>
              <w:marBottom w:val="0"/>
              <w:divBdr>
                <w:top w:val="none" w:sz="0" w:space="0" w:color="auto"/>
                <w:left w:val="none" w:sz="0" w:space="0" w:color="auto"/>
                <w:bottom w:val="none" w:sz="0" w:space="0" w:color="auto"/>
                <w:right w:val="none" w:sz="0" w:space="0" w:color="auto"/>
              </w:divBdr>
              <w:divsChild>
                <w:div w:id="985624928">
                  <w:marLeft w:val="0"/>
                  <w:marRight w:val="0"/>
                  <w:marTop w:val="0"/>
                  <w:marBottom w:val="30"/>
                  <w:divBdr>
                    <w:top w:val="none" w:sz="0" w:space="0" w:color="auto"/>
                    <w:left w:val="none" w:sz="0" w:space="0" w:color="auto"/>
                    <w:bottom w:val="none" w:sz="0" w:space="0" w:color="auto"/>
                    <w:right w:val="none" w:sz="0" w:space="0" w:color="auto"/>
                  </w:divBdr>
                </w:div>
                <w:div w:id="1145511552">
                  <w:marLeft w:val="0"/>
                  <w:marRight w:val="0"/>
                  <w:marTop w:val="0"/>
                  <w:marBottom w:val="0"/>
                  <w:divBdr>
                    <w:top w:val="none" w:sz="0" w:space="0" w:color="auto"/>
                    <w:left w:val="none" w:sz="0" w:space="0" w:color="auto"/>
                    <w:bottom w:val="none" w:sz="0" w:space="0" w:color="auto"/>
                    <w:right w:val="none" w:sz="0" w:space="0" w:color="auto"/>
                  </w:divBdr>
                  <w:divsChild>
                    <w:div w:id="63657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449839">
          <w:marLeft w:val="0"/>
          <w:marRight w:val="0"/>
          <w:marTop w:val="0"/>
          <w:marBottom w:val="0"/>
          <w:divBdr>
            <w:top w:val="none" w:sz="0" w:space="0" w:color="auto"/>
            <w:left w:val="none" w:sz="0" w:space="0" w:color="auto"/>
            <w:bottom w:val="none" w:sz="0" w:space="0" w:color="auto"/>
            <w:right w:val="none" w:sz="0" w:space="0" w:color="auto"/>
          </w:divBdr>
        </w:div>
      </w:divsChild>
    </w:div>
    <w:div w:id="758526842">
      <w:bodyDiv w:val="1"/>
      <w:marLeft w:val="0"/>
      <w:marRight w:val="0"/>
      <w:marTop w:val="0"/>
      <w:marBottom w:val="0"/>
      <w:divBdr>
        <w:top w:val="none" w:sz="0" w:space="0" w:color="auto"/>
        <w:left w:val="none" w:sz="0" w:space="0" w:color="auto"/>
        <w:bottom w:val="none" w:sz="0" w:space="0" w:color="auto"/>
        <w:right w:val="none" w:sz="0" w:space="0" w:color="auto"/>
      </w:divBdr>
    </w:div>
    <w:div w:id="771050644">
      <w:bodyDiv w:val="1"/>
      <w:marLeft w:val="0"/>
      <w:marRight w:val="0"/>
      <w:marTop w:val="0"/>
      <w:marBottom w:val="0"/>
      <w:divBdr>
        <w:top w:val="none" w:sz="0" w:space="0" w:color="auto"/>
        <w:left w:val="none" w:sz="0" w:space="0" w:color="auto"/>
        <w:bottom w:val="none" w:sz="0" w:space="0" w:color="auto"/>
        <w:right w:val="none" w:sz="0" w:space="0" w:color="auto"/>
      </w:divBdr>
    </w:div>
    <w:div w:id="819926043">
      <w:bodyDiv w:val="1"/>
      <w:marLeft w:val="0"/>
      <w:marRight w:val="0"/>
      <w:marTop w:val="0"/>
      <w:marBottom w:val="0"/>
      <w:divBdr>
        <w:top w:val="none" w:sz="0" w:space="0" w:color="auto"/>
        <w:left w:val="none" w:sz="0" w:space="0" w:color="auto"/>
        <w:bottom w:val="none" w:sz="0" w:space="0" w:color="auto"/>
        <w:right w:val="none" w:sz="0" w:space="0" w:color="auto"/>
      </w:divBdr>
    </w:div>
    <w:div w:id="854808981">
      <w:bodyDiv w:val="1"/>
      <w:marLeft w:val="0"/>
      <w:marRight w:val="0"/>
      <w:marTop w:val="0"/>
      <w:marBottom w:val="0"/>
      <w:divBdr>
        <w:top w:val="none" w:sz="0" w:space="0" w:color="auto"/>
        <w:left w:val="none" w:sz="0" w:space="0" w:color="auto"/>
        <w:bottom w:val="none" w:sz="0" w:space="0" w:color="auto"/>
        <w:right w:val="none" w:sz="0" w:space="0" w:color="auto"/>
      </w:divBdr>
    </w:div>
    <w:div w:id="862010517">
      <w:bodyDiv w:val="1"/>
      <w:marLeft w:val="0"/>
      <w:marRight w:val="0"/>
      <w:marTop w:val="0"/>
      <w:marBottom w:val="0"/>
      <w:divBdr>
        <w:top w:val="none" w:sz="0" w:space="0" w:color="auto"/>
        <w:left w:val="none" w:sz="0" w:space="0" w:color="auto"/>
        <w:bottom w:val="none" w:sz="0" w:space="0" w:color="auto"/>
        <w:right w:val="none" w:sz="0" w:space="0" w:color="auto"/>
      </w:divBdr>
    </w:div>
    <w:div w:id="894008507">
      <w:bodyDiv w:val="1"/>
      <w:marLeft w:val="0"/>
      <w:marRight w:val="0"/>
      <w:marTop w:val="0"/>
      <w:marBottom w:val="0"/>
      <w:divBdr>
        <w:top w:val="none" w:sz="0" w:space="0" w:color="auto"/>
        <w:left w:val="none" w:sz="0" w:space="0" w:color="auto"/>
        <w:bottom w:val="none" w:sz="0" w:space="0" w:color="auto"/>
        <w:right w:val="none" w:sz="0" w:space="0" w:color="auto"/>
      </w:divBdr>
    </w:div>
    <w:div w:id="916017022">
      <w:bodyDiv w:val="1"/>
      <w:marLeft w:val="0"/>
      <w:marRight w:val="0"/>
      <w:marTop w:val="0"/>
      <w:marBottom w:val="0"/>
      <w:divBdr>
        <w:top w:val="none" w:sz="0" w:space="0" w:color="auto"/>
        <w:left w:val="none" w:sz="0" w:space="0" w:color="auto"/>
        <w:bottom w:val="none" w:sz="0" w:space="0" w:color="auto"/>
        <w:right w:val="none" w:sz="0" w:space="0" w:color="auto"/>
      </w:divBdr>
    </w:div>
    <w:div w:id="946083890">
      <w:bodyDiv w:val="1"/>
      <w:marLeft w:val="0"/>
      <w:marRight w:val="0"/>
      <w:marTop w:val="0"/>
      <w:marBottom w:val="0"/>
      <w:divBdr>
        <w:top w:val="none" w:sz="0" w:space="0" w:color="auto"/>
        <w:left w:val="none" w:sz="0" w:space="0" w:color="auto"/>
        <w:bottom w:val="none" w:sz="0" w:space="0" w:color="auto"/>
        <w:right w:val="none" w:sz="0" w:space="0" w:color="auto"/>
      </w:divBdr>
    </w:div>
    <w:div w:id="957444874">
      <w:bodyDiv w:val="1"/>
      <w:marLeft w:val="0"/>
      <w:marRight w:val="0"/>
      <w:marTop w:val="0"/>
      <w:marBottom w:val="0"/>
      <w:divBdr>
        <w:top w:val="none" w:sz="0" w:space="0" w:color="auto"/>
        <w:left w:val="none" w:sz="0" w:space="0" w:color="auto"/>
        <w:bottom w:val="none" w:sz="0" w:space="0" w:color="auto"/>
        <w:right w:val="none" w:sz="0" w:space="0" w:color="auto"/>
      </w:divBdr>
    </w:div>
    <w:div w:id="975797060">
      <w:bodyDiv w:val="1"/>
      <w:marLeft w:val="0"/>
      <w:marRight w:val="0"/>
      <w:marTop w:val="0"/>
      <w:marBottom w:val="0"/>
      <w:divBdr>
        <w:top w:val="none" w:sz="0" w:space="0" w:color="auto"/>
        <w:left w:val="none" w:sz="0" w:space="0" w:color="auto"/>
        <w:bottom w:val="none" w:sz="0" w:space="0" w:color="auto"/>
        <w:right w:val="none" w:sz="0" w:space="0" w:color="auto"/>
      </w:divBdr>
    </w:div>
    <w:div w:id="988677168">
      <w:bodyDiv w:val="1"/>
      <w:marLeft w:val="0"/>
      <w:marRight w:val="0"/>
      <w:marTop w:val="0"/>
      <w:marBottom w:val="0"/>
      <w:divBdr>
        <w:top w:val="none" w:sz="0" w:space="0" w:color="auto"/>
        <w:left w:val="none" w:sz="0" w:space="0" w:color="auto"/>
        <w:bottom w:val="none" w:sz="0" w:space="0" w:color="auto"/>
        <w:right w:val="none" w:sz="0" w:space="0" w:color="auto"/>
      </w:divBdr>
    </w:div>
    <w:div w:id="1006900601">
      <w:bodyDiv w:val="1"/>
      <w:marLeft w:val="0"/>
      <w:marRight w:val="0"/>
      <w:marTop w:val="0"/>
      <w:marBottom w:val="0"/>
      <w:divBdr>
        <w:top w:val="none" w:sz="0" w:space="0" w:color="auto"/>
        <w:left w:val="none" w:sz="0" w:space="0" w:color="auto"/>
        <w:bottom w:val="none" w:sz="0" w:space="0" w:color="auto"/>
        <w:right w:val="none" w:sz="0" w:space="0" w:color="auto"/>
      </w:divBdr>
    </w:div>
    <w:div w:id="1010987830">
      <w:bodyDiv w:val="1"/>
      <w:marLeft w:val="0"/>
      <w:marRight w:val="0"/>
      <w:marTop w:val="0"/>
      <w:marBottom w:val="0"/>
      <w:divBdr>
        <w:top w:val="none" w:sz="0" w:space="0" w:color="auto"/>
        <w:left w:val="none" w:sz="0" w:space="0" w:color="auto"/>
        <w:bottom w:val="none" w:sz="0" w:space="0" w:color="auto"/>
        <w:right w:val="none" w:sz="0" w:space="0" w:color="auto"/>
      </w:divBdr>
    </w:div>
    <w:div w:id="1020083621">
      <w:bodyDiv w:val="1"/>
      <w:marLeft w:val="0"/>
      <w:marRight w:val="0"/>
      <w:marTop w:val="0"/>
      <w:marBottom w:val="0"/>
      <w:divBdr>
        <w:top w:val="none" w:sz="0" w:space="0" w:color="auto"/>
        <w:left w:val="none" w:sz="0" w:space="0" w:color="auto"/>
        <w:bottom w:val="none" w:sz="0" w:space="0" w:color="auto"/>
        <w:right w:val="none" w:sz="0" w:space="0" w:color="auto"/>
      </w:divBdr>
    </w:div>
    <w:div w:id="1038091044">
      <w:bodyDiv w:val="1"/>
      <w:marLeft w:val="0"/>
      <w:marRight w:val="0"/>
      <w:marTop w:val="0"/>
      <w:marBottom w:val="0"/>
      <w:divBdr>
        <w:top w:val="none" w:sz="0" w:space="0" w:color="auto"/>
        <w:left w:val="none" w:sz="0" w:space="0" w:color="auto"/>
        <w:bottom w:val="none" w:sz="0" w:space="0" w:color="auto"/>
        <w:right w:val="none" w:sz="0" w:space="0" w:color="auto"/>
      </w:divBdr>
    </w:div>
    <w:div w:id="1057626116">
      <w:bodyDiv w:val="1"/>
      <w:marLeft w:val="0"/>
      <w:marRight w:val="0"/>
      <w:marTop w:val="0"/>
      <w:marBottom w:val="0"/>
      <w:divBdr>
        <w:top w:val="none" w:sz="0" w:space="0" w:color="auto"/>
        <w:left w:val="none" w:sz="0" w:space="0" w:color="auto"/>
        <w:bottom w:val="none" w:sz="0" w:space="0" w:color="auto"/>
        <w:right w:val="none" w:sz="0" w:space="0" w:color="auto"/>
      </w:divBdr>
    </w:div>
    <w:div w:id="1212572754">
      <w:bodyDiv w:val="1"/>
      <w:marLeft w:val="0"/>
      <w:marRight w:val="0"/>
      <w:marTop w:val="0"/>
      <w:marBottom w:val="0"/>
      <w:divBdr>
        <w:top w:val="none" w:sz="0" w:space="0" w:color="auto"/>
        <w:left w:val="none" w:sz="0" w:space="0" w:color="auto"/>
        <w:bottom w:val="none" w:sz="0" w:space="0" w:color="auto"/>
        <w:right w:val="none" w:sz="0" w:space="0" w:color="auto"/>
      </w:divBdr>
    </w:div>
    <w:div w:id="1213614585">
      <w:bodyDiv w:val="1"/>
      <w:marLeft w:val="0"/>
      <w:marRight w:val="0"/>
      <w:marTop w:val="0"/>
      <w:marBottom w:val="0"/>
      <w:divBdr>
        <w:top w:val="none" w:sz="0" w:space="0" w:color="auto"/>
        <w:left w:val="none" w:sz="0" w:space="0" w:color="auto"/>
        <w:bottom w:val="none" w:sz="0" w:space="0" w:color="auto"/>
        <w:right w:val="none" w:sz="0" w:space="0" w:color="auto"/>
      </w:divBdr>
    </w:div>
    <w:div w:id="1289438693">
      <w:bodyDiv w:val="1"/>
      <w:marLeft w:val="0"/>
      <w:marRight w:val="0"/>
      <w:marTop w:val="0"/>
      <w:marBottom w:val="0"/>
      <w:divBdr>
        <w:top w:val="none" w:sz="0" w:space="0" w:color="auto"/>
        <w:left w:val="none" w:sz="0" w:space="0" w:color="auto"/>
        <w:bottom w:val="none" w:sz="0" w:space="0" w:color="auto"/>
        <w:right w:val="none" w:sz="0" w:space="0" w:color="auto"/>
      </w:divBdr>
    </w:div>
    <w:div w:id="1303340348">
      <w:bodyDiv w:val="1"/>
      <w:marLeft w:val="0"/>
      <w:marRight w:val="0"/>
      <w:marTop w:val="0"/>
      <w:marBottom w:val="0"/>
      <w:divBdr>
        <w:top w:val="none" w:sz="0" w:space="0" w:color="auto"/>
        <w:left w:val="none" w:sz="0" w:space="0" w:color="auto"/>
        <w:bottom w:val="none" w:sz="0" w:space="0" w:color="auto"/>
        <w:right w:val="none" w:sz="0" w:space="0" w:color="auto"/>
      </w:divBdr>
    </w:div>
    <w:div w:id="1310942625">
      <w:bodyDiv w:val="1"/>
      <w:marLeft w:val="0"/>
      <w:marRight w:val="0"/>
      <w:marTop w:val="0"/>
      <w:marBottom w:val="0"/>
      <w:divBdr>
        <w:top w:val="none" w:sz="0" w:space="0" w:color="auto"/>
        <w:left w:val="none" w:sz="0" w:space="0" w:color="auto"/>
        <w:bottom w:val="none" w:sz="0" w:space="0" w:color="auto"/>
        <w:right w:val="none" w:sz="0" w:space="0" w:color="auto"/>
      </w:divBdr>
    </w:div>
    <w:div w:id="1328899681">
      <w:bodyDiv w:val="1"/>
      <w:marLeft w:val="0"/>
      <w:marRight w:val="0"/>
      <w:marTop w:val="0"/>
      <w:marBottom w:val="0"/>
      <w:divBdr>
        <w:top w:val="none" w:sz="0" w:space="0" w:color="auto"/>
        <w:left w:val="none" w:sz="0" w:space="0" w:color="auto"/>
        <w:bottom w:val="none" w:sz="0" w:space="0" w:color="auto"/>
        <w:right w:val="none" w:sz="0" w:space="0" w:color="auto"/>
      </w:divBdr>
    </w:div>
    <w:div w:id="1373772993">
      <w:bodyDiv w:val="1"/>
      <w:marLeft w:val="0"/>
      <w:marRight w:val="0"/>
      <w:marTop w:val="0"/>
      <w:marBottom w:val="0"/>
      <w:divBdr>
        <w:top w:val="none" w:sz="0" w:space="0" w:color="auto"/>
        <w:left w:val="none" w:sz="0" w:space="0" w:color="auto"/>
        <w:bottom w:val="none" w:sz="0" w:space="0" w:color="auto"/>
        <w:right w:val="none" w:sz="0" w:space="0" w:color="auto"/>
      </w:divBdr>
    </w:div>
    <w:div w:id="1378313679">
      <w:bodyDiv w:val="1"/>
      <w:marLeft w:val="0"/>
      <w:marRight w:val="0"/>
      <w:marTop w:val="0"/>
      <w:marBottom w:val="0"/>
      <w:divBdr>
        <w:top w:val="none" w:sz="0" w:space="0" w:color="auto"/>
        <w:left w:val="none" w:sz="0" w:space="0" w:color="auto"/>
        <w:bottom w:val="none" w:sz="0" w:space="0" w:color="auto"/>
        <w:right w:val="none" w:sz="0" w:space="0" w:color="auto"/>
      </w:divBdr>
    </w:div>
    <w:div w:id="1433940337">
      <w:bodyDiv w:val="1"/>
      <w:marLeft w:val="0"/>
      <w:marRight w:val="0"/>
      <w:marTop w:val="0"/>
      <w:marBottom w:val="0"/>
      <w:divBdr>
        <w:top w:val="none" w:sz="0" w:space="0" w:color="auto"/>
        <w:left w:val="none" w:sz="0" w:space="0" w:color="auto"/>
        <w:bottom w:val="none" w:sz="0" w:space="0" w:color="auto"/>
        <w:right w:val="none" w:sz="0" w:space="0" w:color="auto"/>
      </w:divBdr>
    </w:div>
    <w:div w:id="1482842917">
      <w:bodyDiv w:val="1"/>
      <w:marLeft w:val="0"/>
      <w:marRight w:val="0"/>
      <w:marTop w:val="0"/>
      <w:marBottom w:val="0"/>
      <w:divBdr>
        <w:top w:val="none" w:sz="0" w:space="0" w:color="auto"/>
        <w:left w:val="none" w:sz="0" w:space="0" w:color="auto"/>
        <w:bottom w:val="none" w:sz="0" w:space="0" w:color="auto"/>
        <w:right w:val="none" w:sz="0" w:space="0" w:color="auto"/>
      </w:divBdr>
    </w:div>
    <w:div w:id="1490092808">
      <w:bodyDiv w:val="1"/>
      <w:marLeft w:val="0"/>
      <w:marRight w:val="0"/>
      <w:marTop w:val="0"/>
      <w:marBottom w:val="0"/>
      <w:divBdr>
        <w:top w:val="none" w:sz="0" w:space="0" w:color="auto"/>
        <w:left w:val="none" w:sz="0" w:space="0" w:color="auto"/>
        <w:bottom w:val="none" w:sz="0" w:space="0" w:color="auto"/>
        <w:right w:val="none" w:sz="0" w:space="0" w:color="auto"/>
      </w:divBdr>
    </w:div>
    <w:div w:id="1511719731">
      <w:bodyDiv w:val="1"/>
      <w:marLeft w:val="0"/>
      <w:marRight w:val="0"/>
      <w:marTop w:val="0"/>
      <w:marBottom w:val="0"/>
      <w:divBdr>
        <w:top w:val="none" w:sz="0" w:space="0" w:color="auto"/>
        <w:left w:val="none" w:sz="0" w:space="0" w:color="auto"/>
        <w:bottom w:val="none" w:sz="0" w:space="0" w:color="auto"/>
        <w:right w:val="none" w:sz="0" w:space="0" w:color="auto"/>
      </w:divBdr>
    </w:div>
    <w:div w:id="1511947555">
      <w:bodyDiv w:val="1"/>
      <w:marLeft w:val="0"/>
      <w:marRight w:val="0"/>
      <w:marTop w:val="0"/>
      <w:marBottom w:val="0"/>
      <w:divBdr>
        <w:top w:val="none" w:sz="0" w:space="0" w:color="auto"/>
        <w:left w:val="none" w:sz="0" w:space="0" w:color="auto"/>
        <w:bottom w:val="none" w:sz="0" w:space="0" w:color="auto"/>
        <w:right w:val="none" w:sz="0" w:space="0" w:color="auto"/>
      </w:divBdr>
    </w:div>
    <w:div w:id="1523856374">
      <w:bodyDiv w:val="1"/>
      <w:marLeft w:val="0"/>
      <w:marRight w:val="0"/>
      <w:marTop w:val="0"/>
      <w:marBottom w:val="0"/>
      <w:divBdr>
        <w:top w:val="none" w:sz="0" w:space="0" w:color="auto"/>
        <w:left w:val="none" w:sz="0" w:space="0" w:color="auto"/>
        <w:bottom w:val="none" w:sz="0" w:space="0" w:color="auto"/>
        <w:right w:val="none" w:sz="0" w:space="0" w:color="auto"/>
      </w:divBdr>
    </w:div>
    <w:div w:id="1605649938">
      <w:bodyDiv w:val="1"/>
      <w:marLeft w:val="0"/>
      <w:marRight w:val="0"/>
      <w:marTop w:val="0"/>
      <w:marBottom w:val="0"/>
      <w:divBdr>
        <w:top w:val="none" w:sz="0" w:space="0" w:color="auto"/>
        <w:left w:val="none" w:sz="0" w:space="0" w:color="auto"/>
        <w:bottom w:val="none" w:sz="0" w:space="0" w:color="auto"/>
        <w:right w:val="none" w:sz="0" w:space="0" w:color="auto"/>
      </w:divBdr>
    </w:div>
    <w:div w:id="1606384484">
      <w:bodyDiv w:val="1"/>
      <w:marLeft w:val="0"/>
      <w:marRight w:val="0"/>
      <w:marTop w:val="0"/>
      <w:marBottom w:val="0"/>
      <w:divBdr>
        <w:top w:val="none" w:sz="0" w:space="0" w:color="auto"/>
        <w:left w:val="none" w:sz="0" w:space="0" w:color="auto"/>
        <w:bottom w:val="none" w:sz="0" w:space="0" w:color="auto"/>
        <w:right w:val="none" w:sz="0" w:space="0" w:color="auto"/>
      </w:divBdr>
    </w:div>
    <w:div w:id="1667128537">
      <w:bodyDiv w:val="1"/>
      <w:marLeft w:val="0"/>
      <w:marRight w:val="0"/>
      <w:marTop w:val="0"/>
      <w:marBottom w:val="0"/>
      <w:divBdr>
        <w:top w:val="none" w:sz="0" w:space="0" w:color="auto"/>
        <w:left w:val="none" w:sz="0" w:space="0" w:color="auto"/>
        <w:bottom w:val="none" w:sz="0" w:space="0" w:color="auto"/>
        <w:right w:val="none" w:sz="0" w:space="0" w:color="auto"/>
      </w:divBdr>
    </w:div>
    <w:div w:id="1667247292">
      <w:bodyDiv w:val="1"/>
      <w:marLeft w:val="0"/>
      <w:marRight w:val="0"/>
      <w:marTop w:val="0"/>
      <w:marBottom w:val="0"/>
      <w:divBdr>
        <w:top w:val="none" w:sz="0" w:space="0" w:color="auto"/>
        <w:left w:val="none" w:sz="0" w:space="0" w:color="auto"/>
        <w:bottom w:val="none" w:sz="0" w:space="0" w:color="auto"/>
        <w:right w:val="none" w:sz="0" w:space="0" w:color="auto"/>
      </w:divBdr>
    </w:div>
    <w:div w:id="1807965334">
      <w:bodyDiv w:val="1"/>
      <w:marLeft w:val="0"/>
      <w:marRight w:val="0"/>
      <w:marTop w:val="0"/>
      <w:marBottom w:val="0"/>
      <w:divBdr>
        <w:top w:val="none" w:sz="0" w:space="0" w:color="auto"/>
        <w:left w:val="none" w:sz="0" w:space="0" w:color="auto"/>
        <w:bottom w:val="none" w:sz="0" w:space="0" w:color="auto"/>
        <w:right w:val="none" w:sz="0" w:space="0" w:color="auto"/>
      </w:divBdr>
    </w:div>
    <w:div w:id="1813790258">
      <w:bodyDiv w:val="1"/>
      <w:marLeft w:val="0"/>
      <w:marRight w:val="0"/>
      <w:marTop w:val="0"/>
      <w:marBottom w:val="0"/>
      <w:divBdr>
        <w:top w:val="none" w:sz="0" w:space="0" w:color="auto"/>
        <w:left w:val="none" w:sz="0" w:space="0" w:color="auto"/>
        <w:bottom w:val="none" w:sz="0" w:space="0" w:color="auto"/>
        <w:right w:val="none" w:sz="0" w:space="0" w:color="auto"/>
      </w:divBdr>
    </w:div>
    <w:div w:id="1864394591">
      <w:bodyDiv w:val="1"/>
      <w:marLeft w:val="0"/>
      <w:marRight w:val="0"/>
      <w:marTop w:val="0"/>
      <w:marBottom w:val="0"/>
      <w:divBdr>
        <w:top w:val="none" w:sz="0" w:space="0" w:color="auto"/>
        <w:left w:val="none" w:sz="0" w:space="0" w:color="auto"/>
        <w:bottom w:val="none" w:sz="0" w:space="0" w:color="auto"/>
        <w:right w:val="none" w:sz="0" w:space="0" w:color="auto"/>
      </w:divBdr>
    </w:div>
    <w:div w:id="1924684511">
      <w:bodyDiv w:val="1"/>
      <w:marLeft w:val="0"/>
      <w:marRight w:val="0"/>
      <w:marTop w:val="0"/>
      <w:marBottom w:val="0"/>
      <w:divBdr>
        <w:top w:val="none" w:sz="0" w:space="0" w:color="auto"/>
        <w:left w:val="none" w:sz="0" w:space="0" w:color="auto"/>
        <w:bottom w:val="none" w:sz="0" w:space="0" w:color="auto"/>
        <w:right w:val="none" w:sz="0" w:space="0" w:color="auto"/>
      </w:divBdr>
    </w:div>
    <w:div w:id="1933931020">
      <w:bodyDiv w:val="1"/>
      <w:marLeft w:val="0"/>
      <w:marRight w:val="0"/>
      <w:marTop w:val="0"/>
      <w:marBottom w:val="0"/>
      <w:divBdr>
        <w:top w:val="none" w:sz="0" w:space="0" w:color="auto"/>
        <w:left w:val="none" w:sz="0" w:space="0" w:color="auto"/>
        <w:bottom w:val="none" w:sz="0" w:space="0" w:color="auto"/>
        <w:right w:val="none" w:sz="0" w:space="0" w:color="auto"/>
      </w:divBdr>
    </w:div>
    <w:div w:id="1953434916">
      <w:bodyDiv w:val="1"/>
      <w:marLeft w:val="0"/>
      <w:marRight w:val="0"/>
      <w:marTop w:val="0"/>
      <w:marBottom w:val="0"/>
      <w:divBdr>
        <w:top w:val="none" w:sz="0" w:space="0" w:color="auto"/>
        <w:left w:val="none" w:sz="0" w:space="0" w:color="auto"/>
        <w:bottom w:val="none" w:sz="0" w:space="0" w:color="auto"/>
        <w:right w:val="none" w:sz="0" w:space="0" w:color="auto"/>
      </w:divBdr>
    </w:div>
    <w:div w:id="1973365494">
      <w:bodyDiv w:val="1"/>
      <w:marLeft w:val="0"/>
      <w:marRight w:val="0"/>
      <w:marTop w:val="0"/>
      <w:marBottom w:val="0"/>
      <w:divBdr>
        <w:top w:val="none" w:sz="0" w:space="0" w:color="auto"/>
        <w:left w:val="none" w:sz="0" w:space="0" w:color="auto"/>
        <w:bottom w:val="none" w:sz="0" w:space="0" w:color="auto"/>
        <w:right w:val="none" w:sz="0" w:space="0" w:color="auto"/>
      </w:divBdr>
    </w:div>
    <w:div w:id="2023167580">
      <w:bodyDiv w:val="1"/>
      <w:marLeft w:val="0"/>
      <w:marRight w:val="0"/>
      <w:marTop w:val="0"/>
      <w:marBottom w:val="0"/>
      <w:divBdr>
        <w:top w:val="none" w:sz="0" w:space="0" w:color="auto"/>
        <w:left w:val="none" w:sz="0" w:space="0" w:color="auto"/>
        <w:bottom w:val="none" w:sz="0" w:space="0" w:color="auto"/>
        <w:right w:val="none" w:sz="0" w:space="0" w:color="auto"/>
      </w:divBdr>
    </w:div>
    <w:div w:id="2025814256">
      <w:bodyDiv w:val="1"/>
      <w:marLeft w:val="0"/>
      <w:marRight w:val="0"/>
      <w:marTop w:val="0"/>
      <w:marBottom w:val="0"/>
      <w:divBdr>
        <w:top w:val="none" w:sz="0" w:space="0" w:color="auto"/>
        <w:left w:val="none" w:sz="0" w:space="0" w:color="auto"/>
        <w:bottom w:val="none" w:sz="0" w:space="0" w:color="auto"/>
        <w:right w:val="none" w:sz="0" w:space="0" w:color="auto"/>
      </w:divBdr>
    </w:div>
    <w:div w:id="2090031210">
      <w:bodyDiv w:val="1"/>
      <w:marLeft w:val="0"/>
      <w:marRight w:val="0"/>
      <w:marTop w:val="0"/>
      <w:marBottom w:val="0"/>
      <w:divBdr>
        <w:top w:val="none" w:sz="0" w:space="0" w:color="auto"/>
        <w:left w:val="none" w:sz="0" w:space="0" w:color="auto"/>
        <w:bottom w:val="none" w:sz="0" w:space="0" w:color="auto"/>
        <w:right w:val="none" w:sz="0" w:space="0" w:color="auto"/>
      </w:divBdr>
    </w:div>
    <w:div w:id="2106267930">
      <w:bodyDiv w:val="1"/>
      <w:marLeft w:val="0"/>
      <w:marRight w:val="0"/>
      <w:marTop w:val="0"/>
      <w:marBottom w:val="0"/>
      <w:divBdr>
        <w:top w:val="none" w:sz="0" w:space="0" w:color="auto"/>
        <w:left w:val="none" w:sz="0" w:space="0" w:color="auto"/>
        <w:bottom w:val="none" w:sz="0" w:space="0" w:color="auto"/>
        <w:right w:val="none" w:sz="0" w:space="0" w:color="auto"/>
      </w:divBdr>
    </w:div>
    <w:div w:id="213490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header" Target="header2.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about/service-standards-and-principles/transparency/how-access-commission-documents_ro" TargetMode="External"/><Relationship Id="rId13" Type="http://schemas.openxmlformats.org/officeDocument/2006/relationships/hyperlink" Target="https://www.ombudsman.europa.eu/ro/case/ro/64691" TargetMode="External"/><Relationship Id="rId3" Type="http://schemas.openxmlformats.org/officeDocument/2006/relationships/hyperlink" Target="https://commission.europa.eu/priorities-2024-2029/democracy-and-our-values_ro" TargetMode="External"/><Relationship Id="rId7" Type="http://schemas.openxmlformats.org/officeDocument/2006/relationships/hyperlink" Target="http://data.europa.eu/eli/dec/2024/3080/oj" TargetMode="External"/><Relationship Id="rId12" Type="http://schemas.openxmlformats.org/officeDocument/2006/relationships/hyperlink" Target="https://www.ombudsman.europa.eu/ro/case/ro/66373" TargetMode="External"/><Relationship Id="rId17" Type="http://schemas.openxmlformats.org/officeDocument/2006/relationships/hyperlink" Target="https://www.ombudsman.europa.eu/ro/case/ro/67261" TargetMode="External"/><Relationship Id="rId2" Type="http://schemas.openxmlformats.org/officeDocument/2006/relationships/hyperlink" Target="https://commission.europa.eu/about/organisation/college-commissioners_ro" TargetMode="External"/><Relationship Id="rId16" Type="http://schemas.openxmlformats.org/officeDocument/2006/relationships/hyperlink" Target="https://www.ombudsman.europa.eu/ro/case/ro/68195" TargetMode="External"/><Relationship Id="rId1" Type="http://schemas.openxmlformats.org/officeDocument/2006/relationships/hyperlink" Target="https://commission.europa.eu/document/download/e6cd4328-673c-4e7a-8683-f63ffb2cf648_ro?filename=Political%20Guidelines%202024-2029_RO.pdf" TargetMode="External"/><Relationship Id="rId6" Type="http://schemas.openxmlformats.org/officeDocument/2006/relationships/hyperlink" Target="https://eur-lex.europa.eu/" TargetMode="External"/><Relationship Id="rId11" Type="http://schemas.openxmlformats.org/officeDocument/2006/relationships/hyperlink" Target="https://www.ombudsman.europa.eu/ro/case/ro/65469" TargetMode="External"/><Relationship Id="rId5" Type="http://schemas.openxmlformats.org/officeDocument/2006/relationships/hyperlink" Target="https://commission.europa.eu/about/service-standards-and-principles/transparency/how-access-commission-documents_ro" TargetMode="External"/><Relationship Id="rId15" Type="http://schemas.openxmlformats.org/officeDocument/2006/relationships/hyperlink" Target="https://www.ombudsman.europa.eu/ro/case/ro/67020" TargetMode="External"/><Relationship Id="rId10" Type="http://schemas.openxmlformats.org/officeDocument/2006/relationships/hyperlink" Target="https://www.ombudsman.europa.eu/ro/case/ro/64317" TargetMode="External"/><Relationship Id="rId4" Type="http://schemas.openxmlformats.org/officeDocument/2006/relationships/hyperlink" Target="https://ec.europa.eu/transparency/documents-request/home" TargetMode="External"/><Relationship Id="rId9" Type="http://schemas.openxmlformats.org/officeDocument/2006/relationships/hyperlink" Target="https://ec.europa.eu/transparency/documents-register/" TargetMode="External"/><Relationship Id="rId14" Type="http://schemas.openxmlformats.org/officeDocument/2006/relationships/hyperlink" Target="https://www.ombudsman.europa.eu/ro/case/ro/669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581D7-5AF1-40B1-9EF6-DE6FF7811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12</Pages>
  <Words>1880</Words>
  <Characters>10720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12575</CharactersWithSpaces>
  <SharedDoc>false</SharedDoc>
  <HLinks>
    <vt:vector size="114" baseType="variant">
      <vt:variant>
        <vt:i4>2031667</vt:i4>
      </vt:variant>
      <vt:variant>
        <vt:i4>86</vt:i4>
      </vt:variant>
      <vt:variant>
        <vt:i4>0</vt:i4>
      </vt:variant>
      <vt:variant>
        <vt:i4>5</vt:i4>
      </vt:variant>
      <vt:variant>
        <vt:lpwstr/>
      </vt:variant>
      <vt:variant>
        <vt:lpwstr>_Toc132738343</vt:lpwstr>
      </vt:variant>
      <vt:variant>
        <vt:i4>2031667</vt:i4>
      </vt:variant>
      <vt:variant>
        <vt:i4>80</vt:i4>
      </vt:variant>
      <vt:variant>
        <vt:i4>0</vt:i4>
      </vt:variant>
      <vt:variant>
        <vt:i4>5</vt:i4>
      </vt:variant>
      <vt:variant>
        <vt:lpwstr/>
      </vt:variant>
      <vt:variant>
        <vt:lpwstr>_Toc132738342</vt:lpwstr>
      </vt:variant>
      <vt:variant>
        <vt:i4>2031667</vt:i4>
      </vt:variant>
      <vt:variant>
        <vt:i4>74</vt:i4>
      </vt:variant>
      <vt:variant>
        <vt:i4>0</vt:i4>
      </vt:variant>
      <vt:variant>
        <vt:i4>5</vt:i4>
      </vt:variant>
      <vt:variant>
        <vt:lpwstr/>
      </vt:variant>
      <vt:variant>
        <vt:lpwstr>_Toc132738341</vt:lpwstr>
      </vt:variant>
      <vt:variant>
        <vt:i4>2031667</vt:i4>
      </vt:variant>
      <vt:variant>
        <vt:i4>68</vt:i4>
      </vt:variant>
      <vt:variant>
        <vt:i4>0</vt:i4>
      </vt:variant>
      <vt:variant>
        <vt:i4>5</vt:i4>
      </vt:variant>
      <vt:variant>
        <vt:lpwstr/>
      </vt:variant>
      <vt:variant>
        <vt:lpwstr>_Toc132738340</vt:lpwstr>
      </vt:variant>
      <vt:variant>
        <vt:i4>1572915</vt:i4>
      </vt:variant>
      <vt:variant>
        <vt:i4>62</vt:i4>
      </vt:variant>
      <vt:variant>
        <vt:i4>0</vt:i4>
      </vt:variant>
      <vt:variant>
        <vt:i4>5</vt:i4>
      </vt:variant>
      <vt:variant>
        <vt:lpwstr/>
      </vt:variant>
      <vt:variant>
        <vt:lpwstr>_Toc132738339</vt:lpwstr>
      </vt:variant>
      <vt:variant>
        <vt:i4>1572915</vt:i4>
      </vt:variant>
      <vt:variant>
        <vt:i4>56</vt:i4>
      </vt:variant>
      <vt:variant>
        <vt:i4>0</vt:i4>
      </vt:variant>
      <vt:variant>
        <vt:i4>5</vt:i4>
      </vt:variant>
      <vt:variant>
        <vt:lpwstr/>
      </vt:variant>
      <vt:variant>
        <vt:lpwstr>_Toc132738338</vt:lpwstr>
      </vt:variant>
      <vt:variant>
        <vt:i4>1572915</vt:i4>
      </vt:variant>
      <vt:variant>
        <vt:i4>50</vt:i4>
      </vt:variant>
      <vt:variant>
        <vt:i4>0</vt:i4>
      </vt:variant>
      <vt:variant>
        <vt:i4>5</vt:i4>
      </vt:variant>
      <vt:variant>
        <vt:lpwstr/>
      </vt:variant>
      <vt:variant>
        <vt:lpwstr>_Toc132738337</vt:lpwstr>
      </vt:variant>
      <vt:variant>
        <vt:i4>1572915</vt:i4>
      </vt:variant>
      <vt:variant>
        <vt:i4>44</vt:i4>
      </vt:variant>
      <vt:variant>
        <vt:i4>0</vt:i4>
      </vt:variant>
      <vt:variant>
        <vt:i4>5</vt:i4>
      </vt:variant>
      <vt:variant>
        <vt:lpwstr/>
      </vt:variant>
      <vt:variant>
        <vt:lpwstr>_Toc132738336</vt:lpwstr>
      </vt:variant>
      <vt:variant>
        <vt:i4>1572915</vt:i4>
      </vt:variant>
      <vt:variant>
        <vt:i4>38</vt:i4>
      </vt:variant>
      <vt:variant>
        <vt:i4>0</vt:i4>
      </vt:variant>
      <vt:variant>
        <vt:i4>5</vt:i4>
      </vt:variant>
      <vt:variant>
        <vt:lpwstr/>
      </vt:variant>
      <vt:variant>
        <vt:lpwstr>_Toc132738335</vt:lpwstr>
      </vt:variant>
      <vt:variant>
        <vt:i4>1572915</vt:i4>
      </vt:variant>
      <vt:variant>
        <vt:i4>32</vt:i4>
      </vt:variant>
      <vt:variant>
        <vt:i4>0</vt:i4>
      </vt:variant>
      <vt:variant>
        <vt:i4>5</vt:i4>
      </vt:variant>
      <vt:variant>
        <vt:lpwstr/>
      </vt:variant>
      <vt:variant>
        <vt:lpwstr>_Toc132738334</vt:lpwstr>
      </vt:variant>
      <vt:variant>
        <vt:i4>1572915</vt:i4>
      </vt:variant>
      <vt:variant>
        <vt:i4>26</vt:i4>
      </vt:variant>
      <vt:variant>
        <vt:i4>0</vt:i4>
      </vt:variant>
      <vt:variant>
        <vt:i4>5</vt:i4>
      </vt:variant>
      <vt:variant>
        <vt:lpwstr/>
      </vt:variant>
      <vt:variant>
        <vt:lpwstr>_Toc132738333</vt:lpwstr>
      </vt:variant>
      <vt:variant>
        <vt:i4>1572915</vt:i4>
      </vt:variant>
      <vt:variant>
        <vt:i4>20</vt:i4>
      </vt:variant>
      <vt:variant>
        <vt:i4>0</vt:i4>
      </vt:variant>
      <vt:variant>
        <vt:i4>5</vt:i4>
      </vt:variant>
      <vt:variant>
        <vt:lpwstr/>
      </vt:variant>
      <vt:variant>
        <vt:lpwstr>_Toc132738332</vt:lpwstr>
      </vt:variant>
      <vt:variant>
        <vt:i4>1572915</vt:i4>
      </vt:variant>
      <vt:variant>
        <vt:i4>14</vt:i4>
      </vt:variant>
      <vt:variant>
        <vt:i4>0</vt:i4>
      </vt:variant>
      <vt:variant>
        <vt:i4>5</vt:i4>
      </vt:variant>
      <vt:variant>
        <vt:lpwstr/>
      </vt:variant>
      <vt:variant>
        <vt:lpwstr>_Toc132738331</vt:lpwstr>
      </vt:variant>
      <vt:variant>
        <vt:i4>1572915</vt:i4>
      </vt:variant>
      <vt:variant>
        <vt:i4>8</vt:i4>
      </vt:variant>
      <vt:variant>
        <vt:i4>0</vt:i4>
      </vt:variant>
      <vt:variant>
        <vt:i4>5</vt:i4>
      </vt:variant>
      <vt:variant>
        <vt:lpwstr/>
      </vt:variant>
      <vt:variant>
        <vt:lpwstr>_Toc132738330</vt:lpwstr>
      </vt:variant>
      <vt:variant>
        <vt:i4>1638451</vt:i4>
      </vt:variant>
      <vt:variant>
        <vt:i4>2</vt:i4>
      </vt:variant>
      <vt:variant>
        <vt:i4>0</vt:i4>
      </vt:variant>
      <vt:variant>
        <vt:i4>5</vt:i4>
      </vt:variant>
      <vt:variant>
        <vt:lpwstr/>
      </vt:variant>
      <vt:variant>
        <vt:lpwstr>_Toc132738329</vt:lpwstr>
      </vt:variant>
      <vt:variant>
        <vt:i4>2883668</vt:i4>
      </vt:variant>
      <vt:variant>
        <vt:i4>9</vt:i4>
      </vt:variant>
      <vt:variant>
        <vt:i4>0</vt:i4>
      </vt:variant>
      <vt:variant>
        <vt:i4>5</vt:i4>
      </vt:variant>
      <vt:variant>
        <vt:lpwstr>https://commission.europa.eu/about-european-commission/service-standards-and-principles/transparency/access-documents_en</vt:lpwstr>
      </vt:variant>
      <vt:variant>
        <vt:lpwstr/>
      </vt:variant>
      <vt:variant>
        <vt:i4>6881302</vt:i4>
      </vt:variant>
      <vt:variant>
        <vt:i4>6</vt:i4>
      </vt:variant>
      <vt:variant>
        <vt:i4>0</vt:i4>
      </vt:variant>
      <vt:variant>
        <vt:i4>5</vt:i4>
      </vt:variant>
      <vt:variant>
        <vt:lpwstr>https://commission.europa.eu/about-european-commission/service-standards-and-principles/transparency/access-documents/how-access-commission-documents_en</vt:lpwstr>
      </vt:variant>
      <vt:variant>
        <vt:lpwstr/>
      </vt:variant>
      <vt:variant>
        <vt:i4>8126498</vt:i4>
      </vt:variant>
      <vt:variant>
        <vt:i4>3</vt:i4>
      </vt:variant>
      <vt:variant>
        <vt:i4>0</vt:i4>
      </vt:variant>
      <vt:variant>
        <vt:i4>5</vt:i4>
      </vt:variant>
      <vt:variant>
        <vt:lpwstr>https://www.ec.europa.eu/transparency/documents-request</vt:lpwstr>
      </vt:variant>
      <vt:variant>
        <vt:lpwstr/>
      </vt:variant>
      <vt:variant>
        <vt:i4>8192013</vt:i4>
      </vt:variant>
      <vt:variant>
        <vt:i4>0</vt:i4>
      </vt:variant>
      <vt:variant>
        <vt:i4>0</vt:i4>
      </vt:variant>
      <vt:variant>
        <vt:i4>5</vt:i4>
      </vt:variant>
      <vt:variant>
        <vt:lpwstr>https://commission.europa.eu/strategy-and-policy/priorities-2019-2024/new-push-european-democracy_en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2026-05-04T15:07:00Z</dcterms:created>
  <dcterms:modified xsi:type="dcterms:W3CDTF">2026-06-10T16:06:00Z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2025-02-27T10:53:56Z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b074366e-a599-4e8a-b21c-f4db8fc95b39</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CP-003</vt:lpwstr>
  </property>
</Properties>
</file>