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3FB030" w14:textId="05027954" w:rsidR="001534AC" w:rsidRDefault="00E669C5" w:rsidP="00E669C5">
      <w:pPr>
        <w:pStyle w:val="Pagedecouverture"/>
        <w:rPr>
          <w:noProof/>
        </w:rPr>
      </w:pPr>
      <w:bookmarkStart w:id="0" w:name="_Toc80868900"/>
      <w:bookmarkStart w:id="1" w:name="_Toc145843887"/>
      <w:bookmarkStart w:id="2" w:name="_Toc363735353"/>
      <w:bookmarkStart w:id="3" w:name="_Toc363736950"/>
      <w:bookmarkStart w:id="4" w:name="_Toc363736998"/>
      <w:bookmarkStart w:id="5" w:name="LW_BM_COVERPAGE"/>
      <w:r>
        <w:rPr>
          <w:noProof/>
        </w:rPr>
        <w:pict w14:anchorId="69413D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6E6D294-F191-4F61-88AC-EBAC2C5FC3C5" style="width:455.25pt;height:387pt">
            <v:imagedata r:id="rId11" o:title=""/>
          </v:shape>
        </w:pict>
      </w:r>
    </w:p>
    <w:bookmarkEnd w:id="5"/>
    <w:p w14:paraId="550A892D" w14:textId="3B41B4E6" w:rsidR="00670751" w:rsidRPr="00670751" w:rsidRDefault="00670751" w:rsidP="005A7A5B">
      <w:pPr>
        <w:pStyle w:val="Pagedecouverture"/>
        <w:rPr>
          <w:noProof/>
        </w:rPr>
        <w:sectPr w:rsidR="00670751" w:rsidRPr="00670751" w:rsidSect="00E669C5">
          <w:headerReference w:type="even" r:id="rId12"/>
          <w:headerReference w:type="default" r:id="rId13"/>
          <w:footerReference w:type="even" r:id="rId14"/>
          <w:footerReference w:type="default" r:id="rId15"/>
          <w:headerReference w:type="first" r:id="rId16"/>
          <w:footerReference w:type="first" r:id="rId17"/>
          <w:pgSz w:w="11906" w:h="16838" w:code="9"/>
          <w:pgMar w:top="1134" w:right="1417" w:bottom="1134" w:left="1417" w:header="709" w:footer="709" w:gutter="0"/>
          <w:pgNumType w:start="0"/>
          <w:cols w:space="720"/>
          <w:docGrid w:linePitch="360"/>
        </w:sectPr>
      </w:pPr>
    </w:p>
    <w:p w14:paraId="50D1812E" w14:textId="281888DF" w:rsidR="001C40A8" w:rsidRDefault="00720618" w:rsidP="001C40A8">
      <w:pPr>
        <w:pStyle w:val="Heading1"/>
        <w:numPr>
          <w:ilvl w:val="0"/>
          <w:numId w:val="0"/>
        </w:numPr>
        <w:jc w:val="center"/>
        <w:rPr>
          <w:rFonts w:eastAsia="Arial"/>
          <w:bCs/>
          <w:noProof/>
          <w:u w:val="none"/>
        </w:rPr>
      </w:pPr>
      <w:bookmarkStart w:id="6" w:name="_GoBack"/>
      <w:bookmarkEnd w:id="6"/>
      <w:r>
        <w:rPr>
          <w:noProof/>
          <w:u w:val="none"/>
        </w:rPr>
        <w:lastRenderedPageBreak/>
        <w:t>RAPPORT DE LA COMMISSION AU PARLEMENT EUROPÉEN ET AU CONSEIL</w:t>
      </w:r>
    </w:p>
    <w:p w14:paraId="04D4D33D" w14:textId="77777777" w:rsidR="001C40A8" w:rsidRPr="00901745" w:rsidRDefault="001C40A8" w:rsidP="001C40A8">
      <w:pPr>
        <w:rPr>
          <w:rFonts w:eastAsia="Arial"/>
          <w:noProof/>
          <w:lang w:val="fr-BE"/>
        </w:rPr>
      </w:pPr>
    </w:p>
    <w:p w14:paraId="12272E2C" w14:textId="5D84F5AB" w:rsidR="001C40A8" w:rsidRPr="001C40A8" w:rsidRDefault="001C40A8" w:rsidP="001C40A8">
      <w:pPr>
        <w:pStyle w:val="Heading1"/>
        <w:numPr>
          <w:ilvl w:val="0"/>
          <w:numId w:val="0"/>
        </w:numPr>
        <w:jc w:val="center"/>
        <w:rPr>
          <w:rFonts w:eastAsia="Arial"/>
          <w:bCs/>
          <w:noProof/>
          <w:u w:val="none"/>
        </w:rPr>
      </w:pPr>
      <w:r>
        <w:rPr>
          <w:noProof/>
          <w:u w:val="none"/>
        </w:rPr>
        <w:t>visant à déterminer dans quelle mesure les États membres ont pris les dispositions nécessaires pour se conformer à la directive (UE) 2018/1673 du Parlement européen et du Conseil du 23 octobre 2018 visant à lutter contre le blanchiment de capitaux au moyen du droit pénal</w:t>
      </w:r>
    </w:p>
    <w:p w14:paraId="36DCBFFC" w14:textId="77777777" w:rsidR="001C40A8" w:rsidRPr="00901745" w:rsidRDefault="001C40A8" w:rsidP="001C40A8">
      <w:pPr>
        <w:pStyle w:val="Heading1"/>
        <w:numPr>
          <w:ilvl w:val="0"/>
          <w:numId w:val="0"/>
        </w:numPr>
        <w:ind w:left="432" w:hanging="432"/>
        <w:jc w:val="center"/>
        <w:rPr>
          <w:rFonts w:eastAsia="Arial"/>
          <w:noProof/>
          <w:u w:val="none"/>
          <w:lang w:val="fr-BE"/>
        </w:rPr>
      </w:pPr>
    </w:p>
    <w:p w14:paraId="3B9C9D9C" w14:textId="77777777" w:rsidR="001C40A8" w:rsidRPr="001C40A8" w:rsidRDefault="001C40A8" w:rsidP="001C40A8">
      <w:pPr>
        <w:rPr>
          <w:rFonts w:eastAsia="Arial"/>
          <w:noProof/>
        </w:rPr>
      </w:pPr>
    </w:p>
    <w:p w14:paraId="22B5392F" w14:textId="20B0BA03" w:rsidR="00376697" w:rsidRPr="00CD053B" w:rsidRDefault="00376697" w:rsidP="00376697">
      <w:pPr>
        <w:pStyle w:val="Heading1"/>
        <w:rPr>
          <w:rFonts w:eastAsia="Arial"/>
          <w:noProof/>
          <w:u w:val="none"/>
        </w:rPr>
      </w:pPr>
      <w:r>
        <w:rPr>
          <w:noProof/>
          <w:u w:val="none"/>
        </w:rPr>
        <w:t xml:space="preserve">INTRODUCTION </w:t>
      </w:r>
    </w:p>
    <w:p w14:paraId="47CB63F0" w14:textId="77777777" w:rsidR="00376697" w:rsidRPr="00361957" w:rsidRDefault="00376697" w:rsidP="00376697">
      <w:pPr>
        <w:jc w:val="both"/>
        <w:rPr>
          <w:rFonts w:eastAsia="Arial"/>
          <w:noProof/>
        </w:rPr>
      </w:pPr>
    </w:p>
    <w:p w14:paraId="4FC8CE3F" w14:textId="1EA7FD85" w:rsidR="00376697" w:rsidRDefault="00376697" w:rsidP="001F2AF4">
      <w:pPr>
        <w:jc w:val="both"/>
        <w:rPr>
          <w:rFonts w:eastAsia="Arial"/>
          <w:noProof/>
        </w:rPr>
      </w:pPr>
      <w:r>
        <w:rPr>
          <w:noProof/>
        </w:rPr>
        <w:t>La directive (UE) 2018/1673 visant à lutter contre le blanchiment de capitaux au moyen du droit pénal (ci-après la «directive») est entrée en vigueur le 2 décembre 2018. Les 25 États membres de l’UE</w:t>
      </w:r>
      <w:r>
        <w:rPr>
          <w:rFonts w:eastAsia="Arial"/>
          <w:noProof/>
          <w:vertAlign w:val="superscript"/>
        </w:rPr>
        <w:footnoteReference w:id="2"/>
      </w:r>
      <w:r>
        <w:rPr>
          <w:noProof/>
        </w:rPr>
        <w:t xml:space="preserve"> liés par la directive (c.-à-d. tous les États membres à l’exception du Danemark et de l’Irlande) étaient tenus de mettre en vigueur les dispositions législatives, réglementaires et administratives nécessaires pour se conformer à ladite directive au plus tard le 3 décembre 2020. </w:t>
      </w:r>
    </w:p>
    <w:p w14:paraId="711C7BE5" w14:textId="77777777" w:rsidR="00376697" w:rsidRDefault="00376697" w:rsidP="001F2AF4">
      <w:pPr>
        <w:jc w:val="both"/>
        <w:rPr>
          <w:rFonts w:eastAsia="Arial"/>
          <w:noProof/>
        </w:rPr>
      </w:pPr>
    </w:p>
    <w:p w14:paraId="62B6FCE0" w14:textId="60A32866" w:rsidR="00376697" w:rsidRDefault="00376697" w:rsidP="001F2AF4">
      <w:pPr>
        <w:jc w:val="both"/>
        <w:rPr>
          <w:rFonts w:eastAsia="Arial"/>
          <w:noProof/>
        </w:rPr>
      </w:pPr>
      <w:r>
        <w:rPr>
          <w:noProof/>
        </w:rPr>
        <w:t>Conformément à l’article 14, paragraphe 1, de la directive, le présent rapport évalue dans quelle mesure les États membres ont pris les dispositions nécessaires pour se conformer à la directive. Le présent rapport est présenté en annexe du rapport prévu à l’article 14, paragraphe 2, de la directive, évaluant la valeur ajoutée de la directive.</w:t>
      </w:r>
    </w:p>
    <w:p w14:paraId="59F619AA" w14:textId="77777777" w:rsidR="001F2AF4" w:rsidRPr="001F2AF4" w:rsidRDefault="001F2AF4" w:rsidP="001F2AF4">
      <w:pPr>
        <w:jc w:val="both"/>
        <w:rPr>
          <w:rStyle w:val="FootnoteReference"/>
          <w:rFonts w:eastAsia="Arial"/>
          <w:noProof/>
          <w:vertAlign w:val="baseline"/>
        </w:rPr>
      </w:pPr>
    </w:p>
    <w:p w14:paraId="153D1A5E" w14:textId="4344B87C" w:rsidR="00376697" w:rsidRDefault="00376697" w:rsidP="001F2AF4">
      <w:pPr>
        <w:jc w:val="both"/>
        <w:rPr>
          <w:rFonts w:eastAsia="Arial"/>
          <w:noProof/>
        </w:rPr>
      </w:pPr>
      <w:r>
        <w:rPr>
          <w:noProof/>
        </w:rPr>
        <w:t xml:space="preserve">Cette analyse se fonde sur les informations communiquées par les États membres à la Commission européenne jusqu’au 20 octobre 2025, ainsi que sur une étude externe. </w:t>
      </w:r>
    </w:p>
    <w:p w14:paraId="17E1144C" w14:textId="77777777" w:rsidR="00376697" w:rsidRDefault="00376697" w:rsidP="001F2AF4">
      <w:pPr>
        <w:jc w:val="both"/>
        <w:rPr>
          <w:rFonts w:eastAsia="Arial"/>
          <w:noProof/>
        </w:rPr>
      </w:pPr>
    </w:p>
    <w:p w14:paraId="4FFEC946" w14:textId="5505F24F" w:rsidR="00376697" w:rsidRDefault="00376697" w:rsidP="001F2AF4">
      <w:pPr>
        <w:jc w:val="both"/>
        <w:rPr>
          <w:rFonts w:eastAsia="Arial"/>
          <w:noProof/>
        </w:rPr>
      </w:pPr>
      <w:r>
        <w:rPr>
          <w:noProof/>
        </w:rPr>
        <w:t>La directive énonce des définitions communes des infractions et sanctions pénales en vigueur dans les États membres de l’UE qui visent à lutter contre le blanchiment de capitaux, afin de faciliter la coopération policière et judiciaire et d’empêcher les criminels d’exploiter des systèmes nationaux moins stricts. Le blanchiment de produits illicites étant un élément central indispensable pour la criminalité organisée, la directive contribue à affaiblir la base financière des réseaux criminels et soutient les efforts visant à démanteler ces derniers. La directive exige des États membres qu’ils érigent en infractions pénales, lorsqu’ils sont intentionnels, la conversion ou le transfert de biens dont on sait qu’ils proviennent d’une activité criminelle, le fait de dissimuler ou de déguiser la nature, l’origine, l’emplacement, le mouvement ou la propriété réels desdits biens, ainsi que l’acquisition, la détention ou l’utilisation de tels biens. La directive autorise aussi les États membres à étendre l’infraction de blanchiment de capitaux aux cas de figure dans lesquels l’auteur de l’infraction «soupçonnait ou aurait dû savoir» que les biens provenaient d’une activité criminelle. Elle oblige les États membres à introduire des circonstances aggravantes (p. ex., l’implication d’une organisation criminelle ou le blanchiment au moyen d’activités professionnelles) et exige que les sanctions soient effectives, proportionnées et dissuasives, et comprennent une peine d’emprisonnement maximale d’au moins quatre ans, tout en étant assorties, le cas échéant, de mesures de responsabilité des personnes morales. Elle prévoit des règles en matière de compétence et l’obligation de geler et de confisquer les produits et instruments du crime, et oblige les États membres à disposer d’outils d’enquête efficaces pour enquêter sur le blanchiment de capitaux.</w:t>
      </w:r>
    </w:p>
    <w:p w14:paraId="3580D543" w14:textId="77777777" w:rsidR="009759B6" w:rsidRPr="00642B65" w:rsidRDefault="009759B6" w:rsidP="001F2AF4">
      <w:pPr>
        <w:jc w:val="both"/>
        <w:rPr>
          <w:rFonts w:ascii="Aptos" w:eastAsia="Aptos" w:hAnsi="Aptos" w:cs="Aptos"/>
          <w:noProof/>
        </w:rPr>
      </w:pPr>
    </w:p>
    <w:p w14:paraId="18C799F5" w14:textId="019EEB5F" w:rsidR="00376697" w:rsidRDefault="00376697" w:rsidP="001F2AF4">
      <w:pPr>
        <w:jc w:val="both"/>
        <w:rPr>
          <w:rFonts w:eastAsia="Arial"/>
          <w:noProof/>
        </w:rPr>
      </w:pPr>
      <w:r>
        <w:rPr>
          <w:noProof/>
        </w:rPr>
        <w:t xml:space="preserve">Le rapport indique que les États membres ont déployé des efforts considérables pour garantir le bon alignement des législations nationales sur les dispositions de la directive, certaines incohérences et lacunes apparentes ayant été détectées dans un petit nombre d’États membres. </w:t>
      </w:r>
    </w:p>
    <w:p w14:paraId="56522667" w14:textId="77777777" w:rsidR="00376697" w:rsidRPr="00901745" w:rsidRDefault="00376697" w:rsidP="001F2AF4">
      <w:pPr>
        <w:jc w:val="both"/>
        <w:rPr>
          <w:rFonts w:eastAsia="Arial"/>
          <w:noProof/>
          <w:lang w:val="fr-BE"/>
        </w:rPr>
      </w:pPr>
    </w:p>
    <w:p w14:paraId="2C90F680" w14:textId="3DB2F6E4" w:rsidR="42166614" w:rsidRDefault="42166614" w:rsidP="027FFAE9">
      <w:pPr>
        <w:jc w:val="both"/>
        <w:rPr>
          <w:rFonts w:eastAsia="Arial"/>
          <w:noProof/>
        </w:rPr>
      </w:pPr>
      <w:r>
        <w:rPr>
          <w:noProof/>
        </w:rPr>
        <w:t xml:space="preserve">Outre l’analyse fournie par le présent rapport sur la base des informations communiquées à ce jour à la Commission, il est possible qu’il existe des problèmes supplémentaires, non communiqués à la Commission, dans certaines mesures de transposition et d’autres dispositions, ainsi que dans d’autres évolutions législatives et non législatives ayant une incidence sur la transposition. C’est pourquoi le présent rapport ne devrait pas empêcher la Commission de continuer à évaluer la transposition et la mise en œuvre de la directive dans les États membres. </w:t>
      </w:r>
    </w:p>
    <w:p w14:paraId="75B306A4" w14:textId="25DA1BF0" w:rsidR="008A6C56" w:rsidRDefault="008A6C56" w:rsidP="00C84542">
      <w:pPr>
        <w:jc w:val="both"/>
        <w:rPr>
          <w:b/>
          <w:noProof/>
        </w:rPr>
      </w:pPr>
      <w:bookmarkStart w:id="7" w:name="_Toc231183026"/>
      <w:bookmarkStart w:id="8" w:name="_Toc478487211"/>
      <w:bookmarkStart w:id="9" w:name="_Toc487557394"/>
      <w:bookmarkStart w:id="10" w:name="_Toc487557540"/>
      <w:bookmarkEnd w:id="0"/>
      <w:bookmarkEnd w:id="1"/>
      <w:bookmarkEnd w:id="2"/>
      <w:bookmarkEnd w:id="3"/>
      <w:bookmarkEnd w:id="4"/>
    </w:p>
    <w:p w14:paraId="7012BC88" w14:textId="22B6B935" w:rsidR="00CC7A31" w:rsidRPr="00CD053B" w:rsidRDefault="007831DE" w:rsidP="00C84542">
      <w:pPr>
        <w:pStyle w:val="Heading1"/>
        <w:rPr>
          <w:noProof/>
          <w:u w:val="none"/>
        </w:rPr>
      </w:pPr>
      <w:r>
        <w:rPr>
          <w:noProof/>
          <w:u w:val="none"/>
        </w:rPr>
        <w:t>CONFORMITÉ DE LA TRANSPOSITION DE LA DIRECTIVE, DISPOSITION PAR DISPOSITION</w:t>
      </w:r>
    </w:p>
    <w:p w14:paraId="19D7B075" w14:textId="77777777" w:rsidR="00175B64" w:rsidRPr="00361957" w:rsidRDefault="00175B64" w:rsidP="0029250C">
      <w:pPr>
        <w:jc w:val="both"/>
        <w:rPr>
          <w:noProof/>
          <w:u w:val="single"/>
        </w:rPr>
      </w:pPr>
    </w:p>
    <w:p w14:paraId="35F3F00D" w14:textId="1207D844" w:rsidR="00C252BE" w:rsidRDefault="00C252BE" w:rsidP="000B3791">
      <w:pPr>
        <w:jc w:val="both"/>
        <w:rPr>
          <w:noProof/>
        </w:rPr>
      </w:pPr>
      <w:bookmarkStart w:id="11" w:name="_Toc106282983"/>
      <w:bookmarkStart w:id="12" w:name="_Toc110247385"/>
      <w:r>
        <w:rPr>
          <w:noProof/>
        </w:rPr>
        <w:t xml:space="preserve">Le présent chapitre examine la transposition en droit national de la directive par les États membres, évaluant, article par article, le caractère complet des dispositions législatives et réglementaires nationales et leur conformité avec les exigences de la directive. </w:t>
      </w:r>
    </w:p>
    <w:p w14:paraId="37F66C9C" w14:textId="77777777" w:rsidR="001F2AF4" w:rsidRDefault="001F2AF4" w:rsidP="001F2AF4">
      <w:pPr>
        <w:rPr>
          <w:noProof/>
          <w:lang w:eastAsia="en-US"/>
        </w:rPr>
      </w:pPr>
    </w:p>
    <w:p w14:paraId="02994682" w14:textId="0C82869D" w:rsidR="00175B64" w:rsidRPr="00361957" w:rsidRDefault="00175B64" w:rsidP="00C84542">
      <w:pPr>
        <w:pStyle w:val="Heading2"/>
        <w:rPr>
          <w:noProof/>
        </w:rPr>
      </w:pPr>
      <w:r>
        <w:rPr>
          <w:noProof/>
        </w:rPr>
        <w:t>Article 2 – Définitions</w:t>
      </w:r>
      <w:bookmarkEnd w:id="11"/>
      <w:bookmarkEnd w:id="12"/>
      <w:r>
        <w:rPr>
          <w:noProof/>
        </w:rPr>
        <w:t xml:space="preserve"> (notamment des infractions principales)</w:t>
      </w:r>
    </w:p>
    <w:p w14:paraId="035BE80D" w14:textId="77777777" w:rsidR="00627297" w:rsidRPr="00361957" w:rsidRDefault="00627297" w:rsidP="0029250C">
      <w:pPr>
        <w:jc w:val="both"/>
        <w:rPr>
          <w:noProof/>
        </w:rPr>
      </w:pPr>
    </w:p>
    <w:p w14:paraId="7ED9CC52" w14:textId="1E845134" w:rsidR="00C54587" w:rsidRPr="00361957" w:rsidRDefault="00216DF0" w:rsidP="00100A7F">
      <w:pPr>
        <w:jc w:val="both"/>
        <w:rPr>
          <w:rFonts w:eastAsia="Arial"/>
          <w:noProof/>
        </w:rPr>
      </w:pPr>
      <w:r>
        <w:rPr>
          <w:noProof/>
        </w:rPr>
        <w:t>L’article 2 contient trois définitions. L’</w:t>
      </w:r>
      <w:r>
        <w:rPr>
          <w:b/>
          <w:noProof/>
        </w:rPr>
        <w:t>article 2, point 1</w:t>
      </w:r>
      <w:r>
        <w:rPr>
          <w:noProof/>
        </w:rPr>
        <w:t>, définit l’</w:t>
      </w:r>
      <w:r>
        <w:rPr>
          <w:b/>
          <w:noProof/>
        </w:rPr>
        <w:t>«activité criminelle»</w:t>
      </w:r>
      <w:r>
        <w:rPr>
          <w:noProof/>
        </w:rPr>
        <w:t xml:space="preserve"> comme tout type d’infraction passible d’une peine d’emprisonnement d’une durée maximale supérieure à un an, ou, si aucune peine maximale n’est prescrite, tout type d’infraction passible d’une peine d’emprisonnement d’une durée minimale supérieure à six mois. Les infractions constituant une activité criminelle doivent être considérées comme des infractions principales lorsqu’il est question de blanchiment de capitaux, ce qui signifie que les États membres doivent, au minimum, ériger en infraction pénale le blanchiment de capitaux portant sur des biens provenant de ces infractions.</w:t>
      </w:r>
    </w:p>
    <w:p w14:paraId="652128AF" w14:textId="77777777" w:rsidR="00B57A69" w:rsidRDefault="00B57A69" w:rsidP="00100A7F">
      <w:pPr>
        <w:jc w:val="both"/>
        <w:rPr>
          <w:rFonts w:eastAsia="Arial"/>
          <w:noProof/>
        </w:rPr>
      </w:pPr>
    </w:p>
    <w:p w14:paraId="4422A30E" w14:textId="293BE726" w:rsidR="00D74119" w:rsidRPr="00E44128" w:rsidRDefault="00414E49" w:rsidP="00100A7F">
      <w:pPr>
        <w:jc w:val="both"/>
        <w:rPr>
          <w:rFonts w:eastAsia="Arial"/>
          <w:noProof/>
        </w:rPr>
      </w:pPr>
      <w:r>
        <w:rPr>
          <w:noProof/>
        </w:rPr>
        <w:t>En outre, quels que soient les seuils de peine, les États membres sont, en tout état de cause, tenus d’inclure un éventail d’infractions relevant de chacune des 22 catégories d’infractions énumérées à l’article 2, point 1 (y compris les infractions ayant fait l’objet d’une harmonisation au niveau de l’UE)</w:t>
      </w:r>
      <w:r>
        <w:rPr>
          <w:rStyle w:val="FootnoteReference"/>
          <w:noProof/>
          <w:lang w:val="en-IE"/>
        </w:rPr>
        <w:footnoteReference w:id="3"/>
      </w:r>
      <w:r>
        <w:rPr>
          <w:noProof/>
        </w:rPr>
        <w:t xml:space="preserve">. </w:t>
      </w:r>
    </w:p>
    <w:p w14:paraId="7FD635FC" w14:textId="77777777" w:rsidR="00B57A69" w:rsidRPr="00901745" w:rsidRDefault="00B57A69" w:rsidP="00100A7F">
      <w:pPr>
        <w:jc w:val="both"/>
        <w:rPr>
          <w:noProof/>
          <w:lang w:val="fr-BE"/>
        </w:rPr>
      </w:pPr>
    </w:p>
    <w:p w14:paraId="57E205F2" w14:textId="0672F1A8" w:rsidR="00C11FE9" w:rsidRDefault="004332A2" w:rsidP="00100A7F">
      <w:pPr>
        <w:jc w:val="both"/>
        <w:rPr>
          <w:rFonts w:eastAsia="Arial"/>
          <w:noProof/>
        </w:rPr>
      </w:pPr>
      <w:r>
        <w:rPr>
          <w:noProof/>
        </w:rPr>
        <w:t>Une grande majorité des États membres liés par la directive sont allés au-delà de celle-ci en adoptant une approche globale en matière de criminalité, selon laquelle toute infraction pénale peut constituer une infraction principale en matière de blanchiment de capitaux. Cinq États membres (</w:t>
      </w:r>
      <w:r>
        <w:rPr>
          <w:b/>
          <w:noProof/>
        </w:rPr>
        <w:t>France, Pays-Bas, Luxembourg, Portugal et Autriche</w:t>
      </w:r>
      <w:r>
        <w:rPr>
          <w:noProof/>
        </w:rPr>
        <w:t xml:space="preserve">) désignent des catégories spécifiques d’infractions pénales susceptibles de représenter des infractions principales en matière de blanchiment de capitaux. </w:t>
      </w:r>
    </w:p>
    <w:p w14:paraId="00CEE61A" w14:textId="4437E963" w:rsidR="000B1EC5" w:rsidRDefault="000B1EC5" w:rsidP="00100A7F">
      <w:pPr>
        <w:jc w:val="both"/>
        <w:rPr>
          <w:rFonts w:eastAsia="Arial"/>
          <w:noProof/>
        </w:rPr>
      </w:pPr>
      <w:r>
        <w:rPr>
          <w:noProof/>
        </w:rPr>
        <w:t xml:space="preserve"> </w:t>
      </w:r>
      <w:r>
        <w:rPr>
          <w:noProof/>
        </w:rPr>
        <w:br/>
      </w:r>
      <w:r>
        <w:rPr>
          <w:b/>
          <w:noProof/>
        </w:rPr>
        <w:t>Tous les États membres</w:t>
      </w:r>
      <w:r>
        <w:rPr>
          <w:noProof/>
        </w:rPr>
        <w:t xml:space="preserve"> ont transposé correctement la définition de l’activité criminelle figurant à l’article 2, point 1. </w:t>
      </w:r>
    </w:p>
    <w:p w14:paraId="270A3B7C" w14:textId="77777777" w:rsidR="00E126EA" w:rsidRDefault="00E126EA" w:rsidP="00100A7F">
      <w:pPr>
        <w:jc w:val="both"/>
        <w:rPr>
          <w:rFonts w:eastAsia="Arial"/>
          <w:noProof/>
        </w:rPr>
      </w:pPr>
    </w:p>
    <w:p w14:paraId="14D4A682" w14:textId="7D982F82" w:rsidR="000B1EC5" w:rsidRDefault="00E126EA" w:rsidP="00100A7F">
      <w:pPr>
        <w:jc w:val="both"/>
        <w:rPr>
          <w:noProof/>
        </w:rPr>
      </w:pPr>
      <w:r>
        <w:rPr>
          <w:noProof/>
        </w:rPr>
        <w:t>L’</w:t>
      </w:r>
      <w:r>
        <w:rPr>
          <w:b/>
          <w:noProof/>
        </w:rPr>
        <w:t>article 2, point 2,</w:t>
      </w:r>
      <w:r>
        <w:rPr>
          <w:noProof/>
        </w:rPr>
        <w:t xml:space="preserve"> fournit une définition large des </w:t>
      </w:r>
      <w:r>
        <w:rPr>
          <w:b/>
          <w:noProof/>
        </w:rPr>
        <w:t>«biens»</w:t>
      </w:r>
      <w:r>
        <w:rPr>
          <w:noProof/>
        </w:rPr>
        <w:t xml:space="preserve"> susceptibles de faire l’objet d’une infraction de blanchiment de capitaux. À cet égard, les biens sont définis comme étant les actifs de toute nature, corporels ou incorporels, meubles ou immeubles, tangibles ou intangibles, ainsi que les documents ou instruments juridiques, sous quelque forme que ce soit, y compris électronique ou numérique, attestant la propriété de ces actifs ou de droits y afférents. Si les États membres n’ont pas spécifiquement transposé le terme «biens» dans leur législation relative au blanchiment de capitaux, ils prévoient souvent des définitions dans d’autres textes juridiques, qui servent aussi aux fins de définir les objets du blanchiment de capitaux, de manière à se conformer à cette disposition. </w:t>
      </w:r>
    </w:p>
    <w:p w14:paraId="4CF095DF" w14:textId="77777777" w:rsidR="000B1EC5" w:rsidRDefault="000B1EC5" w:rsidP="00100A7F">
      <w:pPr>
        <w:jc w:val="both"/>
        <w:rPr>
          <w:noProof/>
        </w:rPr>
      </w:pPr>
    </w:p>
    <w:p w14:paraId="2F2CBA04" w14:textId="688685B7" w:rsidR="000B1EC5" w:rsidRDefault="000B1EC5" w:rsidP="00100A7F">
      <w:pPr>
        <w:jc w:val="both"/>
        <w:rPr>
          <w:noProof/>
        </w:rPr>
      </w:pPr>
      <w:r>
        <w:rPr>
          <w:b/>
          <w:noProof/>
        </w:rPr>
        <w:t>Si 23 États membres ont transposé</w:t>
      </w:r>
      <w:r>
        <w:rPr>
          <w:noProof/>
        </w:rPr>
        <w:t xml:space="preserve"> la définition des biens figurant à l’article 2, point 2, il apparaît que la législation en </w:t>
      </w:r>
      <w:r>
        <w:rPr>
          <w:b/>
          <w:noProof/>
        </w:rPr>
        <w:t xml:space="preserve">Allemagne et en Autriche </w:t>
      </w:r>
      <w:r>
        <w:rPr>
          <w:noProof/>
        </w:rPr>
        <w:t xml:space="preserve">ne considère pas les </w:t>
      </w:r>
      <w:bookmarkStart w:id="13" w:name="_Hlk223604326"/>
      <w:r>
        <w:rPr>
          <w:noProof/>
        </w:rPr>
        <w:t>économies de coûts (telles que les impôts éludés grâce à la commission d’une infraction fiscale) comme des biens susceptibles de faire l’objet d’un blanchiment de capitaux</w:t>
      </w:r>
      <w:bookmarkEnd w:id="13"/>
      <w:r>
        <w:rPr>
          <w:noProof/>
        </w:rPr>
        <w:t xml:space="preserve">. En substance, l’article 165, paragraphe 6, du code pénal autrichien exclut du champ d’application du blanchiment de capitaux les simples économies que constituent, par exemple, les pertes non réalisées, les abandons de créances ou encore les dépenses et charges évitées. Cela empêche les autorités autrichiennes de considérer qu’il y a infraction de blanchiment de capitaux lorsque l’argent économisé illégalement en ne payant pas l’impôt est ensuite blanchi. Dans l’ancienne version de l’article 261, paragraphe 5, du code pénal allemand, les économies de coûts à la suite d’une fraude fiscale étaient explicitement incluses dans le champ d’application du blanchiment de capitaux. Après une réforme, en 2021, ce paragraphe a été supprimé, ce qui a eu pour conséquence d’exclure dudit champ d’application les économies de coûts. En conséquence, ces deux juridictions semblent considérer que seuls les biens représentant une augmentation concrète du patrimoine d’une personne, par exemple de l’argent tiré d’une infraction liée au trafic de drogue ou découlant d’un abattement fiscal, peuvent faire l’objet d’une infraction de blanchiment de capitaux. Toutefois, la définition large des biens figurant dans la directive couvre tous les types de biens, y compris les économies de coûts, même si elles ne sont pas explicitement mentionnées. </w:t>
      </w:r>
    </w:p>
    <w:p w14:paraId="34271BC3" w14:textId="77777777" w:rsidR="000B1EC5" w:rsidRDefault="000B1EC5" w:rsidP="00100A7F">
      <w:pPr>
        <w:jc w:val="both"/>
        <w:rPr>
          <w:noProof/>
        </w:rPr>
      </w:pPr>
    </w:p>
    <w:p w14:paraId="150B096E" w14:textId="112E88C5" w:rsidR="00175B64" w:rsidRPr="00C84542" w:rsidRDefault="00E126EA" w:rsidP="00100A7F">
      <w:pPr>
        <w:jc w:val="both"/>
        <w:rPr>
          <w:noProof/>
        </w:rPr>
      </w:pPr>
      <w:r>
        <w:rPr>
          <w:noProof/>
        </w:rPr>
        <w:t>L’</w:t>
      </w:r>
      <w:r>
        <w:rPr>
          <w:b/>
          <w:noProof/>
        </w:rPr>
        <w:t>article 2, point 3,</w:t>
      </w:r>
      <w:r>
        <w:rPr>
          <w:noProof/>
        </w:rPr>
        <w:t xml:space="preserve"> définit comme étant une </w:t>
      </w:r>
      <w:r>
        <w:rPr>
          <w:b/>
          <w:noProof/>
        </w:rPr>
        <w:t>«personne morale»</w:t>
      </w:r>
      <w:r>
        <w:rPr>
          <w:noProof/>
        </w:rPr>
        <w:t xml:space="preserve"> toute entité dotée de la personnalité juridique en vertu du droit applicable, exception faite des États ou des entités publiques dans l’exercice de leurs prérogatives de puissance publique et des organisations internationales publiques. De la même façon que pour le terme «biens», de nombreux États membres définissent la «personne morale» dans d’autres actes législatifs, qui s’appliquent aussi aux infractions de blanchiment de capitaux. Cela est conforme à la directive.</w:t>
      </w:r>
    </w:p>
    <w:p w14:paraId="3C9C60A1" w14:textId="73C35C48" w:rsidR="00CF7FC5" w:rsidRPr="00E44128" w:rsidRDefault="00CF7FC5" w:rsidP="00100A7F">
      <w:pPr>
        <w:pStyle w:val="MBT"/>
        <w:rPr>
          <w:noProof/>
        </w:rPr>
      </w:pPr>
      <w:bookmarkStart w:id="14" w:name="_Toc106282984"/>
      <w:bookmarkStart w:id="15" w:name="_Toc110247386"/>
    </w:p>
    <w:p w14:paraId="5633C45F" w14:textId="77777777" w:rsidR="00175B64" w:rsidRPr="00E44128" w:rsidRDefault="00175B64" w:rsidP="000B3791">
      <w:pPr>
        <w:pStyle w:val="Heading2"/>
        <w:jc w:val="both"/>
        <w:rPr>
          <w:noProof/>
        </w:rPr>
      </w:pPr>
      <w:r>
        <w:rPr>
          <w:noProof/>
        </w:rPr>
        <w:t>Article 3 – Infractions de blanchiment de capitaux</w:t>
      </w:r>
      <w:bookmarkEnd w:id="14"/>
      <w:bookmarkEnd w:id="15"/>
    </w:p>
    <w:p w14:paraId="1B016015" w14:textId="77777777" w:rsidR="016A060A" w:rsidRPr="00E44128" w:rsidRDefault="016A060A" w:rsidP="00100A7F">
      <w:pPr>
        <w:jc w:val="both"/>
        <w:rPr>
          <w:noProof/>
        </w:rPr>
      </w:pPr>
    </w:p>
    <w:p w14:paraId="372BAD32" w14:textId="09B96B76" w:rsidR="00343112" w:rsidRDefault="00175B64" w:rsidP="00100A7F">
      <w:pPr>
        <w:jc w:val="both"/>
        <w:rPr>
          <w:noProof/>
        </w:rPr>
      </w:pPr>
      <w:r>
        <w:rPr>
          <w:noProof/>
        </w:rPr>
        <w:t>L’</w:t>
      </w:r>
      <w:r>
        <w:rPr>
          <w:b/>
          <w:noProof/>
        </w:rPr>
        <w:t>article 3, paragraphe 1,</w:t>
      </w:r>
      <w:r>
        <w:rPr>
          <w:noProof/>
        </w:rPr>
        <w:t xml:space="preserve"> impose aux États membres d’ériger en infractions pénales a) la conversion ou le transfert de biens, b) le fait de dissimuler ou de déguiser différentes caractéristiques des biens, et c) l’acquisition, la détention ou l’utilisation de biens, dans la mesure où celui qui s’y livre sait qu’ils proviennent d’une activité criminelle. </w:t>
      </w:r>
    </w:p>
    <w:p w14:paraId="1181940A" w14:textId="77777777" w:rsidR="00E454F2" w:rsidRDefault="00E454F2" w:rsidP="00100A7F">
      <w:pPr>
        <w:jc w:val="both"/>
        <w:rPr>
          <w:noProof/>
        </w:rPr>
      </w:pPr>
    </w:p>
    <w:p w14:paraId="49B0425A" w14:textId="2C42B2FA" w:rsidR="00E454F2" w:rsidRDefault="00D45640" w:rsidP="00100A7F">
      <w:pPr>
        <w:jc w:val="both"/>
        <w:rPr>
          <w:noProof/>
        </w:rPr>
      </w:pPr>
      <w:r>
        <w:rPr>
          <w:b/>
          <w:noProof/>
        </w:rPr>
        <w:t>Les États membres</w:t>
      </w:r>
      <w:r>
        <w:rPr>
          <w:noProof/>
        </w:rPr>
        <w:t xml:space="preserve"> ont transposé cette disposition de différentes manières. Sept États membres (</w:t>
      </w:r>
      <w:r>
        <w:rPr>
          <w:b/>
          <w:noProof/>
        </w:rPr>
        <w:t>Bulgarie, République tchèque, Grèce, Finlande, Hongrie, Pologne</w:t>
      </w:r>
      <w:r>
        <w:rPr>
          <w:noProof/>
        </w:rPr>
        <w:t xml:space="preserve"> et</w:t>
      </w:r>
      <w:r>
        <w:rPr>
          <w:b/>
          <w:noProof/>
        </w:rPr>
        <w:t xml:space="preserve"> Roumanie)</w:t>
      </w:r>
      <w:r>
        <w:rPr>
          <w:noProof/>
        </w:rPr>
        <w:t xml:space="preserve"> ont transposé indirectement l’élément d’intention en s’appuyant sur les principes généraux du droit pénal, qui disposent qu’une infraction n’est caractérisée que si l’élément d’intention est présent. Les États membres restants ont explicitement inclus l’élément d’intention dans leurs dispositions nationales érigeant le blanchiment de capitaux en infraction pénale.</w:t>
      </w:r>
    </w:p>
    <w:p w14:paraId="21A017D4" w14:textId="77777777" w:rsidR="00B57A69" w:rsidRDefault="00B57A69" w:rsidP="00100A7F">
      <w:pPr>
        <w:jc w:val="both"/>
        <w:rPr>
          <w:noProof/>
        </w:rPr>
      </w:pPr>
    </w:p>
    <w:p w14:paraId="0D590B89" w14:textId="6496038E" w:rsidR="00DC5739" w:rsidRPr="00E44128" w:rsidRDefault="00175B64" w:rsidP="00100A7F">
      <w:pPr>
        <w:jc w:val="both"/>
        <w:rPr>
          <w:noProof/>
        </w:rPr>
      </w:pPr>
      <w:r>
        <w:rPr>
          <w:noProof/>
        </w:rPr>
        <w:t>L’</w:t>
      </w:r>
      <w:r>
        <w:rPr>
          <w:b/>
          <w:noProof/>
        </w:rPr>
        <w:t>article 3, paragraphe 2,</w:t>
      </w:r>
      <w:r>
        <w:rPr>
          <w:noProof/>
        </w:rPr>
        <w:t xml:space="preserve"> donne, en outre, aux États membres la possibilité de criminaliser le blanchiment de capitaux lorsqu’ils considèrent que l’auteur de l’infraction, qui soutient ne pas savoir que les biens provenaient d’une activité criminelle (blanchiment de capitaux par négligence) le soupçonnait ou aurait dû le savoir. </w:t>
      </w:r>
      <w:r>
        <w:rPr>
          <w:b/>
          <w:noProof/>
        </w:rPr>
        <w:t>15 États membres</w:t>
      </w:r>
      <w:r>
        <w:rPr>
          <w:rStyle w:val="FootnoteReference"/>
          <w:noProof/>
          <w:lang w:eastAsia="en-US"/>
        </w:rPr>
        <w:footnoteReference w:id="4"/>
      </w:r>
      <w:r>
        <w:rPr>
          <w:noProof/>
        </w:rPr>
        <w:t xml:space="preserve"> ont eu recours à cette possibilité, en érigeant en infraction pénale le blanchiment de capitaux par négligence.</w:t>
      </w:r>
    </w:p>
    <w:p w14:paraId="2C1C3E5E" w14:textId="77777777" w:rsidR="008E71C6" w:rsidRPr="00E44128" w:rsidRDefault="008E71C6" w:rsidP="00100A7F">
      <w:pPr>
        <w:jc w:val="both"/>
        <w:rPr>
          <w:noProof/>
        </w:rPr>
      </w:pPr>
    </w:p>
    <w:p w14:paraId="6B8DD1FB" w14:textId="3F7EFFDD" w:rsidR="00E16799" w:rsidRPr="00E44128" w:rsidRDefault="00044AD2" w:rsidP="00100A7F">
      <w:pPr>
        <w:jc w:val="both"/>
        <w:rPr>
          <w:noProof/>
        </w:rPr>
      </w:pPr>
      <w:r>
        <w:rPr>
          <w:noProof/>
        </w:rPr>
        <w:t xml:space="preserve">Estimant que du fait de dispositifs complexes de blanchiment des capitaux, il peut être difficile de prouver l’infraction principale, la directive vise également à supprimer les obstacles pratiques et juridiques aux poursuites relatives aux infractions autonomes de blanchiment de capitaux. Pour ce faire, elle oblige les États membres à autoriser les poursuites et les condamnations dans les affaires de </w:t>
      </w:r>
      <w:r>
        <w:rPr>
          <w:b/>
          <w:noProof/>
        </w:rPr>
        <w:t>blanchiment de capitaux même en l’absence de condamnation pour l’infraction principale</w:t>
      </w:r>
      <w:r>
        <w:rPr>
          <w:noProof/>
        </w:rPr>
        <w:t xml:space="preserve"> [</w:t>
      </w:r>
      <w:r>
        <w:rPr>
          <w:b/>
          <w:noProof/>
        </w:rPr>
        <w:t>article 3, paragraphe 3, point a)]</w:t>
      </w:r>
      <w:r>
        <w:rPr>
          <w:noProof/>
        </w:rPr>
        <w:t xml:space="preserve">, et ce sans exiger des autorités qu’elles </w:t>
      </w:r>
      <w:r>
        <w:rPr>
          <w:b/>
          <w:noProof/>
        </w:rPr>
        <w:t>prouvent tous les éléments de l’infraction principale</w:t>
      </w:r>
      <w:r>
        <w:rPr>
          <w:noProof/>
        </w:rPr>
        <w:t xml:space="preserve"> (qui pourraient comprendre l’identité de l’auteur de l’activité criminelle dont proviennent les biens)[</w:t>
      </w:r>
      <w:r>
        <w:rPr>
          <w:b/>
          <w:noProof/>
        </w:rPr>
        <w:t>article 3, paragraphe 3, point b)</w:t>
      </w:r>
      <w:r>
        <w:rPr>
          <w:noProof/>
        </w:rPr>
        <w:t xml:space="preserve">]. Ce cas de figure sera qualifié ci-après d’«infraction autonome de blanchiment de capitaux». </w:t>
      </w:r>
    </w:p>
    <w:p w14:paraId="120E8556" w14:textId="77777777" w:rsidR="00E16799" w:rsidRDefault="00E16799" w:rsidP="00100A7F">
      <w:pPr>
        <w:jc w:val="both"/>
        <w:rPr>
          <w:noProof/>
        </w:rPr>
      </w:pPr>
    </w:p>
    <w:p w14:paraId="382C26DB" w14:textId="11C11DEE" w:rsidR="0095168C" w:rsidRDefault="00133EBC" w:rsidP="00100A7F">
      <w:pPr>
        <w:jc w:val="both"/>
        <w:rPr>
          <w:noProof/>
        </w:rPr>
      </w:pPr>
      <w:r>
        <w:rPr>
          <w:b/>
          <w:noProof/>
        </w:rPr>
        <w:t>Seize États membres</w:t>
      </w:r>
      <w:r>
        <w:rPr>
          <w:rStyle w:val="FootnoteReference"/>
          <w:noProof/>
        </w:rPr>
        <w:footnoteReference w:id="5"/>
      </w:r>
      <w:r>
        <w:rPr>
          <w:noProof/>
        </w:rPr>
        <w:t xml:space="preserve"> n’ont pas transposé cette disposition explicitement, mais </w:t>
      </w:r>
      <w:r>
        <w:rPr>
          <w:b/>
          <w:noProof/>
        </w:rPr>
        <w:t>au moyen d’une «transposition sous-entendue»</w:t>
      </w:r>
      <w:r>
        <w:rPr>
          <w:noProof/>
        </w:rPr>
        <w:t xml:space="preserve">, c.-à-d. en ne mentionnant pas expressément dans leur législation nationale en matière de blanchiment de capitaux que certaines conditions doivent être remplies, telles qu’une condamnation préalable ou concomitante pour l’infraction principale ou l’établissement de tous les faits et circonstances concernant celle-ci. </w:t>
      </w:r>
    </w:p>
    <w:p w14:paraId="384D3CA3" w14:textId="77777777" w:rsidR="0095168C" w:rsidRDefault="0095168C" w:rsidP="00100A7F">
      <w:pPr>
        <w:jc w:val="both"/>
        <w:rPr>
          <w:noProof/>
        </w:rPr>
      </w:pPr>
    </w:p>
    <w:p w14:paraId="5348223A" w14:textId="38A5E0A5" w:rsidR="00122D23" w:rsidRDefault="00122D23" w:rsidP="00100A7F">
      <w:pPr>
        <w:jc w:val="both"/>
        <w:rPr>
          <w:noProof/>
        </w:rPr>
      </w:pPr>
      <w:r>
        <w:rPr>
          <w:noProof/>
        </w:rPr>
        <w:t xml:space="preserve">La Commission observe que le </w:t>
      </w:r>
      <w:r>
        <w:rPr>
          <w:b/>
          <w:noProof/>
        </w:rPr>
        <w:t>seuil au-delà duquel on peut prouver l’origine illicite de biens devant une juridiction diffère considérablement d’un État membre à l’autre</w:t>
      </w:r>
      <w:r>
        <w:rPr>
          <w:noProof/>
        </w:rPr>
        <w:t>.</w:t>
      </w:r>
    </w:p>
    <w:p w14:paraId="2EB70151" w14:textId="77777777" w:rsidR="00122D23" w:rsidRDefault="00122D23" w:rsidP="00100A7F">
      <w:pPr>
        <w:jc w:val="both"/>
        <w:rPr>
          <w:noProof/>
        </w:rPr>
      </w:pPr>
    </w:p>
    <w:p w14:paraId="47E7A979" w14:textId="61B92D24" w:rsidR="00617F8B" w:rsidRPr="00DB0691" w:rsidRDefault="00CF2238" w:rsidP="00100A7F">
      <w:pPr>
        <w:jc w:val="both"/>
        <w:rPr>
          <w:noProof/>
        </w:rPr>
      </w:pPr>
      <w:r>
        <w:rPr>
          <w:noProof/>
        </w:rPr>
        <w:t xml:space="preserve">Dans </w:t>
      </w:r>
      <w:r>
        <w:rPr>
          <w:b/>
          <w:noProof/>
        </w:rPr>
        <w:t>quatorze États membres</w:t>
      </w:r>
      <w:r>
        <w:rPr>
          <w:rStyle w:val="FootnoteReference"/>
          <w:noProof/>
          <w:lang w:val="en-US"/>
        </w:rPr>
        <w:footnoteReference w:id="6"/>
      </w:r>
      <w:r>
        <w:rPr>
          <w:noProof/>
        </w:rPr>
        <w:t xml:space="preserve">, il n’est pas nécessaire de préciser le type de l’infraction principale, dès lors que l’on apporte la preuve de l’origine illicite des biens. Il suffit d’établir que les biens faisant l’objet du blanchiment proviennent d’une activité criminelle qui a été commise, ce qui facilite grandement les poursuites relatives au blanchiment de capitaux. </w:t>
      </w:r>
    </w:p>
    <w:p w14:paraId="4B672290" w14:textId="77777777" w:rsidR="00617F8B" w:rsidRPr="00901745" w:rsidRDefault="00617F8B" w:rsidP="00100A7F">
      <w:pPr>
        <w:jc w:val="both"/>
        <w:rPr>
          <w:noProof/>
          <w:lang w:val="fr-BE"/>
        </w:rPr>
      </w:pPr>
    </w:p>
    <w:p w14:paraId="735DFBB7" w14:textId="791AA6F7" w:rsidR="00153E13" w:rsidRPr="00DB0691" w:rsidRDefault="003B626E" w:rsidP="00100A7F">
      <w:pPr>
        <w:jc w:val="both"/>
        <w:rPr>
          <w:noProof/>
        </w:rPr>
      </w:pPr>
      <w:r>
        <w:rPr>
          <w:noProof/>
        </w:rPr>
        <w:t xml:space="preserve">En revanche, dans un certain nombre d’États membres, les tribunaux continuent d’imposer des exigences élevées pour prouver l’existence d’une infraction principale. </w:t>
      </w:r>
      <w:r>
        <w:rPr>
          <w:b/>
          <w:noProof/>
        </w:rPr>
        <w:t>Dix États membres</w:t>
      </w:r>
      <w:r>
        <w:rPr>
          <w:rStyle w:val="FootnoteReference"/>
          <w:noProof/>
        </w:rPr>
        <w:footnoteReference w:id="7"/>
      </w:r>
      <w:r>
        <w:rPr>
          <w:noProof/>
        </w:rPr>
        <w:t xml:space="preserve"> continuent d’exiger des autorités qu’elles identifient la catégorie d’infraction dont relève l’infraction principale (par ex. le trafic de drogue, la traite des êtres humains, la fraude, etc.). Parmi eux, deux </w:t>
      </w:r>
      <w:r>
        <w:rPr>
          <w:b/>
          <w:noProof/>
        </w:rPr>
        <w:t xml:space="preserve">États membres </w:t>
      </w:r>
      <w:r>
        <w:rPr>
          <w:noProof/>
        </w:rPr>
        <w:t>(</w:t>
      </w:r>
      <w:r>
        <w:rPr>
          <w:b/>
          <w:noProof/>
        </w:rPr>
        <w:t>la Bulgarie et la Pologne</w:t>
      </w:r>
      <w:r>
        <w:rPr>
          <w:noProof/>
        </w:rPr>
        <w:t xml:space="preserve">) requièrent un seuil de preuve particulièrement élevé en ce qui concerne l’infraction principale. </w:t>
      </w:r>
      <w:r>
        <w:rPr>
          <w:b/>
          <w:noProof/>
        </w:rPr>
        <w:t>La Bulgarie</w:t>
      </w:r>
      <w:r>
        <w:rPr>
          <w:rStyle w:val="FootnoteReference"/>
          <w:noProof/>
          <w:lang w:val="en-US"/>
        </w:rPr>
        <w:footnoteReference w:id="8"/>
      </w:r>
      <w:r>
        <w:rPr>
          <w:noProof/>
        </w:rPr>
        <w:t xml:space="preserve"> exige toujours la preuve du type d’infraction pénale, ainsi que la date de l’infraction et le lieu où elle a été commise. En </w:t>
      </w:r>
      <w:r>
        <w:rPr>
          <w:b/>
          <w:noProof/>
        </w:rPr>
        <w:t>Pologne</w:t>
      </w:r>
      <w:r>
        <w:rPr>
          <w:noProof/>
        </w:rPr>
        <w:t>, la jurisprudence</w:t>
      </w:r>
      <w:r>
        <w:rPr>
          <w:rStyle w:val="FootnoteReference"/>
          <w:noProof/>
          <w:lang w:val="en-US"/>
        </w:rPr>
        <w:footnoteReference w:id="9"/>
      </w:r>
      <w:r>
        <w:rPr>
          <w:noProof/>
        </w:rPr>
        <w:t xml:space="preserve"> exige qu’il soit établi d’une manière suffisamment précise que des actifs spécifiques proviennent d’une infraction principale spécifique.</w:t>
      </w:r>
    </w:p>
    <w:p w14:paraId="7DEC559A" w14:textId="77777777" w:rsidR="007819E4" w:rsidRPr="00901745" w:rsidRDefault="007819E4" w:rsidP="00100A7F">
      <w:pPr>
        <w:jc w:val="both"/>
        <w:rPr>
          <w:noProof/>
          <w:lang w:val="fr-BE"/>
        </w:rPr>
      </w:pPr>
    </w:p>
    <w:p w14:paraId="5EFF9C23" w14:textId="109BED42" w:rsidR="007819E4" w:rsidRDefault="00FB34C3" w:rsidP="00100A7F">
      <w:pPr>
        <w:jc w:val="both"/>
        <w:rPr>
          <w:noProof/>
        </w:rPr>
      </w:pPr>
      <w:r>
        <w:rPr>
          <w:noProof/>
        </w:rPr>
        <w:t xml:space="preserve">Comme indiqué également dans le rapport d’évaluation, le </w:t>
      </w:r>
      <w:r>
        <w:rPr>
          <w:b/>
          <w:noProof/>
        </w:rPr>
        <w:t>libellé de la directive est très large, ce qui donne lieu à une telle transposition</w:t>
      </w:r>
      <w:r>
        <w:rPr>
          <w:noProof/>
        </w:rPr>
        <w:t>. La directive dispose qu’une condamnation pour un délit de blanchiment de capitaux est possible «sans qu’il soit nécessaire d’établir tous les éléments factuels ou toutes les circonstances» de l’infraction principale, mais cet intitulé signifie que la législation peut toujours exiger des autorités qu’elles démontrent tous les éléments de l’infraction principale, à une exception près.</w:t>
      </w:r>
    </w:p>
    <w:p w14:paraId="3B73E500" w14:textId="77777777" w:rsidR="00972B24" w:rsidRPr="00901745" w:rsidRDefault="00972B24" w:rsidP="00100A7F">
      <w:pPr>
        <w:jc w:val="both"/>
        <w:rPr>
          <w:noProof/>
          <w:lang w:val="fr-BE"/>
        </w:rPr>
      </w:pPr>
    </w:p>
    <w:p w14:paraId="2305633B" w14:textId="64B75328" w:rsidR="00972B24" w:rsidRPr="00B358F7" w:rsidRDefault="00044AD2" w:rsidP="00100A7F">
      <w:pPr>
        <w:jc w:val="both"/>
        <w:rPr>
          <w:noProof/>
        </w:rPr>
      </w:pPr>
      <w:r>
        <w:rPr>
          <w:noProof/>
        </w:rPr>
        <w:t>Compte tenu de cette large marge d’appréciation laissée par la directive aux États membres, en ce qui concerne l’</w:t>
      </w:r>
      <w:r>
        <w:rPr>
          <w:b/>
          <w:noProof/>
        </w:rPr>
        <w:t>article 3, paragraphe 3, points a) et b), aucun cas de non-respect</w:t>
      </w:r>
      <w:r>
        <w:rPr>
          <w:noProof/>
        </w:rPr>
        <w:t xml:space="preserve"> n’a été recensé.</w:t>
      </w:r>
    </w:p>
    <w:p w14:paraId="474BBDD4" w14:textId="7AAC9F40" w:rsidR="00BA247B" w:rsidRPr="00133EBC" w:rsidRDefault="00BA247B" w:rsidP="00100A7F">
      <w:pPr>
        <w:jc w:val="both"/>
        <w:rPr>
          <w:noProof/>
        </w:rPr>
      </w:pPr>
    </w:p>
    <w:p w14:paraId="1C08CBE6" w14:textId="13FAC54D" w:rsidR="005E2821" w:rsidRDefault="00BA247B" w:rsidP="00100A7F">
      <w:pPr>
        <w:jc w:val="both"/>
        <w:rPr>
          <w:noProof/>
        </w:rPr>
      </w:pPr>
      <w:r>
        <w:rPr>
          <w:b/>
          <w:noProof/>
        </w:rPr>
        <w:t>Tous les États membres ont transposé de manière conforme</w:t>
      </w:r>
      <w:r>
        <w:rPr>
          <w:noProof/>
        </w:rPr>
        <w:t xml:space="preserve"> le fait que les </w:t>
      </w:r>
      <w:r>
        <w:rPr>
          <w:b/>
          <w:noProof/>
        </w:rPr>
        <w:t>infractions de blanchiment de capitaux couvrent les biens provenant d’un comportement qui a eu lieu dans un autre État membre ou dans un pays tiers</w:t>
      </w:r>
      <w:r>
        <w:rPr>
          <w:noProof/>
        </w:rPr>
        <w:t>, lorsque ce comportement constituerait une infraction principale s’il avait eu lieu sur le territoire national. [</w:t>
      </w:r>
      <w:r>
        <w:rPr>
          <w:b/>
          <w:noProof/>
        </w:rPr>
        <w:t>article 3, paragraphe 3, point c)</w:t>
      </w:r>
      <w:r>
        <w:rPr>
          <w:noProof/>
        </w:rPr>
        <w:t xml:space="preserve">]. </w:t>
      </w:r>
    </w:p>
    <w:p w14:paraId="432E736A" w14:textId="77777777" w:rsidR="00BA247B" w:rsidRDefault="00BA247B" w:rsidP="00100A7F">
      <w:pPr>
        <w:jc w:val="both"/>
        <w:rPr>
          <w:noProof/>
        </w:rPr>
      </w:pPr>
    </w:p>
    <w:p w14:paraId="521DF0A2" w14:textId="70259994" w:rsidR="00DC5739" w:rsidRPr="000118F6" w:rsidRDefault="579CA40E" w:rsidP="00100A7F">
      <w:pPr>
        <w:jc w:val="both"/>
        <w:rPr>
          <w:noProof/>
        </w:rPr>
      </w:pPr>
      <w:r>
        <w:rPr>
          <w:noProof/>
        </w:rPr>
        <w:t>Pour des raisons de proportionnalité, l’</w:t>
      </w:r>
      <w:r>
        <w:rPr>
          <w:b/>
          <w:noProof/>
        </w:rPr>
        <w:t>article 3, paragraphe 4,</w:t>
      </w:r>
      <w:r>
        <w:rPr>
          <w:noProof/>
        </w:rPr>
        <w:t xml:space="preserve"> donne aux États membres la possibilité de restreindre le champ d’application des affaires transfrontières dans lesquelles le blanchiment de capitaux est passible de sanctions, à savoir lorsque l’infraction principale a été commise dans des pays où un tel comportement n’est pas érigé en infraction pénale (exigence de «double incrimination»). Pour certaines catégories d’infractions graves, il n’est toutefois pas possible de restreindre le champ d’application des affaires transfrontières. En cas de participation à un groupe criminel organisé, de terrorisme, de traite des êtres humains, de trafic de migrants, d’exploitation sexuelle, de trafic de drogue et de corruption dans un autre État membre de l’UE ou un pays tiers, il doit encore être possible de poursuivre une personne pour blanchiment de capitaux, même si le comportement qui a généré l’argent ne constitue pas une infraction pénale dans cet autre pays.</w:t>
      </w:r>
    </w:p>
    <w:p w14:paraId="61A56020" w14:textId="77777777" w:rsidR="00B57A69" w:rsidRPr="000118F6" w:rsidRDefault="00B57A69" w:rsidP="000B3791">
      <w:pPr>
        <w:jc w:val="both"/>
        <w:rPr>
          <w:noProof/>
          <w:lang w:eastAsia="en-US"/>
        </w:rPr>
      </w:pPr>
    </w:p>
    <w:p w14:paraId="63B0D09F" w14:textId="5F1E2D7E" w:rsidR="009F2156" w:rsidRPr="00361957" w:rsidRDefault="31BE6859" w:rsidP="00100A7F">
      <w:pPr>
        <w:jc w:val="both"/>
        <w:rPr>
          <w:noProof/>
        </w:rPr>
      </w:pPr>
      <w:r>
        <w:rPr>
          <w:b/>
          <w:noProof/>
        </w:rPr>
        <w:t>Huit États membres</w:t>
      </w:r>
      <w:r>
        <w:rPr>
          <w:rStyle w:val="FootnoteReference"/>
          <w:bCs/>
          <w:noProof/>
        </w:rPr>
        <w:footnoteReference w:id="10"/>
      </w:r>
      <w:r>
        <w:rPr>
          <w:b/>
          <w:noProof/>
        </w:rPr>
        <w:t xml:space="preserve"> </w:t>
      </w:r>
      <w:r>
        <w:rPr>
          <w:noProof/>
        </w:rPr>
        <w:t xml:space="preserve">ont recouru à la possibilité d’exiger la «double incrimination». Le </w:t>
      </w:r>
      <w:r>
        <w:rPr>
          <w:b/>
          <w:noProof/>
        </w:rPr>
        <w:t>Luxembourg</w:t>
      </w:r>
      <w:r>
        <w:rPr>
          <w:rStyle w:val="FootnoteReference"/>
          <w:bCs/>
          <w:noProof/>
        </w:rPr>
        <w:footnoteReference w:id="11"/>
      </w:r>
      <w:r>
        <w:rPr>
          <w:noProof/>
        </w:rPr>
        <w:t>, toutefois, exige la «double incrimination» pour certaines infractions pour lesquelles un tel principe ne devrait pas être appliqué, à savoir la participation à une organisation criminelle et le racket d’extorsion.</w:t>
      </w:r>
    </w:p>
    <w:p w14:paraId="72EBCA52" w14:textId="77777777" w:rsidR="00DE13DB" w:rsidRPr="00361957" w:rsidRDefault="00DE13DB" w:rsidP="00100A7F">
      <w:pPr>
        <w:jc w:val="both"/>
        <w:rPr>
          <w:noProof/>
        </w:rPr>
      </w:pPr>
    </w:p>
    <w:p w14:paraId="24B82504" w14:textId="5F0F8720" w:rsidR="0081100A" w:rsidRDefault="05CF4069" w:rsidP="00100A7F">
      <w:pPr>
        <w:jc w:val="both"/>
        <w:rPr>
          <w:noProof/>
        </w:rPr>
      </w:pPr>
      <w:r>
        <w:rPr>
          <w:noProof/>
        </w:rPr>
        <w:t>Enfin, les États membres doivent s’assurer que les comportements érigés en infractions pénales en tant que blanchiment de capitaux à l’article 3, paragraphe 1, points a) et b), sont passibles de sanctions en cas d’</w:t>
      </w:r>
      <w:r>
        <w:rPr>
          <w:b/>
          <w:noProof/>
        </w:rPr>
        <w:t xml:space="preserve">«autoblanchiment» </w:t>
      </w:r>
      <w:r>
        <w:rPr>
          <w:noProof/>
        </w:rPr>
        <w:t>(</w:t>
      </w:r>
      <w:r>
        <w:rPr>
          <w:b/>
          <w:noProof/>
        </w:rPr>
        <w:t>article 3, paragraphe 5</w:t>
      </w:r>
      <w:r>
        <w:rPr>
          <w:noProof/>
        </w:rPr>
        <w:t xml:space="preserve">), à savoir lorsque la personne qui a commis l’infraction principale ou y a participé blanchit les produits de son propre crime.  </w:t>
      </w:r>
    </w:p>
    <w:p w14:paraId="2FD3ED1D" w14:textId="77777777" w:rsidR="0045284B" w:rsidRDefault="0045284B" w:rsidP="00100A7F">
      <w:pPr>
        <w:jc w:val="both"/>
        <w:rPr>
          <w:noProof/>
        </w:rPr>
      </w:pPr>
    </w:p>
    <w:p w14:paraId="4E1D118C" w14:textId="27602CC3" w:rsidR="0081100A" w:rsidRDefault="499E32CF" w:rsidP="00100A7F">
      <w:pPr>
        <w:jc w:val="both"/>
        <w:rPr>
          <w:noProof/>
        </w:rPr>
      </w:pPr>
      <w:r>
        <w:rPr>
          <w:b/>
          <w:noProof/>
        </w:rPr>
        <w:t>Des États membres ont mis en œuvre cette disposition</w:t>
      </w:r>
      <w:r>
        <w:rPr>
          <w:noProof/>
        </w:rPr>
        <w:t xml:space="preserve"> dans leur législation nationale, </w:t>
      </w:r>
      <w:r>
        <w:rPr>
          <w:b/>
          <w:noProof/>
        </w:rPr>
        <w:t>soit expressément, soit implicitement</w:t>
      </w:r>
      <w:r>
        <w:rPr>
          <w:noProof/>
        </w:rPr>
        <w:t xml:space="preserve">, en n’imposant pas comme condition que l’auteur de l’infraction principale soit distinct de l’auteur de l’infraction de blanchiment de capitaux. Certains États membres font figurer dans leur législation nationale des </w:t>
      </w:r>
      <w:r>
        <w:rPr>
          <w:b/>
          <w:noProof/>
        </w:rPr>
        <w:t>exceptions qui n’ont pas d’incidence sur la conformité</w:t>
      </w:r>
      <w:r>
        <w:rPr>
          <w:noProof/>
        </w:rPr>
        <w:t>, par exemple l’</w:t>
      </w:r>
      <w:r>
        <w:rPr>
          <w:b/>
          <w:noProof/>
        </w:rPr>
        <w:t>Allemagne</w:t>
      </w:r>
      <w:r>
        <w:rPr>
          <w:noProof/>
        </w:rPr>
        <w:t>, qui exige que les actifs illégaux soient mis en circulation, d’une façon ou d’une autre,</w:t>
      </w:r>
      <w:r>
        <w:rPr>
          <w:b/>
          <w:noProof/>
        </w:rPr>
        <w:t xml:space="preserve"> de même que l’Italie et l’Estonie, </w:t>
      </w:r>
      <w:r>
        <w:rPr>
          <w:noProof/>
        </w:rPr>
        <w:t>qui excluent du champ d’application la jouissance à des fins personnelles. Aucun cas de non-conformité n’a par conséquent été constaté.</w:t>
      </w:r>
    </w:p>
    <w:p w14:paraId="44209691" w14:textId="5BE193DA" w:rsidR="00141D16" w:rsidRPr="00361957" w:rsidRDefault="00141D16" w:rsidP="00100A7F">
      <w:pPr>
        <w:jc w:val="both"/>
        <w:rPr>
          <w:noProof/>
        </w:rPr>
      </w:pPr>
    </w:p>
    <w:p w14:paraId="77A374D4" w14:textId="77777777" w:rsidR="00175B64" w:rsidRPr="00361957" w:rsidRDefault="00175B64" w:rsidP="000B3791">
      <w:pPr>
        <w:pStyle w:val="Heading2"/>
        <w:jc w:val="both"/>
        <w:rPr>
          <w:noProof/>
        </w:rPr>
      </w:pPr>
      <w:bookmarkStart w:id="16" w:name="_Toc106282985"/>
      <w:bookmarkStart w:id="17" w:name="_Toc110247387"/>
      <w:r>
        <w:rPr>
          <w:noProof/>
        </w:rPr>
        <w:t>Article 4 – Complicité, incitation et tentative</w:t>
      </w:r>
      <w:bookmarkEnd w:id="16"/>
      <w:bookmarkEnd w:id="17"/>
    </w:p>
    <w:p w14:paraId="54C5E2EC" w14:textId="77777777" w:rsidR="00175B64" w:rsidRPr="00361957" w:rsidRDefault="00175B64" w:rsidP="00100A7F">
      <w:pPr>
        <w:jc w:val="both"/>
        <w:rPr>
          <w:noProof/>
        </w:rPr>
      </w:pPr>
    </w:p>
    <w:p w14:paraId="27022401" w14:textId="13C695D8" w:rsidR="0009732A" w:rsidRDefault="00175B64" w:rsidP="00100A7F">
      <w:pPr>
        <w:contextualSpacing/>
        <w:jc w:val="both"/>
        <w:rPr>
          <w:noProof/>
        </w:rPr>
      </w:pPr>
      <w:r>
        <w:rPr>
          <w:noProof/>
        </w:rPr>
        <w:t>L’</w:t>
      </w:r>
      <w:r>
        <w:rPr>
          <w:b/>
          <w:noProof/>
        </w:rPr>
        <w:t>article 4</w:t>
      </w:r>
      <w:r>
        <w:rPr>
          <w:noProof/>
        </w:rPr>
        <w:t xml:space="preserve"> impose que les </w:t>
      </w:r>
      <w:r>
        <w:rPr>
          <w:b/>
          <w:noProof/>
        </w:rPr>
        <w:t>infractions accessoires, consistant à se rendre complice, à inciter</w:t>
      </w:r>
      <w:r>
        <w:rPr>
          <w:noProof/>
        </w:rPr>
        <w:t xml:space="preserve"> quelqu’un à commettre une infraction de blanchiment de capitaux et à </w:t>
      </w:r>
      <w:r>
        <w:rPr>
          <w:b/>
          <w:noProof/>
        </w:rPr>
        <w:t>tenter</w:t>
      </w:r>
      <w:r>
        <w:rPr>
          <w:noProof/>
        </w:rPr>
        <w:t xml:space="preserve"> de commettre une telle infraction, constituent des infractions pénales passibles de sanctions. </w:t>
      </w:r>
    </w:p>
    <w:p w14:paraId="70F3C754" w14:textId="77777777" w:rsidR="0009732A" w:rsidRDefault="0009732A" w:rsidP="00100A7F">
      <w:pPr>
        <w:contextualSpacing/>
        <w:jc w:val="both"/>
        <w:rPr>
          <w:noProof/>
        </w:rPr>
      </w:pPr>
    </w:p>
    <w:p w14:paraId="469F65F4" w14:textId="7D267EC3" w:rsidR="00175B64" w:rsidRPr="00361957" w:rsidRDefault="00175B64" w:rsidP="0029250C">
      <w:pPr>
        <w:contextualSpacing/>
        <w:jc w:val="both"/>
        <w:rPr>
          <w:noProof/>
        </w:rPr>
      </w:pPr>
      <w:r>
        <w:rPr>
          <w:b/>
          <w:noProof/>
        </w:rPr>
        <w:t>Les 25 États membres ont tous correctement transposé l’article 4.</w:t>
      </w:r>
      <w:r>
        <w:rPr>
          <w:noProof/>
        </w:rPr>
        <w:t xml:space="preserve"> </w:t>
      </w:r>
    </w:p>
    <w:p w14:paraId="6C1722E5" w14:textId="77777777" w:rsidR="00175B64" w:rsidRPr="00361957" w:rsidRDefault="00175B64" w:rsidP="0029250C">
      <w:pPr>
        <w:pStyle w:val="Heading1"/>
        <w:numPr>
          <w:ilvl w:val="0"/>
          <w:numId w:val="0"/>
        </w:numPr>
        <w:ind w:left="720"/>
        <w:jc w:val="both"/>
        <w:rPr>
          <w:noProof/>
        </w:rPr>
      </w:pPr>
    </w:p>
    <w:p w14:paraId="4EA2A28D" w14:textId="77777777" w:rsidR="00175B64" w:rsidRPr="00361957" w:rsidRDefault="00175B64" w:rsidP="00C84542">
      <w:pPr>
        <w:pStyle w:val="Heading2"/>
        <w:rPr>
          <w:noProof/>
        </w:rPr>
      </w:pPr>
      <w:bookmarkStart w:id="18" w:name="_Toc106282986"/>
      <w:bookmarkStart w:id="19" w:name="_Toc110247388"/>
      <w:r>
        <w:rPr>
          <w:noProof/>
        </w:rPr>
        <w:t>Article 5 – Sanctions applicables aux personnes physiques</w:t>
      </w:r>
      <w:bookmarkEnd w:id="18"/>
      <w:bookmarkEnd w:id="19"/>
      <w:r>
        <w:rPr>
          <w:noProof/>
        </w:rPr>
        <w:t xml:space="preserve"> </w:t>
      </w:r>
    </w:p>
    <w:p w14:paraId="5042E2B3" w14:textId="77777777" w:rsidR="00175B64" w:rsidRPr="00361957" w:rsidRDefault="00175B64" w:rsidP="0029250C">
      <w:pPr>
        <w:jc w:val="both"/>
        <w:rPr>
          <w:noProof/>
        </w:rPr>
      </w:pPr>
    </w:p>
    <w:p w14:paraId="30FFC0F3" w14:textId="46947F4F" w:rsidR="00203F5D" w:rsidRDefault="00175B64" w:rsidP="0089760C">
      <w:pPr>
        <w:contextualSpacing/>
        <w:jc w:val="both"/>
        <w:rPr>
          <w:noProof/>
        </w:rPr>
      </w:pPr>
      <w:r>
        <w:rPr>
          <w:noProof/>
        </w:rPr>
        <w:t>L’</w:t>
      </w:r>
      <w:r>
        <w:rPr>
          <w:b/>
          <w:noProof/>
        </w:rPr>
        <w:t>article 5</w:t>
      </w:r>
      <w:r>
        <w:rPr>
          <w:noProof/>
        </w:rPr>
        <w:t xml:space="preserve"> exige que les infractions de blanchiment de capitaux et les infractions accessoires soient </w:t>
      </w:r>
      <w:r>
        <w:rPr>
          <w:b/>
          <w:noProof/>
        </w:rPr>
        <w:t>passibles de sanctions pénales effectives, proportionnées et dissuasives</w:t>
      </w:r>
      <w:r>
        <w:rPr>
          <w:noProof/>
        </w:rPr>
        <w:t xml:space="preserve">, en précisant que les infractions de blanchiment de capitaux doivent être passibles d’une peine d’emprisonnement maximale d’au moins quatre ans. </w:t>
      </w:r>
    </w:p>
    <w:p w14:paraId="5E99EE89" w14:textId="77777777" w:rsidR="00B57A69" w:rsidRDefault="00B57A69" w:rsidP="0089760C">
      <w:pPr>
        <w:contextualSpacing/>
        <w:jc w:val="both"/>
        <w:rPr>
          <w:noProof/>
        </w:rPr>
      </w:pPr>
    </w:p>
    <w:p w14:paraId="5C90BF72" w14:textId="4CE322C8" w:rsidR="00826BEC" w:rsidRPr="004E2383" w:rsidRDefault="00825270" w:rsidP="000639E5">
      <w:pPr>
        <w:contextualSpacing/>
        <w:jc w:val="both"/>
        <w:rPr>
          <w:bCs/>
          <w:noProof/>
        </w:rPr>
      </w:pPr>
      <w:r>
        <w:rPr>
          <w:b/>
          <w:noProof/>
        </w:rPr>
        <w:t>À cet égard, la Commission fait observer que la</w:t>
      </w:r>
      <w:r>
        <w:rPr>
          <w:noProof/>
        </w:rPr>
        <w:t xml:space="preserve"> </w:t>
      </w:r>
      <w:r>
        <w:rPr>
          <w:b/>
          <w:noProof/>
        </w:rPr>
        <w:t>Suède</w:t>
      </w:r>
      <w:r>
        <w:rPr>
          <w:rStyle w:val="FootnoteReference"/>
          <w:b/>
          <w:noProof/>
          <w:lang w:val="en-US"/>
        </w:rPr>
        <w:footnoteReference w:id="12"/>
      </w:r>
      <w:r>
        <w:rPr>
          <w:b/>
          <w:noProof/>
        </w:rPr>
        <w:t xml:space="preserve"> </w:t>
      </w:r>
      <w:r>
        <w:rPr>
          <w:noProof/>
        </w:rPr>
        <w:t xml:space="preserve">a établi dans sa législation une peine maximale de deux ans, tandis que la </w:t>
      </w:r>
      <w:r>
        <w:rPr>
          <w:b/>
          <w:noProof/>
        </w:rPr>
        <w:t>Grèce</w:t>
      </w:r>
      <w:r>
        <w:rPr>
          <w:rStyle w:val="FootnoteReference"/>
          <w:bCs/>
          <w:noProof/>
          <w:lang w:val="en-US"/>
        </w:rPr>
        <w:footnoteReference w:id="13"/>
      </w:r>
      <w:r>
        <w:rPr>
          <w:noProof/>
        </w:rPr>
        <w:t xml:space="preserve"> semble ne pas s’être conformée au seuil de quatre ans lorsque l’infraction principale est un simple délit, ce qui signifie, dans la pratique, que la sanction pour blanchiment de capitaux n’est pas suffisamment élevée pour un large éventail d’infractions principales définies dans la directive.</w:t>
      </w:r>
    </w:p>
    <w:p w14:paraId="6AF6CDEA" w14:textId="77777777" w:rsidR="00175B64" w:rsidRPr="00361957" w:rsidRDefault="00175B64" w:rsidP="0029250C">
      <w:pPr>
        <w:contextualSpacing/>
        <w:jc w:val="both"/>
        <w:rPr>
          <w:noProof/>
        </w:rPr>
      </w:pPr>
    </w:p>
    <w:p w14:paraId="194685CB" w14:textId="77777777" w:rsidR="00175B64" w:rsidRPr="00361957" w:rsidRDefault="00175B64" w:rsidP="00C84542">
      <w:pPr>
        <w:pStyle w:val="Heading2"/>
        <w:rPr>
          <w:noProof/>
        </w:rPr>
      </w:pPr>
      <w:bookmarkStart w:id="20" w:name="_Toc106282987"/>
      <w:bookmarkStart w:id="21" w:name="_Toc110247389"/>
      <w:r>
        <w:rPr>
          <w:noProof/>
        </w:rPr>
        <w:t>Article 6 – Circonstances aggravantes</w:t>
      </w:r>
      <w:bookmarkEnd w:id="20"/>
      <w:bookmarkEnd w:id="21"/>
    </w:p>
    <w:p w14:paraId="418772EB" w14:textId="77777777" w:rsidR="00175B64" w:rsidRPr="00361957" w:rsidRDefault="00175B64" w:rsidP="0029250C">
      <w:pPr>
        <w:jc w:val="both"/>
        <w:rPr>
          <w:noProof/>
        </w:rPr>
      </w:pPr>
    </w:p>
    <w:p w14:paraId="045087BA" w14:textId="3E9889C7" w:rsidR="001B6D8F" w:rsidRDefault="680EDADA" w:rsidP="0029250C">
      <w:pPr>
        <w:jc w:val="both"/>
        <w:rPr>
          <w:noProof/>
        </w:rPr>
      </w:pPr>
      <w:r>
        <w:rPr>
          <w:noProof/>
        </w:rPr>
        <w:t>L’</w:t>
      </w:r>
      <w:r>
        <w:rPr>
          <w:b/>
          <w:noProof/>
        </w:rPr>
        <w:t>article 6, paragraphe 1,</w:t>
      </w:r>
      <w:r>
        <w:rPr>
          <w:noProof/>
        </w:rPr>
        <w:t xml:space="preserve"> établit deux circonstances aggravantes obligatoires: lorsque l’infraction de blanchiment de capitaux a été</w:t>
      </w:r>
      <w:r>
        <w:rPr>
          <w:b/>
          <w:noProof/>
        </w:rPr>
        <w:t xml:space="preserve"> commise</w:t>
      </w:r>
      <w:r>
        <w:rPr>
          <w:noProof/>
        </w:rPr>
        <w:t xml:space="preserve"> </w:t>
      </w:r>
      <w:r>
        <w:rPr>
          <w:b/>
          <w:noProof/>
        </w:rPr>
        <w:t>dans le cadre d’une organisation criminelle</w:t>
      </w:r>
      <w:r>
        <w:rPr>
          <w:noProof/>
        </w:rPr>
        <w:t xml:space="preserve"> ou a été </w:t>
      </w:r>
      <w:r>
        <w:rPr>
          <w:b/>
          <w:noProof/>
        </w:rPr>
        <w:t>commise dans l’exercice des activités professionnelles d’une «entité assujettie»</w:t>
      </w:r>
      <w:r>
        <w:rPr>
          <w:noProof/>
        </w:rPr>
        <w:t>, à savoir une entité soumise à des obligations spécifiques en matière de déclaration et de vérification de l’identité des clients en vertu de la législation de l’UE relative au blanchiment de capitaux</w:t>
      </w:r>
      <w:r>
        <w:rPr>
          <w:rStyle w:val="FootnoteReference"/>
          <w:noProof/>
        </w:rPr>
        <w:footnoteReference w:id="14"/>
      </w:r>
      <w:r>
        <w:rPr>
          <w:noProof/>
        </w:rPr>
        <w:t xml:space="preserve">. </w:t>
      </w:r>
    </w:p>
    <w:p w14:paraId="4FC53D7D" w14:textId="77777777" w:rsidR="00402135" w:rsidRPr="00E44128" w:rsidRDefault="00402135" w:rsidP="0029250C">
      <w:pPr>
        <w:jc w:val="both"/>
        <w:rPr>
          <w:noProof/>
        </w:rPr>
      </w:pPr>
    </w:p>
    <w:p w14:paraId="64783094" w14:textId="76988900" w:rsidR="001061A4" w:rsidRDefault="00825270" w:rsidP="0029250C">
      <w:pPr>
        <w:jc w:val="both"/>
        <w:rPr>
          <w:noProof/>
        </w:rPr>
      </w:pPr>
      <w:r>
        <w:rPr>
          <w:noProof/>
        </w:rPr>
        <w:t xml:space="preserve">À cet égard, il y a lieu de noter que la </w:t>
      </w:r>
      <w:r>
        <w:rPr>
          <w:b/>
          <w:noProof/>
        </w:rPr>
        <w:t>Lituanie, la Pologne</w:t>
      </w:r>
      <w:r>
        <w:rPr>
          <w:noProof/>
        </w:rPr>
        <w:t xml:space="preserve"> et la </w:t>
      </w:r>
      <w:r>
        <w:rPr>
          <w:b/>
          <w:noProof/>
        </w:rPr>
        <w:t>Slovénie</w:t>
      </w:r>
      <w:r>
        <w:rPr>
          <w:noProof/>
        </w:rPr>
        <w:t xml:space="preserve"> n’ont pas introduit dans leur législation la circonstance aggravante liée au fait que l’infraction de blanchiment de capitaux a été commise par une entité assujettie</w:t>
      </w:r>
      <w:r>
        <w:rPr>
          <w:rStyle w:val="CommentReference"/>
          <w:noProof/>
          <w:sz w:val="24"/>
        </w:rPr>
        <w:t>;</w:t>
      </w:r>
      <w:r>
        <w:rPr>
          <w:rStyle w:val="CommentReference"/>
          <w:noProof/>
        </w:rPr>
        <w:t xml:space="preserve"> </w:t>
      </w:r>
      <w:r>
        <w:rPr>
          <w:b/>
          <w:noProof/>
        </w:rPr>
        <w:t>Chypre</w:t>
      </w:r>
      <w:r>
        <w:rPr>
          <w:rStyle w:val="FootnoteReference"/>
          <w:b/>
          <w:bCs/>
          <w:noProof/>
          <w:lang w:eastAsia="en-US"/>
        </w:rPr>
        <w:footnoteReference w:id="15"/>
      </w:r>
      <w:r>
        <w:rPr>
          <w:noProof/>
        </w:rPr>
        <w:t xml:space="preserve"> ne prévoit pas de circonstances aggravantes en cas de complicité, d’incitation et de tentative en matière de blanchiment de capitaux; </w:t>
      </w:r>
      <w:r>
        <w:rPr>
          <w:b/>
          <w:noProof/>
        </w:rPr>
        <w:t>La Grèce</w:t>
      </w:r>
      <w:r>
        <w:rPr>
          <w:rStyle w:val="FootnoteReference"/>
          <w:noProof/>
          <w:lang w:eastAsia="en-US"/>
        </w:rPr>
        <w:footnoteReference w:id="16"/>
      </w:r>
      <w:r>
        <w:rPr>
          <w:noProof/>
        </w:rPr>
        <w:t xml:space="preserve"> ne peut appliquer les circonstances aggravantes lorsque l’infraction principale est un délit, ce qui, dans la pratique, exclut une grande partie des infractions principales établies par la directive.</w:t>
      </w:r>
    </w:p>
    <w:p w14:paraId="0F353C04" w14:textId="77777777" w:rsidR="00EF2334" w:rsidRPr="00E44128" w:rsidRDefault="00EF2334" w:rsidP="0029250C">
      <w:pPr>
        <w:contextualSpacing/>
        <w:jc w:val="both"/>
        <w:rPr>
          <w:noProof/>
        </w:rPr>
      </w:pPr>
    </w:p>
    <w:p w14:paraId="6C481E67" w14:textId="040F24C7" w:rsidR="00F93B59" w:rsidRDefault="00EF2334" w:rsidP="0029250C">
      <w:pPr>
        <w:jc w:val="both"/>
        <w:rPr>
          <w:noProof/>
        </w:rPr>
      </w:pPr>
      <w:r>
        <w:rPr>
          <w:noProof/>
        </w:rPr>
        <w:t>L’</w:t>
      </w:r>
      <w:r>
        <w:rPr>
          <w:b/>
          <w:noProof/>
        </w:rPr>
        <w:t>article 6, paragraphe 2,</w:t>
      </w:r>
      <w:r>
        <w:rPr>
          <w:noProof/>
        </w:rPr>
        <w:t xml:space="preserve"> offre aux États membres la possibilité d’introduire deux circonstances aggravantes supplémentaires,</w:t>
      </w:r>
      <w:r>
        <w:rPr>
          <w:b/>
          <w:noProof/>
        </w:rPr>
        <w:t xml:space="preserve"> a) </w:t>
      </w:r>
      <w:r>
        <w:rPr>
          <w:noProof/>
        </w:rPr>
        <w:t xml:space="preserve">lorsque la valeur des biens faisant l’objet du blanchiment est considérable ou </w:t>
      </w:r>
      <w:r>
        <w:rPr>
          <w:b/>
          <w:noProof/>
        </w:rPr>
        <w:t xml:space="preserve">b) </w:t>
      </w:r>
      <w:r>
        <w:rPr>
          <w:noProof/>
        </w:rPr>
        <w:t>lorsque les biens faisant l’objet du blanchiment proviennent d’une série d’infractions bien précises</w:t>
      </w:r>
      <w:r>
        <w:rPr>
          <w:noProof/>
          <w:vertAlign w:val="superscript"/>
        </w:rPr>
        <w:footnoteReference w:id="17"/>
      </w:r>
      <w:r>
        <w:rPr>
          <w:noProof/>
        </w:rPr>
        <w:t xml:space="preserve">. </w:t>
      </w:r>
      <w:r>
        <w:rPr>
          <w:b/>
          <w:noProof/>
        </w:rPr>
        <w:t>L’option a) a été transposée par 14 États membres</w:t>
      </w:r>
      <w:r>
        <w:rPr>
          <w:rStyle w:val="FootnoteReference"/>
          <w:noProof/>
        </w:rPr>
        <w:footnoteReference w:id="18"/>
      </w:r>
      <w:r>
        <w:rPr>
          <w:noProof/>
        </w:rPr>
        <w:t>,</w:t>
      </w:r>
      <w:r>
        <w:rPr>
          <w:b/>
          <w:noProof/>
        </w:rPr>
        <w:t xml:space="preserve"> l’option b) par quatre États membres</w:t>
      </w:r>
      <w:r>
        <w:rPr>
          <w:rStyle w:val="FootnoteReference"/>
          <w:noProof/>
        </w:rPr>
        <w:footnoteReference w:id="19"/>
      </w:r>
      <w:r>
        <w:rPr>
          <w:b/>
          <w:noProof/>
        </w:rPr>
        <w:t>.</w:t>
      </w:r>
      <w:r>
        <w:rPr>
          <w:noProof/>
        </w:rPr>
        <w:t xml:space="preserve"> </w:t>
      </w:r>
    </w:p>
    <w:p w14:paraId="02F93B6C" w14:textId="77777777" w:rsidR="004E2383" w:rsidRDefault="004E2383" w:rsidP="0029250C">
      <w:pPr>
        <w:jc w:val="both"/>
        <w:rPr>
          <w:noProof/>
        </w:rPr>
      </w:pPr>
    </w:p>
    <w:p w14:paraId="51624A63" w14:textId="36276634" w:rsidR="00EF2334" w:rsidRPr="00E44128" w:rsidRDefault="00F82B9F" w:rsidP="0029250C">
      <w:pPr>
        <w:jc w:val="both"/>
        <w:rPr>
          <w:noProof/>
        </w:rPr>
      </w:pPr>
      <w:r>
        <w:rPr>
          <w:b/>
          <w:noProof/>
        </w:rPr>
        <w:t>Tous les États membres ayant eu recours à ces options les ont transposées d’une manière conforme</w:t>
      </w:r>
      <w:r>
        <w:rPr>
          <w:noProof/>
        </w:rPr>
        <w:t xml:space="preserve"> à la directive.</w:t>
      </w:r>
    </w:p>
    <w:p w14:paraId="42CCA0DD" w14:textId="77777777" w:rsidR="00175B64" w:rsidRPr="00E44128" w:rsidRDefault="00175B64" w:rsidP="0029250C">
      <w:pPr>
        <w:contextualSpacing/>
        <w:jc w:val="both"/>
        <w:rPr>
          <w:noProof/>
        </w:rPr>
      </w:pPr>
    </w:p>
    <w:p w14:paraId="3F442383" w14:textId="77777777" w:rsidR="00175B64" w:rsidRPr="00E44128" w:rsidRDefault="00175B64" w:rsidP="00C84542">
      <w:pPr>
        <w:pStyle w:val="Heading2"/>
        <w:rPr>
          <w:noProof/>
        </w:rPr>
      </w:pPr>
      <w:bookmarkStart w:id="22" w:name="_Toc106282988"/>
      <w:bookmarkStart w:id="23" w:name="_Toc110247390"/>
      <w:r>
        <w:rPr>
          <w:noProof/>
        </w:rPr>
        <w:t>Article 7 – Responsabilité des personnes morales</w:t>
      </w:r>
      <w:bookmarkEnd w:id="22"/>
      <w:bookmarkEnd w:id="23"/>
    </w:p>
    <w:p w14:paraId="341341A4" w14:textId="77777777" w:rsidR="00175B64" w:rsidRPr="00E44128" w:rsidRDefault="00175B64" w:rsidP="0029250C">
      <w:pPr>
        <w:jc w:val="both"/>
        <w:rPr>
          <w:noProof/>
        </w:rPr>
      </w:pPr>
    </w:p>
    <w:p w14:paraId="15C3DFA0" w14:textId="715D12E2" w:rsidR="005E10CF" w:rsidRDefault="5318E8F5" w:rsidP="0029250C">
      <w:pPr>
        <w:jc w:val="both"/>
        <w:rPr>
          <w:noProof/>
        </w:rPr>
      </w:pPr>
      <w:r>
        <w:rPr>
          <w:noProof/>
        </w:rPr>
        <w:t>Conformément à la directive, il doit être possible de tenir des personnes morales pour responsables d’infractions de blanchiment de capitaux, notamment de l’infraction d’autoblanchiment. Cela inclut les actions commises par toute personne</w:t>
      </w:r>
      <w:r w:rsidR="0015635F">
        <w:rPr>
          <w:noProof/>
        </w:rPr>
        <w:t xml:space="preserve"> </w:t>
      </w:r>
      <w:r>
        <w:rPr>
          <w:noProof/>
        </w:rPr>
        <w:t>agissant individuellement ou en tant que membre d’un organe de la personne morale et qui exerce une fonction dirigeante en son sein (</w:t>
      </w:r>
      <w:r>
        <w:rPr>
          <w:b/>
          <w:noProof/>
        </w:rPr>
        <w:t>article 7, paragraphe 1</w:t>
      </w:r>
      <w:r>
        <w:rPr>
          <w:noProof/>
        </w:rPr>
        <w:t>). Les États membres doivent également veiller à ce que des personnes morales puissent être tenues pour responsables lorsqu’un défaut de surveillance ou de contrôle a rendu possible la commission de l’infraction (</w:t>
      </w:r>
      <w:r>
        <w:rPr>
          <w:b/>
          <w:noProof/>
        </w:rPr>
        <w:t>article 7, paragraphe 2</w:t>
      </w:r>
      <w:r>
        <w:rPr>
          <w:noProof/>
        </w:rPr>
        <w:t>). La responsabilité des personnes morales ne devrait toutefois pas exclure la possibilité d’engager des poursuites pénales contre les personnes physiques auteurs des infractions (</w:t>
      </w:r>
      <w:r>
        <w:rPr>
          <w:b/>
          <w:noProof/>
        </w:rPr>
        <w:t>article 7, paragraphe 3</w:t>
      </w:r>
      <w:r>
        <w:rPr>
          <w:noProof/>
        </w:rPr>
        <w:t>).</w:t>
      </w:r>
    </w:p>
    <w:p w14:paraId="043EFFC7" w14:textId="77777777" w:rsidR="00EE144C" w:rsidRDefault="00EE144C" w:rsidP="0029250C">
      <w:pPr>
        <w:jc w:val="both"/>
        <w:rPr>
          <w:rStyle w:val="CommentReference"/>
          <w:noProof/>
          <w:sz w:val="24"/>
          <w:szCs w:val="24"/>
          <w:lang w:eastAsia="en-US"/>
        </w:rPr>
      </w:pPr>
    </w:p>
    <w:p w14:paraId="73958468" w14:textId="682F24A0" w:rsidR="00CF7FC5" w:rsidRDefault="00825270" w:rsidP="0029250C">
      <w:pPr>
        <w:jc w:val="both"/>
        <w:rPr>
          <w:noProof/>
        </w:rPr>
      </w:pPr>
      <w:r>
        <w:rPr>
          <w:b/>
          <w:noProof/>
        </w:rPr>
        <w:t>En ce qui concerne la responsabilité des personnes morales</w:t>
      </w:r>
      <w:r>
        <w:rPr>
          <w:noProof/>
        </w:rPr>
        <w:t xml:space="preserve">, la </w:t>
      </w:r>
      <w:r>
        <w:rPr>
          <w:b/>
          <w:noProof/>
        </w:rPr>
        <w:t xml:space="preserve">France n’a pas </w:t>
      </w:r>
      <w:r>
        <w:rPr>
          <w:noProof/>
        </w:rPr>
        <w:t xml:space="preserve">introduit dans sa législation la possibilité de tenir des personnes morales pour responsables lorsque l’infraction de blanchiment de capitaux a été rendue possible du fait d’un défaut de surveillance ou de contrôle de la part d’une personne qui exerce une fonction dirigeante au sein de l’entité en question. </w:t>
      </w:r>
    </w:p>
    <w:p w14:paraId="3950A2A9" w14:textId="77777777" w:rsidR="003A0B8C" w:rsidRPr="00E44128" w:rsidRDefault="003A0B8C" w:rsidP="0029250C">
      <w:pPr>
        <w:jc w:val="both"/>
        <w:rPr>
          <w:noProof/>
          <w:lang w:eastAsia="en-US"/>
        </w:rPr>
      </w:pPr>
    </w:p>
    <w:p w14:paraId="4A057AD9" w14:textId="77777777" w:rsidR="00175B64" w:rsidRPr="00E44128" w:rsidRDefault="00175B64" w:rsidP="00C84542">
      <w:pPr>
        <w:pStyle w:val="Heading2"/>
        <w:rPr>
          <w:noProof/>
        </w:rPr>
      </w:pPr>
      <w:bookmarkStart w:id="24" w:name="_Toc106282989"/>
      <w:bookmarkStart w:id="25" w:name="_Toc110247391"/>
      <w:r>
        <w:rPr>
          <w:noProof/>
        </w:rPr>
        <w:t>Article 8 – Sanctions à l’encontre des personnes morales</w:t>
      </w:r>
      <w:bookmarkEnd w:id="24"/>
      <w:bookmarkEnd w:id="25"/>
    </w:p>
    <w:p w14:paraId="4F46B46B" w14:textId="77777777" w:rsidR="00175B64" w:rsidRPr="00E44128" w:rsidRDefault="00175B64" w:rsidP="0029250C">
      <w:pPr>
        <w:jc w:val="both"/>
        <w:rPr>
          <w:noProof/>
        </w:rPr>
      </w:pPr>
    </w:p>
    <w:p w14:paraId="668441B0" w14:textId="765A8DE3" w:rsidR="00175B64" w:rsidRPr="00361957" w:rsidRDefault="00175B64" w:rsidP="00100A7F">
      <w:pPr>
        <w:jc w:val="both"/>
        <w:rPr>
          <w:noProof/>
        </w:rPr>
      </w:pPr>
      <w:r>
        <w:rPr>
          <w:noProof/>
        </w:rPr>
        <w:t>L’</w:t>
      </w:r>
      <w:r>
        <w:rPr>
          <w:b/>
          <w:noProof/>
        </w:rPr>
        <w:t>article 8</w:t>
      </w:r>
      <w:r>
        <w:rPr>
          <w:noProof/>
        </w:rPr>
        <w:t xml:space="preserve"> exige des États membres qu’ils fassent en sorte que toute personne morale tenue pour responsable en vertu de l’article 7 soit </w:t>
      </w:r>
      <w:r>
        <w:rPr>
          <w:b/>
          <w:noProof/>
        </w:rPr>
        <w:t>passible de sanctions effectives, proportionnées et dissuasives, qui incluent, en tout état de cause, des amendes pénales ou non pénales</w:t>
      </w:r>
      <w:r>
        <w:rPr>
          <w:noProof/>
        </w:rPr>
        <w:t>. Tous les États membres ont transposé cette disposition de manière conforme.</w:t>
      </w:r>
    </w:p>
    <w:p w14:paraId="7AD8EE73" w14:textId="77777777" w:rsidR="00EF2334" w:rsidRPr="00361957" w:rsidRDefault="00EF2334" w:rsidP="00100A7F">
      <w:pPr>
        <w:jc w:val="both"/>
        <w:rPr>
          <w:noProof/>
          <w:lang w:eastAsia="en-US"/>
        </w:rPr>
      </w:pPr>
    </w:p>
    <w:p w14:paraId="6F40B918" w14:textId="0B023B46" w:rsidR="00020891" w:rsidRPr="00EE144C" w:rsidRDefault="00020891" w:rsidP="00100A7F">
      <w:pPr>
        <w:jc w:val="both"/>
        <w:rPr>
          <w:b/>
          <w:bCs/>
          <w:noProof/>
        </w:rPr>
      </w:pPr>
      <w:r>
        <w:rPr>
          <w:noProof/>
        </w:rPr>
        <w:t>De plus, l’</w:t>
      </w:r>
      <w:r>
        <w:rPr>
          <w:b/>
          <w:noProof/>
        </w:rPr>
        <w:t>article 8</w:t>
      </w:r>
      <w:r>
        <w:rPr>
          <w:noProof/>
        </w:rPr>
        <w:t xml:space="preserve"> </w:t>
      </w:r>
      <w:r>
        <w:rPr>
          <w:b/>
          <w:noProof/>
        </w:rPr>
        <w:t>énumère différentes options pour d’autres sanctions</w:t>
      </w:r>
      <w:r>
        <w:rPr>
          <w:noProof/>
        </w:rPr>
        <w:t xml:space="preserve">, allant de l’exclusion de l’entité juridique du bénéfice d’un avantage ou d’une aide publics à l’exclusion de celle-ci de l’accès aux financements publics, en passant par l’interdiction d’exercer une activité commerciale, le placement sous surveillance judiciaire, la fermeture des établissements ayant servi à commettre l’infraction, voire le recours à une mesure judiciaire de dissolution de l’entreprise. </w:t>
      </w:r>
      <w:r>
        <w:rPr>
          <w:b/>
          <w:noProof/>
        </w:rPr>
        <w:t>19 États membres</w:t>
      </w:r>
      <w:r>
        <w:rPr>
          <w:rStyle w:val="FootnoteReference"/>
          <w:noProof/>
          <w:lang w:eastAsia="en-US"/>
        </w:rPr>
        <w:footnoteReference w:id="20"/>
      </w:r>
      <w:r>
        <w:rPr>
          <w:b/>
          <w:noProof/>
        </w:rPr>
        <w:t xml:space="preserve"> ont eu recours à l’une ou à plusieurs de ces options. Six États membres n’ont eu recours à aucune de ces options. </w:t>
      </w:r>
    </w:p>
    <w:p w14:paraId="555D5B63" w14:textId="77777777" w:rsidR="00175B64" w:rsidRDefault="00175B64" w:rsidP="000B3791">
      <w:pPr>
        <w:pStyle w:val="Heading2"/>
        <w:jc w:val="both"/>
        <w:rPr>
          <w:noProof/>
        </w:rPr>
      </w:pPr>
    </w:p>
    <w:p w14:paraId="43728E8A" w14:textId="43C2EDDD" w:rsidR="008B5796" w:rsidRDefault="008B5796" w:rsidP="00100A7F">
      <w:pPr>
        <w:jc w:val="both"/>
        <w:rPr>
          <w:noProof/>
        </w:rPr>
      </w:pPr>
      <w:r>
        <w:rPr>
          <w:noProof/>
        </w:rPr>
        <w:t>Tous les États membres ayant eu recours à ces options les ont transposées d’une manière conforme à la directive.</w:t>
      </w:r>
    </w:p>
    <w:p w14:paraId="23B16F02" w14:textId="77777777" w:rsidR="008B5796" w:rsidRPr="008B5796" w:rsidRDefault="008B5796" w:rsidP="008B5796">
      <w:pPr>
        <w:rPr>
          <w:noProof/>
        </w:rPr>
      </w:pPr>
    </w:p>
    <w:p w14:paraId="7987D847" w14:textId="77777777" w:rsidR="00175B64" w:rsidRPr="00361957" w:rsidRDefault="00175B64" w:rsidP="00C84542">
      <w:pPr>
        <w:pStyle w:val="Heading2"/>
        <w:rPr>
          <w:noProof/>
        </w:rPr>
      </w:pPr>
      <w:bookmarkStart w:id="26" w:name="_Toc106282990"/>
      <w:bookmarkStart w:id="27" w:name="_Toc110247392"/>
      <w:r>
        <w:rPr>
          <w:noProof/>
        </w:rPr>
        <w:t>Article 9 – Confiscation</w:t>
      </w:r>
      <w:bookmarkEnd w:id="26"/>
      <w:bookmarkEnd w:id="27"/>
    </w:p>
    <w:p w14:paraId="6B810A89" w14:textId="77777777" w:rsidR="00175B64" w:rsidRPr="00901745" w:rsidRDefault="00175B64" w:rsidP="0029250C">
      <w:pPr>
        <w:jc w:val="both"/>
        <w:rPr>
          <w:noProof/>
          <w:lang w:val="fr-BE"/>
        </w:rPr>
      </w:pPr>
    </w:p>
    <w:p w14:paraId="507E1597" w14:textId="2365F3B9" w:rsidR="00966D19" w:rsidRPr="00CC621A" w:rsidRDefault="00175B64" w:rsidP="0029250C">
      <w:pPr>
        <w:pStyle w:val="ti-art"/>
        <w:spacing w:before="0" w:beforeAutospacing="0" w:after="0" w:afterAutospacing="0"/>
        <w:jc w:val="both"/>
        <w:rPr>
          <w:rFonts w:eastAsia="Arial"/>
          <w:noProof/>
        </w:rPr>
      </w:pPr>
      <w:r>
        <w:rPr>
          <w:noProof/>
        </w:rPr>
        <w:t>L’</w:t>
      </w:r>
      <w:r>
        <w:rPr>
          <w:b/>
          <w:noProof/>
        </w:rPr>
        <w:t>article 9</w:t>
      </w:r>
      <w:r>
        <w:rPr>
          <w:noProof/>
        </w:rPr>
        <w:t xml:space="preserve"> exige des États membres qu’ils </w:t>
      </w:r>
      <w:r>
        <w:rPr>
          <w:b/>
          <w:noProof/>
        </w:rPr>
        <w:t>s’assurent que, selon le cas, les autorités nationales compétentes gèlent ou confisquent</w:t>
      </w:r>
      <w:r>
        <w:rPr>
          <w:noProof/>
        </w:rPr>
        <w:t xml:space="preserve"> les produits provenant de la commission des infractions de blanchiment de capitaux visées dans la directive ou de la contribution à la commission de telles infractions, ainsi que les instruments utilisés ou destinés à être utilisés à ces fins, conformément à la directive 2014/42/UE sur la confiscation</w:t>
      </w:r>
      <w:r>
        <w:rPr>
          <w:rStyle w:val="FootnoteReference"/>
          <w:rFonts w:eastAsia="Arial"/>
          <w:noProof/>
          <w:lang w:val="en-IE"/>
        </w:rPr>
        <w:footnoteReference w:id="21"/>
      </w:r>
      <w:r>
        <w:rPr>
          <w:noProof/>
        </w:rPr>
        <w:t xml:space="preserve">. </w:t>
      </w:r>
    </w:p>
    <w:p w14:paraId="100F2A62" w14:textId="77777777" w:rsidR="00853BD9" w:rsidRPr="00901745" w:rsidRDefault="00853BD9" w:rsidP="0029250C">
      <w:pPr>
        <w:pStyle w:val="ti-art"/>
        <w:spacing w:before="0" w:beforeAutospacing="0" w:after="0" w:afterAutospacing="0"/>
        <w:jc w:val="both"/>
        <w:rPr>
          <w:rFonts w:eastAsia="Arial"/>
          <w:noProof/>
          <w:lang w:val="fr-BE"/>
        </w:rPr>
      </w:pPr>
    </w:p>
    <w:p w14:paraId="30D9B3FD" w14:textId="3BF945BE" w:rsidR="00175B64" w:rsidRPr="00CC621A" w:rsidRDefault="00175B64" w:rsidP="0029250C">
      <w:pPr>
        <w:pStyle w:val="ti-art"/>
        <w:spacing w:before="0" w:beforeAutospacing="0" w:after="0" w:afterAutospacing="0"/>
        <w:jc w:val="both"/>
        <w:rPr>
          <w:rFonts w:eastAsia="Arial"/>
          <w:noProof/>
        </w:rPr>
      </w:pPr>
      <w:r>
        <w:rPr>
          <w:b/>
          <w:noProof/>
        </w:rPr>
        <w:t>Les 25 États</w:t>
      </w:r>
      <w:r>
        <w:rPr>
          <w:noProof/>
        </w:rPr>
        <w:t xml:space="preserve"> </w:t>
      </w:r>
      <w:r>
        <w:rPr>
          <w:b/>
          <w:noProof/>
        </w:rPr>
        <w:t>membres</w:t>
      </w:r>
      <w:r>
        <w:rPr>
          <w:noProof/>
        </w:rPr>
        <w:t xml:space="preserve"> </w:t>
      </w:r>
      <w:r>
        <w:rPr>
          <w:b/>
          <w:noProof/>
        </w:rPr>
        <w:t>ont tous transposé l’article 9 d’une manière conforme</w:t>
      </w:r>
      <w:r>
        <w:rPr>
          <w:noProof/>
        </w:rPr>
        <w:t xml:space="preserve"> à la directive.  </w:t>
      </w:r>
    </w:p>
    <w:p w14:paraId="2ADAC834" w14:textId="77777777" w:rsidR="00175B64" w:rsidRPr="00361957" w:rsidRDefault="00175B64" w:rsidP="0029250C">
      <w:pPr>
        <w:jc w:val="both"/>
        <w:rPr>
          <w:noProof/>
        </w:rPr>
      </w:pPr>
    </w:p>
    <w:p w14:paraId="263F3DD2" w14:textId="77777777" w:rsidR="00175B64" w:rsidRPr="00361957" w:rsidRDefault="00175B64" w:rsidP="00C84542">
      <w:pPr>
        <w:pStyle w:val="Heading2"/>
        <w:rPr>
          <w:noProof/>
        </w:rPr>
      </w:pPr>
      <w:bookmarkStart w:id="28" w:name="_Toc106282991"/>
      <w:bookmarkStart w:id="29" w:name="_Toc110247393"/>
      <w:r>
        <w:rPr>
          <w:noProof/>
        </w:rPr>
        <w:t>Article 10 – Compétence</w:t>
      </w:r>
      <w:bookmarkEnd w:id="28"/>
      <w:bookmarkEnd w:id="29"/>
    </w:p>
    <w:p w14:paraId="63336D57" w14:textId="77777777" w:rsidR="00175B64" w:rsidRPr="00361957" w:rsidRDefault="00175B64" w:rsidP="0029250C">
      <w:pPr>
        <w:jc w:val="both"/>
        <w:rPr>
          <w:noProof/>
        </w:rPr>
      </w:pPr>
    </w:p>
    <w:p w14:paraId="46F68A75" w14:textId="131BFD74" w:rsidR="00EF2334" w:rsidRDefault="00175B64" w:rsidP="00100A7F">
      <w:pPr>
        <w:jc w:val="both"/>
        <w:rPr>
          <w:noProof/>
        </w:rPr>
      </w:pPr>
      <w:r>
        <w:rPr>
          <w:noProof/>
        </w:rPr>
        <w:t>L’</w:t>
      </w:r>
      <w:r>
        <w:rPr>
          <w:b/>
          <w:noProof/>
        </w:rPr>
        <w:t>article 10, paragraphe 1,</w:t>
      </w:r>
      <w:r>
        <w:rPr>
          <w:noProof/>
        </w:rPr>
        <w:t xml:space="preserve"> exige d’un État membre qu’il établisse sa </w:t>
      </w:r>
      <w:r>
        <w:rPr>
          <w:b/>
          <w:noProof/>
        </w:rPr>
        <w:t>compétence</w:t>
      </w:r>
      <w:r>
        <w:rPr>
          <w:noProof/>
        </w:rPr>
        <w:t xml:space="preserve"> à l’égard des infractions de blanchiment de capitaux, lorsque l’infraction a été commise sur son territoire [</w:t>
      </w:r>
      <w:r>
        <w:rPr>
          <w:b/>
          <w:noProof/>
        </w:rPr>
        <w:t>article 10, paragraphe 1, point a)</w:t>
      </w:r>
      <w:r>
        <w:rPr>
          <w:noProof/>
        </w:rPr>
        <w:t>], ou lorsque l’auteur de l’infraction est l’un de ses ressortissants [</w:t>
      </w:r>
      <w:r>
        <w:rPr>
          <w:b/>
          <w:noProof/>
        </w:rPr>
        <w:t>article 10, paragraphe 1, point b)</w:t>
      </w:r>
      <w:r>
        <w:rPr>
          <w:noProof/>
        </w:rPr>
        <w:t xml:space="preserve">]. Tous les </w:t>
      </w:r>
      <w:r>
        <w:rPr>
          <w:b/>
          <w:noProof/>
        </w:rPr>
        <w:t>États membres</w:t>
      </w:r>
      <w:r>
        <w:rPr>
          <w:noProof/>
        </w:rPr>
        <w:t xml:space="preserve"> ont transposé cette disposition conformément à la directive.</w:t>
      </w:r>
    </w:p>
    <w:p w14:paraId="3624CFEC" w14:textId="77777777" w:rsidR="00945C09" w:rsidRDefault="00945C09" w:rsidP="00100A7F">
      <w:pPr>
        <w:jc w:val="both"/>
        <w:rPr>
          <w:noProof/>
          <w:lang w:eastAsia="en-US"/>
        </w:rPr>
      </w:pPr>
    </w:p>
    <w:p w14:paraId="0C89E1CC" w14:textId="5FAACA15" w:rsidR="00DD7E93" w:rsidRPr="00B94F6B" w:rsidRDefault="00945C09" w:rsidP="00DD7E93">
      <w:pPr>
        <w:jc w:val="both"/>
        <w:rPr>
          <w:rFonts w:eastAsia="Calibri Light"/>
          <w:noProof/>
        </w:rPr>
      </w:pPr>
      <w:r>
        <w:rPr>
          <w:noProof/>
        </w:rPr>
        <w:t>En ce qui concerne l’</w:t>
      </w:r>
      <w:r>
        <w:rPr>
          <w:b/>
          <w:noProof/>
        </w:rPr>
        <w:t>article 10, paragraphe 1, point b)</w:t>
      </w:r>
      <w:r>
        <w:rPr>
          <w:noProof/>
        </w:rPr>
        <w:t xml:space="preserve">, </w:t>
      </w:r>
      <w:bookmarkStart w:id="30" w:name="_Hlk224203020"/>
      <w:r>
        <w:rPr>
          <w:noProof/>
        </w:rPr>
        <w:t xml:space="preserve">il y a lieu de noter que, précisément dans le cas où l’auteur de l’infraction est un ressortissant de l’État membre, cette disposition a fait l’objet de transpositions divergentes, en particulier en ce qui concerne l’exigence de </w:t>
      </w:r>
      <w:r>
        <w:rPr>
          <w:b/>
          <w:noProof/>
        </w:rPr>
        <w:t>double incrimination</w:t>
      </w:r>
      <w:r>
        <w:rPr>
          <w:rStyle w:val="FootnoteReference"/>
          <w:rFonts w:eastAsia="Calibri Light"/>
          <w:noProof/>
          <w:lang w:val="en-IE"/>
        </w:rPr>
        <w:footnoteReference w:id="22"/>
      </w:r>
      <w:r>
        <w:rPr>
          <w:noProof/>
        </w:rPr>
        <w:t>.</w:t>
      </w:r>
    </w:p>
    <w:p w14:paraId="20A806B5" w14:textId="5582E7BB" w:rsidR="00DD7E93" w:rsidRPr="00071152" w:rsidRDefault="00DD7E93" w:rsidP="00DD7E93">
      <w:pPr>
        <w:jc w:val="both"/>
        <w:rPr>
          <w:rFonts w:asciiTheme="minorHAnsi" w:eastAsiaTheme="minorHAnsi" w:hAnsiTheme="minorHAnsi" w:cstheme="minorBidi"/>
          <w:noProof/>
        </w:rPr>
      </w:pPr>
      <w:r>
        <w:rPr>
          <w:noProof/>
        </w:rPr>
        <w:t xml:space="preserve">Faute de disposition spécifique traitant de ce point, il semble que </w:t>
      </w:r>
      <w:r>
        <w:rPr>
          <w:b/>
          <w:noProof/>
        </w:rPr>
        <w:t>10 États membres</w:t>
      </w:r>
      <w:r>
        <w:rPr>
          <w:rStyle w:val="FootnoteReference"/>
          <w:rFonts w:eastAsia="Calibri Light"/>
          <w:noProof/>
        </w:rPr>
        <w:footnoteReference w:id="23"/>
      </w:r>
      <w:r>
        <w:rPr>
          <w:noProof/>
        </w:rPr>
        <w:t xml:space="preserve"> aient mis en œuvre la directive sans stipuler explicitement que la double incrimination était un préalable à la revendication de compétence. À l’inverse, </w:t>
      </w:r>
      <w:r>
        <w:rPr>
          <w:b/>
          <w:noProof/>
        </w:rPr>
        <w:t>11 États membres</w:t>
      </w:r>
      <w:r>
        <w:rPr>
          <w:rStyle w:val="FootnoteReference"/>
          <w:rFonts w:eastAsia="Calibri Light"/>
          <w:noProof/>
        </w:rPr>
        <w:footnoteReference w:id="24"/>
      </w:r>
      <w:r>
        <w:rPr>
          <w:noProof/>
        </w:rPr>
        <w:t xml:space="preserve"> ont expressément subordonné à l’exigence susmentionnée la revendication de compétence à l’égard de leurs ressortissants. Par ailleurs, </w:t>
      </w:r>
      <w:r>
        <w:rPr>
          <w:b/>
          <w:noProof/>
        </w:rPr>
        <w:t>trois États membres</w:t>
      </w:r>
      <w:r>
        <w:rPr>
          <w:rStyle w:val="FootnoteReference"/>
          <w:rFonts w:eastAsia="Calibri Light"/>
          <w:noProof/>
        </w:rPr>
        <w:footnoteReference w:id="25"/>
      </w:r>
      <w:r>
        <w:rPr>
          <w:noProof/>
        </w:rPr>
        <w:t xml:space="preserve"> ont explicitement exclu l’exigence de double incrimination pour les infractions de blanchiment de capitaux. </w:t>
      </w:r>
    </w:p>
    <w:bookmarkEnd w:id="30"/>
    <w:p w14:paraId="7B2A7AE6" w14:textId="590C8378" w:rsidR="00EF2334" w:rsidRPr="00361957" w:rsidRDefault="00EF2334" w:rsidP="00100A7F">
      <w:pPr>
        <w:jc w:val="both"/>
        <w:rPr>
          <w:b/>
          <w:bCs/>
          <w:noProof/>
          <w:lang w:eastAsia="en-US"/>
        </w:rPr>
      </w:pPr>
    </w:p>
    <w:p w14:paraId="0A5F17C6" w14:textId="3FEADC20" w:rsidR="00F93B59" w:rsidRDefault="00175B64" w:rsidP="00100A7F">
      <w:pPr>
        <w:jc w:val="both"/>
        <w:rPr>
          <w:noProof/>
        </w:rPr>
      </w:pPr>
      <w:r>
        <w:rPr>
          <w:noProof/>
        </w:rPr>
        <w:t>L’</w:t>
      </w:r>
      <w:r>
        <w:rPr>
          <w:b/>
          <w:noProof/>
        </w:rPr>
        <w:t>article 10, paragraphe 2,</w:t>
      </w:r>
      <w:r>
        <w:rPr>
          <w:noProof/>
        </w:rPr>
        <w:t xml:space="preserve"> autorise les États membres à étendre leur compétence aux cas dans lesquels </w:t>
      </w:r>
      <w:r>
        <w:rPr>
          <w:b/>
          <w:noProof/>
        </w:rPr>
        <w:t>a)</w:t>
      </w:r>
      <w:r>
        <w:rPr>
          <w:noProof/>
        </w:rPr>
        <w:t xml:space="preserve"> l’auteur de l’infraction réside habituellement sur leur territoire, ou </w:t>
      </w:r>
      <w:r>
        <w:rPr>
          <w:b/>
          <w:noProof/>
        </w:rPr>
        <w:t>b)</w:t>
      </w:r>
      <w:r>
        <w:rPr>
          <w:noProof/>
        </w:rPr>
        <w:t xml:space="preserve"> l’infraction a été commise pour le compte d’une personne morale établie sur leur territoire. </w:t>
      </w:r>
      <w:r>
        <w:rPr>
          <w:b/>
          <w:noProof/>
        </w:rPr>
        <w:t>Quatorze États membres</w:t>
      </w:r>
      <w:r>
        <w:rPr>
          <w:rStyle w:val="FootnoteReference"/>
          <w:noProof/>
          <w:lang w:eastAsia="en-US"/>
        </w:rPr>
        <w:footnoteReference w:id="26"/>
      </w:r>
      <w:r>
        <w:rPr>
          <w:noProof/>
        </w:rPr>
        <w:t xml:space="preserve"> ont eu recours à l’option prévue à l’</w:t>
      </w:r>
      <w:r>
        <w:rPr>
          <w:b/>
          <w:noProof/>
        </w:rPr>
        <w:t>article 10, paragraphe 2, point a)</w:t>
      </w:r>
      <w:r>
        <w:rPr>
          <w:noProof/>
        </w:rPr>
        <w:t xml:space="preserve">. </w:t>
      </w:r>
      <w:r>
        <w:rPr>
          <w:b/>
          <w:noProof/>
        </w:rPr>
        <w:t>Dix États membres</w:t>
      </w:r>
      <w:r>
        <w:rPr>
          <w:rStyle w:val="FootnoteReference"/>
          <w:noProof/>
          <w:lang w:eastAsia="en-US"/>
        </w:rPr>
        <w:footnoteReference w:id="27"/>
      </w:r>
      <w:r>
        <w:rPr>
          <w:noProof/>
        </w:rPr>
        <w:t xml:space="preserve"> ont eu recours à l’option prévue à l’</w:t>
      </w:r>
      <w:r>
        <w:rPr>
          <w:b/>
          <w:noProof/>
        </w:rPr>
        <w:t>article 10, paragraphe 2, point b), de manière conforme</w:t>
      </w:r>
      <w:r>
        <w:rPr>
          <w:noProof/>
        </w:rPr>
        <w:t xml:space="preserve">. </w:t>
      </w:r>
    </w:p>
    <w:p w14:paraId="6DAD4C27" w14:textId="637E2453" w:rsidR="000D4F00" w:rsidRPr="000D4F00" w:rsidRDefault="000D4F00" w:rsidP="000B3791">
      <w:pPr>
        <w:jc w:val="both"/>
        <w:rPr>
          <w:noProof/>
        </w:rPr>
      </w:pPr>
    </w:p>
    <w:p w14:paraId="2C4F762C" w14:textId="77777777" w:rsidR="00175B64" w:rsidRPr="00361957" w:rsidRDefault="00175B64" w:rsidP="00C84542">
      <w:pPr>
        <w:pStyle w:val="Heading2"/>
        <w:rPr>
          <w:noProof/>
        </w:rPr>
      </w:pPr>
      <w:bookmarkStart w:id="31" w:name="_Toc106282992"/>
      <w:bookmarkStart w:id="32" w:name="_Toc110247394"/>
      <w:r>
        <w:rPr>
          <w:noProof/>
        </w:rPr>
        <w:t>Article 11 – Outils d’enquête</w:t>
      </w:r>
      <w:bookmarkEnd w:id="31"/>
      <w:bookmarkEnd w:id="32"/>
    </w:p>
    <w:p w14:paraId="7F752F27" w14:textId="77777777" w:rsidR="00175B64" w:rsidRPr="00361957" w:rsidRDefault="00175B64" w:rsidP="0029250C">
      <w:pPr>
        <w:jc w:val="both"/>
        <w:rPr>
          <w:noProof/>
        </w:rPr>
      </w:pPr>
    </w:p>
    <w:p w14:paraId="577920BA" w14:textId="54C103E6" w:rsidR="00175B64" w:rsidRDefault="00175B64" w:rsidP="0029250C">
      <w:pPr>
        <w:jc w:val="both"/>
        <w:rPr>
          <w:noProof/>
        </w:rPr>
      </w:pPr>
      <w:r>
        <w:rPr>
          <w:noProof/>
        </w:rPr>
        <w:t>L’</w:t>
      </w:r>
      <w:r>
        <w:rPr>
          <w:b/>
          <w:noProof/>
        </w:rPr>
        <w:t>article 11 exige que des outils d’enquête efficaces</w:t>
      </w:r>
      <w:r>
        <w:rPr>
          <w:noProof/>
        </w:rPr>
        <w:t>,</w:t>
      </w:r>
      <w:r>
        <w:rPr>
          <w:noProof/>
          <w:shd w:val="clear" w:color="auto" w:fill="FFFFFF"/>
        </w:rPr>
        <w:t xml:space="preserve"> tels que ceux qui sont utilisés en matière de lutte contre la criminalité organisée ou d’autres formes graves de criminalité,</w:t>
      </w:r>
      <w:r>
        <w:rPr>
          <w:noProof/>
        </w:rPr>
        <w:t xml:space="preserve"> soient mis à la disposition des personnes, des unités ou des services chargés des enquêtes ou des poursuites concernant les infractions de blanchiment de capitaux, y compris la complicité, l’incitation et la tentative</w:t>
      </w:r>
      <w:r>
        <w:rPr>
          <w:rStyle w:val="FootnoteReference"/>
          <w:noProof/>
        </w:rPr>
        <w:footnoteReference w:id="28"/>
      </w:r>
      <w:r>
        <w:rPr>
          <w:noProof/>
        </w:rPr>
        <w:t xml:space="preserve">. </w:t>
      </w:r>
      <w:r>
        <w:rPr>
          <w:b/>
          <w:noProof/>
        </w:rPr>
        <w:t>Les 25 États membres ont tous transposé l’article 11 d’une manière conforme</w:t>
      </w:r>
      <w:r>
        <w:rPr>
          <w:noProof/>
        </w:rPr>
        <w:t xml:space="preserve"> à la directive.  </w:t>
      </w:r>
    </w:p>
    <w:p w14:paraId="5CE97116" w14:textId="77777777" w:rsidR="00E44128" w:rsidRPr="00361957" w:rsidRDefault="00E44128" w:rsidP="0029250C">
      <w:pPr>
        <w:jc w:val="both"/>
        <w:rPr>
          <w:noProof/>
        </w:rPr>
      </w:pPr>
    </w:p>
    <w:p w14:paraId="02A439F4" w14:textId="6D392568" w:rsidR="00515F3E" w:rsidRPr="00CD053B" w:rsidRDefault="006D1F2A" w:rsidP="00C84542">
      <w:pPr>
        <w:pStyle w:val="Heading1"/>
        <w:rPr>
          <w:noProof/>
          <w:u w:val="none"/>
        </w:rPr>
      </w:pPr>
      <w:r>
        <w:rPr>
          <w:noProof/>
          <w:u w:val="none"/>
        </w:rPr>
        <w:t xml:space="preserve">CONCLUSIONS </w:t>
      </w:r>
    </w:p>
    <w:p w14:paraId="714FFAC3" w14:textId="77777777" w:rsidR="00515F3E" w:rsidRPr="00361957" w:rsidRDefault="00515F3E" w:rsidP="0029250C">
      <w:pPr>
        <w:jc w:val="both"/>
        <w:rPr>
          <w:noProof/>
        </w:rPr>
      </w:pPr>
    </w:p>
    <w:p w14:paraId="31479549" w14:textId="054623C6" w:rsidR="005969A4" w:rsidRDefault="007522BB" w:rsidP="00C73D90">
      <w:pPr>
        <w:spacing w:after="200"/>
        <w:jc w:val="both"/>
        <w:rPr>
          <w:noProof/>
        </w:rPr>
      </w:pPr>
      <w:r>
        <w:rPr>
          <w:noProof/>
        </w:rPr>
        <w:t>Compte tenu de l’importance du blanchiment de capitaux pour les réseaux de criminalité organisée, non seulement en tant qu’outil de financement essentiel, mais aussi en tant que moyen d’obtenir des gains illicites et d’infiltrer l’économie légale, l’harmonisation de la réponse pénale au blanchiment de capitaux fait partie intégrante des vastes efforts déployés par l’Union pour déstabiliser et démanteler les réseaux criminels, ainsi qu’il a été souligné dans la stratégie européenne de sécurité intérieure (ProtectEU)</w:t>
      </w:r>
      <w:r>
        <w:rPr>
          <w:rStyle w:val="FootnoteReference"/>
          <w:noProof/>
        </w:rPr>
        <w:footnoteReference w:id="29"/>
      </w:r>
      <w:r>
        <w:rPr>
          <w:noProof/>
        </w:rPr>
        <w:t>.</w:t>
      </w:r>
    </w:p>
    <w:p w14:paraId="46E24DF2" w14:textId="6632717E" w:rsidR="005F5B84" w:rsidRDefault="005969A4" w:rsidP="00C73D90">
      <w:pPr>
        <w:spacing w:after="200"/>
        <w:jc w:val="both"/>
        <w:rPr>
          <w:noProof/>
        </w:rPr>
      </w:pPr>
      <w:r>
        <w:rPr>
          <w:noProof/>
        </w:rPr>
        <w:t xml:space="preserve">La Commission prend acte des efforts consentis par les États membres pour se conformer à la directive. Bien que des incohérences et lacunes demeurent, dans l’ensemble, la transposition de la directive s’est avérée généralement conforme à celle-ci, les États membres ayant pris des dispositions globales afin d’aligner leur législation nationale sur les normes de l’UE. La plupart des États membres ont adopté une législation spécifique pour satisfaire aux exigences de la directive, tandis qu’une poignée d’autres s’en sont remis entièrement ou partiellement aux dispositions nationales existantes. </w:t>
      </w:r>
    </w:p>
    <w:p w14:paraId="168B6CDB" w14:textId="738DAE5E" w:rsidR="005969A4" w:rsidRDefault="009F4041" w:rsidP="00C73D90">
      <w:pPr>
        <w:spacing w:after="200"/>
        <w:jc w:val="both"/>
        <w:rPr>
          <w:noProof/>
        </w:rPr>
      </w:pPr>
      <w:r>
        <w:rPr>
          <w:noProof/>
        </w:rPr>
        <w:t xml:space="preserve">Pour assurer la transposition complète et correcte de la directive, la Commission continuera d’aider les États membres à remédier aux manquements constatés. Cela consistera notamment à contrôler les mesures nationales et à s’assurer qu’elles sont conformes aux dispositions de la directive. </w:t>
      </w:r>
    </w:p>
    <w:bookmarkEnd w:id="7"/>
    <w:bookmarkEnd w:id="8"/>
    <w:bookmarkEnd w:id="9"/>
    <w:bookmarkEnd w:id="10"/>
    <w:p w14:paraId="126C2028" w14:textId="1B3B3065" w:rsidR="00A30617" w:rsidRPr="00361957" w:rsidRDefault="00A30617" w:rsidP="00A30617">
      <w:pPr>
        <w:jc w:val="both"/>
        <w:rPr>
          <w:b/>
          <w:noProof/>
        </w:rPr>
      </w:pPr>
    </w:p>
    <w:sectPr w:rsidR="00A30617" w:rsidRPr="00361957" w:rsidSect="00466BCC">
      <w:headerReference w:type="even" r:id="rId18"/>
      <w:headerReference w:type="default" r:id="rId19"/>
      <w:footerReference w:type="even" r:id="rId20"/>
      <w:footerReference w:type="default" r:id="rId21"/>
      <w:headerReference w:type="first" r:id="rId22"/>
      <w:footerReference w:type="first" r:id="rId23"/>
      <w:pgSz w:w="11906" w:h="16838" w:code="9"/>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90AC1" w14:textId="77777777" w:rsidR="00415C5E" w:rsidRDefault="00415C5E" w:rsidP="00175B64">
      <w:r>
        <w:separator/>
      </w:r>
    </w:p>
  </w:endnote>
  <w:endnote w:type="continuationSeparator" w:id="0">
    <w:p w14:paraId="25E25733" w14:textId="77777777" w:rsidR="00415C5E" w:rsidRDefault="00415C5E" w:rsidP="00175B64">
      <w:r>
        <w:continuationSeparator/>
      </w:r>
    </w:p>
  </w:endnote>
  <w:endnote w:type="continuationNotice" w:id="1">
    <w:p w14:paraId="3C01760A" w14:textId="77777777" w:rsidR="00415C5E" w:rsidRDefault="00415C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F4D91" w14:textId="04BDB063" w:rsidR="00E669C5" w:rsidRPr="00E669C5" w:rsidRDefault="00E669C5" w:rsidP="00E669C5">
    <w:pPr>
      <w:pStyle w:val="FooterCoverPage"/>
      <w:rPr>
        <w:rFonts w:ascii="Arial" w:hAnsi="Arial" w:cs="Arial"/>
        <w:b/>
        <w:sz w:val="48"/>
      </w:rPr>
    </w:pPr>
    <w:r w:rsidRPr="00E669C5">
      <w:rPr>
        <w:rFonts w:ascii="Arial" w:hAnsi="Arial" w:cs="Arial"/>
        <w:b/>
        <w:sz w:val="48"/>
      </w:rPr>
      <w:t>FR</w:t>
    </w:r>
    <w:r w:rsidRPr="00E669C5">
      <w:rPr>
        <w:rFonts w:ascii="Arial" w:hAnsi="Arial" w:cs="Arial"/>
        <w:b/>
        <w:sz w:val="48"/>
      </w:rPr>
      <w:tab/>
    </w:r>
    <w:r w:rsidRPr="00E669C5">
      <w:rPr>
        <w:rFonts w:ascii="Arial" w:hAnsi="Arial" w:cs="Arial"/>
        <w:b/>
        <w:sz w:val="48"/>
      </w:rPr>
      <w:tab/>
    </w:r>
    <w:r w:rsidRPr="00E669C5">
      <w:tab/>
    </w:r>
    <w:r w:rsidRPr="00E669C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75553" w14:textId="73D57162" w:rsidR="00E669C5" w:rsidRPr="00E669C5" w:rsidRDefault="00E669C5" w:rsidP="00E669C5">
    <w:pPr>
      <w:pStyle w:val="FooterCoverPage"/>
      <w:rPr>
        <w:rFonts w:ascii="Arial" w:hAnsi="Arial" w:cs="Arial"/>
        <w:b/>
        <w:sz w:val="48"/>
      </w:rPr>
    </w:pPr>
    <w:r w:rsidRPr="00E669C5">
      <w:rPr>
        <w:rFonts w:ascii="Arial" w:hAnsi="Arial" w:cs="Arial"/>
        <w:b/>
        <w:sz w:val="48"/>
      </w:rPr>
      <w:t>FR</w:t>
    </w:r>
    <w:r w:rsidRPr="00E669C5">
      <w:rPr>
        <w:rFonts w:ascii="Arial" w:hAnsi="Arial" w:cs="Arial"/>
        <w:b/>
        <w:sz w:val="48"/>
      </w:rPr>
      <w:tab/>
    </w:r>
    <w:r w:rsidRPr="00E669C5">
      <w:rPr>
        <w:rFonts w:ascii="Arial" w:hAnsi="Arial" w:cs="Arial"/>
        <w:b/>
        <w:sz w:val="48"/>
      </w:rPr>
      <w:tab/>
    </w:r>
    <w:r w:rsidRPr="00E669C5">
      <w:tab/>
    </w:r>
    <w:r w:rsidRPr="00E669C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EC9DD" w14:textId="77777777" w:rsidR="00E669C5" w:rsidRPr="00E669C5" w:rsidRDefault="00E669C5" w:rsidP="00E669C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DBAA9" w14:textId="77777777" w:rsidR="00466BCC" w:rsidRDefault="00466B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5531208"/>
      <w:docPartObj>
        <w:docPartGallery w:val="Page Numbers (Bottom of Page)"/>
        <w:docPartUnique/>
      </w:docPartObj>
    </w:sdtPr>
    <w:sdtEndPr>
      <w:rPr>
        <w:noProof/>
      </w:rPr>
    </w:sdtEndPr>
    <w:sdtContent>
      <w:p w14:paraId="3F97FB94" w14:textId="346429C3" w:rsidR="00466BCC" w:rsidRDefault="00466BCC">
        <w:pPr>
          <w:pStyle w:val="Footer"/>
          <w:jc w:val="center"/>
        </w:pPr>
        <w:r>
          <w:fldChar w:fldCharType="begin"/>
        </w:r>
        <w:r>
          <w:instrText xml:space="preserve"> PAGE   \* MERGEFORMAT </w:instrText>
        </w:r>
        <w:r>
          <w:fldChar w:fldCharType="separate"/>
        </w:r>
        <w:r w:rsidR="00E669C5">
          <w:rPr>
            <w:noProof/>
          </w:rPr>
          <w:t>2</w:t>
        </w:r>
        <w:r>
          <w:fldChar w:fldCharType="end"/>
        </w:r>
      </w:p>
    </w:sdtContent>
  </w:sdt>
  <w:p w14:paraId="449B35A1" w14:textId="77777777" w:rsidR="00466BCC" w:rsidRPr="00A514D4" w:rsidRDefault="00466BCC" w:rsidP="00417B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95084" w14:textId="77777777" w:rsidR="00466BCC" w:rsidRDefault="00466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55E42E" w14:textId="77777777" w:rsidR="00415C5E" w:rsidRDefault="00415C5E" w:rsidP="00175B64">
      <w:r>
        <w:separator/>
      </w:r>
    </w:p>
  </w:footnote>
  <w:footnote w:type="continuationSeparator" w:id="0">
    <w:p w14:paraId="7BACCA32" w14:textId="77777777" w:rsidR="00415C5E" w:rsidRDefault="00415C5E" w:rsidP="00175B64">
      <w:r>
        <w:continuationSeparator/>
      </w:r>
    </w:p>
  </w:footnote>
  <w:footnote w:type="continuationNotice" w:id="1">
    <w:p w14:paraId="5D5B0FE9" w14:textId="77777777" w:rsidR="00415C5E" w:rsidRDefault="00415C5E"/>
  </w:footnote>
  <w:footnote w:id="2">
    <w:p w14:paraId="04A34FCA" w14:textId="77777777" w:rsidR="00376697" w:rsidRPr="00A525AF" w:rsidRDefault="00376697" w:rsidP="00376697">
      <w:pPr>
        <w:pStyle w:val="FootnoteText"/>
        <w:rPr>
          <w:sz w:val="20"/>
          <w:szCs w:val="20"/>
        </w:rPr>
      </w:pPr>
      <w:r>
        <w:rPr>
          <w:rStyle w:val="FootnoteReference"/>
          <w:sz w:val="20"/>
          <w:szCs w:val="20"/>
        </w:rPr>
        <w:footnoteRef/>
      </w:r>
      <w:r>
        <w:rPr>
          <w:sz w:val="20"/>
        </w:rPr>
        <w:t xml:space="preserve"> Lorsque le présent rapport fait référence aux «25 États membres» ou à tout autre nombre d’États membres, cela signifie que lesdits États membres sont liés par la directive.</w:t>
      </w:r>
    </w:p>
  </w:footnote>
  <w:footnote w:id="3">
    <w:p w14:paraId="77931710" w14:textId="77777777" w:rsidR="0015642B" w:rsidRPr="00A525AF" w:rsidRDefault="0015642B">
      <w:pPr>
        <w:pStyle w:val="FootnoteText"/>
        <w:rPr>
          <w:sz w:val="20"/>
          <w:szCs w:val="20"/>
        </w:rPr>
      </w:pPr>
      <w:r>
        <w:rPr>
          <w:rStyle w:val="FootnoteReference"/>
          <w:sz w:val="20"/>
          <w:szCs w:val="20"/>
        </w:rPr>
        <w:footnoteRef/>
      </w:r>
      <w:r>
        <w:rPr>
          <w:sz w:val="20"/>
        </w:rPr>
        <w:t xml:space="preserve"> Voir le considérant 5.</w:t>
      </w:r>
    </w:p>
  </w:footnote>
  <w:footnote w:id="4">
    <w:p w14:paraId="34AF64B8" w14:textId="38E037BE" w:rsidR="00A32EC5" w:rsidRPr="006A50E1" w:rsidRDefault="00A32EC5">
      <w:pPr>
        <w:pStyle w:val="FootnoteText"/>
        <w:rPr>
          <w:sz w:val="20"/>
          <w:szCs w:val="24"/>
        </w:rPr>
      </w:pPr>
      <w:r>
        <w:rPr>
          <w:rStyle w:val="FootnoteReference"/>
          <w:sz w:val="20"/>
          <w:szCs w:val="24"/>
        </w:rPr>
        <w:footnoteRef/>
      </w:r>
      <w:r>
        <w:rPr>
          <w:rStyle w:val="FootnoteReference"/>
          <w:sz w:val="20"/>
        </w:rPr>
        <w:t xml:space="preserve"> </w:t>
      </w:r>
      <w:r>
        <w:rPr>
          <w:sz w:val="20"/>
        </w:rPr>
        <w:t xml:space="preserve">Belgique, Chypre, République tchèque, Allemagne, Espagne, Finlande, Croatie, Hongrie, Lettonie, Malte, Pays-Bas, Pologne, Suède, Slovénie et Slovaquie. </w:t>
      </w:r>
    </w:p>
  </w:footnote>
  <w:footnote w:id="5">
    <w:p w14:paraId="495AFB04" w14:textId="6D0522A6" w:rsidR="00EE14CB" w:rsidRPr="006A50E1" w:rsidRDefault="00EE14CB">
      <w:pPr>
        <w:pStyle w:val="FootnoteText"/>
        <w:rPr>
          <w:sz w:val="20"/>
          <w:szCs w:val="24"/>
        </w:rPr>
      </w:pPr>
      <w:r>
        <w:rPr>
          <w:rStyle w:val="FootnoteReference"/>
          <w:sz w:val="20"/>
          <w:szCs w:val="24"/>
        </w:rPr>
        <w:footnoteRef/>
      </w:r>
      <w:r>
        <w:rPr>
          <w:sz w:val="20"/>
        </w:rPr>
        <w:t xml:space="preserve"> Belgique, Bulgarie, République tchèque, Estonie, Finlande, France, Croatie, Hongrie, Italie, Pays-Bas, Pologne, Portugal, Roumanie, Suède, Slovénie et Slovaquie.</w:t>
      </w:r>
    </w:p>
  </w:footnote>
  <w:footnote w:id="6">
    <w:p w14:paraId="76EC2F25" w14:textId="192F16BE" w:rsidR="00CF2238" w:rsidRPr="000237E7" w:rsidRDefault="00CF2238" w:rsidP="00CF2238">
      <w:pPr>
        <w:pStyle w:val="FootnoteText"/>
      </w:pPr>
      <w:r>
        <w:rPr>
          <w:rStyle w:val="FootnoteReference"/>
          <w:sz w:val="20"/>
          <w:szCs w:val="24"/>
        </w:rPr>
        <w:footnoteRef/>
      </w:r>
      <w:r>
        <w:rPr>
          <w:sz w:val="20"/>
        </w:rPr>
        <w:t xml:space="preserve"> Autriche, Belgique, Espagne, France, Italie, Luxembourg, Lettonie, Lituanie, Malte, Pays-Bas, Roumanie, Suède, Slovaquie et Slovénie.</w:t>
      </w:r>
    </w:p>
  </w:footnote>
  <w:footnote w:id="7">
    <w:p w14:paraId="3A5EFBF5" w14:textId="4E5230A2" w:rsidR="00745C30" w:rsidRPr="006A50E1" w:rsidRDefault="00745C30">
      <w:pPr>
        <w:pStyle w:val="FootnoteText"/>
        <w:rPr>
          <w:sz w:val="20"/>
          <w:szCs w:val="20"/>
        </w:rPr>
      </w:pPr>
      <w:r>
        <w:rPr>
          <w:rStyle w:val="FootnoteReference"/>
          <w:sz w:val="20"/>
          <w:szCs w:val="20"/>
        </w:rPr>
        <w:footnoteRef/>
      </w:r>
      <w:r>
        <w:rPr>
          <w:sz w:val="20"/>
        </w:rPr>
        <w:t xml:space="preserve"> Bulgarie, Croatie, Chypre, Tchéquie, Allemagne, Estonie, Grèce, Hongrie, Pologne et Portugal</w:t>
      </w:r>
    </w:p>
  </w:footnote>
  <w:footnote w:id="8">
    <w:p w14:paraId="73DE79F1" w14:textId="156A0555" w:rsidR="00F24865" w:rsidRPr="00250C42" w:rsidRDefault="00F24865">
      <w:pPr>
        <w:pStyle w:val="FootnoteText"/>
      </w:pPr>
      <w:r>
        <w:rPr>
          <w:rStyle w:val="FootnoteReference"/>
        </w:rPr>
        <w:footnoteRef/>
      </w:r>
      <w:r>
        <w:t xml:space="preserve"> Article 253 du code pénal bulgare.</w:t>
      </w:r>
    </w:p>
  </w:footnote>
  <w:footnote w:id="9">
    <w:p w14:paraId="0E84475F" w14:textId="6139AF6A" w:rsidR="00971964" w:rsidRPr="00250C42" w:rsidRDefault="00971964">
      <w:pPr>
        <w:pStyle w:val="FootnoteText"/>
      </w:pPr>
      <w:r>
        <w:rPr>
          <w:rStyle w:val="FootnoteReference"/>
        </w:rPr>
        <w:footnoteRef/>
      </w:r>
      <w:r>
        <w:t xml:space="preserve"> Décision de la Cour suprême sur l’article 299, § 1, du code pénal.</w:t>
      </w:r>
    </w:p>
  </w:footnote>
  <w:footnote w:id="10">
    <w:p w14:paraId="5701DF3B" w14:textId="072C1407" w:rsidR="0062371E" w:rsidRPr="005977EA" w:rsidRDefault="0062371E">
      <w:pPr>
        <w:pStyle w:val="FootnoteText"/>
      </w:pPr>
      <w:r>
        <w:rPr>
          <w:rStyle w:val="FootnoteReference"/>
          <w:sz w:val="20"/>
          <w:szCs w:val="24"/>
        </w:rPr>
        <w:footnoteRef/>
      </w:r>
      <w:r>
        <w:rPr>
          <w:sz w:val="20"/>
        </w:rPr>
        <w:t xml:space="preserve"> Autriche, Allemagne, Estonie, Grèce, Finlande, Hongrie, Luxembourg et Portugal.</w:t>
      </w:r>
    </w:p>
  </w:footnote>
  <w:footnote w:id="11">
    <w:p w14:paraId="3FDE1EF0" w14:textId="76C5E566" w:rsidR="00307872" w:rsidRPr="00250C42" w:rsidRDefault="00307872">
      <w:pPr>
        <w:pStyle w:val="FootnoteText"/>
      </w:pPr>
      <w:r>
        <w:rPr>
          <w:rStyle w:val="FootnoteReference"/>
        </w:rPr>
        <w:footnoteRef/>
      </w:r>
      <w:r>
        <w:t xml:space="preserve"> Article 506-3, paragraphe 2, du code pénal, en liaison avec l’article 5-1 du code de procédure pénale.</w:t>
      </w:r>
    </w:p>
  </w:footnote>
  <w:footnote w:id="12">
    <w:p w14:paraId="599F0579" w14:textId="77B6FF65" w:rsidR="00E22921" w:rsidRPr="00901745" w:rsidRDefault="00E22921">
      <w:pPr>
        <w:pStyle w:val="FootnoteText"/>
        <w:rPr>
          <w:sz w:val="20"/>
          <w:szCs w:val="20"/>
          <w:lang w:val="en-IE"/>
        </w:rPr>
      </w:pPr>
      <w:r>
        <w:rPr>
          <w:rStyle w:val="FootnoteReference"/>
          <w:sz w:val="20"/>
          <w:szCs w:val="20"/>
        </w:rPr>
        <w:footnoteRef/>
      </w:r>
      <w:r w:rsidRPr="00901745">
        <w:rPr>
          <w:sz w:val="20"/>
          <w:lang w:val="en-IE"/>
        </w:rPr>
        <w:t xml:space="preserve"> Lag (2014:307) om straff för penningtvättsbrott, 3 §.</w:t>
      </w:r>
    </w:p>
  </w:footnote>
  <w:footnote w:id="13">
    <w:p w14:paraId="789343DB" w14:textId="23FE7974" w:rsidR="00E657BF" w:rsidRPr="00250C42" w:rsidRDefault="00E657BF">
      <w:pPr>
        <w:pStyle w:val="FootnoteText"/>
      </w:pPr>
      <w:r>
        <w:rPr>
          <w:rStyle w:val="FootnoteReference"/>
          <w:sz w:val="20"/>
          <w:szCs w:val="20"/>
        </w:rPr>
        <w:footnoteRef/>
      </w:r>
      <w:r>
        <w:rPr>
          <w:sz w:val="20"/>
        </w:rPr>
        <w:t xml:space="preserve"> Article 39, paragraphe 1, point d), L. 4557/2018.</w:t>
      </w:r>
    </w:p>
  </w:footnote>
  <w:footnote w:id="14">
    <w:p w14:paraId="0CB62279" w14:textId="34410268" w:rsidR="001B6D8F" w:rsidRPr="00745C30" w:rsidRDefault="001B6D8F" w:rsidP="001B6D8F">
      <w:pPr>
        <w:pStyle w:val="FootnoteText"/>
        <w:rPr>
          <w:sz w:val="20"/>
          <w:szCs w:val="20"/>
        </w:rPr>
      </w:pPr>
      <w:r>
        <w:rPr>
          <w:rStyle w:val="FootnoteReference"/>
          <w:sz w:val="20"/>
          <w:szCs w:val="20"/>
        </w:rPr>
        <w:footnoteRef/>
      </w:r>
      <w:r>
        <w:rPr>
          <w:sz w:val="20"/>
        </w:rPr>
        <w:t xml:space="preserve"> Voir en particulier l’article 2, paragraphe 1, de la directive (UE) 2015/849 du Parlement européen et du Conseil du 20 mai 2015 relative à la prévention de l</w:t>
      </w:r>
      <w:r w:rsidR="00A411E4">
        <w:rPr>
          <w:sz w:val="20"/>
        </w:rPr>
        <w:t>’</w:t>
      </w:r>
      <w:r>
        <w:rPr>
          <w:sz w:val="20"/>
        </w:rPr>
        <w:t>utilisation du système financier aux fins du blanchiment de capitaux et du financement du terrorisme (</w:t>
      </w:r>
      <w:r>
        <w:rPr>
          <w:i/>
          <w:sz w:val="20"/>
        </w:rPr>
        <w:t xml:space="preserve">JO L 141 du 5.6.2015, p. 73), dont la dernière version consolidée est disponible à l’adresse suivante: </w:t>
      </w:r>
      <w:hyperlink r:id="rId1" w:history="1">
        <w:r>
          <w:rPr>
            <w:rStyle w:val="Hyperlink"/>
            <w:i/>
            <w:sz w:val="20"/>
          </w:rPr>
          <w:t>EUR-Lex - 02015L0849-20241230 - FR - EUR-Lex</w:t>
        </w:r>
      </w:hyperlink>
    </w:p>
  </w:footnote>
  <w:footnote w:id="15">
    <w:p w14:paraId="197A550E" w14:textId="05CC85D2" w:rsidR="00523467" w:rsidRPr="00250C42" w:rsidRDefault="00523467">
      <w:pPr>
        <w:pStyle w:val="FootnoteText"/>
      </w:pPr>
      <w:r>
        <w:rPr>
          <w:rStyle w:val="FootnoteReference"/>
        </w:rPr>
        <w:footnoteRef/>
      </w:r>
      <w:r>
        <w:t xml:space="preserve"> Partie I §4(4). L. 188(I)/2007.</w:t>
      </w:r>
    </w:p>
  </w:footnote>
  <w:footnote w:id="16">
    <w:p w14:paraId="0889EA94" w14:textId="2FE0DEBB" w:rsidR="00FB6572" w:rsidRPr="00250C42" w:rsidRDefault="00FB6572">
      <w:pPr>
        <w:pStyle w:val="FootnoteText"/>
      </w:pPr>
      <w:r>
        <w:rPr>
          <w:rStyle w:val="FootnoteReference"/>
        </w:rPr>
        <w:footnoteRef/>
      </w:r>
      <w:r>
        <w:t xml:space="preserve"> Article 39, paragraphe 1, point d), L. 4557/2018.</w:t>
      </w:r>
    </w:p>
  </w:footnote>
  <w:footnote w:id="17">
    <w:p w14:paraId="42553B1F" w14:textId="77777777" w:rsidR="00EF2334" w:rsidRPr="00A525AF" w:rsidRDefault="00EF2334" w:rsidP="00EF2334">
      <w:pPr>
        <w:pStyle w:val="FootnoteText"/>
        <w:rPr>
          <w:sz w:val="20"/>
          <w:szCs w:val="20"/>
        </w:rPr>
      </w:pPr>
      <w:r>
        <w:rPr>
          <w:rStyle w:val="FootnoteReference"/>
          <w:sz w:val="20"/>
          <w:szCs w:val="20"/>
        </w:rPr>
        <w:footnoteRef/>
      </w:r>
      <w:r>
        <w:rPr>
          <w:sz w:val="20"/>
        </w:rPr>
        <w:t xml:space="preserve"> La participation à un groupe criminel organisé ou le racket d’extorsion, le terrorisme, la traite des êtres humains et le trafic de migrants, l’exploitation sexuelle, le trafic illicite de stupéfiants et la corruption.</w:t>
      </w:r>
    </w:p>
  </w:footnote>
  <w:footnote w:id="18">
    <w:p w14:paraId="72EA7C8C" w14:textId="3B1845BB" w:rsidR="00DE7BD5" w:rsidRPr="00C0475B" w:rsidRDefault="00DE7BD5">
      <w:pPr>
        <w:pStyle w:val="FootnoteText"/>
        <w:rPr>
          <w:sz w:val="20"/>
          <w:szCs w:val="20"/>
        </w:rPr>
      </w:pPr>
      <w:r>
        <w:rPr>
          <w:rStyle w:val="FootnoteReference"/>
          <w:sz w:val="20"/>
          <w:szCs w:val="20"/>
        </w:rPr>
        <w:footnoteRef/>
      </w:r>
      <w:r>
        <w:rPr>
          <w:sz w:val="20"/>
        </w:rPr>
        <w:t xml:space="preserve"> </w:t>
      </w:r>
      <w:r>
        <w:rPr>
          <w:rStyle w:val="FootnoteReference"/>
          <w:sz w:val="20"/>
          <w:vertAlign w:val="baseline"/>
        </w:rPr>
        <w:t>Autriche, Bulgarie, Chypre, République tchèque, Estonie, Grèce, Finlande, Croatie, Hongrie, Lettonie, Pologne, Suède, Slovénie</w:t>
      </w:r>
      <w:r>
        <w:rPr>
          <w:sz w:val="20"/>
        </w:rPr>
        <w:t>,</w:t>
      </w:r>
      <w:r>
        <w:rPr>
          <w:rStyle w:val="FootnoteReference"/>
          <w:sz w:val="20"/>
          <w:vertAlign w:val="baseline"/>
        </w:rPr>
        <w:t xml:space="preserve"> et Slovaquie.</w:t>
      </w:r>
      <w:r>
        <w:rPr>
          <w:sz w:val="20"/>
        </w:rPr>
        <w:t xml:space="preserve"> </w:t>
      </w:r>
    </w:p>
  </w:footnote>
  <w:footnote w:id="19">
    <w:p w14:paraId="06312698" w14:textId="6DA597C1" w:rsidR="00DE7BD5" w:rsidRPr="006A50E1" w:rsidRDefault="00DE7BD5">
      <w:pPr>
        <w:pStyle w:val="FootnoteText"/>
        <w:rPr>
          <w:sz w:val="20"/>
          <w:szCs w:val="20"/>
        </w:rPr>
      </w:pPr>
      <w:r>
        <w:rPr>
          <w:rStyle w:val="FootnoteReference"/>
          <w:sz w:val="20"/>
          <w:szCs w:val="20"/>
        </w:rPr>
        <w:footnoteRef/>
      </w:r>
      <w:r>
        <w:rPr>
          <w:sz w:val="20"/>
        </w:rPr>
        <w:t xml:space="preserve"> Grèce, Espagne, Finlande et Croatie.</w:t>
      </w:r>
    </w:p>
  </w:footnote>
  <w:footnote w:id="20">
    <w:p w14:paraId="016447FD" w14:textId="7E77BA26" w:rsidR="00C836D5" w:rsidRPr="00F33788" w:rsidRDefault="00C836D5">
      <w:pPr>
        <w:pStyle w:val="FootnoteText"/>
      </w:pPr>
      <w:r>
        <w:rPr>
          <w:rStyle w:val="FootnoteReference"/>
          <w:sz w:val="20"/>
          <w:szCs w:val="20"/>
        </w:rPr>
        <w:footnoteRef/>
      </w:r>
      <w:r>
        <w:rPr>
          <w:sz w:val="20"/>
        </w:rPr>
        <w:t xml:space="preserve"> Belgique, Chypre, République tchèque, Allemagne, Grèce, Espagne, France, Croatie, Hongrie, Italie, Lituanie, Luxembourg, Lettonie, Malte, Pologne, Portugal, Roumanie, Slovénie et Slovaquie.</w:t>
      </w:r>
    </w:p>
  </w:footnote>
  <w:footnote w:id="21">
    <w:p w14:paraId="47930408" w14:textId="77777777" w:rsidR="00EE6358" w:rsidRPr="00250C42" w:rsidRDefault="00EE6358" w:rsidP="00EE6358">
      <w:pPr>
        <w:pStyle w:val="FootnoteText"/>
        <w:rPr>
          <w:szCs w:val="18"/>
        </w:rPr>
      </w:pPr>
      <w:r>
        <w:rPr>
          <w:rStyle w:val="FootnoteReference"/>
          <w:szCs w:val="18"/>
        </w:rPr>
        <w:footnoteRef/>
      </w:r>
      <w:r>
        <w:t xml:space="preserve"> Voir le considérant 16 de la directive visant à combattre le blanchiment de capitaux: «</w:t>
      </w:r>
      <w:r>
        <w:rPr>
          <w:i/>
          <w:color w:val="000000"/>
          <w:shd w:val="clear" w:color="auto" w:fill="FFFFFF"/>
        </w:rPr>
        <w:t>[…] Les États membres devraient au minimum garantir le gel et la confiscation des instruments et des produits du crime dans tous les cas prévus</w:t>
      </w:r>
      <w:r>
        <w:rPr>
          <w:color w:val="000000"/>
          <w:shd w:val="clear" w:color="auto" w:fill="FFFFFF"/>
        </w:rPr>
        <w:t xml:space="preserve"> </w:t>
      </w:r>
      <w:r>
        <w:rPr>
          <w:i/>
          <w:color w:val="000000"/>
          <w:shd w:val="clear" w:color="auto" w:fill="FFFFFF"/>
        </w:rPr>
        <w:t>par la directive 2014/42/UE. Les États membres devraient également envisager sérieusement d’autoriser la confiscation dans les cas où il n’est pas possible d’entamer ou de mener à son terme une procédure pénale, y compris dans les cas où l’auteur de l’infraction est décédé</w:t>
      </w:r>
      <w:r>
        <w:rPr>
          <w:color w:val="000000"/>
          <w:shd w:val="clear" w:color="auto" w:fill="FFFFFF"/>
        </w:rPr>
        <w:t>.»</w:t>
      </w:r>
      <w:r>
        <w:t>.</w:t>
      </w:r>
    </w:p>
  </w:footnote>
  <w:footnote w:id="22">
    <w:p w14:paraId="36177A45" w14:textId="4647E016" w:rsidR="00DD7E93" w:rsidRPr="00250C42" w:rsidRDefault="00DD7E93">
      <w:pPr>
        <w:pStyle w:val="FootnoteText"/>
        <w:rPr>
          <w:szCs w:val="18"/>
        </w:rPr>
      </w:pPr>
      <w:r>
        <w:rPr>
          <w:rStyle w:val="FootnoteReference"/>
          <w:szCs w:val="18"/>
        </w:rPr>
        <w:footnoteRef/>
      </w:r>
      <w:r>
        <w:t xml:space="preserve"> Il s’agit du principe selon lequel la compétence ne peut être établie que lorsque le comportement en cause est érigé en infraction pénale tant dans l’État où les poursuites sont engagées que dans l’État où l’infraction a été commise.</w:t>
      </w:r>
    </w:p>
  </w:footnote>
  <w:footnote w:id="23">
    <w:p w14:paraId="1A81B3AF" w14:textId="77777777" w:rsidR="00DD7E93" w:rsidRPr="001C40A8" w:rsidRDefault="00DD7E93" w:rsidP="00DD7E93">
      <w:pPr>
        <w:pStyle w:val="FootnoteText"/>
        <w:rPr>
          <w:szCs w:val="18"/>
        </w:rPr>
      </w:pPr>
      <w:r>
        <w:rPr>
          <w:rStyle w:val="FootnoteReference"/>
          <w:szCs w:val="18"/>
        </w:rPr>
        <w:footnoteRef/>
      </w:r>
      <w:r>
        <w:t xml:space="preserve"> Bulgarie, Tchéquie, Italie, Lettonie, Hongrie, Malte, Pologne, Slovénie, Slovaquie et Finlande.</w:t>
      </w:r>
    </w:p>
  </w:footnote>
  <w:footnote w:id="24">
    <w:p w14:paraId="7CD70A73" w14:textId="77777777" w:rsidR="00DD7E93" w:rsidRPr="003F4533" w:rsidRDefault="00DD7E93" w:rsidP="00DD7E93">
      <w:pPr>
        <w:pStyle w:val="FootnoteText"/>
        <w:rPr>
          <w:szCs w:val="18"/>
        </w:rPr>
      </w:pPr>
      <w:r>
        <w:rPr>
          <w:rStyle w:val="FootnoteReference"/>
          <w:szCs w:val="18"/>
        </w:rPr>
        <w:footnoteRef/>
      </w:r>
      <w:r>
        <w:t xml:space="preserve"> Belgique, Allemagne, Estonie, Espagne, France, Croatie, Chypre, Lituanie, Luxembourg, Autriche et Suède.</w:t>
      </w:r>
    </w:p>
  </w:footnote>
  <w:footnote w:id="25">
    <w:p w14:paraId="60B8E1B9" w14:textId="77777777" w:rsidR="00DD7E93" w:rsidRPr="003F4533" w:rsidRDefault="00DD7E93" w:rsidP="00DD7E93">
      <w:pPr>
        <w:pStyle w:val="FootnoteText"/>
        <w:rPr>
          <w:szCs w:val="18"/>
        </w:rPr>
      </w:pPr>
      <w:r>
        <w:rPr>
          <w:rStyle w:val="FootnoteReference"/>
          <w:szCs w:val="18"/>
        </w:rPr>
        <w:footnoteRef/>
      </w:r>
      <w:r>
        <w:t xml:space="preserve"> Grèce, Pays-Bas et Roumanie.</w:t>
      </w:r>
    </w:p>
  </w:footnote>
  <w:footnote w:id="26">
    <w:p w14:paraId="571C1CEF" w14:textId="77777777" w:rsidR="003433F1" w:rsidRPr="003F4533" w:rsidRDefault="003433F1" w:rsidP="003433F1">
      <w:pPr>
        <w:pStyle w:val="FootnoteText"/>
        <w:rPr>
          <w:szCs w:val="18"/>
        </w:rPr>
      </w:pPr>
      <w:r>
        <w:rPr>
          <w:rStyle w:val="FootnoteReference"/>
          <w:szCs w:val="18"/>
        </w:rPr>
        <w:footnoteRef/>
      </w:r>
      <w:r>
        <w:t xml:space="preserve"> Autriche, Belgique, Estonie, Espagne, Finlande, Croatie, Lituanie, Luxembourg, Lettonie, Malte, Pays-Bas, Portugal, Suède et Slovaquie.</w:t>
      </w:r>
    </w:p>
  </w:footnote>
  <w:footnote w:id="27">
    <w:p w14:paraId="3DE53FD7" w14:textId="77777777" w:rsidR="006D5F72" w:rsidRPr="004877C7" w:rsidRDefault="006D5F72" w:rsidP="006D5F72">
      <w:pPr>
        <w:pStyle w:val="FootnoteText"/>
      </w:pPr>
      <w:r>
        <w:rPr>
          <w:rStyle w:val="FootnoteReference"/>
          <w:szCs w:val="18"/>
        </w:rPr>
        <w:footnoteRef/>
      </w:r>
      <w:r>
        <w:t xml:space="preserve"> Autriche, République tchèque, Estonie, Grèce, Espagne, Luxembourg, Lettonie, Pologne, Slovénie et Slovaquie.</w:t>
      </w:r>
    </w:p>
  </w:footnote>
  <w:footnote w:id="28">
    <w:p w14:paraId="654BB5A0" w14:textId="77777777" w:rsidR="00434B14" w:rsidRPr="00A525AF" w:rsidRDefault="00434B14" w:rsidP="00434B14">
      <w:pPr>
        <w:pStyle w:val="FootnoteText"/>
        <w:rPr>
          <w:sz w:val="20"/>
          <w:szCs w:val="20"/>
        </w:rPr>
      </w:pPr>
      <w:r>
        <w:rPr>
          <w:rStyle w:val="FootnoteReference"/>
          <w:sz w:val="20"/>
          <w:szCs w:val="20"/>
        </w:rPr>
        <w:footnoteRef/>
      </w:r>
      <w:r>
        <w:rPr>
          <w:sz w:val="20"/>
        </w:rPr>
        <w:t xml:space="preserve"> Voir aussi le considérant 19: «</w:t>
      </w:r>
      <w:r>
        <w:rPr>
          <w:i/>
          <w:sz w:val="20"/>
        </w:rPr>
        <w:t>Pour ce faire, il convient donc de veiller à ce que soient disponibles des effectifs suffisants, une formation ciblée, des ressources et une capacité technologique de pointe. […]</w:t>
      </w:r>
      <w:r>
        <w:rPr>
          <w:sz w:val="20"/>
        </w:rPr>
        <w:t>.»</w:t>
      </w:r>
    </w:p>
  </w:footnote>
  <w:footnote w:id="29">
    <w:p w14:paraId="5FA9B99F" w14:textId="26F69B1A" w:rsidR="00672046" w:rsidRPr="000B3791" w:rsidRDefault="00672046">
      <w:pPr>
        <w:pStyle w:val="FootnoteText"/>
      </w:pPr>
      <w:r>
        <w:rPr>
          <w:rStyle w:val="FootnoteReference"/>
        </w:rPr>
        <w:footnoteRef/>
      </w:r>
      <w:r>
        <w:t xml:space="preserve"> </w:t>
      </w:r>
      <w:hyperlink r:id="rId2" w:tgtFrame="_blank" w:history="1">
        <w:r>
          <w:rPr>
            <w:rStyle w:val="Hyperlink"/>
          </w:rPr>
          <w:t>EUR-Lex - 52025DC0148 - FR - EUR-Lex</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6CB7E" w14:textId="77777777" w:rsidR="00E669C5" w:rsidRPr="00E669C5" w:rsidRDefault="00E669C5" w:rsidP="00E669C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CD32C" w14:textId="77777777" w:rsidR="00E669C5" w:rsidRPr="00E669C5" w:rsidRDefault="00E669C5" w:rsidP="00E669C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29F4A" w14:textId="77777777" w:rsidR="00E669C5" w:rsidRPr="00E669C5" w:rsidRDefault="00E669C5" w:rsidP="00E669C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FD87E" w14:textId="77777777" w:rsidR="00466BCC" w:rsidRDefault="00466B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16558" w14:textId="77777777" w:rsidR="00466BCC" w:rsidRDefault="00466BC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47AFE" w14:textId="77777777" w:rsidR="00466BCC" w:rsidRDefault="00466B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E34"/>
    <w:multiLevelType w:val="hybridMultilevel"/>
    <w:tmpl w:val="CC16FB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3877CEF"/>
    <w:multiLevelType w:val="hybridMultilevel"/>
    <w:tmpl w:val="4B4E7D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6351B5"/>
    <w:multiLevelType w:val="hybridMultilevel"/>
    <w:tmpl w:val="1382D32A"/>
    <w:lvl w:ilvl="0" w:tplc="AAB4318C">
      <w:start w:val="2"/>
      <w:numFmt w:val="decimal"/>
      <w:lvlText w:val="%1"/>
      <w:lvlJc w:val="left"/>
      <w:pPr>
        <w:ind w:left="432" w:hanging="360"/>
      </w:pPr>
    </w:lvl>
    <w:lvl w:ilvl="1" w:tplc="1DE0907A">
      <w:start w:val="1"/>
      <w:numFmt w:val="lowerLetter"/>
      <w:lvlText w:val="%2."/>
      <w:lvlJc w:val="left"/>
      <w:pPr>
        <w:ind w:left="1440" w:hanging="360"/>
      </w:pPr>
    </w:lvl>
    <w:lvl w:ilvl="2" w:tplc="19C62BE6">
      <w:start w:val="1"/>
      <w:numFmt w:val="lowerRoman"/>
      <w:lvlText w:val="%3."/>
      <w:lvlJc w:val="right"/>
      <w:pPr>
        <w:ind w:left="2160" w:hanging="180"/>
      </w:pPr>
    </w:lvl>
    <w:lvl w:ilvl="3" w:tplc="6F14CDA6">
      <w:start w:val="1"/>
      <w:numFmt w:val="decimal"/>
      <w:lvlText w:val="%4."/>
      <w:lvlJc w:val="left"/>
      <w:pPr>
        <w:ind w:left="2880" w:hanging="360"/>
      </w:pPr>
    </w:lvl>
    <w:lvl w:ilvl="4" w:tplc="F49494AA">
      <w:start w:val="1"/>
      <w:numFmt w:val="lowerLetter"/>
      <w:lvlText w:val="%5."/>
      <w:lvlJc w:val="left"/>
      <w:pPr>
        <w:ind w:left="3600" w:hanging="360"/>
      </w:pPr>
    </w:lvl>
    <w:lvl w:ilvl="5" w:tplc="EB3CFF6E">
      <w:start w:val="1"/>
      <w:numFmt w:val="lowerRoman"/>
      <w:lvlText w:val="%6."/>
      <w:lvlJc w:val="right"/>
      <w:pPr>
        <w:ind w:left="4320" w:hanging="180"/>
      </w:pPr>
    </w:lvl>
    <w:lvl w:ilvl="6" w:tplc="C54812AE">
      <w:start w:val="1"/>
      <w:numFmt w:val="decimal"/>
      <w:lvlText w:val="%7."/>
      <w:lvlJc w:val="left"/>
      <w:pPr>
        <w:ind w:left="5040" w:hanging="360"/>
      </w:pPr>
    </w:lvl>
    <w:lvl w:ilvl="7" w:tplc="FA0C4018">
      <w:start w:val="1"/>
      <w:numFmt w:val="lowerLetter"/>
      <w:lvlText w:val="%8."/>
      <w:lvlJc w:val="left"/>
      <w:pPr>
        <w:ind w:left="5760" w:hanging="360"/>
      </w:pPr>
    </w:lvl>
    <w:lvl w:ilvl="8" w:tplc="4EA2F0E0">
      <w:start w:val="1"/>
      <w:numFmt w:val="lowerRoman"/>
      <w:lvlText w:val="%9."/>
      <w:lvlJc w:val="right"/>
      <w:pPr>
        <w:ind w:left="6480" w:hanging="180"/>
      </w:pPr>
    </w:lvl>
  </w:abstractNum>
  <w:abstractNum w:abstractNumId="3" w15:restartNumberingAfterBreak="0">
    <w:nsid w:val="0D0E0015"/>
    <w:multiLevelType w:val="hybridMultilevel"/>
    <w:tmpl w:val="44CE2576"/>
    <w:lvl w:ilvl="0" w:tplc="A456F802">
      <w:numFmt w:val="bullet"/>
      <w:lvlText w:val="-"/>
      <w:lvlJc w:val="left"/>
      <w:pPr>
        <w:ind w:left="1080" w:hanging="360"/>
      </w:pPr>
      <w:rPr>
        <w:rFonts w:ascii="Times New Roman" w:hAnsi="Times New Roman" w:hint="default"/>
      </w:rPr>
    </w:lvl>
    <w:lvl w:ilvl="1" w:tplc="2552105A">
      <w:start w:val="1"/>
      <w:numFmt w:val="bullet"/>
      <w:lvlText w:val="o"/>
      <w:lvlJc w:val="left"/>
      <w:pPr>
        <w:ind w:left="1800" w:hanging="360"/>
      </w:pPr>
      <w:rPr>
        <w:rFonts w:ascii="Courier New" w:hAnsi="Courier New" w:hint="default"/>
      </w:rPr>
    </w:lvl>
    <w:lvl w:ilvl="2" w:tplc="D4321436" w:tentative="1">
      <w:start w:val="1"/>
      <w:numFmt w:val="bullet"/>
      <w:lvlText w:val=""/>
      <w:lvlJc w:val="left"/>
      <w:pPr>
        <w:ind w:left="2520" w:hanging="360"/>
      </w:pPr>
      <w:rPr>
        <w:rFonts w:ascii="Wingdings" w:hAnsi="Wingdings" w:hint="default"/>
      </w:rPr>
    </w:lvl>
    <w:lvl w:ilvl="3" w:tplc="E04A150C" w:tentative="1">
      <w:start w:val="1"/>
      <w:numFmt w:val="bullet"/>
      <w:lvlText w:val=""/>
      <w:lvlJc w:val="left"/>
      <w:pPr>
        <w:ind w:left="3240" w:hanging="360"/>
      </w:pPr>
      <w:rPr>
        <w:rFonts w:ascii="Symbol" w:hAnsi="Symbol" w:hint="default"/>
      </w:rPr>
    </w:lvl>
    <w:lvl w:ilvl="4" w:tplc="BB64867A" w:tentative="1">
      <w:start w:val="1"/>
      <w:numFmt w:val="bullet"/>
      <w:lvlText w:val="o"/>
      <w:lvlJc w:val="left"/>
      <w:pPr>
        <w:ind w:left="3960" w:hanging="360"/>
      </w:pPr>
      <w:rPr>
        <w:rFonts w:ascii="Courier New" w:hAnsi="Courier New" w:hint="default"/>
      </w:rPr>
    </w:lvl>
    <w:lvl w:ilvl="5" w:tplc="5BAEB0A2" w:tentative="1">
      <w:start w:val="1"/>
      <w:numFmt w:val="bullet"/>
      <w:lvlText w:val=""/>
      <w:lvlJc w:val="left"/>
      <w:pPr>
        <w:ind w:left="4680" w:hanging="360"/>
      </w:pPr>
      <w:rPr>
        <w:rFonts w:ascii="Wingdings" w:hAnsi="Wingdings" w:hint="default"/>
      </w:rPr>
    </w:lvl>
    <w:lvl w:ilvl="6" w:tplc="ACA6ECC4" w:tentative="1">
      <w:start w:val="1"/>
      <w:numFmt w:val="bullet"/>
      <w:lvlText w:val=""/>
      <w:lvlJc w:val="left"/>
      <w:pPr>
        <w:ind w:left="5400" w:hanging="360"/>
      </w:pPr>
      <w:rPr>
        <w:rFonts w:ascii="Symbol" w:hAnsi="Symbol" w:hint="default"/>
      </w:rPr>
    </w:lvl>
    <w:lvl w:ilvl="7" w:tplc="A11C382E" w:tentative="1">
      <w:start w:val="1"/>
      <w:numFmt w:val="bullet"/>
      <w:lvlText w:val="o"/>
      <w:lvlJc w:val="left"/>
      <w:pPr>
        <w:ind w:left="6120" w:hanging="360"/>
      </w:pPr>
      <w:rPr>
        <w:rFonts w:ascii="Courier New" w:hAnsi="Courier New" w:hint="default"/>
      </w:rPr>
    </w:lvl>
    <w:lvl w:ilvl="8" w:tplc="BC24567C" w:tentative="1">
      <w:start w:val="1"/>
      <w:numFmt w:val="bullet"/>
      <w:lvlText w:val=""/>
      <w:lvlJc w:val="left"/>
      <w:pPr>
        <w:ind w:left="6840" w:hanging="360"/>
      </w:pPr>
      <w:rPr>
        <w:rFonts w:ascii="Wingdings" w:hAnsi="Wingdings" w:hint="default"/>
      </w:rPr>
    </w:lvl>
  </w:abstractNum>
  <w:abstractNum w:abstractNumId="4" w15:restartNumberingAfterBreak="0">
    <w:nsid w:val="0D256A36"/>
    <w:multiLevelType w:val="hybridMultilevel"/>
    <w:tmpl w:val="B14EAF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D5F35BE"/>
    <w:multiLevelType w:val="hybridMultilevel"/>
    <w:tmpl w:val="41D60198"/>
    <w:lvl w:ilvl="0" w:tplc="2D880C68">
      <w:start w:val="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0E3747"/>
    <w:multiLevelType w:val="hybridMultilevel"/>
    <w:tmpl w:val="B910429A"/>
    <w:lvl w:ilvl="0" w:tplc="080C0001">
      <w:start w:val="1"/>
      <w:numFmt w:val="bullet"/>
      <w:lvlText w:val=""/>
      <w:lvlJc w:val="left"/>
      <w:pPr>
        <w:ind w:left="1077" w:hanging="360"/>
      </w:pPr>
      <w:rPr>
        <w:rFonts w:ascii="Symbol" w:hAnsi="Symbol" w:hint="default"/>
      </w:rPr>
    </w:lvl>
    <w:lvl w:ilvl="1" w:tplc="080C0003">
      <w:start w:val="1"/>
      <w:numFmt w:val="bullet"/>
      <w:lvlText w:val="o"/>
      <w:lvlJc w:val="left"/>
      <w:pPr>
        <w:ind w:left="1797" w:hanging="360"/>
      </w:pPr>
      <w:rPr>
        <w:rFonts w:ascii="Courier New" w:hAnsi="Courier New" w:cs="Courier New" w:hint="default"/>
      </w:rPr>
    </w:lvl>
    <w:lvl w:ilvl="2" w:tplc="080C0005">
      <w:start w:val="1"/>
      <w:numFmt w:val="bullet"/>
      <w:lvlText w:val=""/>
      <w:lvlJc w:val="left"/>
      <w:pPr>
        <w:ind w:left="2517" w:hanging="360"/>
      </w:pPr>
      <w:rPr>
        <w:rFonts w:ascii="Wingdings" w:hAnsi="Wingdings" w:hint="default"/>
      </w:rPr>
    </w:lvl>
    <w:lvl w:ilvl="3" w:tplc="080C0001">
      <w:start w:val="1"/>
      <w:numFmt w:val="bullet"/>
      <w:lvlText w:val=""/>
      <w:lvlJc w:val="left"/>
      <w:pPr>
        <w:ind w:left="3237" w:hanging="360"/>
      </w:pPr>
      <w:rPr>
        <w:rFonts w:ascii="Symbol" w:hAnsi="Symbol" w:hint="default"/>
      </w:rPr>
    </w:lvl>
    <w:lvl w:ilvl="4" w:tplc="080C0003">
      <w:start w:val="1"/>
      <w:numFmt w:val="bullet"/>
      <w:lvlText w:val="o"/>
      <w:lvlJc w:val="left"/>
      <w:pPr>
        <w:ind w:left="3957" w:hanging="360"/>
      </w:pPr>
      <w:rPr>
        <w:rFonts w:ascii="Courier New" w:hAnsi="Courier New" w:cs="Courier New" w:hint="default"/>
      </w:rPr>
    </w:lvl>
    <w:lvl w:ilvl="5" w:tplc="080C0005">
      <w:start w:val="1"/>
      <w:numFmt w:val="bullet"/>
      <w:lvlText w:val=""/>
      <w:lvlJc w:val="left"/>
      <w:pPr>
        <w:ind w:left="4677" w:hanging="360"/>
      </w:pPr>
      <w:rPr>
        <w:rFonts w:ascii="Wingdings" w:hAnsi="Wingdings" w:hint="default"/>
      </w:rPr>
    </w:lvl>
    <w:lvl w:ilvl="6" w:tplc="080C0001">
      <w:start w:val="1"/>
      <w:numFmt w:val="bullet"/>
      <w:lvlText w:val=""/>
      <w:lvlJc w:val="left"/>
      <w:pPr>
        <w:ind w:left="5397" w:hanging="360"/>
      </w:pPr>
      <w:rPr>
        <w:rFonts w:ascii="Symbol" w:hAnsi="Symbol" w:hint="default"/>
      </w:rPr>
    </w:lvl>
    <w:lvl w:ilvl="7" w:tplc="080C0003">
      <w:start w:val="1"/>
      <w:numFmt w:val="bullet"/>
      <w:lvlText w:val="o"/>
      <w:lvlJc w:val="left"/>
      <w:pPr>
        <w:ind w:left="6117" w:hanging="360"/>
      </w:pPr>
      <w:rPr>
        <w:rFonts w:ascii="Courier New" w:hAnsi="Courier New" w:cs="Courier New" w:hint="default"/>
      </w:rPr>
    </w:lvl>
    <w:lvl w:ilvl="8" w:tplc="080C0005">
      <w:start w:val="1"/>
      <w:numFmt w:val="bullet"/>
      <w:lvlText w:val=""/>
      <w:lvlJc w:val="left"/>
      <w:pPr>
        <w:ind w:left="6837" w:hanging="360"/>
      </w:pPr>
      <w:rPr>
        <w:rFonts w:ascii="Wingdings" w:hAnsi="Wingdings" w:hint="default"/>
      </w:rPr>
    </w:lvl>
  </w:abstractNum>
  <w:abstractNum w:abstractNumId="7" w15:restartNumberingAfterBreak="0">
    <w:nsid w:val="131119DA"/>
    <w:multiLevelType w:val="hybridMultilevel"/>
    <w:tmpl w:val="6EBCB4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4F110A0"/>
    <w:multiLevelType w:val="hybridMultilevel"/>
    <w:tmpl w:val="673E3F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5342CE8"/>
    <w:multiLevelType w:val="hybridMultilevel"/>
    <w:tmpl w:val="83409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141113"/>
    <w:multiLevelType w:val="hybridMultilevel"/>
    <w:tmpl w:val="59E87566"/>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1" w15:restartNumberingAfterBreak="0">
    <w:nsid w:val="19785980"/>
    <w:multiLevelType w:val="hybridMultilevel"/>
    <w:tmpl w:val="65AABDEC"/>
    <w:lvl w:ilvl="0" w:tplc="470272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710E55"/>
    <w:multiLevelType w:val="hybridMultilevel"/>
    <w:tmpl w:val="91C01138"/>
    <w:lvl w:ilvl="0" w:tplc="FFFFFFFF">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0797F9A"/>
    <w:multiLevelType w:val="hybridMultilevel"/>
    <w:tmpl w:val="FF28464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4" w15:restartNumberingAfterBreak="0">
    <w:nsid w:val="2323BE1A"/>
    <w:multiLevelType w:val="multilevel"/>
    <w:tmpl w:val="90CC6C5A"/>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3441444"/>
    <w:multiLevelType w:val="hybridMultilevel"/>
    <w:tmpl w:val="4DFE9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CC27E3"/>
    <w:multiLevelType w:val="hybridMultilevel"/>
    <w:tmpl w:val="B52A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544759"/>
    <w:multiLevelType w:val="hybridMultilevel"/>
    <w:tmpl w:val="D4A699BC"/>
    <w:lvl w:ilvl="0" w:tplc="69A8D672">
      <w:start w:val="1"/>
      <w:numFmt w:val="bullet"/>
      <w:lvlText w:val="-"/>
      <w:lvlJc w:val="left"/>
      <w:pPr>
        <w:ind w:left="720" w:hanging="360"/>
      </w:pPr>
      <w:rPr>
        <w:rFonts w:ascii="Calibri" w:hAnsi="Calibri" w:hint="default"/>
      </w:rPr>
    </w:lvl>
    <w:lvl w:ilvl="1" w:tplc="59A8D958">
      <w:start w:val="1"/>
      <w:numFmt w:val="bullet"/>
      <w:lvlText w:val="o"/>
      <w:lvlJc w:val="left"/>
      <w:pPr>
        <w:ind w:left="1440" w:hanging="360"/>
      </w:pPr>
      <w:rPr>
        <w:rFonts w:ascii="Courier New" w:hAnsi="Courier New" w:hint="default"/>
      </w:rPr>
    </w:lvl>
    <w:lvl w:ilvl="2" w:tplc="9988687A">
      <w:start w:val="1"/>
      <w:numFmt w:val="bullet"/>
      <w:lvlText w:val=""/>
      <w:lvlJc w:val="left"/>
      <w:pPr>
        <w:ind w:left="2160" w:hanging="360"/>
      </w:pPr>
      <w:rPr>
        <w:rFonts w:ascii="Wingdings" w:hAnsi="Wingdings" w:hint="default"/>
      </w:rPr>
    </w:lvl>
    <w:lvl w:ilvl="3" w:tplc="B04862AC">
      <w:start w:val="1"/>
      <w:numFmt w:val="bullet"/>
      <w:lvlText w:val=""/>
      <w:lvlJc w:val="left"/>
      <w:pPr>
        <w:ind w:left="2880" w:hanging="360"/>
      </w:pPr>
      <w:rPr>
        <w:rFonts w:ascii="Symbol" w:hAnsi="Symbol" w:hint="default"/>
      </w:rPr>
    </w:lvl>
    <w:lvl w:ilvl="4" w:tplc="B7608134">
      <w:start w:val="1"/>
      <w:numFmt w:val="bullet"/>
      <w:lvlText w:val="o"/>
      <w:lvlJc w:val="left"/>
      <w:pPr>
        <w:ind w:left="3600" w:hanging="360"/>
      </w:pPr>
      <w:rPr>
        <w:rFonts w:ascii="Courier New" w:hAnsi="Courier New" w:hint="default"/>
      </w:rPr>
    </w:lvl>
    <w:lvl w:ilvl="5" w:tplc="0688CA22">
      <w:start w:val="1"/>
      <w:numFmt w:val="bullet"/>
      <w:lvlText w:val=""/>
      <w:lvlJc w:val="left"/>
      <w:pPr>
        <w:ind w:left="4320" w:hanging="360"/>
      </w:pPr>
      <w:rPr>
        <w:rFonts w:ascii="Wingdings" w:hAnsi="Wingdings" w:hint="default"/>
      </w:rPr>
    </w:lvl>
    <w:lvl w:ilvl="6" w:tplc="1F3CA382">
      <w:start w:val="1"/>
      <w:numFmt w:val="bullet"/>
      <w:lvlText w:val=""/>
      <w:lvlJc w:val="left"/>
      <w:pPr>
        <w:ind w:left="5040" w:hanging="360"/>
      </w:pPr>
      <w:rPr>
        <w:rFonts w:ascii="Symbol" w:hAnsi="Symbol" w:hint="default"/>
      </w:rPr>
    </w:lvl>
    <w:lvl w:ilvl="7" w:tplc="3204518A">
      <w:start w:val="1"/>
      <w:numFmt w:val="bullet"/>
      <w:lvlText w:val="o"/>
      <w:lvlJc w:val="left"/>
      <w:pPr>
        <w:ind w:left="5760" w:hanging="360"/>
      </w:pPr>
      <w:rPr>
        <w:rFonts w:ascii="Courier New" w:hAnsi="Courier New" w:hint="default"/>
      </w:rPr>
    </w:lvl>
    <w:lvl w:ilvl="8" w:tplc="8E46B92E">
      <w:start w:val="1"/>
      <w:numFmt w:val="bullet"/>
      <w:lvlText w:val=""/>
      <w:lvlJc w:val="left"/>
      <w:pPr>
        <w:ind w:left="6480" w:hanging="360"/>
      </w:pPr>
      <w:rPr>
        <w:rFonts w:ascii="Wingdings" w:hAnsi="Wingdings" w:hint="default"/>
      </w:rPr>
    </w:lvl>
  </w:abstractNum>
  <w:abstractNum w:abstractNumId="18" w15:restartNumberingAfterBreak="0">
    <w:nsid w:val="2B9B16D0"/>
    <w:multiLevelType w:val="hybridMultilevel"/>
    <w:tmpl w:val="D29EABEC"/>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9" w15:restartNumberingAfterBreak="0">
    <w:nsid w:val="369B105F"/>
    <w:multiLevelType w:val="hybridMultilevel"/>
    <w:tmpl w:val="293A108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49110C"/>
    <w:multiLevelType w:val="hybridMultilevel"/>
    <w:tmpl w:val="CBAC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4B1FAD"/>
    <w:multiLevelType w:val="hybridMultilevel"/>
    <w:tmpl w:val="C01ECFE2"/>
    <w:lvl w:ilvl="0" w:tplc="FFFFFFFF">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3BD22741"/>
    <w:multiLevelType w:val="multilevel"/>
    <w:tmpl w:val="C5C6CB34"/>
    <w:lvl w:ilvl="0">
      <w:start w:val="1"/>
      <w:numFmt w:val="bullet"/>
      <w:pStyle w:val="MMultilevel"/>
      <w:lvlText w:val=""/>
      <w:lvlJc w:val="left"/>
      <w:pPr>
        <w:ind w:left="425" w:hanging="425"/>
      </w:pPr>
      <w:rPr>
        <w:rFonts w:ascii="Wingdings" w:hAnsi="Wingdings" w:hint="default"/>
        <w:caps w:val="0"/>
        <w:strike w:val="0"/>
        <w:dstrike w:val="0"/>
        <w:vanish w:val="0"/>
        <w:color w:val="5B9BD5" w:themeColor="accent1"/>
        <w:sz w:val="16"/>
        <w:szCs w:val="16"/>
        <w:vertAlign w:val="baseline"/>
      </w:rPr>
    </w:lvl>
    <w:lvl w:ilvl="1">
      <w:start w:val="1"/>
      <w:numFmt w:val="bullet"/>
      <w:lvlText w:val=""/>
      <w:lvlJc w:val="left"/>
      <w:pPr>
        <w:tabs>
          <w:tab w:val="num" w:pos="851"/>
        </w:tabs>
        <w:ind w:left="851" w:hanging="426"/>
      </w:pPr>
      <w:rPr>
        <w:rFonts w:ascii="Wingdings" w:hAnsi="Wingdings" w:hint="default"/>
        <w:b w:val="0"/>
        <w:i w:val="0"/>
        <w:color w:val="4F81BD"/>
        <w:sz w:val="16"/>
        <w:u w:color="000080"/>
      </w:rPr>
    </w:lvl>
    <w:lvl w:ilvl="2">
      <w:start w:val="1"/>
      <w:numFmt w:val="bullet"/>
      <w:lvlText w:val=""/>
      <w:lvlJc w:val="left"/>
      <w:pPr>
        <w:tabs>
          <w:tab w:val="num" w:pos="1276"/>
        </w:tabs>
        <w:ind w:left="1276" w:hanging="425"/>
      </w:pPr>
      <w:rPr>
        <w:rFonts w:ascii="Wingdings" w:hAnsi="Wingdings" w:hint="default"/>
        <w:color w:val="5B9BD5" w:themeColor="accent1"/>
      </w:rPr>
    </w:lvl>
    <w:lvl w:ilvl="3">
      <w:start w:val="1"/>
      <w:numFmt w:val="bullet"/>
      <w:lvlText w:val=""/>
      <w:lvlJc w:val="left"/>
      <w:pPr>
        <w:tabs>
          <w:tab w:val="num" w:pos="1701"/>
        </w:tabs>
        <w:ind w:left="1701" w:hanging="425"/>
      </w:pPr>
      <w:rPr>
        <w:rFonts w:ascii="Symbol" w:hAnsi="Symbol" w:hint="default"/>
        <w:caps w:val="0"/>
        <w:strike w:val="0"/>
        <w:dstrike w:val="0"/>
        <w:vanish w:val="0"/>
        <w:color w:val="5B9BD5" w:themeColor="accent1"/>
        <w:vertAlign w:val="baseline"/>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3C1A4CFA"/>
    <w:multiLevelType w:val="multilevel"/>
    <w:tmpl w:val="3030ED08"/>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52BD36"/>
    <w:multiLevelType w:val="multilevel"/>
    <w:tmpl w:val="AD1A498A"/>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834357"/>
    <w:multiLevelType w:val="hybridMultilevel"/>
    <w:tmpl w:val="31841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659262"/>
    <w:multiLevelType w:val="hybridMultilevel"/>
    <w:tmpl w:val="CC460CF8"/>
    <w:lvl w:ilvl="0" w:tplc="F2346B28">
      <w:start w:val="1"/>
      <w:numFmt w:val="bullet"/>
      <w:lvlText w:val="-"/>
      <w:lvlJc w:val="left"/>
      <w:pPr>
        <w:ind w:left="720" w:hanging="360"/>
      </w:pPr>
      <w:rPr>
        <w:rFonts w:ascii="Calibri" w:hAnsi="Calibri" w:hint="default"/>
      </w:rPr>
    </w:lvl>
    <w:lvl w:ilvl="1" w:tplc="641C10A0">
      <w:start w:val="1"/>
      <w:numFmt w:val="bullet"/>
      <w:lvlText w:val="o"/>
      <w:lvlJc w:val="left"/>
      <w:pPr>
        <w:ind w:left="1440" w:hanging="360"/>
      </w:pPr>
      <w:rPr>
        <w:rFonts w:ascii="Courier New" w:hAnsi="Courier New" w:hint="default"/>
      </w:rPr>
    </w:lvl>
    <w:lvl w:ilvl="2" w:tplc="4BFC6F48">
      <w:start w:val="1"/>
      <w:numFmt w:val="bullet"/>
      <w:lvlText w:val=""/>
      <w:lvlJc w:val="left"/>
      <w:pPr>
        <w:ind w:left="2160" w:hanging="360"/>
      </w:pPr>
      <w:rPr>
        <w:rFonts w:ascii="Wingdings" w:hAnsi="Wingdings" w:hint="default"/>
      </w:rPr>
    </w:lvl>
    <w:lvl w:ilvl="3" w:tplc="98DA7C06">
      <w:start w:val="1"/>
      <w:numFmt w:val="bullet"/>
      <w:lvlText w:val=""/>
      <w:lvlJc w:val="left"/>
      <w:pPr>
        <w:ind w:left="2880" w:hanging="360"/>
      </w:pPr>
      <w:rPr>
        <w:rFonts w:ascii="Symbol" w:hAnsi="Symbol" w:hint="default"/>
      </w:rPr>
    </w:lvl>
    <w:lvl w:ilvl="4" w:tplc="997A8974">
      <w:start w:val="1"/>
      <w:numFmt w:val="bullet"/>
      <w:lvlText w:val="o"/>
      <w:lvlJc w:val="left"/>
      <w:pPr>
        <w:ind w:left="3600" w:hanging="360"/>
      </w:pPr>
      <w:rPr>
        <w:rFonts w:ascii="Courier New" w:hAnsi="Courier New" w:hint="default"/>
      </w:rPr>
    </w:lvl>
    <w:lvl w:ilvl="5" w:tplc="AAD66274">
      <w:start w:val="1"/>
      <w:numFmt w:val="bullet"/>
      <w:lvlText w:val=""/>
      <w:lvlJc w:val="left"/>
      <w:pPr>
        <w:ind w:left="4320" w:hanging="360"/>
      </w:pPr>
      <w:rPr>
        <w:rFonts w:ascii="Wingdings" w:hAnsi="Wingdings" w:hint="default"/>
      </w:rPr>
    </w:lvl>
    <w:lvl w:ilvl="6" w:tplc="6E6246CC">
      <w:start w:val="1"/>
      <w:numFmt w:val="bullet"/>
      <w:lvlText w:val=""/>
      <w:lvlJc w:val="left"/>
      <w:pPr>
        <w:ind w:left="5040" w:hanging="360"/>
      </w:pPr>
      <w:rPr>
        <w:rFonts w:ascii="Symbol" w:hAnsi="Symbol" w:hint="default"/>
      </w:rPr>
    </w:lvl>
    <w:lvl w:ilvl="7" w:tplc="824ADA08">
      <w:start w:val="1"/>
      <w:numFmt w:val="bullet"/>
      <w:lvlText w:val="o"/>
      <w:lvlJc w:val="left"/>
      <w:pPr>
        <w:ind w:left="5760" w:hanging="360"/>
      </w:pPr>
      <w:rPr>
        <w:rFonts w:ascii="Courier New" w:hAnsi="Courier New" w:hint="default"/>
      </w:rPr>
    </w:lvl>
    <w:lvl w:ilvl="8" w:tplc="FB126418">
      <w:start w:val="1"/>
      <w:numFmt w:val="bullet"/>
      <w:lvlText w:val=""/>
      <w:lvlJc w:val="left"/>
      <w:pPr>
        <w:ind w:left="6480" w:hanging="360"/>
      </w:pPr>
      <w:rPr>
        <w:rFonts w:ascii="Wingdings" w:hAnsi="Wingdings" w:hint="default"/>
      </w:rPr>
    </w:lvl>
  </w:abstractNum>
  <w:abstractNum w:abstractNumId="27" w15:restartNumberingAfterBreak="0">
    <w:nsid w:val="453F4C02"/>
    <w:multiLevelType w:val="hybridMultilevel"/>
    <w:tmpl w:val="ECAC4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D9673A"/>
    <w:multiLevelType w:val="hybridMultilevel"/>
    <w:tmpl w:val="FFFFFFFF"/>
    <w:lvl w:ilvl="0" w:tplc="83C24446">
      <w:start w:val="1"/>
      <w:numFmt w:val="decimal"/>
      <w:lvlText w:val="%1."/>
      <w:lvlJc w:val="left"/>
      <w:pPr>
        <w:ind w:left="720" w:hanging="360"/>
      </w:pPr>
    </w:lvl>
    <w:lvl w:ilvl="1" w:tplc="812AAF7C">
      <w:start w:val="1"/>
      <w:numFmt w:val="lowerLetter"/>
      <w:lvlText w:val="%2."/>
      <w:lvlJc w:val="left"/>
      <w:pPr>
        <w:ind w:left="1440" w:hanging="360"/>
      </w:pPr>
    </w:lvl>
    <w:lvl w:ilvl="2" w:tplc="C1AA0774">
      <w:start w:val="1"/>
      <w:numFmt w:val="lowerRoman"/>
      <w:lvlText w:val="%3."/>
      <w:lvlJc w:val="right"/>
      <w:pPr>
        <w:ind w:left="2160" w:hanging="180"/>
      </w:pPr>
    </w:lvl>
    <w:lvl w:ilvl="3" w:tplc="61DE0D3A">
      <w:start w:val="1"/>
      <w:numFmt w:val="decimal"/>
      <w:lvlText w:val="%4."/>
      <w:lvlJc w:val="left"/>
      <w:pPr>
        <w:ind w:left="2880" w:hanging="360"/>
      </w:pPr>
    </w:lvl>
    <w:lvl w:ilvl="4" w:tplc="A8BA6510">
      <w:start w:val="1"/>
      <w:numFmt w:val="lowerLetter"/>
      <w:lvlText w:val="%5."/>
      <w:lvlJc w:val="left"/>
      <w:pPr>
        <w:ind w:left="3600" w:hanging="360"/>
      </w:pPr>
    </w:lvl>
    <w:lvl w:ilvl="5" w:tplc="89AAE616">
      <w:start w:val="1"/>
      <w:numFmt w:val="lowerRoman"/>
      <w:lvlText w:val="%6."/>
      <w:lvlJc w:val="right"/>
      <w:pPr>
        <w:ind w:left="4320" w:hanging="180"/>
      </w:pPr>
    </w:lvl>
    <w:lvl w:ilvl="6" w:tplc="6E2865D6">
      <w:start w:val="1"/>
      <w:numFmt w:val="decimal"/>
      <w:lvlText w:val="%7."/>
      <w:lvlJc w:val="left"/>
      <w:pPr>
        <w:ind w:left="5040" w:hanging="360"/>
      </w:pPr>
    </w:lvl>
    <w:lvl w:ilvl="7" w:tplc="22DCC752">
      <w:start w:val="1"/>
      <w:numFmt w:val="lowerLetter"/>
      <w:lvlText w:val="%8."/>
      <w:lvlJc w:val="left"/>
      <w:pPr>
        <w:ind w:left="5760" w:hanging="360"/>
      </w:pPr>
    </w:lvl>
    <w:lvl w:ilvl="8" w:tplc="23F61E7A">
      <w:start w:val="1"/>
      <w:numFmt w:val="lowerRoman"/>
      <w:lvlText w:val="%9."/>
      <w:lvlJc w:val="right"/>
      <w:pPr>
        <w:ind w:left="6480" w:hanging="180"/>
      </w:pPr>
    </w:lvl>
  </w:abstractNum>
  <w:abstractNum w:abstractNumId="29" w15:restartNumberingAfterBreak="0">
    <w:nsid w:val="4BCC1B20"/>
    <w:multiLevelType w:val="hybridMultilevel"/>
    <w:tmpl w:val="AECC50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4D642BF8"/>
    <w:multiLevelType w:val="hybridMultilevel"/>
    <w:tmpl w:val="10783D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4D7A7782"/>
    <w:multiLevelType w:val="multilevel"/>
    <w:tmpl w:val="CD361336"/>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52705B2B"/>
    <w:multiLevelType w:val="hybridMultilevel"/>
    <w:tmpl w:val="7BC6F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2C0B7F"/>
    <w:multiLevelType w:val="hybridMultilevel"/>
    <w:tmpl w:val="C92C4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03865E"/>
    <w:multiLevelType w:val="hybridMultilevel"/>
    <w:tmpl w:val="C1C431E0"/>
    <w:lvl w:ilvl="0" w:tplc="B79A31FE">
      <w:start w:val="1"/>
      <w:numFmt w:val="bullet"/>
      <w:lvlText w:val="-"/>
      <w:lvlJc w:val="left"/>
      <w:pPr>
        <w:ind w:left="720" w:hanging="360"/>
      </w:pPr>
      <w:rPr>
        <w:rFonts w:ascii="Calibri" w:hAnsi="Calibri" w:hint="default"/>
      </w:rPr>
    </w:lvl>
    <w:lvl w:ilvl="1" w:tplc="406A8FD6">
      <w:start w:val="1"/>
      <w:numFmt w:val="bullet"/>
      <w:lvlText w:val="o"/>
      <w:lvlJc w:val="left"/>
      <w:pPr>
        <w:ind w:left="1440" w:hanging="360"/>
      </w:pPr>
      <w:rPr>
        <w:rFonts w:ascii="Courier New" w:hAnsi="Courier New" w:hint="default"/>
      </w:rPr>
    </w:lvl>
    <w:lvl w:ilvl="2" w:tplc="9B4E95DC">
      <w:start w:val="1"/>
      <w:numFmt w:val="bullet"/>
      <w:lvlText w:val=""/>
      <w:lvlJc w:val="left"/>
      <w:pPr>
        <w:ind w:left="2160" w:hanging="360"/>
      </w:pPr>
      <w:rPr>
        <w:rFonts w:ascii="Wingdings" w:hAnsi="Wingdings" w:hint="default"/>
      </w:rPr>
    </w:lvl>
    <w:lvl w:ilvl="3" w:tplc="C832BE4A">
      <w:start w:val="1"/>
      <w:numFmt w:val="bullet"/>
      <w:lvlText w:val=""/>
      <w:lvlJc w:val="left"/>
      <w:pPr>
        <w:ind w:left="2880" w:hanging="360"/>
      </w:pPr>
      <w:rPr>
        <w:rFonts w:ascii="Symbol" w:hAnsi="Symbol" w:hint="default"/>
      </w:rPr>
    </w:lvl>
    <w:lvl w:ilvl="4" w:tplc="9D6CCE3A">
      <w:start w:val="1"/>
      <w:numFmt w:val="bullet"/>
      <w:lvlText w:val="o"/>
      <w:lvlJc w:val="left"/>
      <w:pPr>
        <w:ind w:left="3600" w:hanging="360"/>
      </w:pPr>
      <w:rPr>
        <w:rFonts w:ascii="Courier New" w:hAnsi="Courier New" w:hint="default"/>
      </w:rPr>
    </w:lvl>
    <w:lvl w:ilvl="5" w:tplc="3D765990">
      <w:start w:val="1"/>
      <w:numFmt w:val="bullet"/>
      <w:lvlText w:val=""/>
      <w:lvlJc w:val="left"/>
      <w:pPr>
        <w:ind w:left="4320" w:hanging="360"/>
      </w:pPr>
      <w:rPr>
        <w:rFonts w:ascii="Wingdings" w:hAnsi="Wingdings" w:hint="default"/>
      </w:rPr>
    </w:lvl>
    <w:lvl w:ilvl="6" w:tplc="4CEC681A">
      <w:start w:val="1"/>
      <w:numFmt w:val="bullet"/>
      <w:lvlText w:val=""/>
      <w:lvlJc w:val="left"/>
      <w:pPr>
        <w:ind w:left="5040" w:hanging="360"/>
      </w:pPr>
      <w:rPr>
        <w:rFonts w:ascii="Symbol" w:hAnsi="Symbol" w:hint="default"/>
      </w:rPr>
    </w:lvl>
    <w:lvl w:ilvl="7" w:tplc="041AD39A">
      <w:start w:val="1"/>
      <w:numFmt w:val="bullet"/>
      <w:lvlText w:val="o"/>
      <w:lvlJc w:val="left"/>
      <w:pPr>
        <w:ind w:left="5760" w:hanging="360"/>
      </w:pPr>
      <w:rPr>
        <w:rFonts w:ascii="Courier New" w:hAnsi="Courier New" w:hint="default"/>
      </w:rPr>
    </w:lvl>
    <w:lvl w:ilvl="8" w:tplc="6C823F0E">
      <w:start w:val="1"/>
      <w:numFmt w:val="bullet"/>
      <w:lvlText w:val=""/>
      <w:lvlJc w:val="left"/>
      <w:pPr>
        <w:ind w:left="6480" w:hanging="360"/>
      </w:pPr>
      <w:rPr>
        <w:rFonts w:ascii="Wingdings" w:hAnsi="Wingdings" w:hint="default"/>
      </w:rPr>
    </w:lvl>
  </w:abstractNum>
  <w:abstractNum w:abstractNumId="35" w15:restartNumberingAfterBreak="0">
    <w:nsid w:val="5CEF18CF"/>
    <w:multiLevelType w:val="hybridMultilevel"/>
    <w:tmpl w:val="920C390A"/>
    <w:lvl w:ilvl="0" w:tplc="EEF26E44">
      <w:start w:val="13"/>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D92A5A6"/>
    <w:multiLevelType w:val="hybridMultilevel"/>
    <w:tmpl w:val="B508A2D0"/>
    <w:lvl w:ilvl="0" w:tplc="8EEA3736">
      <w:start w:val="1"/>
      <w:numFmt w:val="bullet"/>
      <w:lvlText w:val="-"/>
      <w:lvlJc w:val="left"/>
      <w:pPr>
        <w:ind w:left="720" w:hanging="360"/>
      </w:pPr>
      <w:rPr>
        <w:rFonts w:ascii="Calibri" w:hAnsi="Calibri" w:hint="default"/>
      </w:rPr>
    </w:lvl>
    <w:lvl w:ilvl="1" w:tplc="6F72F1F2">
      <w:start w:val="1"/>
      <w:numFmt w:val="bullet"/>
      <w:lvlText w:val="o"/>
      <w:lvlJc w:val="left"/>
      <w:pPr>
        <w:ind w:left="1440" w:hanging="360"/>
      </w:pPr>
      <w:rPr>
        <w:rFonts w:ascii="Courier New" w:hAnsi="Courier New" w:hint="default"/>
      </w:rPr>
    </w:lvl>
    <w:lvl w:ilvl="2" w:tplc="951AB094">
      <w:start w:val="1"/>
      <w:numFmt w:val="bullet"/>
      <w:lvlText w:val=""/>
      <w:lvlJc w:val="left"/>
      <w:pPr>
        <w:ind w:left="2160" w:hanging="360"/>
      </w:pPr>
      <w:rPr>
        <w:rFonts w:ascii="Wingdings" w:hAnsi="Wingdings" w:hint="default"/>
      </w:rPr>
    </w:lvl>
    <w:lvl w:ilvl="3" w:tplc="9CDAD920">
      <w:start w:val="1"/>
      <w:numFmt w:val="bullet"/>
      <w:lvlText w:val=""/>
      <w:lvlJc w:val="left"/>
      <w:pPr>
        <w:ind w:left="2880" w:hanging="360"/>
      </w:pPr>
      <w:rPr>
        <w:rFonts w:ascii="Symbol" w:hAnsi="Symbol" w:hint="default"/>
      </w:rPr>
    </w:lvl>
    <w:lvl w:ilvl="4" w:tplc="5F90AF26">
      <w:start w:val="1"/>
      <w:numFmt w:val="bullet"/>
      <w:lvlText w:val="o"/>
      <w:lvlJc w:val="left"/>
      <w:pPr>
        <w:ind w:left="3600" w:hanging="360"/>
      </w:pPr>
      <w:rPr>
        <w:rFonts w:ascii="Courier New" w:hAnsi="Courier New" w:hint="default"/>
      </w:rPr>
    </w:lvl>
    <w:lvl w:ilvl="5" w:tplc="EC88E1D6">
      <w:start w:val="1"/>
      <w:numFmt w:val="bullet"/>
      <w:lvlText w:val=""/>
      <w:lvlJc w:val="left"/>
      <w:pPr>
        <w:ind w:left="4320" w:hanging="360"/>
      </w:pPr>
      <w:rPr>
        <w:rFonts w:ascii="Wingdings" w:hAnsi="Wingdings" w:hint="default"/>
      </w:rPr>
    </w:lvl>
    <w:lvl w:ilvl="6" w:tplc="5DD8B7F6">
      <w:start w:val="1"/>
      <w:numFmt w:val="bullet"/>
      <w:lvlText w:val=""/>
      <w:lvlJc w:val="left"/>
      <w:pPr>
        <w:ind w:left="5040" w:hanging="360"/>
      </w:pPr>
      <w:rPr>
        <w:rFonts w:ascii="Symbol" w:hAnsi="Symbol" w:hint="default"/>
      </w:rPr>
    </w:lvl>
    <w:lvl w:ilvl="7" w:tplc="F182A75A">
      <w:start w:val="1"/>
      <w:numFmt w:val="bullet"/>
      <w:lvlText w:val="o"/>
      <w:lvlJc w:val="left"/>
      <w:pPr>
        <w:ind w:left="5760" w:hanging="360"/>
      </w:pPr>
      <w:rPr>
        <w:rFonts w:ascii="Courier New" w:hAnsi="Courier New" w:hint="default"/>
      </w:rPr>
    </w:lvl>
    <w:lvl w:ilvl="8" w:tplc="B8844A74">
      <w:start w:val="1"/>
      <w:numFmt w:val="bullet"/>
      <w:lvlText w:val=""/>
      <w:lvlJc w:val="left"/>
      <w:pPr>
        <w:ind w:left="6480" w:hanging="360"/>
      </w:pPr>
      <w:rPr>
        <w:rFonts w:ascii="Wingdings" w:hAnsi="Wingdings" w:hint="default"/>
      </w:rPr>
    </w:lvl>
  </w:abstractNum>
  <w:abstractNum w:abstractNumId="37" w15:restartNumberingAfterBreak="0">
    <w:nsid w:val="5E97FDD6"/>
    <w:multiLevelType w:val="multilevel"/>
    <w:tmpl w:val="6720BD46"/>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E9F5152"/>
    <w:multiLevelType w:val="hybridMultilevel"/>
    <w:tmpl w:val="27682BC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61B1442E"/>
    <w:multiLevelType w:val="multilevel"/>
    <w:tmpl w:val="01101588"/>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3CC4D91"/>
    <w:multiLevelType w:val="multilevel"/>
    <w:tmpl w:val="D4322646"/>
    <w:lvl w:ilvl="0">
      <w:start w:val="1"/>
      <w:numFmt w:val="decimal"/>
      <w:lvlText w:val="%1"/>
      <w:lvlJc w:val="left"/>
      <w:pPr>
        <w:tabs>
          <w:tab w:val="num" w:pos="432"/>
        </w:tabs>
        <w:ind w:left="432" w:hanging="432"/>
      </w:pPr>
      <w:rPr>
        <w:rFonts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hint="default"/>
        <w:b/>
        <w:i w:val="0"/>
        <w:color w:val="auto"/>
        <w:sz w:val="24"/>
        <w:szCs w:val="24"/>
      </w:rPr>
    </w:lvl>
    <w:lvl w:ilvl="2">
      <w:start w:val="1"/>
      <w:numFmt w:val="bullet"/>
      <w:lvlText w:val=""/>
      <w:lvlJc w:val="left"/>
      <w:pPr>
        <w:tabs>
          <w:tab w:val="num" w:pos="720"/>
        </w:tabs>
        <w:ind w:left="720" w:hanging="720"/>
      </w:pPr>
      <w:rPr>
        <w:rFonts w:ascii="Symbol" w:hAnsi="Symbol" w:hint="default"/>
      </w:rPr>
    </w:lvl>
    <w:lvl w:ilvl="3">
      <w:start w:val="1"/>
      <w:numFmt w:val="decimal"/>
      <w:lvlText w:val="%1.%2.%4"/>
      <w:lvlJc w:val="left"/>
      <w:pPr>
        <w:tabs>
          <w:tab w:val="num" w:pos="1764"/>
        </w:tabs>
        <w:ind w:left="1764" w:hanging="864"/>
      </w:pPr>
      <w:rPr>
        <w:rFonts w:ascii="Century Gothic" w:hAnsi="Century Gothic" w:hint="default"/>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610AF38"/>
    <w:multiLevelType w:val="hybridMultilevel"/>
    <w:tmpl w:val="9D80BFA2"/>
    <w:lvl w:ilvl="0" w:tplc="4A5AB2FC">
      <w:start w:val="1"/>
      <w:numFmt w:val="bullet"/>
      <w:lvlText w:val="-"/>
      <w:lvlJc w:val="left"/>
      <w:pPr>
        <w:ind w:left="720" w:hanging="360"/>
      </w:pPr>
      <w:rPr>
        <w:rFonts w:ascii="Calibri" w:hAnsi="Calibri" w:hint="default"/>
      </w:rPr>
    </w:lvl>
    <w:lvl w:ilvl="1" w:tplc="E51E6DB8">
      <w:start w:val="1"/>
      <w:numFmt w:val="bullet"/>
      <w:lvlText w:val="o"/>
      <w:lvlJc w:val="left"/>
      <w:pPr>
        <w:ind w:left="1440" w:hanging="360"/>
      </w:pPr>
      <w:rPr>
        <w:rFonts w:ascii="Courier New" w:hAnsi="Courier New" w:hint="default"/>
      </w:rPr>
    </w:lvl>
    <w:lvl w:ilvl="2" w:tplc="991AFDCA">
      <w:start w:val="1"/>
      <w:numFmt w:val="bullet"/>
      <w:lvlText w:val=""/>
      <w:lvlJc w:val="left"/>
      <w:pPr>
        <w:ind w:left="2160" w:hanging="360"/>
      </w:pPr>
      <w:rPr>
        <w:rFonts w:ascii="Wingdings" w:hAnsi="Wingdings" w:hint="default"/>
      </w:rPr>
    </w:lvl>
    <w:lvl w:ilvl="3" w:tplc="F244CE0C">
      <w:start w:val="1"/>
      <w:numFmt w:val="bullet"/>
      <w:lvlText w:val=""/>
      <w:lvlJc w:val="left"/>
      <w:pPr>
        <w:ind w:left="2880" w:hanging="360"/>
      </w:pPr>
      <w:rPr>
        <w:rFonts w:ascii="Symbol" w:hAnsi="Symbol" w:hint="default"/>
      </w:rPr>
    </w:lvl>
    <w:lvl w:ilvl="4" w:tplc="598CD4D8">
      <w:start w:val="1"/>
      <w:numFmt w:val="bullet"/>
      <w:lvlText w:val="o"/>
      <w:lvlJc w:val="left"/>
      <w:pPr>
        <w:ind w:left="3600" w:hanging="360"/>
      </w:pPr>
      <w:rPr>
        <w:rFonts w:ascii="Courier New" w:hAnsi="Courier New" w:hint="default"/>
      </w:rPr>
    </w:lvl>
    <w:lvl w:ilvl="5" w:tplc="092AF2DE">
      <w:start w:val="1"/>
      <w:numFmt w:val="bullet"/>
      <w:lvlText w:val=""/>
      <w:lvlJc w:val="left"/>
      <w:pPr>
        <w:ind w:left="4320" w:hanging="360"/>
      </w:pPr>
      <w:rPr>
        <w:rFonts w:ascii="Wingdings" w:hAnsi="Wingdings" w:hint="default"/>
      </w:rPr>
    </w:lvl>
    <w:lvl w:ilvl="6" w:tplc="DCF6757A">
      <w:start w:val="1"/>
      <w:numFmt w:val="bullet"/>
      <w:lvlText w:val=""/>
      <w:lvlJc w:val="left"/>
      <w:pPr>
        <w:ind w:left="5040" w:hanging="360"/>
      </w:pPr>
      <w:rPr>
        <w:rFonts w:ascii="Symbol" w:hAnsi="Symbol" w:hint="default"/>
      </w:rPr>
    </w:lvl>
    <w:lvl w:ilvl="7" w:tplc="3E3836CA">
      <w:start w:val="1"/>
      <w:numFmt w:val="bullet"/>
      <w:lvlText w:val="o"/>
      <w:lvlJc w:val="left"/>
      <w:pPr>
        <w:ind w:left="5760" w:hanging="360"/>
      </w:pPr>
      <w:rPr>
        <w:rFonts w:ascii="Courier New" w:hAnsi="Courier New" w:hint="default"/>
      </w:rPr>
    </w:lvl>
    <w:lvl w:ilvl="8" w:tplc="3140EF3C">
      <w:start w:val="1"/>
      <w:numFmt w:val="bullet"/>
      <w:lvlText w:val=""/>
      <w:lvlJc w:val="left"/>
      <w:pPr>
        <w:ind w:left="6480" w:hanging="360"/>
      </w:pPr>
      <w:rPr>
        <w:rFonts w:ascii="Wingdings" w:hAnsi="Wingdings" w:hint="default"/>
      </w:rPr>
    </w:lvl>
  </w:abstractNum>
  <w:abstractNum w:abstractNumId="42" w15:restartNumberingAfterBreak="0">
    <w:nsid w:val="67A2034B"/>
    <w:multiLevelType w:val="hybridMultilevel"/>
    <w:tmpl w:val="E1040D04"/>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43" w15:restartNumberingAfterBreak="0">
    <w:nsid w:val="6D8B4824"/>
    <w:multiLevelType w:val="hybridMultilevel"/>
    <w:tmpl w:val="BA001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167B64"/>
    <w:multiLevelType w:val="hybridMultilevel"/>
    <w:tmpl w:val="28E2E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AB57B1"/>
    <w:multiLevelType w:val="hybridMultilevel"/>
    <w:tmpl w:val="D89EA43E"/>
    <w:lvl w:ilvl="0" w:tplc="88720AF8">
      <w:start w:val="1"/>
      <w:numFmt w:val="bullet"/>
      <w:lvlText w:val="-"/>
      <w:lvlJc w:val="left"/>
      <w:pPr>
        <w:ind w:left="720" w:hanging="360"/>
      </w:pPr>
      <w:rPr>
        <w:rFonts w:ascii="Calibri" w:hAnsi="Calibri" w:hint="default"/>
      </w:rPr>
    </w:lvl>
    <w:lvl w:ilvl="1" w:tplc="3CE0E9DE">
      <w:start w:val="1"/>
      <w:numFmt w:val="bullet"/>
      <w:lvlText w:val="o"/>
      <w:lvlJc w:val="left"/>
      <w:pPr>
        <w:ind w:left="1440" w:hanging="360"/>
      </w:pPr>
      <w:rPr>
        <w:rFonts w:ascii="Courier New" w:hAnsi="Courier New" w:hint="default"/>
      </w:rPr>
    </w:lvl>
    <w:lvl w:ilvl="2" w:tplc="90688714">
      <w:start w:val="1"/>
      <w:numFmt w:val="bullet"/>
      <w:lvlText w:val=""/>
      <w:lvlJc w:val="left"/>
      <w:pPr>
        <w:ind w:left="2160" w:hanging="360"/>
      </w:pPr>
      <w:rPr>
        <w:rFonts w:ascii="Wingdings" w:hAnsi="Wingdings" w:hint="default"/>
      </w:rPr>
    </w:lvl>
    <w:lvl w:ilvl="3" w:tplc="818415C8">
      <w:start w:val="1"/>
      <w:numFmt w:val="bullet"/>
      <w:lvlText w:val=""/>
      <w:lvlJc w:val="left"/>
      <w:pPr>
        <w:ind w:left="2880" w:hanging="360"/>
      </w:pPr>
      <w:rPr>
        <w:rFonts w:ascii="Symbol" w:hAnsi="Symbol" w:hint="default"/>
      </w:rPr>
    </w:lvl>
    <w:lvl w:ilvl="4" w:tplc="105617A0">
      <w:start w:val="1"/>
      <w:numFmt w:val="bullet"/>
      <w:lvlText w:val="o"/>
      <w:lvlJc w:val="left"/>
      <w:pPr>
        <w:ind w:left="3600" w:hanging="360"/>
      </w:pPr>
      <w:rPr>
        <w:rFonts w:ascii="Courier New" w:hAnsi="Courier New" w:hint="default"/>
      </w:rPr>
    </w:lvl>
    <w:lvl w:ilvl="5" w:tplc="CDEC4B74">
      <w:start w:val="1"/>
      <w:numFmt w:val="bullet"/>
      <w:lvlText w:val=""/>
      <w:lvlJc w:val="left"/>
      <w:pPr>
        <w:ind w:left="4320" w:hanging="360"/>
      </w:pPr>
      <w:rPr>
        <w:rFonts w:ascii="Wingdings" w:hAnsi="Wingdings" w:hint="default"/>
      </w:rPr>
    </w:lvl>
    <w:lvl w:ilvl="6" w:tplc="FE2684FC">
      <w:start w:val="1"/>
      <w:numFmt w:val="bullet"/>
      <w:lvlText w:val=""/>
      <w:lvlJc w:val="left"/>
      <w:pPr>
        <w:ind w:left="5040" w:hanging="360"/>
      </w:pPr>
      <w:rPr>
        <w:rFonts w:ascii="Symbol" w:hAnsi="Symbol" w:hint="default"/>
      </w:rPr>
    </w:lvl>
    <w:lvl w:ilvl="7" w:tplc="3FE81C34">
      <w:start w:val="1"/>
      <w:numFmt w:val="bullet"/>
      <w:lvlText w:val="o"/>
      <w:lvlJc w:val="left"/>
      <w:pPr>
        <w:ind w:left="5760" w:hanging="360"/>
      </w:pPr>
      <w:rPr>
        <w:rFonts w:ascii="Courier New" w:hAnsi="Courier New" w:hint="default"/>
      </w:rPr>
    </w:lvl>
    <w:lvl w:ilvl="8" w:tplc="624EBE96">
      <w:start w:val="1"/>
      <w:numFmt w:val="bullet"/>
      <w:lvlText w:val=""/>
      <w:lvlJc w:val="left"/>
      <w:pPr>
        <w:ind w:left="6480" w:hanging="360"/>
      </w:pPr>
      <w:rPr>
        <w:rFonts w:ascii="Wingdings" w:hAnsi="Wingdings" w:hint="default"/>
      </w:rPr>
    </w:lvl>
  </w:abstractNum>
  <w:abstractNum w:abstractNumId="46" w15:restartNumberingAfterBreak="0">
    <w:nsid w:val="7AEF7EA9"/>
    <w:multiLevelType w:val="hybridMultilevel"/>
    <w:tmpl w:val="B7303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13783D"/>
    <w:multiLevelType w:val="hybridMultilevel"/>
    <w:tmpl w:val="06FE9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2"/>
  </w:num>
  <w:num w:numId="3">
    <w:abstractNumId w:val="36"/>
  </w:num>
  <w:num w:numId="4">
    <w:abstractNumId w:val="41"/>
  </w:num>
  <w:num w:numId="5">
    <w:abstractNumId w:val="26"/>
  </w:num>
  <w:num w:numId="6">
    <w:abstractNumId w:val="34"/>
  </w:num>
  <w:num w:numId="7">
    <w:abstractNumId w:val="17"/>
  </w:num>
  <w:num w:numId="8">
    <w:abstractNumId w:val="23"/>
  </w:num>
  <w:num w:numId="9">
    <w:abstractNumId w:val="24"/>
  </w:num>
  <w:num w:numId="10">
    <w:abstractNumId w:val="39"/>
  </w:num>
  <w:num w:numId="11">
    <w:abstractNumId w:val="14"/>
  </w:num>
  <w:num w:numId="12">
    <w:abstractNumId w:val="45"/>
  </w:num>
  <w:num w:numId="13">
    <w:abstractNumId w:val="40"/>
  </w:num>
  <w:num w:numId="14">
    <w:abstractNumId w:val="22"/>
  </w:num>
  <w:num w:numId="15">
    <w:abstractNumId w:val="11"/>
  </w:num>
  <w:num w:numId="16">
    <w:abstractNumId w:val="31"/>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7"/>
  </w:num>
  <w:num w:numId="20">
    <w:abstractNumId w:val="15"/>
  </w:num>
  <w:num w:numId="21">
    <w:abstractNumId w:val="9"/>
  </w:num>
  <w:num w:numId="22">
    <w:abstractNumId w:val="20"/>
  </w:num>
  <w:num w:numId="23">
    <w:abstractNumId w:val="44"/>
  </w:num>
  <w:num w:numId="24">
    <w:abstractNumId w:val="33"/>
  </w:num>
  <w:num w:numId="25">
    <w:abstractNumId w:val="47"/>
  </w:num>
  <w:num w:numId="26">
    <w:abstractNumId w:val="7"/>
  </w:num>
  <w:num w:numId="27">
    <w:abstractNumId w:val="0"/>
  </w:num>
  <w:num w:numId="28">
    <w:abstractNumId w:val="4"/>
  </w:num>
  <w:num w:numId="29">
    <w:abstractNumId w:val="18"/>
  </w:num>
  <w:num w:numId="30">
    <w:abstractNumId w:val="1"/>
  </w:num>
  <w:num w:numId="31">
    <w:abstractNumId w:val="42"/>
  </w:num>
  <w:num w:numId="32">
    <w:abstractNumId w:val="32"/>
  </w:num>
  <w:num w:numId="33">
    <w:abstractNumId w:val="25"/>
  </w:num>
  <w:num w:numId="34">
    <w:abstractNumId w:val="30"/>
  </w:num>
  <w:num w:numId="35">
    <w:abstractNumId w:val="38"/>
  </w:num>
  <w:num w:numId="36">
    <w:abstractNumId w:val="8"/>
  </w:num>
  <w:num w:numId="37">
    <w:abstractNumId w:val="29"/>
  </w:num>
  <w:num w:numId="38">
    <w:abstractNumId w:val="21"/>
  </w:num>
  <w:num w:numId="39">
    <w:abstractNumId w:val="10"/>
  </w:num>
  <w:num w:numId="40">
    <w:abstractNumId w:val="16"/>
  </w:num>
  <w:num w:numId="41">
    <w:abstractNumId w:val="3"/>
  </w:num>
  <w:num w:numId="42">
    <w:abstractNumId w:val="12"/>
  </w:num>
  <w:num w:numId="43">
    <w:abstractNumId w:val="46"/>
  </w:num>
  <w:num w:numId="44">
    <w:abstractNumId w:val="43"/>
  </w:num>
  <w:num w:numId="45">
    <w:abstractNumId w:val="35"/>
  </w:num>
  <w:num w:numId="46">
    <w:abstractNumId w:val="5"/>
  </w:num>
  <w:num w:numId="47">
    <w:abstractNumId w:val="13"/>
  </w:num>
  <w:num w:numId="48">
    <w:abstractNumId w:val="38"/>
  </w:num>
  <w:num w:numId="49">
    <w:abstractNumId w:val="6"/>
  </w:num>
  <w:num w:numId="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sv-SE" w:vendorID="64" w:dllVersion="0" w:nlCheck="1" w:checkStyle="0"/>
  <w:activeWritingStyle w:appName="MSWord" w:lang="it-IT"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t;UNUSED&gt;"/>
    <w:docVar w:name="LW_ANNEX_NBR_FIRST" w:val="1"/>
    <w:docVar w:name="LW_ANNEX_NBR_LAST" w:val="1"/>
    <w:docVar w:name="LW_ANNEX_UNIQUE" w:val="1"/>
    <w:docVar w:name="LW_CORRIGENDUM" w:val="&lt;UNUSED&gt;"/>
    <w:docVar w:name="LW_COVERPAGE_EXISTS" w:val="True"/>
    <w:docVar w:name="LW_COVERPAGE_GUID" w:val="06E6D294-F191-4F61-88AC-EBAC2C5FC3C5"/>
    <w:docVar w:name="LW_COVERPAGE_TYPE" w:val="1"/>
    <w:docVar w:name="LW_CROSSREFERENCE" w:val="{SWD(2026) 148 final}"/>
    <w:docVar w:name="LW_DocType" w:val="NORMAL"/>
    <w:docVar w:name="LW_EMISSION" w:val="17.6.2026"/>
    <w:docVar w:name="LW_EMISSION_ISODATE" w:val="2026-06-17"/>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RAPPORT DE LA COMMISSION AU PARLEMENT EUROPÉEN ET AU CONSEIL_x000d__x000d__x000d__x000d__x000d__x000d__x000b__x000d__x000d__x000d__x000d__x000d__x000d__x000b_sur l\u8217?évaluation de la directive (UE) 2018/1673 visant à lutter contre le blanchiment de capitaux au moyen du droit pénal"/>
    <w:docVar w:name="LW_PART_NBR" w:val="1"/>
    <w:docVar w:name="LW_PART_NBR_TOTAL" w:val="1"/>
    <w:docVar w:name="LW_REF.INST.NEW" w:val="COM"/>
    <w:docVar w:name="LW_REF.INST.NEW_ADOPTED" w:val="final"/>
    <w:docVar w:name="LW_REF.INST.NEW_TEXT" w:val="(2026) 2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  "/>
    <w:docVar w:name="LW_TYPE.DOC.CP" w:val="ANNEXE_x000b_"/>
    <w:docVar w:name="LW_TYPEACTEPRINCIPAL.CP" w:val="&lt;UNUSED&gt;"/>
    <w:docVar w:name="LwApiVersions" w:val="LW4CoDe 1.24.5.0; LW 9.2, Build 20251112"/>
  </w:docVars>
  <w:rsids>
    <w:rsidRoot w:val="00175B64"/>
    <w:rsid w:val="00000378"/>
    <w:rsid w:val="00000DD1"/>
    <w:rsid w:val="00002C1F"/>
    <w:rsid w:val="0000564B"/>
    <w:rsid w:val="0000602A"/>
    <w:rsid w:val="000062CF"/>
    <w:rsid w:val="00006384"/>
    <w:rsid w:val="00006FF7"/>
    <w:rsid w:val="00007B03"/>
    <w:rsid w:val="00007F31"/>
    <w:rsid w:val="000118F6"/>
    <w:rsid w:val="00011F87"/>
    <w:rsid w:val="0001235E"/>
    <w:rsid w:val="00012A57"/>
    <w:rsid w:val="00012E31"/>
    <w:rsid w:val="000146B0"/>
    <w:rsid w:val="000147DB"/>
    <w:rsid w:val="0001493A"/>
    <w:rsid w:val="0001552D"/>
    <w:rsid w:val="00015B1F"/>
    <w:rsid w:val="0001635B"/>
    <w:rsid w:val="000168A3"/>
    <w:rsid w:val="00017CCE"/>
    <w:rsid w:val="00020022"/>
    <w:rsid w:val="00020772"/>
    <w:rsid w:val="00020891"/>
    <w:rsid w:val="00021533"/>
    <w:rsid w:val="00021677"/>
    <w:rsid w:val="00023003"/>
    <w:rsid w:val="000237E7"/>
    <w:rsid w:val="0002441A"/>
    <w:rsid w:val="00024CED"/>
    <w:rsid w:val="000252E2"/>
    <w:rsid w:val="0002539F"/>
    <w:rsid w:val="00026726"/>
    <w:rsid w:val="00026B45"/>
    <w:rsid w:val="00027D40"/>
    <w:rsid w:val="000301CF"/>
    <w:rsid w:val="00030583"/>
    <w:rsid w:val="00030E29"/>
    <w:rsid w:val="00031F9F"/>
    <w:rsid w:val="0003381D"/>
    <w:rsid w:val="00033EEF"/>
    <w:rsid w:val="00033FAF"/>
    <w:rsid w:val="00034D2E"/>
    <w:rsid w:val="00034DAF"/>
    <w:rsid w:val="00035D3A"/>
    <w:rsid w:val="00037297"/>
    <w:rsid w:val="000406CC"/>
    <w:rsid w:val="00040FB0"/>
    <w:rsid w:val="000412E3"/>
    <w:rsid w:val="00042085"/>
    <w:rsid w:val="00042EEB"/>
    <w:rsid w:val="000436C2"/>
    <w:rsid w:val="00043A5D"/>
    <w:rsid w:val="00043B67"/>
    <w:rsid w:val="00044AD2"/>
    <w:rsid w:val="00045873"/>
    <w:rsid w:val="000505A0"/>
    <w:rsid w:val="0005080E"/>
    <w:rsid w:val="00051B27"/>
    <w:rsid w:val="00051B33"/>
    <w:rsid w:val="00051EF2"/>
    <w:rsid w:val="00053702"/>
    <w:rsid w:val="00053730"/>
    <w:rsid w:val="00053EA3"/>
    <w:rsid w:val="000543C5"/>
    <w:rsid w:val="00055FB8"/>
    <w:rsid w:val="00060E8F"/>
    <w:rsid w:val="00061547"/>
    <w:rsid w:val="00061673"/>
    <w:rsid w:val="000639E5"/>
    <w:rsid w:val="00065026"/>
    <w:rsid w:val="000650F3"/>
    <w:rsid w:val="00065A08"/>
    <w:rsid w:val="00065CFD"/>
    <w:rsid w:val="00067B2F"/>
    <w:rsid w:val="00067E2B"/>
    <w:rsid w:val="00071336"/>
    <w:rsid w:val="00071533"/>
    <w:rsid w:val="00071CB2"/>
    <w:rsid w:val="00072143"/>
    <w:rsid w:val="00072EF2"/>
    <w:rsid w:val="00075822"/>
    <w:rsid w:val="0008239B"/>
    <w:rsid w:val="0008366F"/>
    <w:rsid w:val="0008486A"/>
    <w:rsid w:val="00085025"/>
    <w:rsid w:val="0008620E"/>
    <w:rsid w:val="000864F3"/>
    <w:rsid w:val="00090BBA"/>
    <w:rsid w:val="000921D5"/>
    <w:rsid w:val="00093075"/>
    <w:rsid w:val="00093C76"/>
    <w:rsid w:val="000944B3"/>
    <w:rsid w:val="00095682"/>
    <w:rsid w:val="00095CEF"/>
    <w:rsid w:val="000966D0"/>
    <w:rsid w:val="00096AFB"/>
    <w:rsid w:val="00097124"/>
    <w:rsid w:val="0009732A"/>
    <w:rsid w:val="000A09F7"/>
    <w:rsid w:val="000A2B31"/>
    <w:rsid w:val="000A3432"/>
    <w:rsid w:val="000A37DE"/>
    <w:rsid w:val="000A3D2F"/>
    <w:rsid w:val="000A4934"/>
    <w:rsid w:val="000A575C"/>
    <w:rsid w:val="000A5E5B"/>
    <w:rsid w:val="000A7231"/>
    <w:rsid w:val="000A794A"/>
    <w:rsid w:val="000B0295"/>
    <w:rsid w:val="000B08FE"/>
    <w:rsid w:val="000B1EC5"/>
    <w:rsid w:val="000B2E33"/>
    <w:rsid w:val="000B3374"/>
    <w:rsid w:val="000B3791"/>
    <w:rsid w:val="000B3EF1"/>
    <w:rsid w:val="000B473A"/>
    <w:rsid w:val="000B48B0"/>
    <w:rsid w:val="000B4BF4"/>
    <w:rsid w:val="000B540F"/>
    <w:rsid w:val="000B56A4"/>
    <w:rsid w:val="000B6ED4"/>
    <w:rsid w:val="000B7790"/>
    <w:rsid w:val="000B7F6C"/>
    <w:rsid w:val="000C2E70"/>
    <w:rsid w:val="000C337B"/>
    <w:rsid w:val="000C4ADB"/>
    <w:rsid w:val="000C4EAB"/>
    <w:rsid w:val="000C4F19"/>
    <w:rsid w:val="000C61DB"/>
    <w:rsid w:val="000C6ECC"/>
    <w:rsid w:val="000D072E"/>
    <w:rsid w:val="000D09FF"/>
    <w:rsid w:val="000D2C6D"/>
    <w:rsid w:val="000D2CF7"/>
    <w:rsid w:val="000D2E0B"/>
    <w:rsid w:val="000D37DE"/>
    <w:rsid w:val="000D4F00"/>
    <w:rsid w:val="000D660A"/>
    <w:rsid w:val="000E070D"/>
    <w:rsid w:val="000E1A63"/>
    <w:rsid w:val="000E1DDA"/>
    <w:rsid w:val="000E1FBE"/>
    <w:rsid w:val="000E2B07"/>
    <w:rsid w:val="000E3D0E"/>
    <w:rsid w:val="000E6D66"/>
    <w:rsid w:val="000E744D"/>
    <w:rsid w:val="000E78DB"/>
    <w:rsid w:val="000E7D8F"/>
    <w:rsid w:val="000F0AE4"/>
    <w:rsid w:val="000F0D2B"/>
    <w:rsid w:val="000F291B"/>
    <w:rsid w:val="000F2FC8"/>
    <w:rsid w:val="000F42C5"/>
    <w:rsid w:val="000F5C7C"/>
    <w:rsid w:val="000F7DEF"/>
    <w:rsid w:val="00100318"/>
    <w:rsid w:val="00100A7F"/>
    <w:rsid w:val="001013D9"/>
    <w:rsid w:val="00102A46"/>
    <w:rsid w:val="00102DCC"/>
    <w:rsid w:val="00103D35"/>
    <w:rsid w:val="00103D56"/>
    <w:rsid w:val="0010402C"/>
    <w:rsid w:val="0010420F"/>
    <w:rsid w:val="00104C42"/>
    <w:rsid w:val="001053BE"/>
    <w:rsid w:val="00105839"/>
    <w:rsid w:val="001061A4"/>
    <w:rsid w:val="00107570"/>
    <w:rsid w:val="001103FC"/>
    <w:rsid w:val="00114273"/>
    <w:rsid w:val="00115348"/>
    <w:rsid w:val="00115B93"/>
    <w:rsid w:val="00115B97"/>
    <w:rsid w:val="001167BF"/>
    <w:rsid w:val="00116E4C"/>
    <w:rsid w:val="001212A1"/>
    <w:rsid w:val="00121CF7"/>
    <w:rsid w:val="00122B70"/>
    <w:rsid w:val="00122D23"/>
    <w:rsid w:val="00124FAF"/>
    <w:rsid w:val="001258A2"/>
    <w:rsid w:val="00126207"/>
    <w:rsid w:val="00126B0A"/>
    <w:rsid w:val="001272CC"/>
    <w:rsid w:val="0012FC7F"/>
    <w:rsid w:val="00130A7E"/>
    <w:rsid w:val="00133EBC"/>
    <w:rsid w:val="00135952"/>
    <w:rsid w:val="00135A32"/>
    <w:rsid w:val="00135F2B"/>
    <w:rsid w:val="001379BB"/>
    <w:rsid w:val="00137DC8"/>
    <w:rsid w:val="00137EF9"/>
    <w:rsid w:val="00140758"/>
    <w:rsid w:val="00140DF8"/>
    <w:rsid w:val="00141416"/>
    <w:rsid w:val="00141D16"/>
    <w:rsid w:val="00144107"/>
    <w:rsid w:val="00144372"/>
    <w:rsid w:val="001446CF"/>
    <w:rsid w:val="00144812"/>
    <w:rsid w:val="00146588"/>
    <w:rsid w:val="00150181"/>
    <w:rsid w:val="0015261B"/>
    <w:rsid w:val="001534AC"/>
    <w:rsid w:val="00153A87"/>
    <w:rsid w:val="00153B74"/>
    <w:rsid w:val="00153E13"/>
    <w:rsid w:val="00154FED"/>
    <w:rsid w:val="00155003"/>
    <w:rsid w:val="0015635F"/>
    <w:rsid w:val="0015642B"/>
    <w:rsid w:val="00157193"/>
    <w:rsid w:val="001577A7"/>
    <w:rsid w:val="00160AFB"/>
    <w:rsid w:val="00160DB8"/>
    <w:rsid w:val="001615A2"/>
    <w:rsid w:val="00163D18"/>
    <w:rsid w:val="00163E47"/>
    <w:rsid w:val="0016404E"/>
    <w:rsid w:val="001647C9"/>
    <w:rsid w:val="00165878"/>
    <w:rsid w:val="001660F8"/>
    <w:rsid w:val="0016648E"/>
    <w:rsid w:val="001666CE"/>
    <w:rsid w:val="001722BD"/>
    <w:rsid w:val="00172CA3"/>
    <w:rsid w:val="00173CB6"/>
    <w:rsid w:val="00175B64"/>
    <w:rsid w:val="0017676F"/>
    <w:rsid w:val="00177036"/>
    <w:rsid w:val="00180F9C"/>
    <w:rsid w:val="00181A2F"/>
    <w:rsid w:val="001822E1"/>
    <w:rsid w:val="00182A19"/>
    <w:rsid w:val="00182D2B"/>
    <w:rsid w:val="00183022"/>
    <w:rsid w:val="001835A3"/>
    <w:rsid w:val="00183E63"/>
    <w:rsid w:val="00185C81"/>
    <w:rsid w:val="00185D7C"/>
    <w:rsid w:val="00186387"/>
    <w:rsid w:val="0018665F"/>
    <w:rsid w:val="00186D28"/>
    <w:rsid w:val="0018705B"/>
    <w:rsid w:val="00187ECF"/>
    <w:rsid w:val="0019034D"/>
    <w:rsid w:val="0019177D"/>
    <w:rsid w:val="00192362"/>
    <w:rsid w:val="00192955"/>
    <w:rsid w:val="001932F1"/>
    <w:rsid w:val="00193748"/>
    <w:rsid w:val="00194C5C"/>
    <w:rsid w:val="00195397"/>
    <w:rsid w:val="00195425"/>
    <w:rsid w:val="00195C2C"/>
    <w:rsid w:val="00196871"/>
    <w:rsid w:val="00196A0B"/>
    <w:rsid w:val="00196B30"/>
    <w:rsid w:val="001A11D5"/>
    <w:rsid w:val="001A14FC"/>
    <w:rsid w:val="001A1ADB"/>
    <w:rsid w:val="001A22A6"/>
    <w:rsid w:val="001A337E"/>
    <w:rsid w:val="001A3DB9"/>
    <w:rsid w:val="001A5FFE"/>
    <w:rsid w:val="001A6886"/>
    <w:rsid w:val="001A6C9A"/>
    <w:rsid w:val="001A72BD"/>
    <w:rsid w:val="001A7818"/>
    <w:rsid w:val="001A7DAF"/>
    <w:rsid w:val="001B0A49"/>
    <w:rsid w:val="001B16B6"/>
    <w:rsid w:val="001B190A"/>
    <w:rsid w:val="001B439C"/>
    <w:rsid w:val="001B5E4A"/>
    <w:rsid w:val="001B61E9"/>
    <w:rsid w:val="001B6520"/>
    <w:rsid w:val="001B6D4B"/>
    <w:rsid w:val="001B6D8F"/>
    <w:rsid w:val="001C0299"/>
    <w:rsid w:val="001C091D"/>
    <w:rsid w:val="001C1A35"/>
    <w:rsid w:val="001C22FD"/>
    <w:rsid w:val="001C2822"/>
    <w:rsid w:val="001C37A5"/>
    <w:rsid w:val="001C40A8"/>
    <w:rsid w:val="001C4837"/>
    <w:rsid w:val="001C4A00"/>
    <w:rsid w:val="001C55C9"/>
    <w:rsid w:val="001D09E0"/>
    <w:rsid w:val="001D1400"/>
    <w:rsid w:val="001D1B30"/>
    <w:rsid w:val="001D2F26"/>
    <w:rsid w:val="001D3170"/>
    <w:rsid w:val="001D3C1E"/>
    <w:rsid w:val="001D4C19"/>
    <w:rsid w:val="001D53D1"/>
    <w:rsid w:val="001D5E68"/>
    <w:rsid w:val="001D6017"/>
    <w:rsid w:val="001E0125"/>
    <w:rsid w:val="001E09E7"/>
    <w:rsid w:val="001E0A1A"/>
    <w:rsid w:val="001E1F2F"/>
    <w:rsid w:val="001E1F62"/>
    <w:rsid w:val="001E28D0"/>
    <w:rsid w:val="001E649B"/>
    <w:rsid w:val="001E6DD1"/>
    <w:rsid w:val="001E7577"/>
    <w:rsid w:val="001F2137"/>
    <w:rsid w:val="001F2AF4"/>
    <w:rsid w:val="001F2E21"/>
    <w:rsid w:val="001F3133"/>
    <w:rsid w:val="001F39A6"/>
    <w:rsid w:val="001F3D4C"/>
    <w:rsid w:val="001F4304"/>
    <w:rsid w:val="001F437E"/>
    <w:rsid w:val="001F6CCD"/>
    <w:rsid w:val="001F6DA4"/>
    <w:rsid w:val="001F73C2"/>
    <w:rsid w:val="0020011E"/>
    <w:rsid w:val="002028D5"/>
    <w:rsid w:val="002029B3"/>
    <w:rsid w:val="0020353D"/>
    <w:rsid w:val="00203C9C"/>
    <w:rsid w:val="00203D00"/>
    <w:rsid w:val="00203E00"/>
    <w:rsid w:val="00203F5D"/>
    <w:rsid w:val="002042AD"/>
    <w:rsid w:val="00204C5C"/>
    <w:rsid w:val="00204D7F"/>
    <w:rsid w:val="00205C29"/>
    <w:rsid w:val="00206294"/>
    <w:rsid w:val="00206E08"/>
    <w:rsid w:val="0021005E"/>
    <w:rsid w:val="00210482"/>
    <w:rsid w:val="00211C54"/>
    <w:rsid w:val="00211C65"/>
    <w:rsid w:val="00211D06"/>
    <w:rsid w:val="00213039"/>
    <w:rsid w:val="0021375D"/>
    <w:rsid w:val="0021473E"/>
    <w:rsid w:val="002152B6"/>
    <w:rsid w:val="00215604"/>
    <w:rsid w:val="002157C0"/>
    <w:rsid w:val="00215907"/>
    <w:rsid w:val="00215DED"/>
    <w:rsid w:val="00216D12"/>
    <w:rsid w:val="00216DF0"/>
    <w:rsid w:val="00217833"/>
    <w:rsid w:val="00220A78"/>
    <w:rsid w:val="0022102E"/>
    <w:rsid w:val="00221C3A"/>
    <w:rsid w:val="00221CBE"/>
    <w:rsid w:val="00221E12"/>
    <w:rsid w:val="002240AF"/>
    <w:rsid w:val="0022414E"/>
    <w:rsid w:val="00226359"/>
    <w:rsid w:val="002266DD"/>
    <w:rsid w:val="00227063"/>
    <w:rsid w:val="00227293"/>
    <w:rsid w:val="00227A36"/>
    <w:rsid w:val="00230A1C"/>
    <w:rsid w:val="0023275D"/>
    <w:rsid w:val="00232CF3"/>
    <w:rsid w:val="00234C56"/>
    <w:rsid w:val="002364AA"/>
    <w:rsid w:val="0023665C"/>
    <w:rsid w:val="00236B4C"/>
    <w:rsid w:val="00241223"/>
    <w:rsid w:val="00241941"/>
    <w:rsid w:val="0024349E"/>
    <w:rsid w:val="002435AF"/>
    <w:rsid w:val="00243B14"/>
    <w:rsid w:val="0024453A"/>
    <w:rsid w:val="002445A8"/>
    <w:rsid w:val="00244A97"/>
    <w:rsid w:val="00245FBD"/>
    <w:rsid w:val="002474A7"/>
    <w:rsid w:val="0025029C"/>
    <w:rsid w:val="00250C42"/>
    <w:rsid w:val="00252752"/>
    <w:rsid w:val="002531D8"/>
    <w:rsid w:val="0025321E"/>
    <w:rsid w:val="00253520"/>
    <w:rsid w:val="00254872"/>
    <w:rsid w:val="00254BCE"/>
    <w:rsid w:val="00255CD6"/>
    <w:rsid w:val="00256E12"/>
    <w:rsid w:val="00256FA0"/>
    <w:rsid w:val="0025796B"/>
    <w:rsid w:val="002609D0"/>
    <w:rsid w:val="0026107C"/>
    <w:rsid w:val="0026110C"/>
    <w:rsid w:val="002616BB"/>
    <w:rsid w:val="00261A09"/>
    <w:rsid w:val="00263503"/>
    <w:rsid w:val="00263535"/>
    <w:rsid w:val="00263B4F"/>
    <w:rsid w:val="00264B0C"/>
    <w:rsid w:val="00266FB0"/>
    <w:rsid w:val="0026763B"/>
    <w:rsid w:val="00267A91"/>
    <w:rsid w:val="002728AA"/>
    <w:rsid w:val="00272D85"/>
    <w:rsid w:val="002732D4"/>
    <w:rsid w:val="00275FEB"/>
    <w:rsid w:val="00276488"/>
    <w:rsid w:val="002777C6"/>
    <w:rsid w:val="00281712"/>
    <w:rsid w:val="00282B32"/>
    <w:rsid w:val="00283D06"/>
    <w:rsid w:val="00284347"/>
    <w:rsid w:val="0028456C"/>
    <w:rsid w:val="00284BB1"/>
    <w:rsid w:val="002860F9"/>
    <w:rsid w:val="002904B9"/>
    <w:rsid w:val="0029179F"/>
    <w:rsid w:val="0029250C"/>
    <w:rsid w:val="0029355F"/>
    <w:rsid w:val="002937B9"/>
    <w:rsid w:val="00295734"/>
    <w:rsid w:val="0029586F"/>
    <w:rsid w:val="00295CC7"/>
    <w:rsid w:val="002969BC"/>
    <w:rsid w:val="00297956"/>
    <w:rsid w:val="002A0C06"/>
    <w:rsid w:val="002A0D00"/>
    <w:rsid w:val="002A0E1D"/>
    <w:rsid w:val="002A1985"/>
    <w:rsid w:val="002A1A2A"/>
    <w:rsid w:val="002A3240"/>
    <w:rsid w:val="002A519B"/>
    <w:rsid w:val="002A5937"/>
    <w:rsid w:val="002B00FC"/>
    <w:rsid w:val="002B030A"/>
    <w:rsid w:val="002B0DB3"/>
    <w:rsid w:val="002B263B"/>
    <w:rsid w:val="002B2B4D"/>
    <w:rsid w:val="002B32B3"/>
    <w:rsid w:val="002B34F9"/>
    <w:rsid w:val="002B479C"/>
    <w:rsid w:val="002B4B1F"/>
    <w:rsid w:val="002B5029"/>
    <w:rsid w:val="002B67F5"/>
    <w:rsid w:val="002B6807"/>
    <w:rsid w:val="002B6AC5"/>
    <w:rsid w:val="002C012B"/>
    <w:rsid w:val="002C0276"/>
    <w:rsid w:val="002C0FB3"/>
    <w:rsid w:val="002C1B34"/>
    <w:rsid w:val="002C5A8E"/>
    <w:rsid w:val="002C6941"/>
    <w:rsid w:val="002C6CB3"/>
    <w:rsid w:val="002C6D19"/>
    <w:rsid w:val="002C6EAE"/>
    <w:rsid w:val="002C7275"/>
    <w:rsid w:val="002C77F1"/>
    <w:rsid w:val="002D03E4"/>
    <w:rsid w:val="002D21E6"/>
    <w:rsid w:val="002D40C0"/>
    <w:rsid w:val="002D5768"/>
    <w:rsid w:val="002D5A4D"/>
    <w:rsid w:val="002E0205"/>
    <w:rsid w:val="002E0564"/>
    <w:rsid w:val="002E117C"/>
    <w:rsid w:val="002E12EE"/>
    <w:rsid w:val="002E28C5"/>
    <w:rsid w:val="002E4C82"/>
    <w:rsid w:val="002E7F72"/>
    <w:rsid w:val="002F0B29"/>
    <w:rsid w:val="002F0E08"/>
    <w:rsid w:val="002F27DB"/>
    <w:rsid w:val="002F33D5"/>
    <w:rsid w:val="002F6873"/>
    <w:rsid w:val="00300787"/>
    <w:rsid w:val="0030090D"/>
    <w:rsid w:val="00301362"/>
    <w:rsid w:val="00302553"/>
    <w:rsid w:val="0030265E"/>
    <w:rsid w:val="00302C66"/>
    <w:rsid w:val="00303441"/>
    <w:rsid w:val="00304DC9"/>
    <w:rsid w:val="00304E54"/>
    <w:rsid w:val="003062DD"/>
    <w:rsid w:val="00307872"/>
    <w:rsid w:val="00307E51"/>
    <w:rsid w:val="0031188B"/>
    <w:rsid w:val="003124A4"/>
    <w:rsid w:val="00313700"/>
    <w:rsid w:val="0031464A"/>
    <w:rsid w:val="0031636A"/>
    <w:rsid w:val="00316C7E"/>
    <w:rsid w:val="0031791E"/>
    <w:rsid w:val="003203B6"/>
    <w:rsid w:val="0032063F"/>
    <w:rsid w:val="00322762"/>
    <w:rsid w:val="0032293C"/>
    <w:rsid w:val="0032305D"/>
    <w:rsid w:val="0032476B"/>
    <w:rsid w:val="00325829"/>
    <w:rsid w:val="00325CB3"/>
    <w:rsid w:val="003270B8"/>
    <w:rsid w:val="003274D4"/>
    <w:rsid w:val="00327DB5"/>
    <w:rsid w:val="00332A99"/>
    <w:rsid w:val="00332BAB"/>
    <w:rsid w:val="00333B10"/>
    <w:rsid w:val="00333B44"/>
    <w:rsid w:val="00334201"/>
    <w:rsid w:val="0033647A"/>
    <w:rsid w:val="00336FF8"/>
    <w:rsid w:val="0033752E"/>
    <w:rsid w:val="003378C0"/>
    <w:rsid w:val="00343112"/>
    <w:rsid w:val="003433F1"/>
    <w:rsid w:val="0034347E"/>
    <w:rsid w:val="00343BBE"/>
    <w:rsid w:val="00344D79"/>
    <w:rsid w:val="003462FD"/>
    <w:rsid w:val="00347D8F"/>
    <w:rsid w:val="003501BD"/>
    <w:rsid w:val="0035191C"/>
    <w:rsid w:val="00351EDE"/>
    <w:rsid w:val="0035316C"/>
    <w:rsid w:val="00353DEE"/>
    <w:rsid w:val="00354EF9"/>
    <w:rsid w:val="003557C2"/>
    <w:rsid w:val="0035659C"/>
    <w:rsid w:val="00356FFF"/>
    <w:rsid w:val="00357073"/>
    <w:rsid w:val="003572BD"/>
    <w:rsid w:val="00361957"/>
    <w:rsid w:val="003621A6"/>
    <w:rsid w:val="00363004"/>
    <w:rsid w:val="00363596"/>
    <w:rsid w:val="0036398E"/>
    <w:rsid w:val="00363CA7"/>
    <w:rsid w:val="003649E1"/>
    <w:rsid w:val="00364D12"/>
    <w:rsid w:val="0036576B"/>
    <w:rsid w:val="00365888"/>
    <w:rsid w:val="00370027"/>
    <w:rsid w:val="00370FBE"/>
    <w:rsid w:val="00371908"/>
    <w:rsid w:val="0037214C"/>
    <w:rsid w:val="0037264B"/>
    <w:rsid w:val="003733AB"/>
    <w:rsid w:val="00373637"/>
    <w:rsid w:val="00374503"/>
    <w:rsid w:val="0037499C"/>
    <w:rsid w:val="00375124"/>
    <w:rsid w:val="003761BC"/>
    <w:rsid w:val="00376697"/>
    <w:rsid w:val="00376EE5"/>
    <w:rsid w:val="00381058"/>
    <w:rsid w:val="00381C97"/>
    <w:rsid w:val="00382541"/>
    <w:rsid w:val="003836C0"/>
    <w:rsid w:val="00384003"/>
    <w:rsid w:val="00384C50"/>
    <w:rsid w:val="00385055"/>
    <w:rsid w:val="003855A6"/>
    <w:rsid w:val="00386358"/>
    <w:rsid w:val="00386B4C"/>
    <w:rsid w:val="00386DDF"/>
    <w:rsid w:val="00387178"/>
    <w:rsid w:val="003875F4"/>
    <w:rsid w:val="00390484"/>
    <w:rsid w:val="003909F3"/>
    <w:rsid w:val="00391615"/>
    <w:rsid w:val="00391768"/>
    <w:rsid w:val="00391CAB"/>
    <w:rsid w:val="00393BCF"/>
    <w:rsid w:val="0039420E"/>
    <w:rsid w:val="00394E4A"/>
    <w:rsid w:val="003953BA"/>
    <w:rsid w:val="00396316"/>
    <w:rsid w:val="003963F9"/>
    <w:rsid w:val="00396476"/>
    <w:rsid w:val="003A0B8C"/>
    <w:rsid w:val="003A1B54"/>
    <w:rsid w:val="003A1F0F"/>
    <w:rsid w:val="003A3A2C"/>
    <w:rsid w:val="003A6206"/>
    <w:rsid w:val="003A6DD4"/>
    <w:rsid w:val="003A7428"/>
    <w:rsid w:val="003A7706"/>
    <w:rsid w:val="003A7A3D"/>
    <w:rsid w:val="003A7C77"/>
    <w:rsid w:val="003A7FFC"/>
    <w:rsid w:val="003B185D"/>
    <w:rsid w:val="003B3E38"/>
    <w:rsid w:val="003B557F"/>
    <w:rsid w:val="003B56B5"/>
    <w:rsid w:val="003B5C53"/>
    <w:rsid w:val="003B626E"/>
    <w:rsid w:val="003B711F"/>
    <w:rsid w:val="003C0978"/>
    <w:rsid w:val="003C0DB6"/>
    <w:rsid w:val="003C15BA"/>
    <w:rsid w:val="003C2551"/>
    <w:rsid w:val="003C29BA"/>
    <w:rsid w:val="003D0A6E"/>
    <w:rsid w:val="003D1B0A"/>
    <w:rsid w:val="003D1E64"/>
    <w:rsid w:val="003D25A6"/>
    <w:rsid w:val="003D45A6"/>
    <w:rsid w:val="003D4B98"/>
    <w:rsid w:val="003D61D0"/>
    <w:rsid w:val="003D6DF7"/>
    <w:rsid w:val="003E1505"/>
    <w:rsid w:val="003E29DE"/>
    <w:rsid w:val="003E2E62"/>
    <w:rsid w:val="003E50EC"/>
    <w:rsid w:val="003E57ED"/>
    <w:rsid w:val="003E7136"/>
    <w:rsid w:val="003E79C3"/>
    <w:rsid w:val="003E7F79"/>
    <w:rsid w:val="003F0C9B"/>
    <w:rsid w:val="003F0D41"/>
    <w:rsid w:val="003F1282"/>
    <w:rsid w:val="003F23AC"/>
    <w:rsid w:val="003F309B"/>
    <w:rsid w:val="003F3230"/>
    <w:rsid w:val="003F4533"/>
    <w:rsid w:val="003F4C1F"/>
    <w:rsid w:val="003F52A8"/>
    <w:rsid w:val="003F61AD"/>
    <w:rsid w:val="003F7E61"/>
    <w:rsid w:val="00400062"/>
    <w:rsid w:val="00400D3B"/>
    <w:rsid w:val="004012C8"/>
    <w:rsid w:val="00402135"/>
    <w:rsid w:val="00402270"/>
    <w:rsid w:val="00405C3F"/>
    <w:rsid w:val="00405C53"/>
    <w:rsid w:val="004101D4"/>
    <w:rsid w:val="00413DF0"/>
    <w:rsid w:val="00414E49"/>
    <w:rsid w:val="00415737"/>
    <w:rsid w:val="00415ADC"/>
    <w:rsid w:val="00415C5E"/>
    <w:rsid w:val="00415EA3"/>
    <w:rsid w:val="00417B64"/>
    <w:rsid w:val="00417E3A"/>
    <w:rsid w:val="00420302"/>
    <w:rsid w:val="00421CA1"/>
    <w:rsid w:val="00421F8D"/>
    <w:rsid w:val="004220D9"/>
    <w:rsid w:val="00422978"/>
    <w:rsid w:val="004237CD"/>
    <w:rsid w:val="0042461C"/>
    <w:rsid w:val="00426EA7"/>
    <w:rsid w:val="004271ED"/>
    <w:rsid w:val="004301A7"/>
    <w:rsid w:val="00430242"/>
    <w:rsid w:val="004302BA"/>
    <w:rsid w:val="004314B5"/>
    <w:rsid w:val="00432CCE"/>
    <w:rsid w:val="004332A2"/>
    <w:rsid w:val="00434143"/>
    <w:rsid w:val="00434B14"/>
    <w:rsid w:val="004370F6"/>
    <w:rsid w:val="00437B27"/>
    <w:rsid w:val="0044330E"/>
    <w:rsid w:val="00443601"/>
    <w:rsid w:val="00443A8B"/>
    <w:rsid w:val="00443B5E"/>
    <w:rsid w:val="00443C36"/>
    <w:rsid w:val="00445395"/>
    <w:rsid w:val="00446F89"/>
    <w:rsid w:val="00447AB1"/>
    <w:rsid w:val="00451EA2"/>
    <w:rsid w:val="00452467"/>
    <w:rsid w:val="0045284B"/>
    <w:rsid w:val="0045581D"/>
    <w:rsid w:val="00456158"/>
    <w:rsid w:val="004571D5"/>
    <w:rsid w:val="0045735C"/>
    <w:rsid w:val="004607B7"/>
    <w:rsid w:val="00462226"/>
    <w:rsid w:val="0046357F"/>
    <w:rsid w:val="00464229"/>
    <w:rsid w:val="00464502"/>
    <w:rsid w:val="00464C03"/>
    <w:rsid w:val="00464E50"/>
    <w:rsid w:val="0046550E"/>
    <w:rsid w:val="004659C3"/>
    <w:rsid w:val="00465F2E"/>
    <w:rsid w:val="00466A42"/>
    <w:rsid w:val="00466BCC"/>
    <w:rsid w:val="0046752A"/>
    <w:rsid w:val="004675F7"/>
    <w:rsid w:val="00467690"/>
    <w:rsid w:val="00467FD4"/>
    <w:rsid w:val="0047155E"/>
    <w:rsid w:val="00471D0A"/>
    <w:rsid w:val="00471DD2"/>
    <w:rsid w:val="00471E2C"/>
    <w:rsid w:val="00472A55"/>
    <w:rsid w:val="004735E4"/>
    <w:rsid w:val="00474496"/>
    <w:rsid w:val="004746C4"/>
    <w:rsid w:val="00474A96"/>
    <w:rsid w:val="00474E2F"/>
    <w:rsid w:val="004752AA"/>
    <w:rsid w:val="00475906"/>
    <w:rsid w:val="00475A4B"/>
    <w:rsid w:val="00476A4A"/>
    <w:rsid w:val="00477E4B"/>
    <w:rsid w:val="0048056F"/>
    <w:rsid w:val="00480CB7"/>
    <w:rsid w:val="0048118D"/>
    <w:rsid w:val="00482BD9"/>
    <w:rsid w:val="004831E1"/>
    <w:rsid w:val="00484B23"/>
    <w:rsid w:val="004855B9"/>
    <w:rsid w:val="00485913"/>
    <w:rsid w:val="0048677C"/>
    <w:rsid w:val="00486B21"/>
    <w:rsid w:val="00486DDF"/>
    <w:rsid w:val="004877C7"/>
    <w:rsid w:val="00490934"/>
    <w:rsid w:val="00490B17"/>
    <w:rsid w:val="0049114C"/>
    <w:rsid w:val="00491312"/>
    <w:rsid w:val="00491DDD"/>
    <w:rsid w:val="00492E74"/>
    <w:rsid w:val="00492F78"/>
    <w:rsid w:val="00493C37"/>
    <w:rsid w:val="004945B9"/>
    <w:rsid w:val="004946AD"/>
    <w:rsid w:val="004947CC"/>
    <w:rsid w:val="00495093"/>
    <w:rsid w:val="0049688A"/>
    <w:rsid w:val="00497041"/>
    <w:rsid w:val="004A049D"/>
    <w:rsid w:val="004A10AC"/>
    <w:rsid w:val="004A1187"/>
    <w:rsid w:val="004A1DF8"/>
    <w:rsid w:val="004A21C6"/>
    <w:rsid w:val="004A25C8"/>
    <w:rsid w:val="004A34CA"/>
    <w:rsid w:val="004A38EF"/>
    <w:rsid w:val="004A4347"/>
    <w:rsid w:val="004A4948"/>
    <w:rsid w:val="004A62E4"/>
    <w:rsid w:val="004A68B4"/>
    <w:rsid w:val="004B0F75"/>
    <w:rsid w:val="004B11D6"/>
    <w:rsid w:val="004B12E7"/>
    <w:rsid w:val="004B1642"/>
    <w:rsid w:val="004B2101"/>
    <w:rsid w:val="004B2352"/>
    <w:rsid w:val="004B2E32"/>
    <w:rsid w:val="004B4938"/>
    <w:rsid w:val="004B4A27"/>
    <w:rsid w:val="004B4F88"/>
    <w:rsid w:val="004B555F"/>
    <w:rsid w:val="004B5812"/>
    <w:rsid w:val="004B5936"/>
    <w:rsid w:val="004B5A05"/>
    <w:rsid w:val="004B5BCC"/>
    <w:rsid w:val="004B603E"/>
    <w:rsid w:val="004B7330"/>
    <w:rsid w:val="004C0173"/>
    <w:rsid w:val="004C0375"/>
    <w:rsid w:val="004C04B1"/>
    <w:rsid w:val="004C0760"/>
    <w:rsid w:val="004C0E60"/>
    <w:rsid w:val="004C1881"/>
    <w:rsid w:val="004C1E95"/>
    <w:rsid w:val="004C2DA8"/>
    <w:rsid w:val="004C35FE"/>
    <w:rsid w:val="004C3F48"/>
    <w:rsid w:val="004C484A"/>
    <w:rsid w:val="004C4C0A"/>
    <w:rsid w:val="004C5A6D"/>
    <w:rsid w:val="004C5F62"/>
    <w:rsid w:val="004C5FBD"/>
    <w:rsid w:val="004C7B95"/>
    <w:rsid w:val="004D34D1"/>
    <w:rsid w:val="004D37E7"/>
    <w:rsid w:val="004D40AA"/>
    <w:rsid w:val="004D40B9"/>
    <w:rsid w:val="004D4AAF"/>
    <w:rsid w:val="004D54F7"/>
    <w:rsid w:val="004D5960"/>
    <w:rsid w:val="004D625D"/>
    <w:rsid w:val="004D75A9"/>
    <w:rsid w:val="004E0644"/>
    <w:rsid w:val="004E081B"/>
    <w:rsid w:val="004E0B09"/>
    <w:rsid w:val="004E0F04"/>
    <w:rsid w:val="004E2002"/>
    <w:rsid w:val="004E2383"/>
    <w:rsid w:val="004E2C31"/>
    <w:rsid w:val="004E43B3"/>
    <w:rsid w:val="004E44CA"/>
    <w:rsid w:val="004E4742"/>
    <w:rsid w:val="004E48B4"/>
    <w:rsid w:val="004E55C6"/>
    <w:rsid w:val="004E5A30"/>
    <w:rsid w:val="004E7395"/>
    <w:rsid w:val="004E7958"/>
    <w:rsid w:val="004E7A2D"/>
    <w:rsid w:val="004F1CDB"/>
    <w:rsid w:val="004F237D"/>
    <w:rsid w:val="004F3EC2"/>
    <w:rsid w:val="004F6165"/>
    <w:rsid w:val="004F66F4"/>
    <w:rsid w:val="004F7D5B"/>
    <w:rsid w:val="00500750"/>
    <w:rsid w:val="00500AE5"/>
    <w:rsid w:val="005028BF"/>
    <w:rsid w:val="00502D79"/>
    <w:rsid w:val="00504001"/>
    <w:rsid w:val="00504924"/>
    <w:rsid w:val="005055AF"/>
    <w:rsid w:val="00505A31"/>
    <w:rsid w:val="00505E8D"/>
    <w:rsid w:val="005061F8"/>
    <w:rsid w:val="0050678D"/>
    <w:rsid w:val="005075F1"/>
    <w:rsid w:val="0050790F"/>
    <w:rsid w:val="00507E2D"/>
    <w:rsid w:val="005102CD"/>
    <w:rsid w:val="005115EC"/>
    <w:rsid w:val="005125D4"/>
    <w:rsid w:val="0051271F"/>
    <w:rsid w:val="00512787"/>
    <w:rsid w:val="005132CE"/>
    <w:rsid w:val="00513C47"/>
    <w:rsid w:val="0051420F"/>
    <w:rsid w:val="00514DC9"/>
    <w:rsid w:val="00515782"/>
    <w:rsid w:val="00515F3E"/>
    <w:rsid w:val="0051695D"/>
    <w:rsid w:val="00516A7F"/>
    <w:rsid w:val="00520523"/>
    <w:rsid w:val="00523467"/>
    <w:rsid w:val="0052484D"/>
    <w:rsid w:val="005255BC"/>
    <w:rsid w:val="005257FF"/>
    <w:rsid w:val="00526CA0"/>
    <w:rsid w:val="00527CE3"/>
    <w:rsid w:val="0053037E"/>
    <w:rsid w:val="0053197E"/>
    <w:rsid w:val="0053201A"/>
    <w:rsid w:val="00532303"/>
    <w:rsid w:val="00533082"/>
    <w:rsid w:val="00533EBB"/>
    <w:rsid w:val="00534244"/>
    <w:rsid w:val="00534CDC"/>
    <w:rsid w:val="00534FB2"/>
    <w:rsid w:val="005354EC"/>
    <w:rsid w:val="0053601E"/>
    <w:rsid w:val="005361BD"/>
    <w:rsid w:val="005407DD"/>
    <w:rsid w:val="005409D5"/>
    <w:rsid w:val="00541A9C"/>
    <w:rsid w:val="00542132"/>
    <w:rsid w:val="00542B49"/>
    <w:rsid w:val="00542B4E"/>
    <w:rsid w:val="005443FA"/>
    <w:rsid w:val="00544F21"/>
    <w:rsid w:val="005457F9"/>
    <w:rsid w:val="00545A4B"/>
    <w:rsid w:val="00545AFB"/>
    <w:rsid w:val="0054619D"/>
    <w:rsid w:val="00546D92"/>
    <w:rsid w:val="00547088"/>
    <w:rsid w:val="0054721E"/>
    <w:rsid w:val="005473CE"/>
    <w:rsid w:val="005479EE"/>
    <w:rsid w:val="00550758"/>
    <w:rsid w:val="00550D52"/>
    <w:rsid w:val="00550E30"/>
    <w:rsid w:val="00551FFA"/>
    <w:rsid w:val="0055598A"/>
    <w:rsid w:val="00560336"/>
    <w:rsid w:val="00561362"/>
    <w:rsid w:val="00561ABA"/>
    <w:rsid w:val="0056240C"/>
    <w:rsid w:val="00564F18"/>
    <w:rsid w:val="0056638A"/>
    <w:rsid w:val="00566A85"/>
    <w:rsid w:val="0056747D"/>
    <w:rsid w:val="00570039"/>
    <w:rsid w:val="005704B6"/>
    <w:rsid w:val="00571081"/>
    <w:rsid w:val="00571934"/>
    <w:rsid w:val="005723FF"/>
    <w:rsid w:val="0057444E"/>
    <w:rsid w:val="00575744"/>
    <w:rsid w:val="00575C3F"/>
    <w:rsid w:val="005762EF"/>
    <w:rsid w:val="00576B66"/>
    <w:rsid w:val="0058109A"/>
    <w:rsid w:val="005821AC"/>
    <w:rsid w:val="00582A01"/>
    <w:rsid w:val="00583C86"/>
    <w:rsid w:val="00587DE9"/>
    <w:rsid w:val="00590BCB"/>
    <w:rsid w:val="00592108"/>
    <w:rsid w:val="00594736"/>
    <w:rsid w:val="00594CEA"/>
    <w:rsid w:val="0059679F"/>
    <w:rsid w:val="005969A4"/>
    <w:rsid w:val="00596D7D"/>
    <w:rsid w:val="00596EAF"/>
    <w:rsid w:val="005977EA"/>
    <w:rsid w:val="005A090C"/>
    <w:rsid w:val="005A2B1C"/>
    <w:rsid w:val="005A2B48"/>
    <w:rsid w:val="005A2CD7"/>
    <w:rsid w:val="005A4041"/>
    <w:rsid w:val="005A575F"/>
    <w:rsid w:val="005A6171"/>
    <w:rsid w:val="005A6F92"/>
    <w:rsid w:val="005A7A5B"/>
    <w:rsid w:val="005B0216"/>
    <w:rsid w:val="005B079A"/>
    <w:rsid w:val="005B0A73"/>
    <w:rsid w:val="005B1005"/>
    <w:rsid w:val="005B350C"/>
    <w:rsid w:val="005B3F94"/>
    <w:rsid w:val="005B4143"/>
    <w:rsid w:val="005B5BD7"/>
    <w:rsid w:val="005B5D65"/>
    <w:rsid w:val="005B6E6A"/>
    <w:rsid w:val="005C004B"/>
    <w:rsid w:val="005C0368"/>
    <w:rsid w:val="005C2C3B"/>
    <w:rsid w:val="005C2CD1"/>
    <w:rsid w:val="005C3932"/>
    <w:rsid w:val="005C3F1D"/>
    <w:rsid w:val="005C5602"/>
    <w:rsid w:val="005C6EA7"/>
    <w:rsid w:val="005C7F87"/>
    <w:rsid w:val="005D09EE"/>
    <w:rsid w:val="005D14E8"/>
    <w:rsid w:val="005D23A5"/>
    <w:rsid w:val="005D2515"/>
    <w:rsid w:val="005D2642"/>
    <w:rsid w:val="005D2F0A"/>
    <w:rsid w:val="005D341A"/>
    <w:rsid w:val="005D464E"/>
    <w:rsid w:val="005D6B1D"/>
    <w:rsid w:val="005DFC8C"/>
    <w:rsid w:val="005E01D9"/>
    <w:rsid w:val="005E06E5"/>
    <w:rsid w:val="005E10CF"/>
    <w:rsid w:val="005E263B"/>
    <w:rsid w:val="005E2821"/>
    <w:rsid w:val="005E28DD"/>
    <w:rsid w:val="005E3441"/>
    <w:rsid w:val="005E3FCB"/>
    <w:rsid w:val="005E6C0E"/>
    <w:rsid w:val="005E7BC0"/>
    <w:rsid w:val="005E7DB4"/>
    <w:rsid w:val="005F0007"/>
    <w:rsid w:val="005F04C8"/>
    <w:rsid w:val="005F18E7"/>
    <w:rsid w:val="005F226D"/>
    <w:rsid w:val="005F2851"/>
    <w:rsid w:val="005F3AE6"/>
    <w:rsid w:val="005F5B30"/>
    <w:rsid w:val="005F5B84"/>
    <w:rsid w:val="005F6E62"/>
    <w:rsid w:val="005F7637"/>
    <w:rsid w:val="00600BFC"/>
    <w:rsid w:val="00600F3D"/>
    <w:rsid w:val="00602017"/>
    <w:rsid w:val="00602383"/>
    <w:rsid w:val="00603DEB"/>
    <w:rsid w:val="00603FAB"/>
    <w:rsid w:val="006048CD"/>
    <w:rsid w:val="006059B1"/>
    <w:rsid w:val="00606442"/>
    <w:rsid w:val="00606F8E"/>
    <w:rsid w:val="00606FFB"/>
    <w:rsid w:val="006077F2"/>
    <w:rsid w:val="00610DFA"/>
    <w:rsid w:val="00611A17"/>
    <w:rsid w:val="00611AAE"/>
    <w:rsid w:val="006125E0"/>
    <w:rsid w:val="0061297A"/>
    <w:rsid w:val="00613856"/>
    <w:rsid w:val="00615B4D"/>
    <w:rsid w:val="00615F99"/>
    <w:rsid w:val="00616D8D"/>
    <w:rsid w:val="006174CF"/>
    <w:rsid w:val="0061784E"/>
    <w:rsid w:val="00617E4D"/>
    <w:rsid w:val="00617F8B"/>
    <w:rsid w:val="00617F9F"/>
    <w:rsid w:val="00621ACA"/>
    <w:rsid w:val="00622C65"/>
    <w:rsid w:val="0062371E"/>
    <w:rsid w:val="00623A38"/>
    <w:rsid w:val="00626303"/>
    <w:rsid w:val="006271FC"/>
    <w:rsid w:val="00627297"/>
    <w:rsid w:val="0062773F"/>
    <w:rsid w:val="00627F73"/>
    <w:rsid w:val="00630156"/>
    <w:rsid w:val="006310BC"/>
    <w:rsid w:val="00631313"/>
    <w:rsid w:val="00631D64"/>
    <w:rsid w:val="0063349C"/>
    <w:rsid w:val="00634920"/>
    <w:rsid w:val="0063575E"/>
    <w:rsid w:val="00636AA4"/>
    <w:rsid w:val="00636BC6"/>
    <w:rsid w:val="0063783C"/>
    <w:rsid w:val="00640D44"/>
    <w:rsid w:val="00641212"/>
    <w:rsid w:val="00641956"/>
    <w:rsid w:val="00641CC0"/>
    <w:rsid w:val="00642B65"/>
    <w:rsid w:val="00644C3A"/>
    <w:rsid w:val="00645220"/>
    <w:rsid w:val="00645548"/>
    <w:rsid w:val="006456D9"/>
    <w:rsid w:val="0064601C"/>
    <w:rsid w:val="006460A4"/>
    <w:rsid w:val="006462E0"/>
    <w:rsid w:val="006478B7"/>
    <w:rsid w:val="00647C05"/>
    <w:rsid w:val="00650D6C"/>
    <w:rsid w:val="006532D7"/>
    <w:rsid w:val="00653AB6"/>
    <w:rsid w:val="00653B3D"/>
    <w:rsid w:val="0065732A"/>
    <w:rsid w:val="006577AC"/>
    <w:rsid w:val="006610F7"/>
    <w:rsid w:val="006613CE"/>
    <w:rsid w:val="0066324D"/>
    <w:rsid w:val="006640A9"/>
    <w:rsid w:val="00664296"/>
    <w:rsid w:val="006644F1"/>
    <w:rsid w:val="00664BFF"/>
    <w:rsid w:val="00666D8E"/>
    <w:rsid w:val="00666DF5"/>
    <w:rsid w:val="006671EC"/>
    <w:rsid w:val="00667279"/>
    <w:rsid w:val="006673EA"/>
    <w:rsid w:val="00667EFB"/>
    <w:rsid w:val="00670751"/>
    <w:rsid w:val="00670EEB"/>
    <w:rsid w:val="006710A1"/>
    <w:rsid w:val="006713A3"/>
    <w:rsid w:val="00671EE8"/>
    <w:rsid w:val="00672046"/>
    <w:rsid w:val="00672519"/>
    <w:rsid w:val="00673506"/>
    <w:rsid w:val="00673829"/>
    <w:rsid w:val="00673EE1"/>
    <w:rsid w:val="006744BF"/>
    <w:rsid w:val="00674C64"/>
    <w:rsid w:val="006762C3"/>
    <w:rsid w:val="00676E9D"/>
    <w:rsid w:val="006777F1"/>
    <w:rsid w:val="00677ABF"/>
    <w:rsid w:val="00681181"/>
    <w:rsid w:val="00682A91"/>
    <w:rsid w:val="00682D17"/>
    <w:rsid w:val="00684163"/>
    <w:rsid w:val="006853F3"/>
    <w:rsid w:val="0068718D"/>
    <w:rsid w:val="006879FE"/>
    <w:rsid w:val="00687B9B"/>
    <w:rsid w:val="00691662"/>
    <w:rsid w:val="0069173D"/>
    <w:rsid w:val="00691EF7"/>
    <w:rsid w:val="00691F04"/>
    <w:rsid w:val="00692DB9"/>
    <w:rsid w:val="006939EE"/>
    <w:rsid w:val="00693EC4"/>
    <w:rsid w:val="006943B9"/>
    <w:rsid w:val="006955F5"/>
    <w:rsid w:val="00696B56"/>
    <w:rsid w:val="00696B9A"/>
    <w:rsid w:val="00696BC1"/>
    <w:rsid w:val="00696E28"/>
    <w:rsid w:val="00697E02"/>
    <w:rsid w:val="006A025A"/>
    <w:rsid w:val="006A0F8B"/>
    <w:rsid w:val="006A1060"/>
    <w:rsid w:val="006A145C"/>
    <w:rsid w:val="006A24E8"/>
    <w:rsid w:val="006A39B7"/>
    <w:rsid w:val="006A3AED"/>
    <w:rsid w:val="006A46F3"/>
    <w:rsid w:val="006A50E1"/>
    <w:rsid w:val="006A5F68"/>
    <w:rsid w:val="006A625C"/>
    <w:rsid w:val="006A7D55"/>
    <w:rsid w:val="006B0B42"/>
    <w:rsid w:val="006B2A34"/>
    <w:rsid w:val="006B359B"/>
    <w:rsid w:val="006B39C2"/>
    <w:rsid w:val="006B47FE"/>
    <w:rsid w:val="006B5958"/>
    <w:rsid w:val="006B5C81"/>
    <w:rsid w:val="006B67B5"/>
    <w:rsid w:val="006B6F96"/>
    <w:rsid w:val="006B7040"/>
    <w:rsid w:val="006B763B"/>
    <w:rsid w:val="006C177F"/>
    <w:rsid w:val="006C2282"/>
    <w:rsid w:val="006C2FDC"/>
    <w:rsid w:val="006C374D"/>
    <w:rsid w:val="006C440F"/>
    <w:rsid w:val="006C5011"/>
    <w:rsid w:val="006C5827"/>
    <w:rsid w:val="006C644B"/>
    <w:rsid w:val="006C6F7D"/>
    <w:rsid w:val="006D01F8"/>
    <w:rsid w:val="006D11F3"/>
    <w:rsid w:val="006D1477"/>
    <w:rsid w:val="006D14F7"/>
    <w:rsid w:val="006D1CFD"/>
    <w:rsid w:val="006D1F2A"/>
    <w:rsid w:val="006D2711"/>
    <w:rsid w:val="006D2E2B"/>
    <w:rsid w:val="006D312E"/>
    <w:rsid w:val="006D3501"/>
    <w:rsid w:val="006D3B7A"/>
    <w:rsid w:val="006D4C49"/>
    <w:rsid w:val="006D5C00"/>
    <w:rsid w:val="006D5F72"/>
    <w:rsid w:val="006D724B"/>
    <w:rsid w:val="006E0BF5"/>
    <w:rsid w:val="006E1270"/>
    <w:rsid w:val="006E153D"/>
    <w:rsid w:val="006E1650"/>
    <w:rsid w:val="006E1BA4"/>
    <w:rsid w:val="006E25C6"/>
    <w:rsid w:val="006E3266"/>
    <w:rsid w:val="006E3630"/>
    <w:rsid w:val="006E4224"/>
    <w:rsid w:val="006E5076"/>
    <w:rsid w:val="006E5543"/>
    <w:rsid w:val="006E5E98"/>
    <w:rsid w:val="006F051E"/>
    <w:rsid w:val="006F0FBC"/>
    <w:rsid w:val="006F174E"/>
    <w:rsid w:val="006F1D48"/>
    <w:rsid w:val="006F2A11"/>
    <w:rsid w:val="006F3A1B"/>
    <w:rsid w:val="006F3A5A"/>
    <w:rsid w:val="006F566A"/>
    <w:rsid w:val="006F6654"/>
    <w:rsid w:val="006F6F9E"/>
    <w:rsid w:val="006F7ABD"/>
    <w:rsid w:val="00700A33"/>
    <w:rsid w:val="007012DC"/>
    <w:rsid w:val="0070154B"/>
    <w:rsid w:val="007016A2"/>
    <w:rsid w:val="00703CC0"/>
    <w:rsid w:val="007041A5"/>
    <w:rsid w:val="00705D56"/>
    <w:rsid w:val="00707639"/>
    <w:rsid w:val="00713047"/>
    <w:rsid w:val="00713443"/>
    <w:rsid w:val="00713CB9"/>
    <w:rsid w:val="007143BF"/>
    <w:rsid w:val="00714A7A"/>
    <w:rsid w:val="00716105"/>
    <w:rsid w:val="00716BA3"/>
    <w:rsid w:val="0071726E"/>
    <w:rsid w:val="007178C5"/>
    <w:rsid w:val="00720618"/>
    <w:rsid w:val="00720FB3"/>
    <w:rsid w:val="00721061"/>
    <w:rsid w:val="007213D5"/>
    <w:rsid w:val="007219A7"/>
    <w:rsid w:val="00721A86"/>
    <w:rsid w:val="00722A2B"/>
    <w:rsid w:val="00722A58"/>
    <w:rsid w:val="00723194"/>
    <w:rsid w:val="007241D5"/>
    <w:rsid w:val="00724885"/>
    <w:rsid w:val="007262A4"/>
    <w:rsid w:val="007263BC"/>
    <w:rsid w:val="00727771"/>
    <w:rsid w:val="00727D66"/>
    <w:rsid w:val="00730382"/>
    <w:rsid w:val="007304FF"/>
    <w:rsid w:val="00730CED"/>
    <w:rsid w:val="00731AA4"/>
    <w:rsid w:val="0073227A"/>
    <w:rsid w:val="007326F9"/>
    <w:rsid w:val="00732A2A"/>
    <w:rsid w:val="00733338"/>
    <w:rsid w:val="007334AB"/>
    <w:rsid w:val="007344F9"/>
    <w:rsid w:val="0073454D"/>
    <w:rsid w:val="007346CE"/>
    <w:rsid w:val="007361F3"/>
    <w:rsid w:val="007367FD"/>
    <w:rsid w:val="00736887"/>
    <w:rsid w:val="00737A86"/>
    <w:rsid w:val="00737E6A"/>
    <w:rsid w:val="00740514"/>
    <w:rsid w:val="007405C9"/>
    <w:rsid w:val="00740E87"/>
    <w:rsid w:val="0074136D"/>
    <w:rsid w:val="007416D2"/>
    <w:rsid w:val="00741922"/>
    <w:rsid w:val="00742E36"/>
    <w:rsid w:val="00744601"/>
    <w:rsid w:val="00745C30"/>
    <w:rsid w:val="00746FF2"/>
    <w:rsid w:val="00750199"/>
    <w:rsid w:val="007522BB"/>
    <w:rsid w:val="00752BA6"/>
    <w:rsid w:val="00753294"/>
    <w:rsid w:val="00753C50"/>
    <w:rsid w:val="00755A63"/>
    <w:rsid w:val="00756C02"/>
    <w:rsid w:val="00757A6E"/>
    <w:rsid w:val="007600E9"/>
    <w:rsid w:val="0076022C"/>
    <w:rsid w:val="007605E0"/>
    <w:rsid w:val="00760DFD"/>
    <w:rsid w:val="007621A7"/>
    <w:rsid w:val="007632C4"/>
    <w:rsid w:val="00765B83"/>
    <w:rsid w:val="0076622F"/>
    <w:rsid w:val="00766376"/>
    <w:rsid w:val="007673A6"/>
    <w:rsid w:val="00767932"/>
    <w:rsid w:val="0076795D"/>
    <w:rsid w:val="0077044C"/>
    <w:rsid w:val="00770D15"/>
    <w:rsid w:val="007727DC"/>
    <w:rsid w:val="00774348"/>
    <w:rsid w:val="00776C9F"/>
    <w:rsid w:val="0077789E"/>
    <w:rsid w:val="00777AC3"/>
    <w:rsid w:val="007819E4"/>
    <w:rsid w:val="00781D30"/>
    <w:rsid w:val="007820AD"/>
    <w:rsid w:val="007826B5"/>
    <w:rsid w:val="007831DE"/>
    <w:rsid w:val="007835F9"/>
    <w:rsid w:val="00783DDF"/>
    <w:rsid w:val="0078417B"/>
    <w:rsid w:val="007843E3"/>
    <w:rsid w:val="0078487A"/>
    <w:rsid w:val="00784DF8"/>
    <w:rsid w:val="007854D6"/>
    <w:rsid w:val="00785634"/>
    <w:rsid w:val="00786E9F"/>
    <w:rsid w:val="00787BC4"/>
    <w:rsid w:val="00790394"/>
    <w:rsid w:val="00790F7C"/>
    <w:rsid w:val="00791958"/>
    <w:rsid w:val="0079365E"/>
    <w:rsid w:val="00793C04"/>
    <w:rsid w:val="007963E6"/>
    <w:rsid w:val="00796980"/>
    <w:rsid w:val="00796C1B"/>
    <w:rsid w:val="007A086A"/>
    <w:rsid w:val="007A08C4"/>
    <w:rsid w:val="007A1928"/>
    <w:rsid w:val="007A2E81"/>
    <w:rsid w:val="007A3124"/>
    <w:rsid w:val="007A4411"/>
    <w:rsid w:val="007A56B1"/>
    <w:rsid w:val="007A5B06"/>
    <w:rsid w:val="007A5E60"/>
    <w:rsid w:val="007A5EE0"/>
    <w:rsid w:val="007A61BA"/>
    <w:rsid w:val="007A6326"/>
    <w:rsid w:val="007A7838"/>
    <w:rsid w:val="007B0B11"/>
    <w:rsid w:val="007B152E"/>
    <w:rsid w:val="007B181D"/>
    <w:rsid w:val="007B1B27"/>
    <w:rsid w:val="007B25B1"/>
    <w:rsid w:val="007B2DF8"/>
    <w:rsid w:val="007B3F0A"/>
    <w:rsid w:val="007B409A"/>
    <w:rsid w:val="007B4548"/>
    <w:rsid w:val="007B46DF"/>
    <w:rsid w:val="007B492F"/>
    <w:rsid w:val="007B520E"/>
    <w:rsid w:val="007B56E6"/>
    <w:rsid w:val="007B5A50"/>
    <w:rsid w:val="007B6943"/>
    <w:rsid w:val="007B6DFA"/>
    <w:rsid w:val="007B74AE"/>
    <w:rsid w:val="007B776E"/>
    <w:rsid w:val="007B7CA8"/>
    <w:rsid w:val="007C2FB2"/>
    <w:rsid w:val="007C3DB9"/>
    <w:rsid w:val="007C4BDC"/>
    <w:rsid w:val="007C5F6D"/>
    <w:rsid w:val="007C6B54"/>
    <w:rsid w:val="007D084A"/>
    <w:rsid w:val="007D0A7D"/>
    <w:rsid w:val="007D0EAB"/>
    <w:rsid w:val="007D37D5"/>
    <w:rsid w:val="007D3B60"/>
    <w:rsid w:val="007D3C8B"/>
    <w:rsid w:val="007D556F"/>
    <w:rsid w:val="007D7A93"/>
    <w:rsid w:val="007E0347"/>
    <w:rsid w:val="007E0491"/>
    <w:rsid w:val="007E1943"/>
    <w:rsid w:val="007E1AC2"/>
    <w:rsid w:val="007E281F"/>
    <w:rsid w:val="007E2D3D"/>
    <w:rsid w:val="007E30E4"/>
    <w:rsid w:val="007E31DF"/>
    <w:rsid w:val="007E3692"/>
    <w:rsid w:val="007E44BE"/>
    <w:rsid w:val="007E4CE5"/>
    <w:rsid w:val="007E51DD"/>
    <w:rsid w:val="007E66A4"/>
    <w:rsid w:val="007E6802"/>
    <w:rsid w:val="007F0190"/>
    <w:rsid w:val="007F2169"/>
    <w:rsid w:val="007F2D5D"/>
    <w:rsid w:val="007F3B05"/>
    <w:rsid w:val="007F3B77"/>
    <w:rsid w:val="007F3BCA"/>
    <w:rsid w:val="007F459B"/>
    <w:rsid w:val="007F6C26"/>
    <w:rsid w:val="007F7A40"/>
    <w:rsid w:val="007F7B4F"/>
    <w:rsid w:val="00800578"/>
    <w:rsid w:val="00800848"/>
    <w:rsid w:val="00800E90"/>
    <w:rsid w:val="008029B2"/>
    <w:rsid w:val="008034D3"/>
    <w:rsid w:val="008038B3"/>
    <w:rsid w:val="00803B68"/>
    <w:rsid w:val="00804DEA"/>
    <w:rsid w:val="00806CC2"/>
    <w:rsid w:val="00807494"/>
    <w:rsid w:val="00807FC3"/>
    <w:rsid w:val="008109E8"/>
    <w:rsid w:val="0081100A"/>
    <w:rsid w:val="00811B71"/>
    <w:rsid w:val="00811D38"/>
    <w:rsid w:val="00812FE8"/>
    <w:rsid w:val="0081424E"/>
    <w:rsid w:val="00814577"/>
    <w:rsid w:val="00814C58"/>
    <w:rsid w:val="00814D7A"/>
    <w:rsid w:val="00814DD6"/>
    <w:rsid w:val="00814F65"/>
    <w:rsid w:val="00814FD8"/>
    <w:rsid w:val="00815241"/>
    <w:rsid w:val="008152DA"/>
    <w:rsid w:val="008157F0"/>
    <w:rsid w:val="00820497"/>
    <w:rsid w:val="008208DA"/>
    <w:rsid w:val="00821AC4"/>
    <w:rsid w:val="00821E6D"/>
    <w:rsid w:val="0082260C"/>
    <w:rsid w:val="00823EB1"/>
    <w:rsid w:val="00824448"/>
    <w:rsid w:val="00824CDA"/>
    <w:rsid w:val="00825270"/>
    <w:rsid w:val="00826237"/>
    <w:rsid w:val="00826BEC"/>
    <w:rsid w:val="0082714C"/>
    <w:rsid w:val="00827E12"/>
    <w:rsid w:val="0083094A"/>
    <w:rsid w:val="00831062"/>
    <w:rsid w:val="00831B55"/>
    <w:rsid w:val="00833F28"/>
    <w:rsid w:val="00834D74"/>
    <w:rsid w:val="00834F41"/>
    <w:rsid w:val="0083558A"/>
    <w:rsid w:val="008356A9"/>
    <w:rsid w:val="00836616"/>
    <w:rsid w:val="00836973"/>
    <w:rsid w:val="00836E2E"/>
    <w:rsid w:val="0083751F"/>
    <w:rsid w:val="008405E6"/>
    <w:rsid w:val="00840C46"/>
    <w:rsid w:val="008417A4"/>
    <w:rsid w:val="008426DD"/>
    <w:rsid w:val="00842A25"/>
    <w:rsid w:val="00843198"/>
    <w:rsid w:val="00843B55"/>
    <w:rsid w:val="00845226"/>
    <w:rsid w:val="00845466"/>
    <w:rsid w:val="00845B08"/>
    <w:rsid w:val="00845B3C"/>
    <w:rsid w:val="00845BE1"/>
    <w:rsid w:val="008463C8"/>
    <w:rsid w:val="00847A3A"/>
    <w:rsid w:val="00852724"/>
    <w:rsid w:val="00852AFA"/>
    <w:rsid w:val="00853BD9"/>
    <w:rsid w:val="00854050"/>
    <w:rsid w:val="008545D7"/>
    <w:rsid w:val="00854FC5"/>
    <w:rsid w:val="00856461"/>
    <w:rsid w:val="008566E6"/>
    <w:rsid w:val="008569E0"/>
    <w:rsid w:val="00856AAA"/>
    <w:rsid w:val="00860C25"/>
    <w:rsid w:val="0086172D"/>
    <w:rsid w:val="00864E0F"/>
    <w:rsid w:val="00867B84"/>
    <w:rsid w:val="00867C80"/>
    <w:rsid w:val="0087060E"/>
    <w:rsid w:val="0087069A"/>
    <w:rsid w:val="00871D8D"/>
    <w:rsid w:val="0087277E"/>
    <w:rsid w:val="00872B09"/>
    <w:rsid w:val="00873745"/>
    <w:rsid w:val="00873D0B"/>
    <w:rsid w:val="008744D8"/>
    <w:rsid w:val="008746FF"/>
    <w:rsid w:val="0088058A"/>
    <w:rsid w:val="00880BD2"/>
    <w:rsid w:val="008819F3"/>
    <w:rsid w:val="00881A2A"/>
    <w:rsid w:val="00884054"/>
    <w:rsid w:val="00884A7D"/>
    <w:rsid w:val="0088512E"/>
    <w:rsid w:val="008865B9"/>
    <w:rsid w:val="00886B0D"/>
    <w:rsid w:val="008905AE"/>
    <w:rsid w:val="00890A8E"/>
    <w:rsid w:val="00892C94"/>
    <w:rsid w:val="00892CEC"/>
    <w:rsid w:val="00893A7B"/>
    <w:rsid w:val="0089479F"/>
    <w:rsid w:val="00894A61"/>
    <w:rsid w:val="00895C04"/>
    <w:rsid w:val="008973A9"/>
    <w:rsid w:val="0089760C"/>
    <w:rsid w:val="00897669"/>
    <w:rsid w:val="008976D0"/>
    <w:rsid w:val="00897C35"/>
    <w:rsid w:val="008A0295"/>
    <w:rsid w:val="008A1EF2"/>
    <w:rsid w:val="008A214E"/>
    <w:rsid w:val="008A43A0"/>
    <w:rsid w:val="008A44B5"/>
    <w:rsid w:val="008A450F"/>
    <w:rsid w:val="008A4A95"/>
    <w:rsid w:val="008A4C3C"/>
    <w:rsid w:val="008A5D1A"/>
    <w:rsid w:val="008A6C56"/>
    <w:rsid w:val="008A7517"/>
    <w:rsid w:val="008A7945"/>
    <w:rsid w:val="008B00A8"/>
    <w:rsid w:val="008B06DD"/>
    <w:rsid w:val="008B25C0"/>
    <w:rsid w:val="008B35DC"/>
    <w:rsid w:val="008B3912"/>
    <w:rsid w:val="008B39F0"/>
    <w:rsid w:val="008B3EFF"/>
    <w:rsid w:val="008B427D"/>
    <w:rsid w:val="008B46AC"/>
    <w:rsid w:val="008B5796"/>
    <w:rsid w:val="008B5884"/>
    <w:rsid w:val="008B662C"/>
    <w:rsid w:val="008C0906"/>
    <w:rsid w:val="008C09A2"/>
    <w:rsid w:val="008C0C33"/>
    <w:rsid w:val="008C2726"/>
    <w:rsid w:val="008C2A19"/>
    <w:rsid w:val="008C330F"/>
    <w:rsid w:val="008C36C9"/>
    <w:rsid w:val="008C38AC"/>
    <w:rsid w:val="008C3B15"/>
    <w:rsid w:val="008C573E"/>
    <w:rsid w:val="008C6108"/>
    <w:rsid w:val="008C6C2A"/>
    <w:rsid w:val="008C6EFB"/>
    <w:rsid w:val="008D026B"/>
    <w:rsid w:val="008D05DF"/>
    <w:rsid w:val="008D2A94"/>
    <w:rsid w:val="008D2D3A"/>
    <w:rsid w:val="008D32E9"/>
    <w:rsid w:val="008D3D14"/>
    <w:rsid w:val="008D4340"/>
    <w:rsid w:val="008D5521"/>
    <w:rsid w:val="008D5C4D"/>
    <w:rsid w:val="008D703B"/>
    <w:rsid w:val="008E0CAE"/>
    <w:rsid w:val="008E17F7"/>
    <w:rsid w:val="008E38C8"/>
    <w:rsid w:val="008E3D60"/>
    <w:rsid w:val="008E5B5D"/>
    <w:rsid w:val="008E6C6F"/>
    <w:rsid w:val="008E71C6"/>
    <w:rsid w:val="008E738E"/>
    <w:rsid w:val="008E7529"/>
    <w:rsid w:val="008F0015"/>
    <w:rsid w:val="008F0FBD"/>
    <w:rsid w:val="008F276D"/>
    <w:rsid w:val="008F3D99"/>
    <w:rsid w:val="008F4076"/>
    <w:rsid w:val="008F4A2D"/>
    <w:rsid w:val="008F4FE6"/>
    <w:rsid w:val="008F56B5"/>
    <w:rsid w:val="008F56FC"/>
    <w:rsid w:val="008F7E55"/>
    <w:rsid w:val="00901745"/>
    <w:rsid w:val="009036FD"/>
    <w:rsid w:val="009040BB"/>
    <w:rsid w:val="00904656"/>
    <w:rsid w:val="00904A68"/>
    <w:rsid w:val="00904E45"/>
    <w:rsid w:val="00905EA4"/>
    <w:rsid w:val="009071E1"/>
    <w:rsid w:val="00910204"/>
    <w:rsid w:val="00911E4F"/>
    <w:rsid w:val="00912338"/>
    <w:rsid w:val="00913159"/>
    <w:rsid w:val="00913C0E"/>
    <w:rsid w:val="009154A6"/>
    <w:rsid w:val="009170E0"/>
    <w:rsid w:val="00917628"/>
    <w:rsid w:val="009204E9"/>
    <w:rsid w:val="00920540"/>
    <w:rsid w:val="00923BB7"/>
    <w:rsid w:val="00923CD8"/>
    <w:rsid w:val="00923E77"/>
    <w:rsid w:val="0093087E"/>
    <w:rsid w:val="00931DE1"/>
    <w:rsid w:val="0093264F"/>
    <w:rsid w:val="00935DEB"/>
    <w:rsid w:val="009369F2"/>
    <w:rsid w:val="00941992"/>
    <w:rsid w:val="00941F27"/>
    <w:rsid w:val="009436F3"/>
    <w:rsid w:val="009440EB"/>
    <w:rsid w:val="00945C09"/>
    <w:rsid w:val="00946D85"/>
    <w:rsid w:val="0095011C"/>
    <w:rsid w:val="009505B3"/>
    <w:rsid w:val="009513D5"/>
    <w:rsid w:val="0095168C"/>
    <w:rsid w:val="00951B80"/>
    <w:rsid w:val="00951C9F"/>
    <w:rsid w:val="009528EB"/>
    <w:rsid w:val="009539E2"/>
    <w:rsid w:val="009541A6"/>
    <w:rsid w:val="009554CC"/>
    <w:rsid w:val="0095573D"/>
    <w:rsid w:val="00955D68"/>
    <w:rsid w:val="00956F54"/>
    <w:rsid w:val="009574CD"/>
    <w:rsid w:val="009574E1"/>
    <w:rsid w:val="00957B4A"/>
    <w:rsid w:val="00957D6C"/>
    <w:rsid w:val="00960FD5"/>
    <w:rsid w:val="00961467"/>
    <w:rsid w:val="00962079"/>
    <w:rsid w:val="00962692"/>
    <w:rsid w:val="00962A97"/>
    <w:rsid w:val="009638AD"/>
    <w:rsid w:val="00965B96"/>
    <w:rsid w:val="00966440"/>
    <w:rsid w:val="00966D19"/>
    <w:rsid w:val="009677EB"/>
    <w:rsid w:val="00970655"/>
    <w:rsid w:val="00971964"/>
    <w:rsid w:val="009723EA"/>
    <w:rsid w:val="00972A6A"/>
    <w:rsid w:val="00972B24"/>
    <w:rsid w:val="009735BC"/>
    <w:rsid w:val="009744F4"/>
    <w:rsid w:val="00974C5C"/>
    <w:rsid w:val="009751DE"/>
    <w:rsid w:val="009759B6"/>
    <w:rsid w:val="00976C78"/>
    <w:rsid w:val="00976D37"/>
    <w:rsid w:val="00977BA7"/>
    <w:rsid w:val="00977DF5"/>
    <w:rsid w:val="00981148"/>
    <w:rsid w:val="00981BD8"/>
    <w:rsid w:val="009828B6"/>
    <w:rsid w:val="00984446"/>
    <w:rsid w:val="009844FE"/>
    <w:rsid w:val="0098750E"/>
    <w:rsid w:val="00987D77"/>
    <w:rsid w:val="009918D6"/>
    <w:rsid w:val="0099286C"/>
    <w:rsid w:val="00992D21"/>
    <w:rsid w:val="00994077"/>
    <w:rsid w:val="009940E4"/>
    <w:rsid w:val="00994339"/>
    <w:rsid w:val="00994FD6"/>
    <w:rsid w:val="009950AB"/>
    <w:rsid w:val="0099644E"/>
    <w:rsid w:val="009967CB"/>
    <w:rsid w:val="00996964"/>
    <w:rsid w:val="009971C3"/>
    <w:rsid w:val="009979BA"/>
    <w:rsid w:val="009A122D"/>
    <w:rsid w:val="009A1504"/>
    <w:rsid w:val="009A1B58"/>
    <w:rsid w:val="009A3037"/>
    <w:rsid w:val="009A347E"/>
    <w:rsid w:val="009A517E"/>
    <w:rsid w:val="009A52C2"/>
    <w:rsid w:val="009A5C95"/>
    <w:rsid w:val="009A657B"/>
    <w:rsid w:val="009A676B"/>
    <w:rsid w:val="009A734F"/>
    <w:rsid w:val="009B03D0"/>
    <w:rsid w:val="009B0495"/>
    <w:rsid w:val="009B16AA"/>
    <w:rsid w:val="009B24F5"/>
    <w:rsid w:val="009B3D63"/>
    <w:rsid w:val="009B4228"/>
    <w:rsid w:val="009B57B7"/>
    <w:rsid w:val="009B5C69"/>
    <w:rsid w:val="009B6B0F"/>
    <w:rsid w:val="009C0DA7"/>
    <w:rsid w:val="009C1F4E"/>
    <w:rsid w:val="009C2CF2"/>
    <w:rsid w:val="009C329D"/>
    <w:rsid w:val="009C41C9"/>
    <w:rsid w:val="009C48BF"/>
    <w:rsid w:val="009C4DF9"/>
    <w:rsid w:val="009C6159"/>
    <w:rsid w:val="009C6657"/>
    <w:rsid w:val="009C6739"/>
    <w:rsid w:val="009C7D47"/>
    <w:rsid w:val="009C7D53"/>
    <w:rsid w:val="009D15AB"/>
    <w:rsid w:val="009D23F0"/>
    <w:rsid w:val="009D3391"/>
    <w:rsid w:val="009D364E"/>
    <w:rsid w:val="009D585B"/>
    <w:rsid w:val="009D63AA"/>
    <w:rsid w:val="009D70A0"/>
    <w:rsid w:val="009D756F"/>
    <w:rsid w:val="009D7E03"/>
    <w:rsid w:val="009E0903"/>
    <w:rsid w:val="009E092E"/>
    <w:rsid w:val="009E27EE"/>
    <w:rsid w:val="009E6C02"/>
    <w:rsid w:val="009E6E55"/>
    <w:rsid w:val="009E6F06"/>
    <w:rsid w:val="009E7181"/>
    <w:rsid w:val="009F0142"/>
    <w:rsid w:val="009F20B9"/>
    <w:rsid w:val="009F2156"/>
    <w:rsid w:val="009F4041"/>
    <w:rsid w:val="009F4385"/>
    <w:rsid w:val="009F4569"/>
    <w:rsid w:val="009F46CD"/>
    <w:rsid w:val="009F4796"/>
    <w:rsid w:val="009F66A2"/>
    <w:rsid w:val="009F6D7E"/>
    <w:rsid w:val="009F7C62"/>
    <w:rsid w:val="00A006A3"/>
    <w:rsid w:val="00A00E06"/>
    <w:rsid w:val="00A015C6"/>
    <w:rsid w:val="00A01DE9"/>
    <w:rsid w:val="00A02DEE"/>
    <w:rsid w:val="00A03749"/>
    <w:rsid w:val="00A03A00"/>
    <w:rsid w:val="00A047FE"/>
    <w:rsid w:val="00A05534"/>
    <w:rsid w:val="00A05928"/>
    <w:rsid w:val="00A05BA9"/>
    <w:rsid w:val="00A07C5A"/>
    <w:rsid w:val="00A07D6F"/>
    <w:rsid w:val="00A11252"/>
    <w:rsid w:val="00A11ADA"/>
    <w:rsid w:val="00A12496"/>
    <w:rsid w:val="00A154E5"/>
    <w:rsid w:val="00A15793"/>
    <w:rsid w:val="00A15AA7"/>
    <w:rsid w:val="00A15ED2"/>
    <w:rsid w:val="00A169E9"/>
    <w:rsid w:val="00A170E0"/>
    <w:rsid w:val="00A200EA"/>
    <w:rsid w:val="00A20977"/>
    <w:rsid w:val="00A22FD5"/>
    <w:rsid w:val="00A231E2"/>
    <w:rsid w:val="00A2457A"/>
    <w:rsid w:val="00A247DC"/>
    <w:rsid w:val="00A26F93"/>
    <w:rsid w:val="00A276D4"/>
    <w:rsid w:val="00A27AD5"/>
    <w:rsid w:val="00A30617"/>
    <w:rsid w:val="00A3079E"/>
    <w:rsid w:val="00A3107C"/>
    <w:rsid w:val="00A317AE"/>
    <w:rsid w:val="00A319BD"/>
    <w:rsid w:val="00A31B0F"/>
    <w:rsid w:val="00A31EC3"/>
    <w:rsid w:val="00A326E4"/>
    <w:rsid w:val="00A32AD3"/>
    <w:rsid w:val="00A32E04"/>
    <w:rsid w:val="00A32EC5"/>
    <w:rsid w:val="00A342B1"/>
    <w:rsid w:val="00A35925"/>
    <w:rsid w:val="00A35CBA"/>
    <w:rsid w:val="00A35EA1"/>
    <w:rsid w:val="00A36169"/>
    <w:rsid w:val="00A36898"/>
    <w:rsid w:val="00A404CD"/>
    <w:rsid w:val="00A408AA"/>
    <w:rsid w:val="00A40D36"/>
    <w:rsid w:val="00A411E4"/>
    <w:rsid w:val="00A426B4"/>
    <w:rsid w:val="00A42B88"/>
    <w:rsid w:val="00A471B8"/>
    <w:rsid w:val="00A47FD7"/>
    <w:rsid w:val="00A505D7"/>
    <w:rsid w:val="00A507C4"/>
    <w:rsid w:val="00A50A1D"/>
    <w:rsid w:val="00A517F3"/>
    <w:rsid w:val="00A52392"/>
    <w:rsid w:val="00A52588"/>
    <w:rsid w:val="00A525AF"/>
    <w:rsid w:val="00A5262C"/>
    <w:rsid w:val="00A53931"/>
    <w:rsid w:val="00A55579"/>
    <w:rsid w:val="00A56AE6"/>
    <w:rsid w:val="00A56FE7"/>
    <w:rsid w:val="00A579CE"/>
    <w:rsid w:val="00A57F29"/>
    <w:rsid w:val="00A6030E"/>
    <w:rsid w:val="00A6037D"/>
    <w:rsid w:val="00A61977"/>
    <w:rsid w:val="00A61D00"/>
    <w:rsid w:val="00A62183"/>
    <w:rsid w:val="00A62644"/>
    <w:rsid w:val="00A631BF"/>
    <w:rsid w:val="00A64EFE"/>
    <w:rsid w:val="00A65224"/>
    <w:rsid w:val="00A66168"/>
    <w:rsid w:val="00A661FE"/>
    <w:rsid w:val="00A66613"/>
    <w:rsid w:val="00A668C0"/>
    <w:rsid w:val="00A66CEB"/>
    <w:rsid w:val="00A676C8"/>
    <w:rsid w:val="00A67F19"/>
    <w:rsid w:val="00A67F77"/>
    <w:rsid w:val="00A70B86"/>
    <w:rsid w:val="00A72330"/>
    <w:rsid w:val="00A735D5"/>
    <w:rsid w:val="00A746C3"/>
    <w:rsid w:val="00A755C2"/>
    <w:rsid w:val="00A761CC"/>
    <w:rsid w:val="00A76CFA"/>
    <w:rsid w:val="00A8073E"/>
    <w:rsid w:val="00A808A0"/>
    <w:rsid w:val="00A818B4"/>
    <w:rsid w:val="00A827FE"/>
    <w:rsid w:val="00A82F18"/>
    <w:rsid w:val="00A82F7B"/>
    <w:rsid w:val="00A831C1"/>
    <w:rsid w:val="00A83E08"/>
    <w:rsid w:val="00A87044"/>
    <w:rsid w:val="00A87C5E"/>
    <w:rsid w:val="00A91030"/>
    <w:rsid w:val="00A913A1"/>
    <w:rsid w:val="00A91D8B"/>
    <w:rsid w:val="00A91E81"/>
    <w:rsid w:val="00A91FD8"/>
    <w:rsid w:val="00A92995"/>
    <w:rsid w:val="00A92E0D"/>
    <w:rsid w:val="00A93D88"/>
    <w:rsid w:val="00AA0211"/>
    <w:rsid w:val="00AA050E"/>
    <w:rsid w:val="00AA185A"/>
    <w:rsid w:val="00AA3861"/>
    <w:rsid w:val="00AA3BDB"/>
    <w:rsid w:val="00AA5DBE"/>
    <w:rsid w:val="00AA5E7D"/>
    <w:rsid w:val="00AA5F75"/>
    <w:rsid w:val="00AA62E7"/>
    <w:rsid w:val="00AA6345"/>
    <w:rsid w:val="00AA6A72"/>
    <w:rsid w:val="00AA71EB"/>
    <w:rsid w:val="00AA7820"/>
    <w:rsid w:val="00AB01EC"/>
    <w:rsid w:val="00AB0B4F"/>
    <w:rsid w:val="00AB1385"/>
    <w:rsid w:val="00AB369A"/>
    <w:rsid w:val="00AB3803"/>
    <w:rsid w:val="00AB4E10"/>
    <w:rsid w:val="00AB543E"/>
    <w:rsid w:val="00AB555F"/>
    <w:rsid w:val="00AB587C"/>
    <w:rsid w:val="00AB5F01"/>
    <w:rsid w:val="00AB644C"/>
    <w:rsid w:val="00AB7A69"/>
    <w:rsid w:val="00AB7A72"/>
    <w:rsid w:val="00AB7ADE"/>
    <w:rsid w:val="00AC1CD8"/>
    <w:rsid w:val="00AC2A5B"/>
    <w:rsid w:val="00AC355A"/>
    <w:rsid w:val="00AC579C"/>
    <w:rsid w:val="00AC5B0B"/>
    <w:rsid w:val="00AD0851"/>
    <w:rsid w:val="00AD1038"/>
    <w:rsid w:val="00AD188B"/>
    <w:rsid w:val="00AD255A"/>
    <w:rsid w:val="00AD4726"/>
    <w:rsid w:val="00AD4F83"/>
    <w:rsid w:val="00AD5274"/>
    <w:rsid w:val="00AD6801"/>
    <w:rsid w:val="00AD797A"/>
    <w:rsid w:val="00AD9F08"/>
    <w:rsid w:val="00AE13D8"/>
    <w:rsid w:val="00AE184A"/>
    <w:rsid w:val="00AE1B6B"/>
    <w:rsid w:val="00AE2A98"/>
    <w:rsid w:val="00AE3590"/>
    <w:rsid w:val="00AE3611"/>
    <w:rsid w:val="00AE3636"/>
    <w:rsid w:val="00AE3646"/>
    <w:rsid w:val="00AE377F"/>
    <w:rsid w:val="00AE39B6"/>
    <w:rsid w:val="00AE4D83"/>
    <w:rsid w:val="00AE523C"/>
    <w:rsid w:val="00AE5295"/>
    <w:rsid w:val="00AE5FCD"/>
    <w:rsid w:val="00AE63F4"/>
    <w:rsid w:val="00AE6504"/>
    <w:rsid w:val="00AE72E1"/>
    <w:rsid w:val="00AF0313"/>
    <w:rsid w:val="00AF035B"/>
    <w:rsid w:val="00AF035D"/>
    <w:rsid w:val="00AF22B7"/>
    <w:rsid w:val="00AF2A82"/>
    <w:rsid w:val="00AF2AAF"/>
    <w:rsid w:val="00AF2CD9"/>
    <w:rsid w:val="00AF327D"/>
    <w:rsid w:val="00AF32E3"/>
    <w:rsid w:val="00AF3BED"/>
    <w:rsid w:val="00AF49A7"/>
    <w:rsid w:val="00AF4C2E"/>
    <w:rsid w:val="00AF55ED"/>
    <w:rsid w:val="00AF5AC2"/>
    <w:rsid w:val="00AF5CDB"/>
    <w:rsid w:val="00AF66EA"/>
    <w:rsid w:val="00B0023B"/>
    <w:rsid w:val="00B00248"/>
    <w:rsid w:val="00B00863"/>
    <w:rsid w:val="00B0126E"/>
    <w:rsid w:val="00B025FB"/>
    <w:rsid w:val="00B02768"/>
    <w:rsid w:val="00B032D8"/>
    <w:rsid w:val="00B035B8"/>
    <w:rsid w:val="00B04498"/>
    <w:rsid w:val="00B057CF"/>
    <w:rsid w:val="00B06541"/>
    <w:rsid w:val="00B067E6"/>
    <w:rsid w:val="00B1070B"/>
    <w:rsid w:val="00B12AE0"/>
    <w:rsid w:val="00B13242"/>
    <w:rsid w:val="00B133FD"/>
    <w:rsid w:val="00B13F13"/>
    <w:rsid w:val="00B15DA4"/>
    <w:rsid w:val="00B162BC"/>
    <w:rsid w:val="00B165B4"/>
    <w:rsid w:val="00B17CDC"/>
    <w:rsid w:val="00B20794"/>
    <w:rsid w:val="00B21C1C"/>
    <w:rsid w:val="00B21E73"/>
    <w:rsid w:val="00B22508"/>
    <w:rsid w:val="00B23473"/>
    <w:rsid w:val="00B235B2"/>
    <w:rsid w:val="00B24779"/>
    <w:rsid w:val="00B24A9B"/>
    <w:rsid w:val="00B25613"/>
    <w:rsid w:val="00B25F7E"/>
    <w:rsid w:val="00B26D74"/>
    <w:rsid w:val="00B26F43"/>
    <w:rsid w:val="00B273B7"/>
    <w:rsid w:val="00B275FB"/>
    <w:rsid w:val="00B306BC"/>
    <w:rsid w:val="00B30C94"/>
    <w:rsid w:val="00B31301"/>
    <w:rsid w:val="00B31408"/>
    <w:rsid w:val="00B31A08"/>
    <w:rsid w:val="00B323C7"/>
    <w:rsid w:val="00B3308F"/>
    <w:rsid w:val="00B33A73"/>
    <w:rsid w:val="00B3442C"/>
    <w:rsid w:val="00B34A92"/>
    <w:rsid w:val="00B34C43"/>
    <w:rsid w:val="00B358F7"/>
    <w:rsid w:val="00B35958"/>
    <w:rsid w:val="00B35C7A"/>
    <w:rsid w:val="00B3607F"/>
    <w:rsid w:val="00B37C24"/>
    <w:rsid w:val="00B37E13"/>
    <w:rsid w:val="00B406C0"/>
    <w:rsid w:val="00B41AEC"/>
    <w:rsid w:val="00B42138"/>
    <w:rsid w:val="00B42418"/>
    <w:rsid w:val="00B42FD2"/>
    <w:rsid w:val="00B437CA"/>
    <w:rsid w:val="00B44883"/>
    <w:rsid w:val="00B45BF8"/>
    <w:rsid w:val="00B4658C"/>
    <w:rsid w:val="00B46604"/>
    <w:rsid w:val="00B47440"/>
    <w:rsid w:val="00B47523"/>
    <w:rsid w:val="00B502E7"/>
    <w:rsid w:val="00B506BB"/>
    <w:rsid w:val="00B50E07"/>
    <w:rsid w:val="00B50E6E"/>
    <w:rsid w:val="00B512AE"/>
    <w:rsid w:val="00B52C9D"/>
    <w:rsid w:val="00B5393B"/>
    <w:rsid w:val="00B54297"/>
    <w:rsid w:val="00B5487A"/>
    <w:rsid w:val="00B552DE"/>
    <w:rsid w:val="00B5553C"/>
    <w:rsid w:val="00B55D92"/>
    <w:rsid w:val="00B57A69"/>
    <w:rsid w:val="00B57BAF"/>
    <w:rsid w:val="00B57D70"/>
    <w:rsid w:val="00B6042C"/>
    <w:rsid w:val="00B60BEE"/>
    <w:rsid w:val="00B61368"/>
    <w:rsid w:val="00B62531"/>
    <w:rsid w:val="00B64537"/>
    <w:rsid w:val="00B64D15"/>
    <w:rsid w:val="00B66015"/>
    <w:rsid w:val="00B660E6"/>
    <w:rsid w:val="00B667B0"/>
    <w:rsid w:val="00B67069"/>
    <w:rsid w:val="00B6778C"/>
    <w:rsid w:val="00B705D0"/>
    <w:rsid w:val="00B70778"/>
    <w:rsid w:val="00B716D7"/>
    <w:rsid w:val="00B71F6A"/>
    <w:rsid w:val="00B7293C"/>
    <w:rsid w:val="00B72E6A"/>
    <w:rsid w:val="00B7395E"/>
    <w:rsid w:val="00B741C9"/>
    <w:rsid w:val="00B74CE9"/>
    <w:rsid w:val="00B76BFF"/>
    <w:rsid w:val="00B8083A"/>
    <w:rsid w:val="00B80C0D"/>
    <w:rsid w:val="00B80D44"/>
    <w:rsid w:val="00B84013"/>
    <w:rsid w:val="00B840B2"/>
    <w:rsid w:val="00B859D1"/>
    <w:rsid w:val="00B863A0"/>
    <w:rsid w:val="00B869D6"/>
    <w:rsid w:val="00B86C3A"/>
    <w:rsid w:val="00B8744B"/>
    <w:rsid w:val="00B87A5A"/>
    <w:rsid w:val="00B87E63"/>
    <w:rsid w:val="00B87F2A"/>
    <w:rsid w:val="00B9021B"/>
    <w:rsid w:val="00B9086D"/>
    <w:rsid w:val="00B909D3"/>
    <w:rsid w:val="00B91CE3"/>
    <w:rsid w:val="00B96256"/>
    <w:rsid w:val="00B97BFD"/>
    <w:rsid w:val="00B97F7C"/>
    <w:rsid w:val="00BA155F"/>
    <w:rsid w:val="00BA1E1C"/>
    <w:rsid w:val="00BA247B"/>
    <w:rsid w:val="00BA30D4"/>
    <w:rsid w:val="00BA3FF5"/>
    <w:rsid w:val="00BA47A5"/>
    <w:rsid w:val="00BA555B"/>
    <w:rsid w:val="00BA5A03"/>
    <w:rsid w:val="00BA5C40"/>
    <w:rsid w:val="00BA663A"/>
    <w:rsid w:val="00BA66DA"/>
    <w:rsid w:val="00BA70C3"/>
    <w:rsid w:val="00BA7E12"/>
    <w:rsid w:val="00BB002B"/>
    <w:rsid w:val="00BB0058"/>
    <w:rsid w:val="00BB0999"/>
    <w:rsid w:val="00BB0B9C"/>
    <w:rsid w:val="00BB1083"/>
    <w:rsid w:val="00BB1EE8"/>
    <w:rsid w:val="00BB1F5D"/>
    <w:rsid w:val="00BB2BD5"/>
    <w:rsid w:val="00BB2D3A"/>
    <w:rsid w:val="00BB2DB9"/>
    <w:rsid w:val="00BB34D7"/>
    <w:rsid w:val="00BB4357"/>
    <w:rsid w:val="00BB588E"/>
    <w:rsid w:val="00BB735D"/>
    <w:rsid w:val="00BB7892"/>
    <w:rsid w:val="00BC1163"/>
    <w:rsid w:val="00BC1617"/>
    <w:rsid w:val="00BC1955"/>
    <w:rsid w:val="00BC1D52"/>
    <w:rsid w:val="00BC2EFF"/>
    <w:rsid w:val="00BC3496"/>
    <w:rsid w:val="00BC3C41"/>
    <w:rsid w:val="00BC497F"/>
    <w:rsid w:val="00BC58C4"/>
    <w:rsid w:val="00BC6CAD"/>
    <w:rsid w:val="00BC7A20"/>
    <w:rsid w:val="00BD08A3"/>
    <w:rsid w:val="00BD16D7"/>
    <w:rsid w:val="00BD233A"/>
    <w:rsid w:val="00BD3A55"/>
    <w:rsid w:val="00BD3A5F"/>
    <w:rsid w:val="00BD4C04"/>
    <w:rsid w:val="00BD5463"/>
    <w:rsid w:val="00BD6209"/>
    <w:rsid w:val="00BD64A4"/>
    <w:rsid w:val="00BD67FC"/>
    <w:rsid w:val="00BD70B9"/>
    <w:rsid w:val="00BD7590"/>
    <w:rsid w:val="00BD788C"/>
    <w:rsid w:val="00BE047C"/>
    <w:rsid w:val="00BE09F9"/>
    <w:rsid w:val="00BE0BAF"/>
    <w:rsid w:val="00BE1080"/>
    <w:rsid w:val="00BE1A92"/>
    <w:rsid w:val="00BE2041"/>
    <w:rsid w:val="00BE268C"/>
    <w:rsid w:val="00BE352A"/>
    <w:rsid w:val="00BE3710"/>
    <w:rsid w:val="00BE50C8"/>
    <w:rsid w:val="00BE662C"/>
    <w:rsid w:val="00BE7261"/>
    <w:rsid w:val="00BE749E"/>
    <w:rsid w:val="00BF0B1D"/>
    <w:rsid w:val="00BF0C4D"/>
    <w:rsid w:val="00BF13AF"/>
    <w:rsid w:val="00BF2B41"/>
    <w:rsid w:val="00BF2BBF"/>
    <w:rsid w:val="00BF3953"/>
    <w:rsid w:val="00BF3FA6"/>
    <w:rsid w:val="00BF4481"/>
    <w:rsid w:val="00BF4889"/>
    <w:rsid w:val="00C01237"/>
    <w:rsid w:val="00C02028"/>
    <w:rsid w:val="00C02A05"/>
    <w:rsid w:val="00C03502"/>
    <w:rsid w:val="00C03614"/>
    <w:rsid w:val="00C03A05"/>
    <w:rsid w:val="00C0404A"/>
    <w:rsid w:val="00C0475B"/>
    <w:rsid w:val="00C04D17"/>
    <w:rsid w:val="00C05889"/>
    <w:rsid w:val="00C06EA1"/>
    <w:rsid w:val="00C07840"/>
    <w:rsid w:val="00C078A1"/>
    <w:rsid w:val="00C07C1F"/>
    <w:rsid w:val="00C1173C"/>
    <w:rsid w:val="00C11FE9"/>
    <w:rsid w:val="00C1490A"/>
    <w:rsid w:val="00C14CFB"/>
    <w:rsid w:val="00C14EA0"/>
    <w:rsid w:val="00C15134"/>
    <w:rsid w:val="00C15BF9"/>
    <w:rsid w:val="00C16BE6"/>
    <w:rsid w:val="00C200B8"/>
    <w:rsid w:val="00C202F3"/>
    <w:rsid w:val="00C22290"/>
    <w:rsid w:val="00C2301D"/>
    <w:rsid w:val="00C230F7"/>
    <w:rsid w:val="00C23DF8"/>
    <w:rsid w:val="00C23E08"/>
    <w:rsid w:val="00C24B71"/>
    <w:rsid w:val="00C250A3"/>
    <w:rsid w:val="00C252BE"/>
    <w:rsid w:val="00C26DAC"/>
    <w:rsid w:val="00C26F2F"/>
    <w:rsid w:val="00C27CEA"/>
    <w:rsid w:val="00C27D08"/>
    <w:rsid w:val="00C30B66"/>
    <w:rsid w:val="00C30EB3"/>
    <w:rsid w:val="00C314EE"/>
    <w:rsid w:val="00C32139"/>
    <w:rsid w:val="00C321DB"/>
    <w:rsid w:val="00C32869"/>
    <w:rsid w:val="00C32D6C"/>
    <w:rsid w:val="00C33D2B"/>
    <w:rsid w:val="00C34735"/>
    <w:rsid w:val="00C35F02"/>
    <w:rsid w:val="00C36B6D"/>
    <w:rsid w:val="00C37AAA"/>
    <w:rsid w:val="00C403F3"/>
    <w:rsid w:val="00C418DF"/>
    <w:rsid w:val="00C42215"/>
    <w:rsid w:val="00C429CC"/>
    <w:rsid w:val="00C4314C"/>
    <w:rsid w:val="00C43A95"/>
    <w:rsid w:val="00C44FD6"/>
    <w:rsid w:val="00C456AB"/>
    <w:rsid w:val="00C4771F"/>
    <w:rsid w:val="00C47920"/>
    <w:rsid w:val="00C50308"/>
    <w:rsid w:val="00C504A1"/>
    <w:rsid w:val="00C50C96"/>
    <w:rsid w:val="00C5148D"/>
    <w:rsid w:val="00C5176E"/>
    <w:rsid w:val="00C51E3F"/>
    <w:rsid w:val="00C5212C"/>
    <w:rsid w:val="00C52654"/>
    <w:rsid w:val="00C52E30"/>
    <w:rsid w:val="00C54587"/>
    <w:rsid w:val="00C56504"/>
    <w:rsid w:val="00C56F5F"/>
    <w:rsid w:val="00C57300"/>
    <w:rsid w:val="00C57679"/>
    <w:rsid w:val="00C57691"/>
    <w:rsid w:val="00C600B7"/>
    <w:rsid w:val="00C60ECE"/>
    <w:rsid w:val="00C61A06"/>
    <w:rsid w:val="00C6315C"/>
    <w:rsid w:val="00C63B80"/>
    <w:rsid w:val="00C63BE8"/>
    <w:rsid w:val="00C64020"/>
    <w:rsid w:val="00C64358"/>
    <w:rsid w:val="00C654E9"/>
    <w:rsid w:val="00C66340"/>
    <w:rsid w:val="00C67B0A"/>
    <w:rsid w:val="00C70A62"/>
    <w:rsid w:val="00C71B79"/>
    <w:rsid w:val="00C71DFF"/>
    <w:rsid w:val="00C72946"/>
    <w:rsid w:val="00C73237"/>
    <w:rsid w:val="00C73D90"/>
    <w:rsid w:val="00C7431F"/>
    <w:rsid w:val="00C756B1"/>
    <w:rsid w:val="00C7738A"/>
    <w:rsid w:val="00C77440"/>
    <w:rsid w:val="00C7779E"/>
    <w:rsid w:val="00C812D6"/>
    <w:rsid w:val="00C81F66"/>
    <w:rsid w:val="00C83423"/>
    <w:rsid w:val="00C836D5"/>
    <w:rsid w:val="00C84542"/>
    <w:rsid w:val="00C84982"/>
    <w:rsid w:val="00C8744D"/>
    <w:rsid w:val="00C90505"/>
    <w:rsid w:val="00C90D33"/>
    <w:rsid w:val="00C9125A"/>
    <w:rsid w:val="00C939B9"/>
    <w:rsid w:val="00C93A60"/>
    <w:rsid w:val="00C93AB7"/>
    <w:rsid w:val="00C940EE"/>
    <w:rsid w:val="00C95D07"/>
    <w:rsid w:val="00C9782D"/>
    <w:rsid w:val="00CA1813"/>
    <w:rsid w:val="00CA278E"/>
    <w:rsid w:val="00CA2BB1"/>
    <w:rsid w:val="00CA2F43"/>
    <w:rsid w:val="00CA3651"/>
    <w:rsid w:val="00CA4461"/>
    <w:rsid w:val="00CA4C01"/>
    <w:rsid w:val="00CA5542"/>
    <w:rsid w:val="00CA692A"/>
    <w:rsid w:val="00CA7729"/>
    <w:rsid w:val="00CA7FEC"/>
    <w:rsid w:val="00CB22B2"/>
    <w:rsid w:val="00CB2D2D"/>
    <w:rsid w:val="00CB2DB0"/>
    <w:rsid w:val="00CB3434"/>
    <w:rsid w:val="00CB3EA3"/>
    <w:rsid w:val="00CB560B"/>
    <w:rsid w:val="00CB580A"/>
    <w:rsid w:val="00CB690C"/>
    <w:rsid w:val="00CB6B62"/>
    <w:rsid w:val="00CB6E57"/>
    <w:rsid w:val="00CB6E6C"/>
    <w:rsid w:val="00CC12C3"/>
    <w:rsid w:val="00CC1CC2"/>
    <w:rsid w:val="00CC217F"/>
    <w:rsid w:val="00CC2CBF"/>
    <w:rsid w:val="00CC3FDA"/>
    <w:rsid w:val="00CC5558"/>
    <w:rsid w:val="00CC621A"/>
    <w:rsid w:val="00CC6574"/>
    <w:rsid w:val="00CC7A31"/>
    <w:rsid w:val="00CD053B"/>
    <w:rsid w:val="00CD34BF"/>
    <w:rsid w:val="00CD3FFA"/>
    <w:rsid w:val="00CD439F"/>
    <w:rsid w:val="00CD4424"/>
    <w:rsid w:val="00CD47A9"/>
    <w:rsid w:val="00CD4CAE"/>
    <w:rsid w:val="00CD5579"/>
    <w:rsid w:val="00CD5A40"/>
    <w:rsid w:val="00CD6278"/>
    <w:rsid w:val="00CD7499"/>
    <w:rsid w:val="00CD7DD0"/>
    <w:rsid w:val="00CE004F"/>
    <w:rsid w:val="00CE13BB"/>
    <w:rsid w:val="00CE158C"/>
    <w:rsid w:val="00CE1A3F"/>
    <w:rsid w:val="00CE23D5"/>
    <w:rsid w:val="00CE2C9A"/>
    <w:rsid w:val="00CE5F2E"/>
    <w:rsid w:val="00CE73D6"/>
    <w:rsid w:val="00CE752A"/>
    <w:rsid w:val="00CF1525"/>
    <w:rsid w:val="00CF1E7A"/>
    <w:rsid w:val="00CF2238"/>
    <w:rsid w:val="00CF2900"/>
    <w:rsid w:val="00CF2B67"/>
    <w:rsid w:val="00CF3540"/>
    <w:rsid w:val="00CF4626"/>
    <w:rsid w:val="00CF5784"/>
    <w:rsid w:val="00CF5C41"/>
    <w:rsid w:val="00CF5F5D"/>
    <w:rsid w:val="00CF6957"/>
    <w:rsid w:val="00CF7DFA"/>
    <w:rsid w:val="00CF7FC5"/>
    <w:rsid w:val="00D00505"/>
    <w:rsid w:val="00D01B9F"/>
    <w:rsid w:val="00D02D9D"/>
    <w:rsid w:val="00D02EFB"/>
    <w:rsid w:val="00D041BE"/>
    <w:rsid w:val="00D049E7"/>
    <w:rsid w:val="00D04C8E"/>
    <w:rsid w:val="00D04E11"/>
    <w:rsid w:val="00D04E75"/>
    <w:rsid w:val="00D05E54"/>
    <w:rsid w:val="00D10261"/>
    <w:rsid w:val="00D11EF8"/>
    <w:rsid w:val="00D11F7D"/>
    <w:rsid w:val="00D134DD"/>
    <w:rsid w:val="00D14242"/>
    <w:rsid w:val="00D15650"/>
    <w:rsid w:val="00D1583A"/>
    <w:rsid w:val="00D218D6"/>
    <w:rsid w:val="00D2245F"/>
    <w:rsid w:val="00D225C7"/>
    <w:rsid w:val="00D2684F"/>
    <w:rsid w:val="00D26F03"/>
    <w:rsid w:val="00D27AB1"/>
    <w:rsid w:val="00D31E35"/>
    <w:rsid w:val="00D33018"/>
    <w:rsid w:val="00D33765"/>
    <w:rsid w:val="00D341B5"/>
    <w:rsid w:val="00D34C06"/>
    <w:rsid w:val="00D35DA0"/>
    <w:rsid w:val="00D36721"/>
    <w:rsid w:val="00D36783"/>
    <w:rsid w:val="00D36F5A"/>
    <w:rsid w:val="00D37BAF"/>
    <w:rsid w:val="00D40B28"/>
    <w:rsid w:val="00D40B52"/>
    <w:rsid w:val="00D4110A"/>
    <w:rsid w:val="00D42706"/>
    <w:rsid w:val="00D454AA"/>
    <w:rsid w:val="00D45640"/>
    <w:rsid w:val="00D4636A"/>
    <w:rsid w:val="00D46E7A"/>
    <w:rsid w:val="00D46F81"/>
    <w:rsid w:val="00D46FCE"/>
    <w:rsid w:val="00D47357"/>
    <w:rsid w:val="00D504EE"/>
    <w:rsid w:val="00D513EE"/>
    <w:rsid w:val="00D514D4"/>
    <w:rsid w:val="00D5196D"/>
    <w:rsid w:val="00D51A63"/>
    <w:rsid w:val="00D51D3E"/>
    <w:rsid w:val="00D52C5F"/>
    <w:rsid w:val="00D537ED"/>
    <w:rsid w:val="00D5397F"/>
    <w:rsid w:val="00D543AD"/>
    <w:rsid w:val="00D549A8"/>
    <w:rsid w:val="00D55253"/>
    <w:rsid w:val="00D5559E"/>
    <w:rsid w:val="00D57207"/>
    <w:rsid w:val="00D617F6"/>
    <w:rsid w:val="00D63061"/>
    <w:rsid w:val="00D64501"/>
    <w:rsid w:val="00D64879"/>
    <w:rsid w:val="00D64E7D"/>
    <w:rsid w:val="00D64FEC"/>
    <w:rsid w:val="00D65EFD"/>
    <w:rsid w:val="00D718EB"/>
    <w:rsid w:val="00D727DB"/>
    <w:rsid w:val="00D73027"/>
    <w:rsid w:val="00D739EB"/>
    <w:rsid w:val="00D73CFE"/>
    <w:rsid w:val="00D74038"/>
    <w:rsid w:val="00D74119"/>
    <w:rsid w:val="00D76565"/>
    <w:rsid w:val="00D76F81"/>
    <w:rsid w:val="00D80208"/>
    <w:rsid w:val="00D820E3"/>
    <w:rsid w:val="00D83AF9"/>
    <w:rsid w:val="00D847BE"/>
    <w:rsid w:val="00D8545B"/>
    <w:rsid w:val="00D856A8"/>
    <w:rsid w:val="00D85829"/>
    <w:rsid w:val="00D85AD1"/>
    <w:rsid w:val="00D85C5F"/>
    <w:rsid w:val="00D8667E"/>
    <w:rsid w:val="00D871A0"/>
    <w:rsid w:val="00D87985"/>
    <w:rsid w:val="00D87B89"/>
    <w:rsid w:val="00D87FF9"/>
    <w:rsid w:val="00D90DF8"/>
    <w:rsid w:val="00D90F7C"/>
    <w:rsid w:val="00D91455"/>
    <w:rsid w:val="00D91C3E"/>
    <w:rsid w:val="00D91E60"/>
    <w:rsid w:val="00D9258B"/>
    <w:rsid w:val="00D93D8F"/>
    <w:rsid w:val="00D94498"/>
    <w:rsid w:val="00D9626E"/>
    <w:rsid w:val="00D97005"/>
    <w:rsid w:val="00D97629"/>
    <w:rsid w:val="00DA0000"/>
    <w:rsid w:val="00DA0366"/>
    <w:rsid w:val="00DA05AE"/>
    <w:rsid w:val="00DA105E"/>
    <w:rsid w:val="00DA1D70"/>
    <w:rsid w:val="00DA293B"/>
    <w:rsid w:val="00DA52B3"/>
    <w:rsid w:val="00DA5845"/>
    <w:rsid w:val="00DA668A"/>
    <w:rsid w:val="00DA6C41"/>
    <w:rsid w:val="00DB0691"/>
    <w:rsid w:val="00DB141C"/>
    <w:rsid w:val="00DB21AB"/>
    <w:rsid w:val="00DB3C9C"/>
    <w:rsid w:val="00DB41F9"/>
    <w:rsid w:val="00DB448E"/>
    <w:rsid w:val="00DB50B6"/>
    <w:rsid w:val="00DB66B6"/>
    <w:rsid w:val="00DB6A41"/>
    <w:rsid w:val="00DB78D0"/>
    <w:rsid w:val="00DC19C7"/>
    <w:rsid w:val="00DC1F62"/>
    <w:rsid w:val="00DC223B"/>
    <w:rsid w:val="00DC3204"/>
    <w:rsid w:val="00DC3DE1"/>
    <w:rsid w:val="00DC5739"/>
    <w:rsid w:val="00DC66D5"/>
    <w:rsid w:val="00DC7597"/>
    <w:rsid w:val="00DC771F"/>
    <w:rsid w:val="00DC79D0"/>
    <w:rsid w:val="00DD0317"/>
    <w:rsid w:val="00DD0864"/>
    <w:rsid w:val="00DD0AA4"/>
    <w:rsid w:val="00DD0C28"/>
    <w:rsid w:val="00DD0D25"/>
    <w:rsid w:val="00DD11F6"/>
    <w:rsid w:val="00DD21FC"/>
    <w:rsid w:val="00DD2B17"/>
    <w:rsid w:val="00DD397C"/>
    <w:rsid w:val="00DD4D94"/>
    <w:rsid w:val="00DD5ADA"/>
    <w:rsid w:val="00DD66B7"/>
    <w:rsid w:val="00DD7B2A"/>
    <w:rsid w:val="00DD7E93"/>
    <w:rsid w:val="00DE0785"/>
    <w:rsid w:val="00DE0ECB"/>
    <w:rsid w:val="00DE106B"/>
    <w:rsid w:val="00DE13DB"/>
    <w:rsid w:val="00DE2807"/>
    <w:rsid w:val="00DE351C"/>
    <w:rsid w:val="00DE5876"/>
    <w:rsid w:val="00DE68B2"/>
    <w:rsid w:val="00DE75C7"/>
    <w:rsid w:val="00DE7BD5"/>
    <w:rsid w:val="00DF0B76"/>
    <w:rsid w:val="00DF1EF4"/>
    <w:rsid w:val="00DF1FDB"/>
    <w:rsid w:val="00DF2F32"/>
    <w:rsid w:val="00DF4E62"/>
    <w:rsid w:val="00DF4EC0"/>
    <w:rsid w:val="00DF5300"/>
    <w:rsid w:val="00DF68E0"/>
    <w:rsid w:val="00DF71A5"/>
    <w:rsid w:val="00DF7438"/>
    <w:rsid w:val="00E0020B"/>
    <w:rsid w:val="00E012CD"/>
    <w:rsid w:val="00E01DA9"/>
    <w:rsid w:val="00E04F46"/>
    <w:rsid w:val="00E05353"/>
    <w:rsid w:val="00E05B19"/>
    <w:rsid w:val="00E06841"/>
    <w:rsid w:val="00E06A93"/>
    <w:rsid w:val="00E075EB"/>
    <w:rsid w:val="00E10AC7"/>
    <w:rsid w:val="00E111FA"/>
    <w:rsid w:val="00E118CB"/>
    <w:rsid w:val="00E126EA"/>
    <w:rsid w:val="00E12782"/>
    <w:rsid w:val="00E12A0F"/>
    <w:rsid w:val="00E1317B"/>
    <w:rsid w:val="00E13C1A"/>
    <w:rsid w:val="00E144FA"/>
    <w:rsid w:val="00E15954"/>
    <w:rsid w:val="00E163E3"/>
    <w:rsid w:val="00E16799"/>
    <w:rsid w:val="00E17BF2"/>
    <w:rsid w:val="00E204F8"/>
    <w:rsid w:val="00E215F3"/>
    <w:rsid w:val="00E22842"/>
    <w:rsid w:val="00E22921"/>
    <w:rsid w:val="00E24284"/>
    <w:rsid w:val="00E24B4C"/>
    <w:rsid w:val="00E25A7B"/>
    <w:rsid w:val="00E265D5"/>
    <w:rsid w:val="00E2676A"/>
    <w:rsid w:val="00E27BD0"/>
    <w:rsid w:val="00E3032A"/>
    <w:rsid w:val="00E30C19"/>
    <w:rsid w:val="00E30CF1"/>
    <w:rsid w:val="00E3273F"/>
    <w:rsid w:val="00E32811"/>
    <w:rsid w:val="00E34E16"/>
    <w:rsid w:val="00E34F08"/>
    <w:rsid w:val="00E354DF"/>
    <w:rsid w:val="00E36D8B"/>
    <w:rsid w:val="00E36E98"/>
    <w:rsid w:val="00E40364"/>
    <w:rsid w:val="00E43009"/>
    <w:rsid w:val="00E43AA1"/>
    <w:rsid w:val="00E43AB7"/>
    <w:rsid w:val="00E44128"/>
    <w:rsid w:val="00E454F2"/>
    <w:rsid w:val="00E4637D"/>
    <w:rsid w:val="00E4686C"/>
    <w:rsid w:val="00E475D3"/>
    <w:rsid w:val="00E50A14"/>
    <w:rsid w:val="00E50CA7"/>
    <w:rsid w:val="00E50DB8"/>
    <w:rsid w:val="00E51384"/>
    <w:rsid w:val="00E51966"/>
    <w:rsid w:val="00E52064"/>
    <w:rsid w:val="00E5274D"/>
    <w:rsid w:val="00E5344B"/>
    <w:rsid w:val="00E5490E"/>
    <w:rsid w:val="00E554D7"/>
    <w:rsid w:val="00E55BD6"/>
    <w:rsid w:val="00E56D7F"/>
    <w:rsid w:val="00E608E8"/>
    <w:rsid w:val="00E617DD"/>
    <w:rsid w:val="00E6452D"/>
    <w:rsid w:val="00E657BF"/>
    <w:rsid w:val="00E65E71"/>
    <w:rsid w:val="00E6609D"/>
    <w:rsid w:val="00E661EB"/>
    <w:rsid w:val="00E66327"/>
    <w:rsid w:val="00E669C5"/>
    <w:rsid w:val="00E66BFC"/>
    <w:rsid w:val="00E6725D"/>
    <w:rsid w:val="00E67909"/>
    <w:rsid w:val="00E717E8"/>
    <w:rsid w:val="00E74B9F"/>
    <w:rsid w:val="00E76259"/>
    <w:rsid w:val="00E766E6"/>
    <w:rsid w:val="00E77B2F"/>
    <w:rsid w:val="00E77C98"/>
    <w:rsid w:val="00E77EA5"/>
    <w:rsid w:val="00E80CEC"/>
    <w:rsid w:val="00E81097"/>
    <w:rsid w:val="00E82A76"/>
    <w:rsid w:val="00E8371A"/>
    <w:rsid w:val="00E84219"/>
    <w:rsid w:val="00E84714"/>
    <w:rsid w:val="00E848F9"/>
    <w:rsid w:val="00E84C42"/>
    <w:rsid w:val="00E85916"/>
    <w:rsid w:val="00E867D2"/>
    <w:rsid w:val="00E86E42"/>
    <w:rsid w:val="00E87090"/>
    <w:rsid w:val="00E87681"/>
    <w:rsid w:val="00E904B8"/>
    <w:rsid w:val="00E91543"/>
    <w:rsid w:val="00E91604"/>
    <w:rsid w:val="00E91B0B"/>
    <w:rsid w:val="00E92AFA"/>
    <w:rsid w:val="00E94148"/>
    <w:rsid w:val="00E95E14"/>
    <w:rsid w:val="00E95FD2"/>
    <w:rsid w:val="00E96CEC"/>
    <w:rsid w:val="00E96DF8"/>
    <w:rsid w:val="00E973B8"/>
    <w:rsid w:val="00EA1517"/>
    <w:rsid w:val="00EA2CA3"/>
    <w:rsid w:val="00EA3635"/>
    <w:rsid w:val="00EA3CA0"/>
    <w:rsid w:val="00EA3F97"/>
    <w:rsid w:val="00EA4088"/>
    <w:rsid w:val="00EA646E"/>
    <w:rsid w:val="00EA6804"/>
    <w:rsid w:val="00EB005F"/>
    <w:rsid w:val="00EB07CC"/>
    <w:rsid w:val="00EB0FBB"/>
    <w:rsid w:val="00EB1448"/>
    <w:rsid w:val="00EB2E92"/>
    <w:rsid w:val="00EB409C"/>
    <w:rsid w:val="00EB488F"/>
    <w:rsid w:val="00EB506B"/>
    <w:rsid w:val="00EB6D0E"/>
    <w:rsid w:val="00EB72A2"/>
    <w:rsid w:val="00EB78FA"/>
    <w:rsid w:val="00EC042F"/>
    <w:rsid w:val="00EC150D"/>
    <w:rsid w:val="00EC2779"/>
    <w:rsid w:val="00EC3A9B"/>
    <w:rsid w:val="00EC4AD2"/>
    <w:rsid w:val="00EC50F6"/>
    <w:rsid w:val="00EC51E6"/>
    <w:rsid w:val="00EC576C"/>
    <w:rsid w:val="00EC7FF4"/>
    <w:rsid w:val="00ED094E"/>
    <w:rsid w:val="00ED0F07"/>
    <w:rsid w:val="00ED202A"/>
    <w:rsid w:val="00ED4F28"/>
    <w:rsid w:val="00ED521B"/>
    <w:rsid w:val="00ED55DF"/>
    <w:rsid w:val="00ED6C82"/>
    <w:rsid w:val="00ED7901"/>
    <w:rsid w:val="00ED7A67"/>
    <w:rsid w:val="00ED7BBD"/>
    <w:rsid w:val="00EE02C7"/>
    <w:rsid w:val="00EE144C"/>
    <w:rsid w:val="00EE14CB"/>
    <w:rsid w:val="00EE1A32"/>
    <w:rsid w:val="00EE2B3D"/>
    <w:rsid w:val="00EE2B42"/>
    <w:rsid w:val="00EE2D1A"/>
    <w:rsid w:val="00EE32BE"/>
    <w:rsid w:val="00EE33E5"/>
    <w:rsid w:val="00EE3E5B"/>
    <w:rsid w:val="00EE4025"/>
    <w:rsid w:val="00EE4C41"/>
    <w:rsid w:val="00EE5728"/>
    <w:rsid w:val="00EE576C"/>
    <w:rsid w:val="00EE592A"/>
    <w:rsid w:val="00EE6358"/>
    <w:rsid w:val="00EE692A"/>
    <w:rsid w:val="00EE77C2"/>
    <w:rsid w:val="00EF1437"/>
    <w:rsid w:val="00EF162E"/>
    <w:rsid w:val="00EF22D3"/>
    <w:rsid w:val="00EF2334"/>
    <w:rsid w:val="00EF2517"/>
    <w:rsid w:val="00EF3BD2"/>
    <w:rsid w:val="00EF4614"/>
    <w:rsid w:val="00EF6314"/>
    <w:rsid w:val="00EF7313"/>
    <w:rsid w:val="00F00915"/>
    <w:rsid w:val="00F0092A"/>
    <w:rsid w:val="00F00D57"/>
    <w:rsid w:val="00F01255"/>
    <w:rsid w:val="00F01E53"/>
    <w:rsid w:val="00F03187"/>
    <w:rsid w:val="00F05937"/>
    <w:rsid w:val="00F06F14"/>
    <w:rsid w:val="00F11B2E"/>
    <w:rsid w:val="00F13F51"/>
    <w:rsid w:val="00F14CE6"/>
    <w:rsid w:val="00F1541D"/>
    <w:rsid w:val="00F15D61"/>
    <w:rsid w:val="00F171F7"/>
    <w:rsid w:val="00F179E8"/>
    <w:rsid w:val="00F17C83"/>
    <w:rsid w:val="00F206CD"/>
    <w:rsid w:val="00F2070C"/>
    <w:rsid w:val="00F20727"/>
    <w:rsid w:val="00F207E0"/>
    <w:rsid w:val="00F21473"/>
    <w:rsid w:val="00F230AE"/>
    <w:rsid w:val="00F232CB"/>
    <w:rsid w:val="00F23A39"/>
    <w:rsid w:val="00F23EDD"/>
    <w:rsid w:val="00F24865"/>
    <w:rsid w:val="00F26346"/>
    <w:rsid w:val="00F27A19"/>
    <w:rsid w:val="00F309D0"/>
    <w:rsid w:val="00F30A15"/>
    <w:rsid w:val="00F30BAF"/>
    <w:rsid w:val="00F31F30"/>
    <w:rsid w:val="00F32661"/>
    <w:rsid w:val="00F32701"/>
    <w:rsid w:val="00F32AD9"/>
    <w:rsid w:val="00F32B4C"/>
    <w:rsid w:val="00F33788"/>
    <w:rsid w:val="00F35561"/>
    <w:rsid w:val="00F35F04"/>
    <w:rsid w:val="00F362DA"/>
    <w:rsid w:val="00F36916"/>
    <w:rsid w:val="00F4285D"/>
    <w:rsid w:val="00F4363F"/>
    <w:rsid w:val="00F44EF1"/>
    <w:rsid w:val="00F44FD4"/>
    <w:rsid w:val="00F4535B"/>
    <w:rsid w:val="00F47CC6"/>
    <w:rsid w:val="00F50482"/>
    <w:rsid w:val="00F50F69"/>
    <w:rsid w:val="00F516E7"/>
    <w:rsid w:val="00F52F28"/>
    <w:rsid w:val="00F53286"/>
    <w:rsid w:val="00F536CC"/>
    <w:rsid w:val="00F5388D"/>
    <w:rsid w:val="00F53951"/>
    <w:rsid w:val="00F543A3"/>
    <w:rsid w:val="00F553EA"/>
    <w:rsid w:val="00F56363"/>
    <w:rsid w:val="00F56382"/>
    <w:rsid w:val="00F56BB7"/>
    <w:rsid w:val="00F57889"/>
    <w:rsid w:val="00F61168"/>
    <w:rsid w:val="00F61E21"/>
    <w:rsid w:val="00F61E2C"/>
    <w:rsid w:val="00F6292C"/>
    <w:rsid w:val="00F62DCA"/>
    <w:rsid w:val="00F6311F"/>
    <w:rsid w:val="00F6454A"/>
    <w:rsid w:val="00F64BB1"/>
    <w:rsid w:val="00F65CD6"/>
    <w:rsid w:val="00F66560"/>
    <w:rsid w:val="00F66960"/>
    <w:rsid w:val="00F66F6F"/>
    <w:rsid w:val="00F70031"/>
    <w:rsid w:val="00F70BDD"/>
    <w:rsid w:val="00F71799"/>
    <w:rsid w:val="00F71873"/>
    <w:rsid w:val="00F72244"/>
    <w:rsid w:val="00F72713"/>
    <w:rsid w:val="00F72C40"/>
    <w:rsid w:val="00F72F31"/>
    <w:rsid w:val="00F73E3A"/>
    <w:rsid w:val="00F74312"/>
    <w:rsid w:val="00F744E2"/>
    <w:rsid w:val="00F748C4"/>
    <w:rsid w:val="00F748F1"/>
    <w:rsid w:val="00F74918"/>
    <w:rsid w:val="00F7578F"/>
    <w:rsid w:val="00F76824"/>
    <w:rsid w:val="00F77B6F"/>
    <w:rsid w:val="00F77CAF"/>
    <w:rsid w:val="00F80093"/>
    <w:rsid w:val="00F82350"/>
    <w:rsid w:val="00F8246B"/>
    <w:rsid w:val="00F82B9F"/>
    <w:rsid w:val="00F82C2F"/>
    <w:rsid w:val="00F82DBC"/>
    <w:rsid w:val="00F83031"/>
    <w:rsid w:val="00F83DE9"/>
    <w:rsid w:val="00F841C1"/>
    <w:rsid w:val="00F8452C"/>
    <w:rsid w:val="00F848DD"/>
    <w:rsid w:val="00F84AAB"/>
    <w:rsid w:val="00F84E9B"/>
    <w:rsid w:val="00F85063"/>
    <w:rsid w:val="00F8637A"/>
    <w:rsid w:val="00F86B1D"/>
    <w:rsid w:val="00F86CFD"/>
    <w:rsid w:val="00F8701E"/>
    <w:rsid w:val="00F87EC6"/>
    <w:rsid w:val="00F909E2"/>
    <w:rsid w:val="00F9127A"/>
    <w:rsid w:val="00F9159E"/>
    <w:rsid w:val="00F924EC"/>
    <w:rsid w:val="00F93B59"/>
    <w:rsid w:val="00F94B21"/>
    <w:rsid w:val="00F95A75"/>
    <w:rsid w:val="00F963C7"/>
    <w:rsid w:val="00F97546"/>
    <w:rsid w:val="00F9765F"/>
    <w:rsid w:val="00F97913"/>
    <w:rsid w:val="00FA0CB8"/>
    <w:rsid w:val="00FA0DD3"/>
    <w:rsid w:val="00FA2656"/>
    <w:rsid w:val="00FA2BDA"/>
    <w:rsid w:val="00FA2C54"/>
    <w:rsid w:val="00FA390A"/>
    <w:rsid w:val="00FA5221"/>
    <w:rsid w:val="00FA5B0A"/>
    <w:rsid w:val="00FA5ED5"/>
    <w:rsid w:val="00FA658B"/>
    <w:rsid w:val="00FA68D2"/>
    <w:rsid w:val="00FA6E8F"/>
    <w:rsid w:val="00FB139C"/>
    <w:rsid w:val="00FB1D47"/>
    <w:rsid w:val="00FB2219"/>
    <w:rsid w:val="00FB32B3"/>
    <w:rsid w:val="00FB33E8"/>
    <w:rsid w:val="00FB34C3"/>
    <w:rsid w:val="00FB39E9"/>
    <w:rsid w:val="00FB4CC2"/>
    <w:rsid w:val="00FB51CD"/>
    <w:rsid w:val="00FB5DCA"/>
    <w:rsid w:val="00FB62A9"/>
    <w:rsid w:val="00FB6572"/>
    <w:rsid w:val="00FB739A"/>
    <w:rsid w:val="00FB7D0D"/>
    <w:rsid w:val="00FB7E55"/>
    <w:rsid w:val="00FC0E46"/>
    <w:rsid w:val="00FC1063"/>
    <w:rsid w:val="00FC1A1A"/>
    <w:rsid w:val="00FC29B3"/>
    <w:rsid w:val="00FC3E49"/>
    <w:rsid w:val="00FC4814"/>
    <w:rsid w:val="00FC4F68"/>
    <w:rsid w:val="00FC563C"/>
    <w:rsid w:val="00FC612D"/>
    <w:rsid w:val="00FC66FF"/>
    <w:rsid w:val="00FC7652"/>
    <w:rsid w:val="00FC7C3B"/>
    <w:rsid w:val="00FC7F37"/>
    <w:rsid w:val="00FD0557"/>
    <w:rsid w:val="00FD068A"/>
    <w:rsid w:val="00FD08E3"/>
    <w:rsid w:val="00FD0938"/>
    <w:rsid w:val="00FD0949"/>
    <w:rsid w:val="00FD0D54"/>
    <w:rsid w:val="00FD10FF"/>
    <w:rsid w:val="00FD1B77"/>
    <w:rsid w:val="00FD1DF7"/>
    <w:rsid w:val="00FD1E77"/>
    <w:rsid w:val="00FD2D5D"/>
    <w:rsid w:val="00FD3C84"/>
    <w:rsid w:val="00FD48DD"/>
    <w:rsid w:val="00FD49E9"/>
    <w:rsid w:val="00FD5681"/>
    <w:rsid w:val="00FD5784"/>
    <w:rsid w:val="00FD7887"/>
    <w:rsid w:val="00FD7D8D"/>
    <w:rsid w:val="00FE1119"/>
    <w:rsid w:val="00FE16A4"/>
    <w:rsid w:val="00FE48D8"/>
    <w:rsid w:val="00FE5A57"/>
    <w:rsid w:val="00FE6D3D"/>
    <w:rsid w:val="00FE726D"/>
    <w:rsid w:val="00FE7FB4"/>
    <w:rsid w:val="00FF0631"/>
    <w:rsid w:val="00FF0B0D"/>
    <w:rsid w:val="00FF12DD"/>
    <w:rsid w:val="00FF27B8"/>
    <w:rsid w:val="00FF6BA2"/>
    <w:rsid w:val="016A060A"/>
    <w:rsid w:val="01712947"/>
    <w:rsid w:val="01D1C7F0"/>
    <w:rsid w:val="021094E3"/>
    <w:rsid w:val="021BCE94"/>
    <w:rsid w:val="0222D2BC"/>
    <w:rsid w:val="027FFAE9"/>
    <w:rsid w:val="02B24D38"/>
    <w:rsid w:val="02C5FFBD"/>
    <w:rsid w:val="02F4025D"/>
    <w:rsid w:val="02FC178E"/>
    <w:rsid w:val="0309FEDD"/>
    <w:rsid w:val="039BB3AC"/>
    <w:rsid w:val="044FC1A1"/>
    <w:rsid w:val="048FD2BE"/>
    <w:rsid w:val="048FFA69"/>
    <w:rsid w:val="0497E7EF"/>
    <w:rsid w:val="04A8CA09"/>
    <w:rsid w:val="04C08D77"/>
    <w:rsid w:val="051E9AE6"/>
    <w:rsid w:val="051F2961"/>
    <w:rsid w:val="056A5891"/>
    <w:rsid w:val="05C0F5AA"/>
    <w:rsid w:val="05CF4069"/>
    <w:rsid w:val="05D7C982"/>
    <w:rsid w:val="06260EBD"/>
    <w:rsid w:val="062BA31F"/>
    <w:rsid w:val="062BCACA"/>
    <w:rsid w:val="06457DB6"/>
    <w:rsid w:val="067FEECD"/>
    <w:rsid w:val="06FC486D"/>
    <w:rsid w:val="077399E3"/>
    <w:rsid w:val="077B7BB2"/>
    <w:rsid w:val="078A2D88"/>
    <w:rsid w:val="07C79B2B"/>
    <w:rsid w:val="07C91CA7"/>
    <w:rsid w:val="0837B6DC"/>
    <w:rsid w:val="0845E347"/>
    <w:rsid w:val="08BB6849"/>
    <w:rsid w:val="08E1315A"/>
    <w:rsid w:val="090F6A44"/>
    <w:rsid w:val="0948E9D2"/>
    <w:rsid w:val="09D196BF"/>
    <w:rsid w:val="09E1B3A8"/>
    <w:rsid w:val="0A2CCB4B"/>
    <w:rsid w:val="0A3AB951"/>
    <w:rsid w:val="0AA6DB7E"/>
    <w:rsid w:val="0AEEE256"/>
    <w:rsid w:val="0AF9980F"/>
    <w:rsid w:val="0AFF3BED"/>
    <w:rsid w:val="0B0B522F"/>
    <w:rsid w:val="0B7D8409"/>
    <w:rsid w:val="0B8D65D3"/>
    <w:rsid w:val="0BA7CF37"/>
    <w:rsid w:val="0BAFB12A"/>
    <w:rsid w:val="0BBF586A"/>
    <w:rsid w:val="0BF2FEE0"/>
    <w:rsid w:val="0C4AD4B5"/>
    <w:rsid w:val="0CA01DAD"/>
    <w:rsid w:val="0CA2F9D4"/>
    <w:rsid w:val="0CAC4725"/>
    <w:rsid w:val="0D54031E"/>
    <w:rsid w:val="0D7F7D3F"/>
    <w:rsid w:val="0DC94F5E"/>
    <w:rsid w:val="0DD25792"/>
    <w:rsid w:val="0E240C3F"/>
    <w:rsid w:val="0E3ECA35"/>
    <w:rsid w:val="0EDF6FF9"/>
    <w:rsid w:val="0EE4F66A"/>
    <w:rsid w:val="0EFFABFF"/>
    <w:rsid w:val="0F003C6E"/>
    <w:rsid w:val="0F2A46E5"/>
    <w:rsid w:val="0F52935A"/>
    <w:rsid w:val="0F8D7365"/>
    <w:rsid w:val="0FAA6F43"/>
    <w:rsid w:val="0FB78CDB"/>
    <w:rsid w:val="0FD2AD10"/>
    <w:rsid w:val="0FDA9A96"/>
    <w:rsid w:val="0FF5CF85"/>
    <w:rsid w:val="0FFB221C"/>
    <w:rsid w:val="103508E1"/>
    <w:rsid w:val="1050F52C"/>
    <w:rsid w:val="10891A12"/>
    <w:rsid w:val="10E5E8A8"/>
    <w:rsid w:val="1105AB54"/>
    <w:rsid w:val="113514A0"/>
    <w:rsid w:val="116849EF"/>
    <w:rsid w:val="116A9F55"/>
    <w:rsid w:val="116E7D71"/>
    <w:rsid w:val="121012C0"/>
    <w:rsid w:val="121F6D04"/>
    <w:rsid w:val="12322887"/>
    <w:rsid w:val="1284F953"/>
    <w:rsid w:val="12F98D44"/>
    <w:rsid w:val="1380DFF5"/>
    <w:rsid w:val="13A2675E"/>
    <w:rsid w:val="13B3C799"/>
    <w:rsid w:val="14341152"/>
    <w:rsid w:val="14955DA5"/>
    <w:rsid w:val="14AB96DE"/>
    <w:rsid w:val="14AE0BB9"/>
    <w:rsid w:val="1531A517"/>
    <w:rsid w:val="15909FBF"/>
    <w:rsid w:val="15E94871"/>
    <w:rsid w:val="15EFCA9C"/>
    <w:rsid w:val="1641EE94"/>
    <w:rsid w:val="164F962E"/>
    <w:rsid w:val="16B880B7"/>
    <w:rsid w:val="16DA73F4"/>
    <w:rsid w:val="171061D8"/>
    <w:rsid w:val="1725EEBE"/>
    <w:rsid w:val="17ACB751"/>
    <w:rsid w:val="17B195A2"/>
    <w:rsid w:val="17EF9144"/>
    <w:rsid w:val="181C6330"/>
    <w:rsid w:val="185CC7FA"/>
    <w:rsid w:val="18A71EB4"/>
    <w:rsid w:val="18C04711"/>
    <w:rsid w:val="18FEF1FE"/>
    <w:rsid w:val="19026B61"/>
    <w:rsid w:val="190683F5"/>
    <w:rsid w:val="193883AA"/>
    <w:rsid w:val="1961E8AD"/>
    <w:rsid w:val="19AC26A9"/>
    <w:rsid w:val="1A265646"/>
    <w:rsid w:val="1A89C0E2"/>
    <w:rsid w:val="1B155FB7"/>
    <w:rsid w:val="1B4D926A"/>
    <w:rsid w:val="1BA351DA"/>
    <w:rsid w:val="1C26A03C"/>
    <w:rsid w:val="1C7EB239"/>
    <w:rsid w:val="1CB29C71"/>
    <w:rsid w:val="1CE3C76B"/>
    <w:rsid w:val="1D29F1D0"/>
    <w:rsid w:val="1D7A8FD7"/>
    <w:rsid w:val="1D97E0F0"/>
    <w:rsid w:val="1DB49431"/>
    <w:rsid w:val="1DBD873D"/>
    <w:rsid w:val="1DD6848E"/>
    <w:rsid w:val="1DFB127E"/>
    <w:rsid w:val="1E5FAC73"/>
    <w:rsid w:val="1E7F97CC"/>
    <w:rsid w:val="1E8D09D3"/>
    <w:rsid w:val="1EBA1D4A"/>
    <w:rsid w:val="1F2342A9"/>
    <w:rsid w:val="1F33B151"/>
    <w:rsid w:val="1F3DFDF0"/>
    <w:rsid w:val="1F406AAF"/>
    <w:rsid w:val="1F8C6E66"/>
    <w:rsid w:val="1FAEFF76"/>
    <w:rsid w:val="1FEC3C78"/>
    <w:rsid w:val="201B682D"/>
    <w:rsid w:val="207C86BA"/>
    <w:rsid w:val="20E27287"/>
    <w:rsid w:val="21356367"/>
    <w:rsid w:val="221C568A"/>
    <w:rsid w:val="2255EE80"/>
    <w:rsid w:val="22E575DF"/>
    <w:rsid w:val="23055C63"/>
    <w:rsid w:val="23A68CE3"/>
    <w:rsid w:val="24213148"/>
    <w:rsid w:val="24610F0A"/>
    <w:rsid w:val="246A5636"/>
    <w:rsid w:val="24739011"/>
    <w:rsid w:val="24CDC722"/>
    <w:rsid w:val="2500C230"/>
    <w:rsid w:val="250332EC"/>
    <w:rsid w:val="25157C93"/>
    <w:rsid w:val="2570A1FB"/>
    <w:rsid w:val="2572493E"/>
    <w:rsid w:val="258D8F42"/>
    <w:rsid w:val="25ABD19C"/>
    <w:rsid w:val="25AD747F"/>
    <w:rsid w:val="25B96545"/>
    <w:rsid w:val="25EDE06E"/>
    <w:rsid w:val="26713ABB"/>
    <w:rsid w:val="270E199F"/>
    <w:rsid w:val="278B0DEA"/>
    <w:rsid w:val="2792FB3F"/>
    <w:rsid w:val="27930AC6"/>
    <w:rsid w:val="27E8B8D3"/>
    <w:rsid w:val="280567E4"/>
    <w:rsid w:val="286D14CE"/>
    <w:rsid w:val="2933027A"/>
    <w:rsid w:val="2964BB66"/>
    <w:rsid w:val="298365BC"/>
    <w:rsid w:val="29F8C912"/>
    <w:rsid w:val="2A0462BC"/>
    <w:rsid w:val="2A08E52F"/>
    <w:rsid w:val="2A2EED86"/>
    <w:rsid w:val="2A3B89FF"/>
    <w:rsid w:val="2A72113C"/>
    <w:rsid w:val="2AA9C092"/>
    <w:rsid w:val="2AC42F41"/>
    <w:rsid w:val="2B060279"/>
    <w:rsid w:val="2B54CF42"/>
    <w:rsid w:val="2B665CA9"/>
    <w:rsid w:val="2B7A4049"/>
    <w:rsid w:val="2B9C2158"/>
    <w:rsid w:val="2C270AD5"/>
    <w:rsid w:val="2C4590F3"/>
    <w:rsid w:val="2C5D3487"/>
    <w:rsid w:val="2C98D0AB"/>
    <w:rsid w:val="2CA17E88"/>
    <w:rsid w:val="2CB108B5"/>
    <w:rsid w:val="2CF9884D"/>
    <w:rsid w:val="2D089556"/>
    <w:rsid w:val="2D9076CB"/>
    <w:rsid w:val="2E18809B"/>
    <w:rsid w:val="2E203694"/>
    <w:rsid w:val="2E7347A7"/>
    <w:rsid w:val="2E887A26"/>
    <w:rsid w:val="2F45AC5F"/>
    <w:rsid w:val="2F5290B0"/>
    <w:rsid w:val="2FA736EA"/>
    <w:rsid w:val="2FF1D48A"/>
    <w:rsid w:val="303D66F0"/>
    <w:rsid w:val="30786BC1"/>
    <w:rsid w:val="308EAB6F"/>
    <w:rsid w:val="30FFD2A3"/>
    <w:rsid w:val="310D4ADB"/>
    <w:rsid w:val="312DA2AA"/>
    <w:rsid w:val="31BE6859"/>
    <w:rsid w:val="3253F483"/>
    <w:rsid w:val="329B45EE"/>
    <w:rsid w:val="32E592EF"/>
    <w:rsid w:val="3334F8CA"/>
    <w:rsid w:val="3347F587"/>
    <w:rsid w:val="335DA60F"/>
    <w:rsid w:val="33A35FD3"/>
    <w:rsid w:val="3471A3ED"/>
    <w:rsid w:val="34C1B0CC"/>
    <w:rsid w:val="34E51754"/>
    <w:rsid w:val="352E3EE9"/>
    <w:rsid w:val="355D9120"/>
    <w:rsid w:val="35C1D897"/>
    <w:rsid w:val="35CC9781"/>
    <w:rsid w:val="35D846B9"/>
    <w:rsid w:val="36239280"/>
    <w:rsid w:val="3625B3E9"/>
    <w:rsid w:val="36438E60"/>
    <w:rsid w:val="365D812D"/>
    <w:rsid w:val="36A07947"/>
    <w:rsid w:val="36BA2C9F"/>
    <w:rsid w:val="37547EA4"/>
    <w:rsid w:val="375CD486"/>
    <w:rsid w:val="375EE52A"/>
    <w:rsid w:val="37F11ED1"/>
    <w:rsid w:val="37F9518E"/>
    <w:rsid w:val="381A29ED"/>
    <w:rsid w:val="383EE388"/>
    <w:rsid w:val="385E022D"/>
    <w:rsid w:val="3895634B"/>
    <w:rsid w:val="38987000"/>
    <w:rsid w:val="389E9764"/>
    <w:rsid w:val="3952EEF9"/>
    <w:rsid w:val="39665367"/>
    <w:rsid w:val="39BEAC0C"/>
    <w:rsid w:val="3A65F542"/>
    <w:rsid w:val="3A6AAC4E"/>
    <w:rsid w:val="3A885F06"/>
    <w:rsid w:val="3ABD6113"/>
    <w:rsid w:val="3ACF7F53"/>
    <w:rsid w:val="3B06A722"/>
    <w:rsid w:val="3B0C69F9"/>
    <w:rsid w:val="3B16E0CF"/>
    <w:rsid w:val="3B374E49"/>
    <w:rsid w:val="3B3EC6B9"/>
    <w:rsid w:val="3B51CAAF"/>
    <w:rsid w:val="3BC8E844"/>
    <w:rsid w:val="3BD02E1F"/>
    <w:rsid w:val="3C1C9AF4"/>
    <w:rsid w:val="3C242F67"/>
    <w:rsid w:val="3C593174"/>
    <w:rsid w:val="3CB6C98F"/>
    <w:rsid w:val="3CD42DA3"/>
    <w:rsid w:val="3DF501D5"/>
    <w:rsid w:val="3EE6ED0E"/>
    <w:rsid w:val="3FB437C8"/>
    <w:rsid w:val="3FDA1845"/>
    <w:rsid w:val="3FF31D09"/>
    <w:rsid w:val="3FFB0987"/>
    <w:rsid w:val="4002C449"/>
    <w:rsid w:val="401584D1"/>
    <w:rsid w:val="40252FE8"/>
    <w:rsid w:val="40D6AF3D"/>
    <w:rsid w:val="40F7A08A"/>
    <w:rsid w:val="40F97D74"/>
    <w:rsid w:val="41027DEB"/>
    <w:rsid w:val="4167B7E0"/>
    <w:rsid w:val="418600CB"/>
    <w:rsid w:val="41A5BA45"/>
    <w:rsid w:val="41BA7E7E"/>
    <w:rsid w:val="41C10049"/>
    <w:rsid w:val="42166614"/>
    <w:rsid w:val="42611809"/>
    <w:rsid w:val="429370EB"/>
    <w:rsid w:val="42CD598E"/>
    <w:rsid w:val="433A650B"/>
    <w:rsid w:val="43418AA6"/>
    <w:rsid w:val="43584292"/>
    <w:rsid w:val="43A4CC49"/>
    <w:rsid w:val="43C7E992"/>
    <w:rsid w:val="43E7FAC5"/>
    <w:rsid w:val="44266670"/>
    <w:rsid w:val="4441139B"/>
    <w:rsid w:val="444A16A6"/>
    <w:rsid w:val="44C53E91"/>
    <w:rsid w:val="44EE1EA6"/>
    <w:rsid w:val="44F8A10B"/>
    <w:rsid w:val="455F9890"/>
    <w:rsid w:val="4566D5D6"/>
    <w:rsid w:val="45902013"/>
    <w:rsid w:val="45A8FBA7"/>
    <w:rsid w:val="45CB11AD"/>
    <w:rsid w:val="45EF3943"/>
    <w:rsid w:val="463CDFE5"/>
    <w:rsid w:val="46625E8D"/>
    <w:rsid w:val="4689EF07"/>
    <w:rsid w:val="46D92738"/>
    <w:rsid w:val="471C1078"/>
    <w:rsid w:val="4778B45D"/>
    <w:rsid w:val="47DD7431"/>
    <w:rsid w:val="47E683BA"/>
    <w:rsid w:val="47E69D13"/>
    <w:rsid w:val="47FBC7F6"/>
    <w:rsid w:val="483041CD"/>
    <w:rsid w:val="4873AF24"/>
    <w:rsid w:val="48D5BB2F"/>
    <w:rsid w:val="48F4BE2E"/>
    <w:rsid w:val="493549C2"/>
    <w:rsid w:val="495328B5"/>
    <w:rsid w:val="49558695"/>
    <w:rsid w:val="49794492"/>
    <w:rsid w:val="499E32CF"/>
    <w:rsid w:val="49CC122E"/>
    <w:rsid w:val="49DD4D05"/>
    <w:rsid w:val="4A52A6CD"/>
    <w:rsid w:val="4A8CFCD4"/>
    <w:rsid w:val="4AAFD26A"/>
    <w:rsid w:val="4AFBEC96"/>
    <w:rsid w:val="4B008E69"/>
    <w:rsid w:val="4B058478"/>
    <w:rsid w:val="4B2ED43A"/>
    <w:rsid w:val="4B3CDA1B"/>
    <w:rsid w:val="4B4F2BC4"/>
    <w:rsid w:val="4B5D64DE"/>
    <w:rsid w:val="4B7FF1AE"/>
    <w:rsid w:val="4B91D7DF"/>
    <w:rsid w:val="4C38479C"/>
    <w:rsid w:val="4C50661A"/>
    <w:rsid w:val="4C7742C4"/>
    <w:rsid w:val="4C82BAA1"/>
    <w:rsid w:val="4C8CB75D"/>
    <w:rsid w:val="4D03B2F0"/>
    <w:rsid w:val="4D1CDB4D"/>
    <w:rsid w:val="4DA38E44"/>
    <w:rsid w:val="4DC692D4"/>
    <w:rsid w:val="4DD62392"/>
    <w:rsid w:val="4DD92B51"/>
    <w:rsid w:val="4E0A8E96"/>
    <w:rsid w:val="4E4435FA"/>
    <w:rsid w:val="4E9F8351"/>
    <w:rsid w:val="4EBCD46A"/>
    <w:rsid w:val="4F07A962"/>
    <w:rsid w:val="4F0B3C37"/>
    <w:rsid w:val="4F15FE91"/>
    <w:rsid w:val="4F62D16D"/>
    <w:rsid w:val="4FEC5C85"/>
    <w:rsid w:val="501C4BCF"/>
    <w:rsid w:val="5045128F"/>
    <w:rsid w:val="504C35CC"/>
    <w:rsid w:val="50B4F7F1"/>
    <w:rsid w:val="50C5BDD2"/>
    <w:rsid w:val="50DB2F06"/>
    <w:rsid w:val="50DBB837"/>
    <w:rsid w:val="50FE3396"/>
    <w:rsid w:val="510DC454"/>
    <w:rsid w:val="5142CD80"/>
    <w:rsid w:val="51BB9316"/>
    <w:rsid w:val="51C401B2"/>
    <w:rsid w:val="52000694"/>
    <w:rsid w:val="52A994B5"/>
    <w:rsid w:val="52AC399D"/>
    <w:rsid w:val="52B74729"/>
    <w:rsid w:val="52BAE44F"/>
    <w:rsid w:val="52C53BB0"/>
    <w:rsid w:val="5318E8F5"/>
    <w:rsid w:val="5353CD86"/>
    <w:rsid w:val="53569A61"/>
    <w:rsid w:val="535B8991"/>
    <w:rsid w:val="536ADF43"/>
    <w:rsid w:val="53D11B33"/>
    <w:rsid w:val="54139A38"/>
    <w:rsid w:val="542CC295"/>
    <w:rsid w:val="5444A2AF"/>
    <w:rsid w:val="54456516"/>
    <w:rsid w:val="54989374"/>
    <w:rsid w:val="549A0691"/>
    <w:rsid w:val="549BDE18"/>
    <w:rsid w:val="54A73AD7"/>
    <w:rsid w:val="54C6E517"/>
    <w:rsid w:val="54C6E8DD"/>
    <w:rsid w:val="54EF3C7C"/>
    <w:rsid w:val="550C2FF6"/>
    <w:rsid w:val="551A0CD5"/>
    <w:rsid w:val="551FA6EF"/>
    <w:rsid w:val="55392809"/>
    <w:rsid w:val="55412E71"/>
    <w:rsid w:val="557A95AE"/>
    <w:rsid w:val="55ADFA97"/>
    <w:rsid w:val="55E13577"/>
    <w:rsid w:val="55EAC078"/>
    <w:rsid w:val="5602BD39"/>
    <w:rsid w:val="564A25A6"/>
    <w:rsid w:val="5690171D"/>
    <w:rsid w:val="569B5875"/>
    <w:rsid w:val="56A89522"/>
    <w:rsid w:val="5708B5E7"/>
    <w:rsid w:val="571D1890"/>
    <w:rsid w:val="5720D111"/>
    <w:rsid w:val="574B3AFA"/>
    <w:rsid w:val="574F9252"/>
    <w:rsid w:val="579CA40E"/>
    <w:rsid w:val="5843D0B8"/>
    <w:rsid w:val="5860C105"/>
    <w:rsid w:val="58AEA6B5"/>
    <w:rsid w:val="598935C5"/>
    <w:rsid w:val="599498C3"/>
    <w:rsid w:val="59D1C3F2"/>
    <w:rsid w:val="59FB0598"/>
    <w:rsid w:val="5A23DF6F"/>
    <w:rsid w:val="5A758661"/>
    <w:rsid w:val="5ACB856D"/>
    <w:rsid w:val="5B93A9A2"/>
    <w:rsid w:val="5C08FAE3"/>
    <w:rsid w:val="5C610FA1"/>
    <w:rsid w:val="5C83FF96"/>
    <w:rsid w:val="5C8AEEC4"/>
    <w:rsid w:val="5C932B2B"/>
    <w:rsid w:val="5CA31328"/>
    <w:rsid w:val="5CAD366E"/>
    <w:rsid w:val="5CB904B0"/>
    <w:rsid w:val="5D1741DB"/>
    <w:rsid w:val="5D2FF374"/>
    <w:rsid w:val="5D7B8D6E"/>
    <w:rsid w:val="5D7CFFBA"/>
    <w:rsid w:val="5DC29BE7"/>
    <w:rsid w:val="5DEBC34C"/>
    <w:rsid w:val="5DF7646B"/>
    <w:rsid w:val="5E1ED484"/>
    <w:rsid w:val="5E452B70"/>
    <w:rsid w:val="5E8272E0"/>
    <w:rsid w:val="5EA2CD98"/>
    <w:rsid w:val="5EA88FE4"/>
    <w:rsid w:val="5EB9CFD7"/>
    <w:rsid w:val="5F7D16ED"/>
    <w:rsid w:val="5FA6DDEE"/>
    <w:rsid w:val="601E792C"/>
    <w:rsid w:val="6055A038"/>
    <w:rsid w:val="60A68C3B"/>
    <w:rsid w:val="60BD0D43"/>
    <w:rsid w:val="60C7D212"/>
    <w:rsid w:val="60CCA035"/>
    <w:rsid w:val="611E622F"/>
    <w:rsid w:val="616E9B2F"/>
    <w:rsid w:val="61723B47"/>
    <w:rsid w:val="61C2D455"/>
    <w:rsid w:val="61C3BF7C"/>
    <w:rsid w:val="61F17099"/>
    <w:rsid w:val="62919DBC"/>
    <w:rsid w:val="629376FB"/>
    <w:rsid w:val="62CFDBE3"/>
    <w:rsid w:val="6357F76F"/>
    <w:rsid w:val="636F3B83"/>
    <w:rsid w:val="63D742A8"/>
    <w:rsid w:val="63ECF6D8"/>
    <w:rsid w:val="640D8613"/>
    <w:rsid w:val="6461956F"/>
    <w:rsid w:val="64633808"/>
    <w:rsid w:val="646559A2"/>
    <w:rsid w:val="64AB7675"/>
    <w:rsid w:val="6529D58A"/>
    <w:rsid w:val="65362376"/>
    <w:rsid w:val="656DF55E"/>
    <w:rsid w:val="6591AE67"/>
    <w:rsid w:val="66073CED"/>
    <w:rsid w:val="66164FE6"/>
    <w:rsid w:val="66338132"/>
    <w:rsid w:val="667D017F"/>
    <w:rsid w:val="6684F6D7"/>
    <w:rsid w:val="6685E015"/>
    <w:rsid w:val="6689B3A6"/>
    <w:rsid w:val="66D4CC52"/>
    <w:rsid w:val="66EA6D4C"/>
    <w:rsid w:val="66EEBA49"/>
    <w:rsid w:val="6707E596"/>
    <w:rsid w:val="6733E26E"/>
    <w:rsid w:val="6762DEC5"/>
    <w:rsid w:val="6772043A"/>
    <w:rsid w:val="678A2974"/>
    <w:rsid w:val="67A3411C"/>
    <w:rsid w:val="67B22047"/>
    <w:rsid w:val="680EDADA"/>
    <w:rsid w:val="681A7603"/>
    <w:rsid w:val="6821B076"/>
    <w:rsid w:val="6824F125"/>
    <w:rsid w:val="686DC438"/>
    <w:rsid w:val="68764B24"/>
    <w:rsid w:val="68C2D2A1"/>
    <w:rsid w:val="693723F7"/>
    <w:rsid w:val="6955E93F"/>
    <w:rsid w:val="69B04559"/>
    <w:rsid w:val="69C6B06D"/>
    <w:rsid w:val="69CAB5B0"/>
    <w:rsid w:val="6A1D52B6"/>
    <w:rsid w:val="6AA0ED0C"/>
    <w:rsid w:val="6AAF27BB"/>
    <w:rsid w:val="6AD4C1C2"/>
    <w:rsid w:val="6ADAEDC8"/>
    <w:rsid w:val="6B10C71B"/>
    <w:rsid w:val="6B23EE64"/>
    <w:rsid w:val="6BAE69BD"/>
    <w:rsid w:val="6BC4612B"/>
    <w:rsid w:val="6C12C629"/>
    <w:rsid w:val="6C3AD47F"/>
    <w:rsid w:val="6C6EC4B9"/>
    <w:rsid w:val="6C8B01FB"/>
    <w:rsid w:val="6C8F2D33"/>
    <w:rsid w:val="6CF73C26"/>
    <w:rsid w:val="6D4AFFCB"/>
    <w:rsid w:val="6D8225A3"/>
    <w:rsid w:val="6DA55388"/>
    <w:rsid w:val="6DCDBD62"/>
    <w:rsid w:val="6DEE35B0"/>
    <w:rsid w:val="6E615237"/>
    <w:rsid w:val="6E66B8E0"/>
    <w:rsid w:val="6F3390A0"/>
    <w:rsid w:val="6F7C4022"/>
    <w:rsid w:val="6FA3D09C"/>
    <w:rsid w:val="6FD583EA"/>
    <w:rsid w:val="6FEDA61C"/>
    <w:rsid w:val="70020623"/>
    <w:rsid w:val="701BA9E5"/>
    <w:rsid w:val="706BFADB"/>
    <w:rsid w:val="707609A0"/>
    <w:rsid w:val="7099F17B"/>
    <w:rsid w:val="714A2362"/>
    <w:rsid w:val="715B057C"/>
    <w:rsid w:val="71628558"/>
    <w:rsid w:val="71E9F98C"/>
    <w:rsid w:val="7214A67E"/>
    <w:rsid w:val="72812B5B"/>
    <w:rsid w:val="728F9F25"/>
    <w:rsid w:val="72DE063D"/>
    <w:rsid w:val="72E48149"/>
    <w:rsid w:val="7363FE78"/>
    <w:rsid w:val="73BA8F2E"/>
    <w:rsid w:val="74257902"/>
    <w:rsid w:val="742D931C"/>
    <w:rsid w:val="744D55C3"/>
    <w:rsid w:val="7479D69E"/>
    <w:rsid w:val="74F19E17"/>
    <w:rsid w:val="74F9483B"/>
    <w:rsid w:val="75315597"/>
    <w:rsid w:val="755310E5"/>
    <w:rsid w:val="755DCC65"/>
    <w:rsid w:val="759ED7B1"/>
    <w:rsid w:val="75CD11DC"/>
    <w:rsid w:val="7600B6D4"/>
    <w:rsid w:val="76468A90"/>
    <w:rsid w:val="76E817A1"/>
    <w:rsid w:val="76EDBC0A"/>
    <w:rsid w:val="76F6307D"/>
    <w:rsid w:val="76F87208"/>
    <w:rsid w:val="770998F0"/>
    <w:rsid w:val="776436F4"/>
    <w:rsid w:val="77AEE281"/>
    <w:rsid w:val="77C2BE92"/>
    <w:rsid w:val="77CA4700"/>
    <w:rsid w:val="784B6B08"/>
    <w:rsid w:val="787C44CA"/>
    <w:rsid w:val="788BD588"/>
    <w:rsid w:val="78BE62B0"/>
    <w:rsid w:val="78E3F1B4"/>
    <w:rsid w:val="79126ED6"/>
    <w:rsid w:val="79661761"/>
    <w:rsid w:val="798D7B15"/>
    <w:rsid w:val="79DBDB82"/>
    <w:rsid w:val="79F94837"/>
    <w:rsid w:val="7A1EDBA0"/>
    <w:rsid w:val="7A8CC5A8"/>
    <w:rsid w:val="7BA23D4F"/>
    <w:rsid w:val="7BB28A1B"/>
    <w:rsid w:val="7C0BDDBA"/>
    <w:rsid w:val="7C2AB2D2"/>
    <w:rsid w:val="7C39BF10"/>
    <w:rsid w:val="7C6E71E9"/>
    <w:rsid w:val="7C84E883"/>
    <w:rsid w:val="7C9DB823"/>
    <w:rsid w:val="7D4FB5ED"/>
    <w:rsid w:val="7D6A90EE"/>
    <w:rsid w:val="7DA7AE1B"/>
    <w:rsid w:val="7DDF7C6B"/>
    <w:rsid w:val="7DED96FC"/>
    <w:rsid w:val="7DF26B70"/>
    <w:rsid w:val="7E4564A8"/>
    <w:rsid w:val="7EAC50A5"/>
    <w:rsid w:val="7F2E1F0A"/>
    <w:rsid w:val="7F40043B"/>
    <w:rsid w:val="7F437E7C"/>
    <w:rsid w:val="7F72CC3D"/>
    <w:rsid w:val="7F7559DC"/>
    <w:rsid w:val="7FCE35A8"/>
    <w:rsid w:val="7FCE8156"/>
    <w:rsid w:val="7FD558E5"/>
    <w:rsid w:val="7FD78B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EFAD65"/>
  <w15:chartTrackingRefBased/>
  <w15:docId w15:val="{C2BD76D5-B285-437E-A523-78E44979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E12EE"/>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175B64"/>
    <w:pPr>
      <w:keepNext/>
      <w:numPr>
        <w:numId w:val="16"/>
      </w:numPr>
      <w:outlineLvl w:val="0"/>
    </w:pPr>
    <w:rPr>
      <w:b/>
      <w:u w:val="single"/>
    </w:rPr>
  </w:style>
  <w:style w:type="paragraph" w:styleId="Heading2">
    <w:name w:val="heading 2"/>
    <w:basedOn w:val="Normal"/>
    <w:next w:val="Normal"/>
    <w:link w:val="Heading2Char"/>
    <w:autoRedefine/>
    <w:uiPriority w:val="9"/>
    <w:unhideWhenUsed/>
    <w:qFormat/>
    <w:rsid w:val="00220A78"/>
    <w:pPr>
      <w:keepNext/>
      <w:keepLines/>
      <w:outlineLvl w:val="1"/>
    </w:pPr>
    <w:rPr>
      <w:rFonts w:eastAsiaTheme="majorEastAsia" w:cstheme="majorBidi"/>
      <w:b/>
      <w:szCs w:val="22"/>
    </w:rPr>
  </w:style>
  <w:style w:type="paragraph" w:styleId="Heading3">
    <w:name w:val="heading 3"/>
    <w:basedOn w:val="Normal"/>
    <w:next w:val="Normal"/>
    <w:link w:val="Heading3Char"/>
    <w:uiPriority w:val="9"/>
    <w:semiHidden/>
    <w:unhideWhenUsed/>
    <w:qFormat/>
    <w:rsid w:val="00175B64"/>
    <w:pPr>
      <w:keepNext/>
      <w:keepLines/>
      <w:numPr>
        <w:ilvl w:val="2"/>
        <w:numId w:val="16"/>
      </w:numPr>
      <w:tabs>
        <w:tab w:val="num" w:pos="360"/>
      </w:tabs>
      <w:spacing w:before="40"/>
      <w:ind w:left="0" w:firstLine="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175B64"/>
    <w:pPr>
      <w:keepNext/>
      <w:keepLines/>
      <w:numPr>
        <w:ilvl w:val="3"/>
        <w:numId w:val="16"/>
      </w:numPr>
      <w:tabs>
        <w:tab w:val="num" w:pos="360"/>
      </w:tabs>
      <w:spacing w:before="40"/>
      <w:ind w:left="0" w:firstLine="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75B64"/>
    <w:pPr>
      <w:keepNext/>
      <w:keepLines/>
      <w:numPr>
        <w:ilvl w:val="4"/>
        <w:numId w:val="16"/>
      </w:numPr>
      <w:tabs>
        <w:tab w:val="num" w:pos="360"/>
      </w:tabs>
      <w:spacing w:before="40"/>
      <w:ind w:left="0" w:firstLine="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75B64"/>
    <w:pPr>
      <w:keepNext/>
      <w:keepLines/>
      <w:numPr>
        <w:ilvl w:val="5"/>
        <w:numId w:val="16"/>
      </w:numPr>
      <w:tabs>
        <w:tab w:val="num" w:pos="360"/>
      </w:tabs>
      <w:spacing w:before="40"/>
      <w:ind w:left="0" w:firstLine="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75B64"/>
    <w:pPr>
      <w:keepNext/>
      <w:keepLines/>
      <w:numPr>
        <w:ilvl w:val="6"/>
        <w:numId w:val="16"/>
      </w:numPr>
      <w:tabs>
        <w:tab w:val="num" w:pos="360"/>
      </w:tabs>
      <w:spacing w:before="40"/>
      <w:ind w:left="0" w:firstLine="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75B64"/>
    <w:pPr>
      <w:keepNext/>
      <w:keepLines/>
      <w:numPr>
        <w:ilvl w:val="7"/>
        <w:numId w:val="16"/>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5B64"/>
    <w:pPr>
      <w:keepNext/>
      <w:keepLines/>
      <w:numPr>
        <w:ilvl w:val="8"/>
        <w:numId w:val="16"/>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B64"/>
    <w:rPr>
      <w:rFonts w:ascii="Times New Roman" w:eastAsia="Times New Roman" w:hAnsi="Times New Roman" w:cs="Times New Roman"/>
      <w:b/>
      <w:sz w:val="24"/>
      <w:szCs w:val="24"/>
      <w:u w:val="single"/>
      <w:lang w:val="fr-FR" w:eastAsia="fr-FR"/>
    </w:rPr>
  </w:style>
  <w:style w:type="character" w:customStyle="1" w:styleId="Heading2Char">
    <w:name w:val="Heading 2 Char"/>
    <w:basedOn w:val="DefaultParagraphFont"/>
    <w:link w:val="Heading2"/>
    <w:uiPriority w:val="9"/>
    <w:rsid w:val="00220A78"/>
    <w:rPr>
      <w:rFonts w:ascii="Times New Roman" w:eastAsiaTheme="majorEastAsia" w:hAnsi="Times New Roman" w:cstheme="majorBidi"/>
      <w:b/>
      <w:sz w:val="24"/>
      <w:lang w:val="fr-FR" w:eastAsia="fr-FR"/>
    </w:rPr>
  </w:style>
  <w:style w:type="character" w:customStyle="1" w:styleId="Heading3Char">
    <w:name w:val="Heading 3 Char"/>
    <w:basedOn w:val="DefaultParagraphFont"/>
    <w:link w:val="Heading3"/>
    <w:uiPriority w:val="9"/>
    <w:semiHidden/>
    <w:rsid w:val="00175B64"/>
    <w:rPr>
      <w:rFonts w:asciiTheme="majorHAnsi" w:eastAsiaTheme="majorEastAsia" w:hAnsiTheme="majorHAnsi" w:cstheme="majorBidi"/>
      <w:color w:val="1F4D78" w:themeColor="accent1" w:themeShade="7F"/>
      <w:sz w:val="24"/>
      <w:szCs w:val="24"/>
      <w:lang w:val="fr-FR" w:eastAsia="fr-FR"/>
    </w:rPr>
  </w:style>
  <w:style w:type="character" w:customStyle="1" w:styleId="Heading4Char">
    <w:name w:val="Heading 4 Char"/>
    <w:basedOn w:val="DefaultParagraphFont"/>
    <w:link w:val="Heading4"/>
    <w:uiPriority w:val="9"/>
    <w:semiHidden/>
    <w:rsid w:val="00175B64"/>
    <w:rPr>
      <w:rFonts w:asciiTheme="majorHAnsi" w:eastAsiaTheme="majorEastAsia" w:hAnsiTheme="majorHAnsi" w:cstheme="majorBidi"/>
      <w:i/>
      <w:iCs/>
      <w:color w:val="2E74B5" w:themeColor="accent1" w:themeShade="BF"/>
      <w:sz w:val="24"/>
      <w:szCs w:val="24"/>
      <w:lang w:val="fr-FR" w:eastAsia="fr-FR"/>
    </w:rPr>
  </w:style>
  <w:style w:type="character" w:customStyle="1" w:styleId="Heading5Char">
    <w:name w:val="Heading 5 Char"/>
    <w:basedOn w:val="DefaultParagraphFont"/>
    <w:link w:val="Heading5"/>
    <w:uiPriority w:val="9"/>
    <w:semiHidden/>
    <w:rsid w:val="00175B64"/>
    <w:rPr>
      <w:rFonts w:asciiTheme="majorHAnsi" w:eastAsiaTheme="majorEastAsia" w:hAnsiTheme="majorHAnsi" w:cstheme="majorBidi"/>
      <w:color w:val="2E74B5" w:themeColor="accent1" w:themeShade="BF"/>
      <w:sz w:val="24"/>
      <w:szCs w:val="24"/>
      <w:lang w:val="fr-FR" w:eastAsia="fr-FR"/>
    </w:rPr>
  </w:style>
  <w:style w:type="character" w:customStyle="1" w:styleId="Heading6Char">
    <w:name w:val="Heading 6 Char"/>
    <w:basedOn w:val="DefaultParagraphFont"/>
    <w:link w:val="Heading6"/>
    <w:uiPriority w:val="9"/>
    <w:semiHidden/>
    <w:rsid w:val="00175B64"/>
    <w:rPr>
      <w:rFonts w:asciiTheme="majorHAnsi" w:eastAsiaTheme="majorEastAsia" w:hAnsiTheme="majorHAnsi" w:cstheme="majorBidi"/>
      <w:color w:val="1F4D78" w:themeColor="accent1" w:themeShade="7F"/>
      <w:sz w:val="24"/>
      <w:szCs w:val="24"/>
      <w:lang w:val="fr-FR" w:eastAsia="fr-FR"/>
    </w:rPr>
  </w:style>
  <w:style w:type="character" w:customStyle="1" w:styleId="Heading7Char">
    <w:name w:val="Heading 7 Char"/>
    <w:basedOn w:val="DefaultParagraphFont"/>
    <w:link w:val="Heading7"/>
    <w:uiPriority w:val="9"/>
    <w:semiHidden/>
    <w:rsid w:val="00175B64"/>
    <w:rPr>
      <w:rFonts w:asciiTheme="majorHAnsi" w:eastAsiaTheme="majorEastAsia" w:hAnsiTheme="majorHAnsi" w:cstheme="majorBidi"/>
      <w:i/>
      <w:iCs/>
      <w:color w:val="1F4D78" w:themeColor="accent1" w:themeShade="7F"/>
      <w:sz w:val="24"/>
      <w:szCs w:val="24"/>
      <w:lang w:val="fr-FR" w:eastAsia="fr-FR"/>
    </w:rPr>
  </w:style>
  <w:style w:type="character" w:customStyle="1" w:styleId="Heading8Char">
    <w:name w:val="Heading 8 Char"/>
    <w:basedOn w:val="DefaultParagraphFont"/>
    <w:link w:val="Heading8"/>
    <w:uiPriority w:val="9"/>
    <w:semiHidden/>
    <w:rsid w:val="00175B64"/>
    <w:rPr>
      <w:rFonts w:asciiTheme="majorHAnsi" w:eastAsiaTheme="majorEastAsia" w:hAnsiTheme="majorHAnsi" w:cstheme="majorBidi"/>
      <w:color w:val="272727" w:themeColor="text1" w:themeTint="D8"/>
      <w:sz w:val="21"/>
      <w:szCs w:val="21"/>
      <w:lang w:val="fr-FR" w:eastAsia="fr-FR"/>
    </w:rPr>
  </w:style>
  <w:style w:type="character" w:customStyle="1" w:styleId="Heading9Char">
    <w:name w:val="Heading 9 Char"/>
    <w:basedOn w:val="DefaultParagraphFont"/>
    <w:link w:val="Heading9"/>
    <w:uiPriority w:val="9"/>
    <w:semiHidden/>
    <w:rsid w:val="00175B64"/>
    <w:rPr>
      <w:rFonts w:asciiTheme="majorHAnsi" w:eastAsiaTheme="majorEastAsia" w:hAnsiTheme="majorHAnsi" w:cstheme="majorBidi"/>
      <w:i/>
      <w:iCs/>
      <w:color w:val="272727" w:themeColor="text1" w:themeTint="D8"/>
      <w:sz w:val="21"/>
      <w:szCs w:val="21"/>
      <w:lang w:val="fr-FR" w:eastAsia="fr-FR"/>
    </w:rPr>
  </w:style>
  <w:style w:type="paragraph" w:styleId="Footer">
    <w:name w:val="footer"/>
    <w:basedOn w:val="Normal"/>
    <w:link w:val="FooterChar"/>
    <w:uiPriority w:val="99"/>
    <w:rsid w:val="00175B64"/>
    <w:pPr>
      <w:tabs>
        <w:tab w:val="center" w:pos="4536"/>
        <w:tab w:val="right" w:pos="9072"/>
      </w:tabs>
    </w:pPr>
  </w:style>
  <w:style w:type="character" w:customStyle="1" w:styleId="FooterChar">
    <w:name w:val="Footer Char"/>
    <w:basedOn w:val="DefaultParagraphFont"/>
    <w:link w:val="Footer"/>
    <w:uiPriority w:val="99"/>
    <w:rsid w:val="00175B64"/>
    <w:rPr>
      <w:rFonts w:ascii="Times New Roman" w:eastAsia="Times New Roman" w:hAnsi="Times New Roman" w:cs="Times New Roman"/>
      <w:sz w:val="24"/>
      <w:szCs w:val="24"/>
      <w:lang w:val="fr-FR" w:eastAsia="fr-FR"/>
    </w:rPr>
  </w:style>
  <w:style w:type="character" w:styleId="PageNumber">
    <w:name w:val="page number"/>
    <w:basedOn w:val="DefaultParagraphFont"/>
    <w:rsid w:val="00175B64"/>
  </w:style>
  <w:style w:type="paragraph" w:styleId="BodyText">
    <w:name w:val="Body Text"/>
    <w:basedOn w:val="Normal"/>
    <w:link w:val="BodyTextChar"/>
    <w:rsid w:val="00175B64"/>
    <w:rPr>
      <w:szCs w:val="20"/>
    </w:rPr>
  </w:style>
  <w:style w:type="character" w:customStyle="1" w:styleId="BodyTextChar">
    <w:name w:val="Body Text Char"/>
    <w:basedOn w:val="DefaultParagraphFont"/>
    <w:link w:val="BodyText"/>
    <w:rsid w:val="00175B64"/>
    <w:rPr>
      <w:rFonts w:ascii="Times New Roman" w:eastAsia="Times New Roman" w:hAnsi="Times New Roman" w:cs="Times New Roman"/>
      <w:sz w:val="24"/>
      <w:szCs w:val="20"/>
      <w:lang w:eastAsia="fr-FR"/>
    </w:rPr>
  </w:style>
  <w:style w:type="character" w:styleId="Hyperlink">
    <w:name w:val="Hyperlink"/>
    <w:uiPriority w:val="99"/>
    <w:rsid w:val="00175B64"/>
    <w:rPr>
      <w:color w:val="0000FF"/>
      <w:u w:val="single"/>
    </w:rPr>
  </w:style>
  <w:style w:type="paragraph" w:styleId="BlockText">
    <w:name w:val="Block Text"/>
    <w:basedOn w:val="Normal"/>
    <w:rsid w:val="00175B64"/>
    <w:pPr>
      <w:tabs>
        <w:tab w:val="left" w:pos="0"/>
      </w:tabs>
      <w:suppressAutoHyphens/>
      <w:ind w:left="340" w:right="340"/>
      <w:jc w:val="both"/>
    </w:pPr>
    <w:rPr>
      <w:szCs w:val="20"/>
      <w:lang w:eastAsia="en-US"/>
    </w:rPr>
  </w:style>
  <w:style w:type="paragraph" w:styleId="TOC1">
    <w:name w:val="toc 1"/>
    <w:basedOn w:val="Normal"/>
    <w:next w:val="Normal"/>
    <w:autoRedefine/>
    <w:uiPriority w:val="39"/>
    <w:rsid w:val="00175B64"/>
    <w:pPr>
      <w:tabs>
        <w:tab w:val="left" w:pos="480"/>
        <w:tab w:val="left" w:pos="960"/>
        <w:tab w:val="right" w:leader="dot" w:pos="9060"/>
      </w:tabs>
    </w:pPr>
    <w:rPr>
      <w:rFonts w:ascii="Century Gothic" w:hAnsi="Century Gothic"/>
      <w:b/>
      <w:bCs/>
      <w:caps/>
      <w:noProof/>
      <w:sz w:val="22"/>
      <w:szCs w:val="22"/>
    </w:rPr>
  </w:style>
  <w:style w:type="paragraph" w:styleId="Header">
    <w:name w:val="header"/>
    <w:basedOn w:val="Normal"/>
    <w:link w:val="HeaderChar"/>
    <w:rsid w:val="00175B64"/>
    <w:pPr>
      <w:tabs>
        <w:tab w:val="center" w:pos="4153"/>
        <w:tab w:val="right" w:pos="8306"/>
      </w:tabs>
    </w:pPr>
  </w:style>
  <w:style w:type="character" w:customStyle="1" w:styleId="HeaderChar">
    <w:name w:val="Header Char"/>
    <w:basedOn w:val="DefaultParagraphFont"/>
    <w:link w:val="Header"/>
    <w:rsid w:val="00175B64"/>
    <w:rPr>
      <w:rFonts w:ascii="Times New Roman" w:eastAsia="Times New Roman" w:hAnsi="Times New Roman" w:cs="Times New Roman"/>
      <w:sz w:val="24"/>
      <w:szCs w:val="24"/>
      <w:lang w:val="fr-FR" w:eastAsia="fr-FR"/>
    </w:rPr>
  </w:style>
  <w:style w:type="table" w:styleId="TableGrid">
    <w:name w:val="Table Grid"/>
    <w:basedOn w:val="TableNormal"/>
    <w:uiPriority w:val="39"/>
    <w:rsid w:val="00175B64"/>
    <w:pPr>
      <w:spacing w:after="0" w:line="240" w:lineRule="auto"/>
    </w:pPr>
    <w:rPr>
      <w:rFonts w:ascii="Times New Roman" w:eastAsia="Times New Roman" w:hAnsi="Times New Roman" w:cs="Times New Roman"/>
      <w:sz w:val="18"/>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175B64"/>
    <w:rPr>
      <w:sz w:val="16"/>
      <w:szCs w:val="16"/>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FR"/>
    <w:link w:val="FootnoteReferenceCharCarCharCharCarCharCarCharCarCharCarCharCharCarCarCharCharCharCharCharCarCharCarCharCharCarCharCar"/>
    <w:uiPriority w:val="99"/>
    <w:qFormat/>
    <w:rsid w:val="00175B64"/>
    <w:rPr>
      <w:vertAlign w:val="superscript"/>
    </w:rPr>
  </w:style>
  <w:style w:type="paragraph" w:styleId="ListParagraph">
    <w:name w:val="List Paragraph"/>
    <w:aliases w:val="Heading 2_sj,List Paragraph1,Numbered Para 1,Dot pt,No Spacing1,List Paragraph Char Char Char,Indicator Text,Bullet 1,Bullet Points,MAIN CONTENT,List Paragraph12,F5 List Paragraph,Reference list,Source"/>
    <w:basedOn w:val="Normal"/>
    <w:link w:val="ListParagraphChar"/>
    <w:uiPriority w:val="34"/>
    <w:qFormat/>
    <w:rsid w:val="00175B64"/>
    <w:pPr>
      <w:ind w:left="720"/>
      <w:contextualSpacing/>
      <w:jc w:val="both"/>
    </w:pPr>
    <w:rPr>
      <w:sz w:val="22"/>
      <w:szCs w:val="20"/>
    </w:rPr>
  </w:style>
  <w:style w:type="paragraph" w:styleId="FootnoteText">
    <w:name w:val="footnote text"/>
    <w:aliases w:val="M Footnotes,Fußnotentextf,Footnote,Fußnote,Char Char Car,Note de bas de page Car Car Car Car Car Car Car Car Car Car,Note de bas de page Car Car Car Car,Note de bas de page Car Car Car Car Car Car Car Car Car,ft,fn,o,f,Footnote Text Char1"/>
    <w:basedOn w:val="Normal"/>
    <w:link w:val="FootnoteTextChar"/>
    <w:uiPriority w:val="99"/>
    <w:qFormat/>
    <w:rsid w:val="00175B64"/>
    <w:pPr>
      <w:jc w:val="both"/>
    </w:pPr>
    <w:rPr>
      <w:sz w:val="18"/>
      <w:szCs w:val="22"/>
    </w:rPr>
  </w:style>
  <w:style w:type="character" w:customStyle="1" w:styleId="FootnoteTextChar">
    <w:name w:val="Footnote Text Char"/>
    <w:aliases w:val="M Footnotes Char,Fußnotentextf Char,Footnote Char,Fußnote Char,Char Char Car Char,Note de bas de page Car Car Car Car Car Car Car Car Car Car Char,Note de bas de page Car Car Car Car Char,ft Char,fn Char,o Char,f Char"/>
    <w:basedOn w:val="DefaultParagraphFont"/>
    <w:link w:val="FootnoteText"/>
    <w:uiPriority w:val="99"/>
    <w:qFormat/>
    <w:rsid w:val="00175B64"/>
    <w:rPr>
      <w:rFonts w:ascii="Times New Roman" w:eastAsia="Times New Roman" w:hAnsi="Times New Roman" w:cs="Times New Roman"/>
      <w:sz w:val="18"/>
      <w:lang w:val="fr-FR" w:eastAsia="fr-FR"/>
    </w:rPr>
  </w:style>
  <w:style w:type="paragraph" w:customStyle="1" w:styleId="MBT">
    <w:name w:val="M BT"/>
    <w:basedOn w:val="Normal"/>
    <w:link w:val="MBTChar"/>
    <w:qFormat/>
    <w:rsid w:val="00175B64"/>
    <w:pPr>
      <w:widowControl w:val="0"/>
      <w:jc w:val="both"/>
    </w:pPr>
    <w:rPr>
      <w:bCs/>
      <w:sz w:val="22"/>
      <w:szCs w:val="22"/>
    </w:rPr>
  </w:style>
  <w:style w:type="character" w:customStyle="1" w:styleId="MBTChar">
    <w:name w:val="M BT Char"/>
    <w:link w:val="MBT"/>
    <w:rsid w:val="00175B64"/>
    <w:rPr>
      <w:rFonts w:ascii="Times New Roman" w:eastAsia="Times New Roman" w:hAnsi="Times New Roman" w:cs="Times New Roman"/>
      <w:bCs/>
      <w:lang w:eastAsia="fr-FR"/>
    </w:rPr>
  </w:style>
  <w:style w:type="paragraph" w:customStyle="1" w:styleId="MH1nonumb">
    <w:name w:val="M H 1 no numb"/>
    <w:basedOn w:val="Normal"/>
    <w:next w:val="MBT"/>
    <w:link w:val="MH1nonumbChar"/>
    <w:qFormat/>
    <w:rsid w:val="00175B64"/>
    <w:pPr>
      <w:keepNext/>
      <w:pageBreakBefore/>
      <w:spacing w:after="480"/>
      <w:jc w:val="both"/>
      <w:outlineLvl w:val="0"/>
    </w:pPr>
    <w:rPr>
      <w:rFonts w:ascii="Century Gothic" w:hAnsi="Century Gothic"/>
      <w:b/>
      <w:caps/>
    </w:rPr>
  </w:style>
  <w:style w:type="character" w:customStyle="1" w:styleId="MH1nonumbChar">
    <w:name w:val="M H 1 no numb Char"/>
    <w:link w:val="MH1nonumb"/>
    <w:rsid w:val="00175B64"/>
    <w:rPr>
      <w:rFonts w:ascii="Century Gothic" w:eastAsia="Times New Roman" w:hAnsi="Century Gothic" w:cs="Times New Roman"/>
      <w:b/>
      <w:caps/>
      <w:sz w:val="24"/>
      <w:szCs w:val="24"/>
      <w:lang w:val="fr-FR" w:eastAsia="fr-FR"/>
    </w:rPr>
  </w:style>
  <w:style w:type="character" w:customStyle="1" w:styleId="ListParagraphChar">
    <w:name w:val="List Paragraph Char"/>
    <w:aliases w:val="Heading 2_sj Char,List Paragraph1 Char,Numbered Para 1 Char,Dot pt Char,No Spacing1 Char,List Paragraph Char Char Char Char,Indicator Text Char,Bullet 1 Char,Bullet Points Char,MAIN CONTENT Char,List Paragraph12 Char,Source Char"/>
    <w:basedOn w:val="DefaultParagraphFont"/>
    <w:link w:val="ListParagraph"/>
    <w:uiPriority w:val="34"/>
    <w:qFormat/>
    <w:rsid w:val="00175B64"/>
    <w:rPr>
      <w:rFonts w:ascii="Times New Roman" w:eastAsia="Times New Roman" w:hAnsi="Times New Roman" w:cs="Times New Roman"/>
      <w:szCs w:val="20"/>
      <w:lang w:val="fr-FR" w:eastAsia="fr-FR"/>
    </w:rPr>
  </w:style>
  <w:style w:type="paragraph" w:styleId="BalloonText">
    <w:name w:val="Balloon Text"/>
    <w:basedOn w:val="Normal"/>
    <w:link w:val="BalloonTextChar"/>
    <w:uiPriority w:val="99"/>
    <w:semiHidden/>
    <w:unhideWhenUsed/>
    <w:rsid w:val="00175B64"/>
    <w:rPr>
      <w:rFonts w:ascii="Tahoma" w:hAnsi="Tahoma" w:cs="Tahoma"/>
      <w:sz w:val="16"/>
      <w:szCs w:val="16"/>
    </w:rPr>
  </w:style>
  <w:style w:type="character" w:customStyle="1" w:styleId="BalloonTextChar">
    <w:name w:val="Balloon Text Char"/>
    <w:basedOn w:val="DefaultParagraphFont"/>
    <w:link w:val="BalloonText"/>
    <w:uiPriority w:val="99"/>
    <w:semiHidden/>
    <w:rsid w:val="00175B64"/>
    <w:rPr>
      <w:rFonts w:ascii="Tahoma" w:eastAsia="Times New Roman" w:hAnsi="Tahoma" w:cs="Tahoma"/>
      <w:sz w:val="16"/>
      <w:szCs w:val="16"/>
      <w:lang w:val="fr-FR" w:eastAsia="fr-FR"/>
    </w:rPr>
  </w:style>
  <w:style w:type="paragraph" w:styleId="CommentText">
    <w:name w:val="annotation text"/>
    <w:basedOn w:val="Normal"/>
    <w:link w:val="CommentTextChar"/>
    <w:uiPriority w:val="99"/>
    <w:unhideWhenUsed/>
    <w:rsid w:val="00175B64"/>
    <w:rPr>
      <w:sz w:val="20"/>
      <w:szCs w:val="20"/>
    </w:rPr>
  </w:style>
  <w:style w:type="character" w:customStyle="1" w:styleId="CommentTextChar">
    <w:name w:val="Comment Text Char"/>
    <w:basedOn w:val="DefaultParagraphFont"/>
    <w:link w:val="CommentText"/>
    <w:uiPriority w:val="99"/>
    <w:rsid w:val="00175B64"/>
    <w:rPr>
      <w:rFonts w:ascii="Times New Roman" w:eastAsia="Times New Roman" w:hAnsi="Times New Roman" w:cs="Times New Roman"/>
      <w:sz w:val="20"/>
      <w:szCs w:val="20"/>
      <w:lang w:val="fr-FR" w:eastAsia="fr-FR"/>
    </w:rPr>
  </w:style>
  <w:style w:type="paragraph" w:styleId="CommentSubject">
    <w:name w:val="annotation subject"/>
    <w:basedOn w:val="CommentText"/>
    <w:next w:val="CommentText"/>
    <w:link w:val="CommentSubjectChar"/>
    <w:uiPriority w:val="99"/>
    <w:semiHidden/>
    <w:unhideWhenUsed/>
    <w:rsid w:val="00175B64"/>
    <w:rPr>
      <w:b/>
      <w:bCs/>
    </w:rPr>
  </w:style>
  <w:style w:type="character" w:customStyle="1" w:styleId="CommentSubjectChar">
    <w:name w:val="Comment Subject Char"/>
    <w:basedOn w:val="CommentTextChar"/>
    <w:link w:val="CommentSubject"/>
    <w:uiPriority w:val="99"/>
    <w:semiHidden/>
    <w:rsid w:val="00175B64"/>
    <w:rPr>
      <w:rFonts w:ascii="Times New Roman" w:eastAsia="Times New Roman" w:hAnsi="Times New Roman" w:cs="Times New Roman"/>
      <w:b/>
      <w:bCs/>
      <w:sz w:val="20"/>
      <w:szCs w:val="20"/>
      <w:lang w:val="fr-FR" w:eastAsia="fr-FR"/>
    </w:rPr>
  </w:style>
  <w:style w:type="paragraph" w:styleId="Revision">
    <w:name w:val="Revision"/>
    <w:hidden/>
    <w:uiPriority w:val="99"/>
    <w:semiHidden/>
    <w:rsid w:val="00175B64"/>
    <w:pPr>
      <w:spacing w:after="0" w:line="240" w:lineRule="auto"/>
    </w:pPr>
    <w:rPr>
      <w:rFonts w:ascii="Times New Roman" w:eastAsia="Times New Roman" w:hAnsi="Times New Roman" w:cs="Times New Roman"/>
      <w:sz w:val="24"/>
      <w:szCs w:val="24"/>
      <w:lang w:eastAsia="fr-FR"/>
    </w:rPr>
  </w:style>
  <w:style w:type="paragraph" w:styleId="BodyText3">
    <w:name w:val="Body Text 3"/>
    <w:basedOn w:val="Normal"/>
    <w:link w:val="BodyText3Char"/>
    <w:rsid w:val="00175B64"/>
    <w:pPr>
      <w:spacing w:after="120"/>
    </w:pPr>
    <w:rPr>
      <w:sz w:val="16"/>
      <w:szCs w:val="16"/>
    </w:rPr>
  </w:style>
  <w:style w:type="character" w:customStyle="1" w:styleId="BodyText3Char">
    <w:name w:val="Body Text 3 Char"/>
    <w:basedOn w:val="DefaultParagraphFont"/>
    <w:link w:val="BodyText3"/>
    <w:rsid w:val="00175B64"/>
    <w:rPr>
      <w:rFonts w:ascii="Times New Roman" w:eastAsia="Times New Roman" w:hAnsi="Times New Roman" w:cs="Times New Roman"/>
      <w:sz w:val="16"/>
      <w:szCs w:val="16"/>
      <w:lang w:val="fr-FR" w:eastAsia="fr-FR"/>
    </w:rPr>
  </w:style>
  <w:style w:type="paragraph" w:customStyle="1" w:styleId="MMultilevel">
    <w:name w:val="M Multilevel"/>
    <w:basedOn w:val="Normal"/>
    <w:link w:val="MMultilevelChar"/>
    <w:qFormat/>
    <w:rsid w:val="00175B64"/>
    <w:pPr>
      <w:widowControl w:val="0"/>
      <w:numPr>
        <w:numId w:val="14"/>
      </w:numPr>
      <w:jc w:val="both"/>
    </w:pPr>
    <w:rPr>
      <w:bCs/>
      <w:sz w:val="22"/>
      <w:szCs w:val="22"/>
    </w:rPr>
  </w:style>
  <w:style w:type="character" w:customStyle="1" w:styleId="MMultilevelChar">
    <w:name w:val="M Multilevel Char"/>
    <w:link w:val="MMultilevel"/>
    <w:rsid w:val="00175B64"/>
    <w:rPr>
      <w:rFonts w:ascii="Times New Roman" w:eastAsia="Times New Roman" w:hAnsi="Times New Roman" w:cs="Times New Roman"/>
      <w:bCs/>
      <w:lang w:eastAsia="fr-FR"/>
    </w:rPr>
  </w:style>
  <w:style w:type="paragraph" w:styleId="Caption">
    <w:name w:val="caption"/>
    <w:basedOn w:val="Normal"/>
    <w:next w:val="Normal"/>
    <w:uiPriority w:val="35"/>
    <w:unhideWhenUsed/>
    <w:qFormat/>
    <w:rsid w:val="00175B64"/>
    <w:pPr>
      <w:spacing w:after="200"/>
    </w:pPr>
    <w:rPr>
      <w:i/>
      <w:iCs/>
      <w:color w:val="44546A" w:themeColor="text2"/>
      <w:sz w:val="18"/>
      <w:szCs w:val="18"/>
    </w:rPr>
  </w:style>
  <w:style w:type="character" w:customStyle="1" w:styleId="UnresolvedMention1">
    <w:name w:val="Unresolved Mention1"/>
    <w:basedOn w:val="DefaultParagraphFont"/>
    <w:uiPriority w:val="99"/>
    <w:semiHidden/>
    <w:unhideWhenUsed/>
    <w:rsid w:val="00175B64"/>
    <w:rPr>
      <w:color w:val="605E5C"/>
      <w:shd w:val="clear" w:color="auto" w:fill="E1DFDD"/>
    </w:rPr>
  </w:style>
  <w:style w:type="paragraph" w:styleId="TOC2">
    <w:name w:val="toc 2"/>
    <w:basedOn w:val="Normal"/>
    <w:next w:val="Normal"/>
    <w:autoRedefine/>
    <w:uiPriority w:val="39"/>
    <w:unhideWhenUsed/>
    <w:rsid w:val="00175B64"/>
    <w:pPr>
      <w:spacing w:after="100"/>
      <w:ind w:left="240"/>
    </w:p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175B64"/>
    <w:pPr>
      <w:spacing w:before="60"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175B64"/>
    <w:pPr>
      <w:spacing w:before="100" w:beforeAutospacing="1" w:after="100" w:afterAutospacing="1"/>
    </w:pPr>
    <w:rPr>
      <w:rFonts w:ascii="Arial" w:hAnsi="Arial" w:cs="Arial"/>
      <w:color w:val="000066"/>
      <w:sz w:val="20"/>
      <w:szCs w:val="20"/>
    </w:rPr>
  </w:style>
  <w:style w:type="paragraph" w:customStyle="1" w:styleId="xmsonormal">
    <w:name w:val="x_msonormal"/>
    <w:basedOn w:val="Normal"/>
    <w:rsid w:val="00175B64"/>
    <w:rPr>
      <w:rFonts w:ascii="Calibri" w:eastAsiaTheme="minorHAnsi" w:hAnsi="Calibri" w:cs="Calibri"/>
      <w:sz w:val="22"/>
      <w:szCs w:val="22"/>
      <w:lang w:eastAsia="en-GB"/>
    </w:rPr>
  </w:style>
  <w:style w:type="paragraph" w:customStyle="1" w:styleId="ti-art">
    <w:name w:val="ti-art"/>
    <w:basedOn w:val="Normal"/>
    <w:rsid w:val="00175B64"/>
    <w:pPr>
      <w:spacing w:before="100" w:beforeAutospacing="1" w:after="100" w:afterAutospacing="1"/>
    </w:pPr>
    <w:rPr>
      <w:lang w:eastAsia="nl-BE"/>
    </w:rPr>
  </w:style>
  <w:style w:type="character" w:customStyle="1" w:styleId="UnresolvedMention2">
    <w:name w:val="Unresolved Mention2"/>
    <w:basedOn w:val="DefaultParagraphFont"/>
    <w:uiPriority w:val="99"/>
    <w:semiHidden/>
    <w:unhideWhenUsed/>
    <w:rsid w:val="00175B64"/>
    <w:rPr>
      <w:color w:val="605E5C"/>
      <w:shd w:val="clear" w:color="auto" w:fill="E1DFDD"/>
    </w:rPr>
  </w:style>
  <w:style w:type="character" w:styleId="FollowedHyperlink">
    <w:name w:val="FollowedHyperlink"/>
    <w:basedOn w:val="DefaultParagraphFont"/>
    <w:uiPriority w:val="99"/>
    <w:semiHidden/>
    <w:unhideWhenUsed/>
    <w:rsid w:val="00175B64"/>
    <w:rPr>
      <w:color w:val="954F72" w:themeColor="followedHyperlink"/>
      <w:u w:val="single"/>
    </w:rPr>
  </w:style>
  <w:style w:type="character" w:customStyle="1" w:styleId="cf01">
    <w:name w:val="cf01"/>
    <w:basedOn w:val="DefaultParagraphFont"/>
    <w:rsid w:val="00175B64"/>
    <w:rPr>
      <w:rFonts w:ascii="Segoe UI" w:hAnsi="Segoe UI" w:cs="Segoe UI" w:hint="default"/>
      <w:sz w:val="18"/>
      <w:szCs w:val="18"/>
    </w:rPr>
  </w:style>
  <w:style w:type="character" w:customStyle="1" w:styleId="UnresolvedMention3">
    <w:name w:val="Unresolved Mention3"/>
    <w:basedOn w:val="DefaultParagraphFont"/>
    <w:uiPriority w:val="99"/>
    <w:semiHidden/>
    <w:unhideWhenUsed/>
    <w:rsid w:val="00DE5876"/>
    <w:rPr>
      <w:color w:val="605E5C"/>
      <w:shd w:val="clear" w:color="auto" w:fill="E1DFDD"/>
    </w:rPr>
  </w:style>
  <w:style w:type="character" w:customStyle="1" w:styleId="UnresolvedMention4">
    <w:name w:val="Unresolved Mention4"/>
    <w:basedOn w:val="DefaultParagraphFont"/>
    <w:uiPriority w:val="99"/>
    <w:semiHidden/>
    <w:unhideWhenUsed/>
    <w:rsid w:val="005704B6"/>
    <w:rPr>
      <w:color w:val="605E5C"/>
      <w:shd w:val="clear" w:color="auto" w:fill="E1DFDD"/>
    </w:rPr>
  </w:style>
  <w:style w:type="character" w:customStyle="1" w:styleId="Marker">
    <w:name w:val="Marker"/>
    <w:basedOn w:val="DefaultParagraphFont"/>
    <w:rsid w:val="00466BCC"/>
    <w:rPr>
      <w:color w:val="0000FF"/>
      <w:shd w:val="clear" w:color="auto" w:fill="auto"/>
    </w:rPr>
  </w:style>
  <w:style w:type="paragraph" w:customStyle="1" w:styleId="Pagedecouverture">
    <w:name w:val="Page de couverture"/>
    <w:basedOn w:val="Normal"/>
    <w:next w:val="Normal"/>
    <w:rsid w:val="00466BCC"/>
    <w:pPr>
      <w:jc w:val="both"/>
    </w:pPr>
    <w:rPr>
      <w:rFonts w:eastAsiaTheme="minorHAnsi"/>
      <w:szCs w:val="22"/>
      <w:lang w:eastAsia="en-US"/>
    </w:rPr>
  </w:style>
  <w:style w:type="paragraph" w:customStyle="1" w:styleId="FooterCoverPage">
    <w:name w:val="Footer Cover Page"/>
    <w:basedOn w:val="Normal"/>
    <w:link w:val="FooterCoverPageChar"/>
    <w:rsid w:val="00466BCC"/>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466BCC"/>
    <w:rPr>
      <w:rFonts w:ascii="Times New Roman" w:eastAsia="Times New Roman" w:hAnsi="Times New Roman" w:cs="Times New Roman"/>
      <w:sz w:val="24"/>
      <w:szCs w:val="24"/>
      <w:lang w:eastAsia="fr-FR"/>
    </w:rPr>
  </w:style>
  <w:style w:type="paragraph" w:customStyle="1" w:styleId="FooterSensitivity">
    <w:name w:val="Footer Sensitivity"/>
    <w:basedOn w:val="Normal"/>
    <w:link w:val="FooterSensitivityChar"/>
    <w:rsid w:val="00466BCC"/>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466BCC"/>
    <w:rPr>
      <w:rFonts w:ascii="Times New Roman" w:eastAsia="Times New Roman" w:hAnsi="Times New Roman" w:cs="Times New Roman"/>
      <w:b/>
      <w:sz w:val="32"/>
      <w:szCs w:val="24"/>
      <w:lang w:eastAsia="fr-FR"/>
    </w:rPr>
  </w:style>
  <w:style w:type="paragraph" w:customStyle="1" w:styleId="HeaderCoverPage">
    <w:name w:val="Header Cover Page"/>
    <w:basedOn w:val="Normal"/>
    <w:link w:val="HeaderCoverPageChar"/>
    <w:rsid w:val="00466BCC"/>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466BCC"/>
    <w:rPr>
      <w:rFonts w:ascii="Times New Roman" w:eastAsia="Times New Roman" w:hAnsi="Times New Roman" w:cs="Times New Roman"/>
      <w:sz w:val="24"/>
      <w:szCs w:val="24"/>
      <w:lang w:eastAsia="fr-FR"/>
    </w:rPr>
  </w:style>
  <w:style w:type="paragraph" w:customStyle="1" w:styleId="HeaderSensitivity">
    <w:name w:val="Header Sensitivity"/>
    <w:basedOn w:val="Normal"/>
    <w:link w:val="HeaderSensitivityChar"/>
    <w:rsid w:val="00466BCC"/>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466BCC"/>
    <w:rPr>
      <w:rFonts w:ascii="Times New Roman" w:eastAsia="Times New Roman" w:hAnsi="Times New Roman" w:cs="Times New Roman"/>
      <w:b/>
      <w:sz w:val="32"/>
      <w:szCs w:val="24"/>
      <w:lang w:eastAsia="fr-FR"/>
    </w:rPr>
  </w:style>
  <w:style w:type="paragraph" w:customStyle="1" w:styleId="HeaderSensitivityRight">
    <w:name w:val="Header Sensitivity Right"/>
    <w:basedOn w:val="Normal"/>
    <w:link w:val="HeaderSensitivityRightChar"/>
    <w:rsid w:val="00466BCC"/>
    <w:pPr>
      <w:spacing w:after="120"/>
      <w:jc w:val="right"/>
    </w:pPr>
    <w:rPr>
      <w:sz w:val="28"/>
    </w:rPr>
  </w:style>
  <w:style w:type="character" w:customStyle="1" w:styleId="HeaderSensitivityRightChar">
    <w:name w:val="Header Sensitivity Right Char"/>
    <w:basedOn w:val="DefaultParagraphFont"/>
    <w:link w:val="HeaderSensitivityRight"/>
    <w:rsid w:val="00466BCC"/>
    <w:rPr>
      <w:rFonts w:ascii="Times New Roman" w:eastAsia="Times New Roman" w:hAnsi="Times New Roman" w:cs="Times New Roman"/>
      <w:sz w:val="28"/>
      <w:szCs w:val="24"/>
      <w:lang w:eastAsia="fr-FR"/>
    </w:rPr>
  </w:style>
  <w:style w:type="character" w:customStyle="1" w:styleId="UnresolvedMention">
    <w:name w:val="Unresolved Mention"/>
    <w:basedOn w:val="DefaultParagraphFont"/>
    <w:uiPriority w:val="99"/>
    <w:semiHidden/>
    <w:unhideWhenUsed/>
    <w:rsid w:val="006F7ABD"/>
    <w:rPr>
      <w:color w:val="605E5C"/>
      <w:shd w:val="clear" w:color="auto" w:fill="E1DFDD"/>
    </w:rPr>
  </w:style>
  <w:style w:type="character" w:customStyle="1" w:styleId="Mention">
    <w:name w:val="Mention"/>
    <w:basedOn w:val="DefaultParagraphFont"/>
    <w:uiPriority w:val="99"/>
    <w:unhideWhenUsed/>
    <w:rsid w:val="00631313"/>
    <w:rPr>
      <w:color w:val="2B579A"/>
      <w:shd w:val="clear" w:color="auto" w:fill="E1DFDD"/>
    </w:rPr>
  </w:style>
  <w:style w:type="paragraph" w:customStyle="1" w:styleId="Languesfaisantfoi">
    <w:name w:val="Langues faisant foi"/>
    <w:basedOn w:val="Normal"/>
    <w:next w:val="Normal"/>
    <w:rsid w:val="00FD08E3"/>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FD08E3"/>
    <w:pPr>
      <w:spacing w:before="360" w:after="240"/>
      <w:jc w:val="center"/>
    </w:pPr>
    <w:rPr>
      <w:rFonts w:eastAsiaTheme="minorHAnsi"/>
      <w:szCs w:val="22"/>
      <w:lang w:eastAsia="en-US"/>
    </w:rPr>
  </w:style>
  <w:style w:type="paragraph" w:customStyle="1" w:styleId="IntrtEEE">
    <w:name w:val="Intérêt EEE"/>
    <w:basedOn w:val="Languesfaisantfoi"/>
    <w:next w:val="Normal"/>
    <w:rsid w:val="00FD08E3"/>
    <w:pPr>
      <w:spacing w:after="0"/>
    </w:pPr>
  </w:style>
  <w:style w:type="paragraph" w:customStyle="1" w:styleId="IntrtEEEPagedecouverture">
    <w:name w:val="Intérêt EEE (Page de couverture)"/>
    <w:basedOn w:val="IntrtEEE"/>
    <w:next w:val="Normal"/>
    <w:rsid w:val="00FD08E3"/>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qFormat/>
    <w:rsid w:val="00DD7E93"/>
    <w:pPr>
      <w:spacing w:after="160" w:line="240" w:lineRule="exact"/>
    </w:pPr>
    <w:rPr>
      <w:rFonts w:asciiTheme="minorHAnsi" w:eastAsiaTheme="minorHAnsi" w:hAnsiTheme="minorHAnsi" w:cstheme="minorBidi"/>
      <w:kern w:val="2"/>
      <w:sz w:val="20"/>
      <w:vertAlign w:val="superscript"/>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308661">
      <w:bodyDiv w:val="1"/>
      <w:marLeft w:val="0"/>
      <w:marRight w:val="0"/>
      <w:marTop w:val="0"/>
      <w:marBottom w:val="0"/>
      <w:divBdr>
        <w:top w:val="none" w:sz="0" w:space="0" w:color="auto"/>
        <w:left w:val="none" w:sz="0" w:space="0" w:color="auto"/>
        <w:bottom w:val="none" w:sz="0" w:space="0" w:color="auto"/>
        <w:right w:val="none" w:sz="0" w:space="0" w:color="auto"/>
      </w:divBdr>
    </w:div>
    <w:div w:id="184835163">
      <w:bodyDiv w:val="1"/>
      <w:marLeft w:val="0"/>
      <w:marRight w:val="0"/>
      <w:marTop w:val="0"/>
      <w:marBottom w:val="0"/>
      <w:divBdr>
        <w:top w:val="none" w:sz="0" w:space="0" w:color="auto"/>
        <w:left w:val="none" w:sz="0" w:space="0" w:color="auto"/>
        <w:bottom w:val="none" w:sz="0" w:space="0" w:color="auto"/>
        <w:right w:val="none" w:sz="0" w:space="0" w:color="auto"/>
      </w:divBdr>
    </w:div>
    <w:div w:id="534000242">
      <w:bodyDiv w:val="1"/>
      <w:marLeft w:val="0"/>
      <w:marRight w:val="0"/>
      <w:marTop w:val="0"/>
      <w:marBottom w:val="0"/>
      <w:divBdr>
        <w:top w:val="none" w:sz="0" w:space="0" w:color="auto"/>
        <w:left w:val="none" w:sz="0" w:space="0" w:color="auto"/>
        <w:bottom w:val="none" w:sz="0" w:space="0" w:color="auto"/>
        <w:right w:val="none" w:sz="0" w:space="0" w:color="auto"/>
      </w:divBdr>
    </w:div>
    <w:div w:id="689376534">
      <w:bodyDiv w:val="1"/>
      <w:marLeft w:val="0"/>
      <w:marRight w:val="0"/>
      <w:marTop w:val="0"/>
      <w:marBottom w:val="0"/>
      <w:divBdr>
        <w:top w:val="none" w:sz="0" w:space="0" w:color="auto"/>
        <w:left w:val="none" w:sz="0" w:space="0" w:color="auto"/>
        <w:bottom w:val="none" w:sz="0" w:space="0" w:color="auto"/>
        <w:right w:val="none" w:sz="0" w:space="0" w:color="auto"/>
      </w:divBdr>
    </w:div>
    <w:div w:id="741491231">
      <w:bodyDiv w:val="1"/>
      <w:marLeft w:val="0"/>
      <w:marRight w:val="0"/>
      <w:marTop w:val="0"/>
      <w:marBottom w:val="0"/>
      <w:divBdr>
        <w:top w:val="none" w:sz="0" w:space="0" w:color="auto"/>
        <w:left w:val="none" w:sz="0" w:space="0" w:color="auto"/>
        <w:bottom w:val="none" w:sz="0" w:space="0" w:color="auto"/>
        <w:right w:val="none" w:sz="0" w:space="0" w:color="auto"/>
      </w:divBdr>
    </w:div>
    <w:div w:id="841894648">
      <w:bodyDiv w:val="1"/>
      <w:marLeft w:val="0"/>
      <w:marRight w:val="0"/>
      <w:marTop w:val="0"/>
      <w:marBottom w:val="0"/>
      <w:divBdr>
        <w:top w:val="none" w:sz="0" w:space="0" w:color="auto"/>
        <w:left w:val="none" w:sz="0" w:space="0" w:color="auto"/>
        <w:bottom w:val="none" w:sz="0" w:space="0" w:color="auto"/>
        <w:right w:val="none" w:sz="0" w:space="0" w:color="auto"/>
      </w:divBdr>
    </w:div>
    <w:div w:id="867570022">
      <w:bodyDiv w:val="1"/>
      <w:marLeft w:val="0"/>
      <w:marRight w:val="0"/>
      <w:marTop w:val="0"/>
      <w:marBottom w:val="0"/>
      <w:divBdr>
        <w:top w:val="none" w:sz="0" w:space="0" w:color="auto"/>
        <w:left w:val="none" w:sz="0" w:space="0" w:color="auto"/>
        <w:bottom w:val="none" w:sz="0" w:space="0" w:color="auto"/>
        <w:right w:val="none" w:sz="0" w:space="0" w:color="auto"/>
      </w:divBdr>
    </w:div>
    <w:div w:id="872887170">
      <w:bodyDiv w:val="1"/>
      <w:marLeft w:val="0"/>
      <w:marRight w:val="0"/>
      <w:marTop w:val="0"/>
      <w:marBottom w:val="0"/>
      <w:divBdr>
        <w:top w:val="none" w:sz="0" w:space="0" w:color="auto"/>
        <w:left w:val="none" w:sz="0" w:space="0" w:color="auto"/>
        <w:bottom w:val="none" w:sz="0" w:space="0" w:color="auto"/>
        <w:right w:val="none" w:sz="0" w:space="0" w:color="auto"/>
      </w:divBdr>
      <w:divsChild>
        <w:div w:id="333072821">
          <w:marLeft w:val="0"/>
          <w:marRight w:val="0"/>
          <w:marTop w:val="0"/>
          <w:marBottom w:val="0"/>
          <w:divBdr>
            <w:top w:val="none" w:sz="0" w:space="0" w:color="auto"/>
            <w:left w:val="none" w:sz="0" w:space="0" w:color="auto"/>
            <w:bottom w:val="none" w:sz="0" w:space="0" w:color="auto"/>
            <w:right w:val="none" w:sz="0" w:space="0" w:color="auto"/>
          </w:divBdr>
        </w:div>
        <w:div w:id="1336881093">
          <w:marLeft w:val="0"/>
          <w:marRight w:val="0"/>
          <w:marTop w:val="0"/>
          <w:marBottom w:val="0"/>
          <w:divBdr>
            <w:top w:val="none" w:sz="0" w:space="0" w:color="auto"/>
            <w:left w:val="none" w:sz="0" w:space="0" w:color="auto"/>
            <w:bottom w:val="none" w:sz="0" w:space="0" w:color="auto"/>
            <w:right w:val="none" w:sz="0" w:space="0" w:color="auto"/>
          </w:divBdr>
        </w:div>
      </w:divsChild>
    </w:div>
    <w:div w:id="970749089">
      <w:bodyDiv w:val="1"/>
      <w:marLeft w:val="0"/>
      <w:marRight w:val="0"/>
      <w:marTop w:val="0"/>
      <w:marBottom w:val="0"/>
      <w:divBdr>
        <w:top w:val="none" w:sz="0" w:space="0" w:color="auto"/>
        <w:left w:val="none" w:sz="0" w:space="0" w:color="auto"/>
        <w:bottom w:val="none" w:sz="0" w:space="0" w:color="auto"/>
        <w:right w:val="none" w:sz="0" w:space="0" w:color="auto"/>
      </w:divBdr>
    </w:div>
    <w:div w:id="976571517">
      <w:bodyDiv w:val="1"/>
      <w:marLeft w:val="0"/>
      <w:marRight w:val="0"/>
      <w:marTop w:val="0"/>
      <w:marBottom w:val="0"/>
      <w:divBdr>
        <w:top w:val="none" w:sz="0" w:space="0" w:color="auto"/>
        <w:left w:val="none" w:sz="0" w:space="0" w:color="auto"/>
        <w:bottom w:val="none" w:sz="0" w:space="0" w:color="auto"/>
        <w:right w:val="none" w:sz="0" w:space="0" w:color="auto"/>
      </w:divBdr>
    </w:div>
    <w:div w:id="1201283896">
      <w:bodyDiv w:val="1"/>
      <w:marLeft w:val="0"/>
      <w:marRight w:val="0"/>
      <w:marTop w:val="0"/>
      <w:marBottom w:val="0"/>
      <w:divBdr>
        <w:top w:val="none" w:sz="0" w:space="0" w:color="auto"/>
        <w:left w:val="none" w:sz="0" w:space="0" w:color="auto"/>
        <w:bottom w:val="none" w:sz="0" w:space="0" w:color="auto"/>
        <w:right w:val="none" w:sz="0" w:space="0" w:color="auto"/>
      </w:divBdr>
    </w:div>
    <w:div w:id="1259943507">
      <w:bodyDiv w:val="1"/>
      <w:marLeft w:val="0"/>
      <w:marRight w:val="0"/>
      <w:marTop w:val="0"/>
      <w:marBottom w:val="0"/>
      <w:divBdr>
        <w:top w:val="none" w:sz="0" w:space="0" w:color="auto"/>
        <w:left w:val="none" w:sz="0" w:space="0" w:color="auto"/>
        <w:bottom w:val="none" w:sz="0" w:space="0" w:color="auto"/>
        <w:right w:val="none" w:sz="0" w:space="0" w:color="auto"/>
      </w:divBdr>
    </w:div>
    <w:div w:id="1384526816">
      <w:bodyDiv w:val="1"/>
      <w:marLeft w:val="0"/>
      <w:marRight w:val="0"/>
      <w:marTop w:val="0"/>
      <w:marBottom w:val="0"/>
      <w:divBdr>
        <w:top w:val="none" w:sz="0" w:space="0" w:color="auto"/>
        <w:left w:val="none" w:sz="0" w:space="0" w:color="auto"/>
        <w:bottom w:val="none" w:sz="0" w:space="0" w:color="auto"/>
        <w:right w:val="none" w:sz="0" w:space="0" w:color="auto"/>
      </w:divBdr>
    </w:div>
    <w:div w:id="1450003593">
      <w:bodyDiv w:val="1"/>
      <w:marLeft w:val="0"/>
      <w:marRight w:val="0"/>
      <w:marTop w:val="0"/>
      <w:marBottom w:val="0"/>
      <w:divBdr>
        <w:top w:val="none" w:sz="0" w:space="0" w:color="auto"/>
        <w:left w:val="none" w:sz="0" w:space="0" w:color="auto"/>
        <w:bottom w:val="none" w:sz="0" w:space="0" w:color="auto"/>
        <w:right w:val="none" w:sz="0" w:space="0" w:color="auto"/>
      </w:divBdr>
    </w:div>
    <w:div w:id="1458599935">
      <w:bodyDiv w:val="1"/>
      <w:marLeft w:val="0"/>
      <w:marRight w:val="0"/>
      <w:marTop w:val="0"/>
      <w:marBottom w:val="0"/>
      <w:divBdr>
        <w:top w:val="none" w:sz="0" w:space="0" w:color="auto"/>
        <w:left w:val="none" w:sz="0" w:space="0" w:color="auto"/>
        <w:bottom w:val="none" w:sz="0" w:space="0" w:color="auto"/>
        <w:right w:val="none" w:sz="0" w:space="0" w:color="auto"/>
      </w:divBdr>
      <w:divsChild>
        <w:div w:id="180821262">
          <w:marLeft w:val="0"/>
          <w:marRight w:val="0"/>
          <w:marTop w:val="0"/>
          <w:marBottom w:val="0"/>
          <w:divBdr>
            <w:top w:val="none" w:sz="0" w:space="0" w:color="auto"/>
            <w:left w:val="none" w:sz="0" w:space="0" w:color="auto"/>
            <w:bottom w:val="none" w:sz="0" w:space="0" w:color="auto"/>
            <w:right w:val="none" w:sz="0" w:space="0" w:color="auto"/>
          </w:divBdr>
        </w:div>
        <w:div w:id="853347538">
          <w:marLeft w:val="0"/>
          <w:marRight w:val="0"/>
          <w:marTop w:val="0"/>
          <w:marBottom w:val="0"/>
          <w:divBdr>
            <w:top w:val="none" w:sz="0" w:space="0" w:color="auto"/>
            <w:left w:val="none" w:sz="0" w:space="0" w:color="auto"/>
            <w:bottom w:val="none" w:sz="0" w:space="0" w:color="auto"/>
            <w:right w:val="none" w:sz="0" w:space="0" w:color="auto"/>
          </w:divBdr>
        </w:div>
        <w:div w:id="1860895826">
          <w:marLeft w:val="0"/>
          <w:marRight w:val="0"/>
          <w:marTop w:val="0"/>
          <w:marBottom w:val="0"/>
          <w:divBdr>
            <w:top w:val="none" w:sz="0" w:space="0" w:color="auto"/>
            <w:left w:val="none" w:sz="0" w:space="0" w:color="auto"/>
            <w:bottom w:val="none" w:sz="0" w:space="0" w:color="auto"/>
            <w:right w:val="none" w:sz="0" w:space="0" w:color="auto"/>
          </w:divBdr>
        </w:div>
      </w:divsChild>
    </w:div>
    <w:div w:id="1471558944">
      <w:bodyDiv w:val="1"/>
      <w:marLeft w:val="0"/>
      <w:marRight w:val="0"/>
      <w:marTop w:val="0"/>
      <w:marBottom w:val="0"/>
      <w:divBdr>
        <w:top w:val="none" w:sz="0" w:space="0" w:color="auto"/>
        <w:left w:val="none" w:sz="0" w:space="0" w:color="auto"/>
        <w:bottom w:val="none" w:sz="0" w:space="0" w:color="auto"/>
        <w:right w:val="none" w:sz="0" w:space="0" w:color="auto"/>
      </w:divBdr>
    </w:div>
    <w:div w:id="1546916285">
      <w:bodyDiv w:val="1"/>
      <w:marLeft w:val="0"/>
      <w:marRight w:val="0"/>
      <w:marTop w:val="0"/>
      <w:marBottom w:val="0"/>
      <w:divBdr>
        <w:top w:val="none" w:sz="0" w:space="0" w:color="auto"/>
        <w:left w:val="none" w:sz="0" w:space="0" w:color="auto"/>
        <w:bottom w:val="none" w:sz="0" w:space="0" w:color="auto"/>
        <w:right w:val="none" w:sz="0" w:space="0" w:color="auto"/>
      </w:divBdr>
    </w:div>
    <w:div w:id="1670913248">
      <w:bodyDiv w:val="1"/>
      <w:marLeft w:val="0"/>
      <w:marRight w:val="0"/>
      <w:marTop w:val="0"/>
      <w:marBottom w:val="0"/>
      <w:divBdr>
        <w:top w:val="none" w:sz="0" w:space="0" w:color="auto"/>
        <w:left w:val="none" w:sz="0" w:space="0" w:color="auto"/>
        <w:bottom w:val="none" w:sz="0" w:space="0" w:color="auto"/>
        <w:right w:val="none" w:sz="0" w:space="0" w:color="auto"/>
      </w:divBdr>
    </w:div>
    <w:div w:id="1676373512">
      <w:bodyDiv w:val="1"/>
      <w:marLeft w:val="0"/>
      <w:marRight w:val="0"/>
      <w:marTop w:val="0"/>
      <w:marBottom w:val="0"/>
      <w:divBdr>
        <w:top w:val="none" w:sz="0" w:space="0" w:color="auto"/>
        <w:left w:val="none" w:sz="0" w:space="0" w:color="auto"/>
        <w:bottom w:val="none" w:sz="0" w:space="0" w:color="auto"/>
        <w:right w:val="none" w:sz="0" w:space="0" w:color="auto"/>
      </w:divBdr>
    </w:div>
    <w:div w:id="1688410167">
      <w:bodyDiv w:val="1"/>
      <w:marLeft w:val="0"/>
      <w:marRight w:val="0"/>
      <w:marTop w:val="0"/>
      <w:marBottom w:val="0"/>
      <w:divBdr>
        <w:top w:val="none" w:sz="0" w:space="0" w:color="auto"/>
        <w:left w:val="none" w:sz="0" w:space="0" w:color="auto"/>
        <w:bottom w:val="none" w:sz="0" w:space="0" w:color="auto"/>
        <w:right w:val="none" w:sz="0" w:space="0" w:color="auto"/>
      </w:divBdr>
    </w:div>
    <w:div w:id="1694189100">
      <w:bodyDiv w:val="1"/>
      <w:marLeft w:val="0"/>
      <w:marRight w:val="0"/>
      <w:marTop w:val="0"/>
      <w:marBottom w:val="0"/>
      <w:divBdr>
        <w:top w:val="none" w:sz="0" w:space="0" w:color="auto"/>
        <w:left w:val="none" w:sz="0" w:space="0" w:color="auto"/>
        <w:bottom w:val="none" w:sz="0" w:space="0" w:color="auto"/>
        <w:right w:val="none" w:sz="0" w:space="0" w:color="auto"/>
      </w:divBdr>
    </w:div>
    <w:div w:id="1696153623">
      <w:bodyDiv w:val="1"/>
      <w:marLeft w:val="0"/>
      <w:marRight w:val="0"/>
      <w:marTop w:val="0"/>
      <w:marBottom w:val="0"/>
      <w:divBdr>
        <w:top w:val="none" w:sz="0" w:space="0" w:color="auto"/>
        <w:left w:val="none" w:sz="0" w:space="0" w:color="auto"/>
        <w:bottom w:val="none" w:sz="0" w:space="0" w:color="auto"/>
        <w:right w:val="none" w:sz="0" w:space="0" w:color="auto"/>
      </w:divBdr>
    </w:div>
    <w:div w:id="1736010234">
      <w:bodyDiv w:val="1"/>
      <w:marLeft w:val="0"/>
      <w:marRight w:val="0"/>
      <w:marTop w:val="0"/>
      <w:marBottom w:val="0"/>
      <w:divBdr>
        <w:top w:val="none" w:sz="0" w:space="0" w:color="auto"/>
        <w:left w:val="none" w:sz="0" w:space="0" w:color="auto"/>
        <w:bottom w:val="none" w:sz="0" w:space="0" w:color="auto"/>
        <w:right w:val="none" w:sz="0" w:space="0" w:color="auto"/>
      </w:divBdr>
    </w:div>
    <w:div w:id="1807776841">
      <w:bodyDiv w:val="1"/>
      <w:marLeft w:val="0"/>
      <w:marRight w:val="0"/>
      <w:marTop w:val="0"/>
      <w:marBottom w:val="0"/>
      <w:divBdr>
        <w:top w:val="none" w:sz="0" w:space="0" w:color="auto"/>
        <w:left w:val="none" w:sz="0" w:space="0" w:color="auto"/>
        <w:bottom w:val="none" w:sz="0" w:space="0" w:color="auto"/>
        <w:right w:val="none" w:sz="0" w:space="0" w:color="auto"/>
      </w:divBdr>
    </w:div>
    <w:div w:id="1869174650">
      <w:bodyDiv w:val="1"/>
      <w:marLeft w:val="0"/>
      <w:marRight w:val="0"/>
      <w:marTop w:val="0"/>
      <w:marBottom w:val="0"/>
      <w:divBdr>
        <w:top w:val="none" w:sz="0" w:space="0" w:color="auto"/>
        <w:left w:val="none" w:sz="0" w:space="0" w:color="auto"/>
        <w:bottom w:val="none" w:sz="0" w:space="0" w:color="auto"/>
        <w:right w:val="none" w:sz="0" w:space="0" w:color="auto"/>
      </w:divBdr>
    </w:div>
    <w:div w:id="1914663097">
      <w:bodyDiv w:val="1"/>
      <w:marLeft w:val="0"/>
      <w:marRight w:val="0"/>
      <w:marTop w:val="0"/>
      <w:marBottom w:val="0"/>
      <w:divBdr>
        <w:top w:val="none" w:sz="0" w:space="0" w:color="auto"/>
        <w:left w:val="none" w:sz="0" w:space="0" w:color="auto"/>
        <w:bottom w:val="none" w:sz="0" w:space="0" w:color="auto"/>
        <w:right w:val="none" w:sz="0" w:space="0" w:color="auto"/>
      </w:divBdr>
    </w:div>
    <w:div w:id="1943612278">
      <w:bodyDiv w:val="1"/>
      <w:marLeft w:val="0"/>
      <w:marRight w:val="0"/>
      <w:marTop w:val="0"/>
      <w:marBottom w:val="0"/>
      <w:divBdr>
        <w:top w:val="none" w:sz="0" w:space="0" w:color="auto"/>
        <w:left w:val="none" w:sz="0" w:space="0" w:color="auto"/>
        <w:bottom w:val="none" w:sz="0" w:space="0" w:color="auto"/>
        <w:right w:val="none" w:sz="0" w:space="0" w:color="auto"/>
      </w:divBdr>
    </w:div>
    <w:div w:id="1964457381">
      <w:bodyDiv w:val="1"/>
      <w:marLeft w:val="0"/>
      <w:marRight w:val="0"/>
      <w:marTop w:val="0"/>
      <w:marBottom w:val="0"/>
      <w:divBdr>
        <w:top w:val="none" w:sz="0" w:space="0" w:color="auto"/>
        <w:left w:val="none" w:sz="0" w:space="0" w:color="auto"/>
        <w:bottom w:val="none" w:sz="0" w:space="0" w:color="auto"/>
        <w:right w:val="none" w:sz="0" w:space="0" w:color="auto"/>
      </w:divBdr>
    </w:div>
    <w:div w:id="1997951834">
      <w:bodyDiv w:val="1"/>
      <w:marLeft w:val="0"/>
      <w:marRight w:val="0"/>
      <w:marTop w:val="0"/>
      <w:marBottom w:val="0"/>
      <w:divBdr>
        <w:top w:val="none" w:sz="0" w:space="0" w:color="auto"/>
        <w:left w:val="none" w:sz="0" w:space="0" w:color="auto"/>
        <w:bottom w:val="none" w:sz="0" w:space="0" w:color="auto"/>
        <w:right w:val="none" w:sz="0" w:space="0" w:color="auto"/>
      </w:divBdr>
    </w:div>
    <w:div w:id="2082874175">
      <w:bodyDiv w:val="1"/>
      <w:marLeft w:val="0"/>
      <w:marRight w:val="0"/>
      <w:marTop w:val="0"/>
      <w:marBottom w:val="0"/>
      <w:divBdr>
        <w:top w:val="none" w:sz="0" w:space="0" w:color="auto"/>
        <w:left w:val="none" w:sz="0" w:space="0" w:color="auto"/>
        <w:bottom w:val="none" w:sz="0" w:space="0" w:color="auto"/>
        <w:right w:val="none" w:sz="0" w:space="0" w:color="auto"/>
      </w:divBdr>
    </w:div>
    <w:div w:id="2123068172">
      <w:bodyDiv w:val="1"/>
      <w:marLeft w:val="0"/>
      <w:marRight w:val="0"/>
      <w:marTop w:val="0"/>
      <w:marBottom w:val="0"/>
      <w:divBdr>
        <w:top w:val="none" w:sz="0" w:space="0" w:color="auto"/>
        <w:left w:val="none" w:sz="0" w:space="0" w:color="auto"/>
        <w:bottom w:val="none" w:sz="0" w:space="0" w:color="auto"/>
        <w:right w:val="none" w:sz="0" w:space="0" w:color="auto"/>
      </w:divBdr>
    </w:div>
    <w:div w:id="214665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FR/TXT/?uri=CELEX%3A52025DC0148" TargetMode="External"/><Relationship Id="rId1" Type="http://schemas.openxmlformats.org/officeDocument/2006/relationships/hyperlink" Target="https://eur-lex.europa.eu/legal-content/FR/TXT/?uri=CELEX%3A02015L0849-20241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C49111DA9BD745A0EB6E7980F333A8" ma:contentTypeVersion="4" ma:contentTypeDescription="Create a new document." ma:contentTypeScope="" ma:versionID="e5753a5ba36c07f3caf444461acd0766">
  <xsd:schema xmlns:xsd="http://www.w3.org/2001/XMLSchema" xmlns:xs="http://www.w3.org/2001/XMLSchema" xmlns:p="http://schemas.microsoft.com/office/2006/metadata/properties" xmlns:ns2="aecc2f25-bdff-447c-a363-d6113a15eb9a" targetNamespace="http://schemas.microsoft.com/office/2006/metadata/properties" ma:root="true" ma:fieldsID="890e56ba86fe906df91419f4d1a8d1eb" ns2:_="">
    <xsd:import namespace="aecc2f25-bdff-447c-a363-d6113a15e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c2f25-bdff-447c-a363-d6113a15e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A6F44-5D44-4EFE-B39C-C91E7DF3C3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70174B-1A15-4D0E-B88E-5D826F1FAF55}">
  <ds:schemaRefs>
    <ds:schemaRef ds:uri="http://schemas.microsoft.com/sharepoint/v3/contenttype/forms"/>
  </ds:schemaRefs>
</ds:datastoreItem>
</file>

<file path=customXml/itemProps3.xml><?xml version="1.0" encoding="utf-8"?>
<ds:datastoreItem xmlns:ds="http://schemas.openxmlformats.org/officeDocument/2006/customXml" ds:itemID="{93F6CCA1-EEAF-44D8-986A-F49B33F45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c2f25-bdff-447c-a363-d6113a15e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9438A3-169C-4446-A3B9-416BDA18F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10</Pages>
  <Words>3911</Words>
  <Characters>22296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2026-02-25T10:54:00Z</cp:lastPrinted>
  <dcterms:created xsi:type="dcterms:W3CDTF">2026-06-08T07:53:00Z</dcterms:created>
  <dcterms:modified xsi:type="dcterms:W3CDTF">2026-06-10T08:31:00Z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2023-04-20T10:22:33Z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bc1538fb-a14c-4229-8663-38101fdb714c</vt:lpwstr>
  </property>
  <property fmtid="{D5CDD505-2E9C-101B-9397-08002B2CF9AE}" pid="8" name="MSIP_Label_6bd9ddd1-4d20-43f6-abfa-fc3c07406f94_ContentBits">
    <vt:lpwstr>0</vt:lpwstr>
  </property>
  <property fmtid="{D5CDD505-2E9C-101B-9397-08002B2CF9AE}" pid="9" name="ContentTypeId">
    <vt:lpwstr>0x010100BAC49111DA9BD745A0EB6E7980F333A8</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CP-039</vt:lpwstr>
  </property>
  <property fmtid="{D5CDD505-2E9C-101B-9397-08002B2CF9AE}" pid="15" name="Last edited using">
    <vt:lpwstr>LW 9.2, Build 20250828</vt:lpwstr>
  </property>
  <property fmtid="{D5CDD505-2E9C-101B-9397-08002B2CF9AE}" pid="16" name="Created using">
    <vt:lpwstr>LW 9.0, Build 20230317</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1</vt:lpwstr>
  </property>
</Properties>
</file>