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63FB030" w14:textId="7EAF2222" w:rsidR="001534AC" w:rsidRDefault="00971E55" w:rsidP="00971E55">
      <w:pPr>
        <w:pStyle w:val="Pagedecouverture"/>
        <w:rPr>
          <w:noProof/>
        </w:rPr>
      </w:pPr>
      <w:bookmarkStart w:id="0" w:name="_Toc80868900"/>
      <w:bookmarkStart w:id="1" w:name="_Toc145843887"/>
      <w:bookmarkStart w:id="2" w:name="_Toc363735353"/>
      <w:bookmarkStart w:id="3" w:name="_Toc363736950"/>
      <w:bookmarkStart w:id="4" w:name="_Toc363736998"/>
      <w:bookmarkStart w:id="5" w:name="LW_BM_COVERPAGE"/>
      <w:r>
        <w:rPr>
          <w:noProof/>
        </w:rPr>
        <w:pict w14:anchorId="40CF663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4" type="#_x0000_t75" alt="AB149B7C-F142-4865-8FC6-0AE02A673262" style="width:455.25pt;height:387pt">
            <v:imagedata r:id="rId11" o:title=""/>
          </v:shape>
        </w:pict>
      </w:r>
    </w:p>
    <w:bookmarkEnd w:id="5"/>
    <w:p w14:paraId="550A892D" w14:textId="3B41B4E6" w:rsidR="00670751" w:rsidRPr="00670751" w:rsidRDefault="00670751" w:rsidP="005A7A5B">
      <w:pPr>
        <w:pStyle w:val="Pagedecouverture"/>
        <w:rPr>
          <w:noProof/>
        </w:rPr>
        <w:sectPr w:rsidR="00670751" w:rsidRPr="00670751" w:rsidSect="00971E55">
          <w:headerReference w:type="even" r:id="rId12"/>
          <w:headerReference w:type="default" r:id="rId13"/>
          <w:footerReference w:type="even" r:id="rId14"/>
          <w:footerReference w:type="default" r:id="rId15"/>
          <w:headerReference w:type="first" r:id="rId16"/>
          <w:footerReference w:type="first" r:id="rId17"/>
          <w:pgSz w:w="11906" w:h="16838" w:code="9"/>
          <w:pgMar w:top="1134" w:right="1417" w:bottom="1134" w:left="1417" w:header="709" w:footer="709" w:gutter="0"/>
          <w:pgNumType w:start="0"/>
          <w:cols w:space="720"/>
          <w:docGrid w:linePitch="360"/>
        </w:sectPr>
      </w:pPr>
    </w:p>
    <w:p w14:paraId="50D1812E" w14:textId="281888DF" w:rsidR="001C40A8" w:rsidRDefault="00720618" w:rsidP="001C40A8">
      <w:pPr>
        <w:pStyle w:val="Heading1"/>
        <w:numPr>
          <w:ilvl w:val="0"/>
          <w:numId w:val="0"/>
        </w:numPr>
        <w:jc w:val="center"/>
        <w:rPr>
          <w:rFonts w:eastAsia="Arial"/>
          <w:bCs/>
          <w:noProof/>
          <w:u w:val="none"/>
        </w:rPr>
      </w:pPr>
      <w:bookmarkStart w:id="6" w:name="_GoBack"/>
      <w:bookmarkEnd w:id="6"/>
      <w:r>
        <w:rPr>
          <w:noProof/>
          <w:u w:val="none"/>
        </w:rPr>
        <w:lastRenderedPageBreak/>
        <w:t>RAPORT AL COMISIEI CĂTRE PARLAMENTUL EUROPEAN ȘI CONSILIU</w:t>
      </w:r>
    </w:p>
    <w:p w14:paraId="04D4D33D" w14:textId="77777777" w:rsidR="001C40A8" w:rsidRPr="007B5090" w:rsidRDefault="001C40A8" w:rsidP="001C40A8">
      <w:pPr>
        <w:rPr>
          <w:rFonts w:eastAsia="Arial"/>
          <w:noProof/>
          <w:lang w:val="fr-FR"/>
        </w:rPr>
      </w:pPr>
    </w:p>
    <w:p w14:paraId="12272E2C" w14:textId="38B369D0" w:rsidR="001C40A8" w:rsidRPr="001C40A8" w:rsidRDefault="001C40A8" w:rsidP="001C40A8">
      <w:pPr>
        <w:pStyle w:val="Heading1"/>
        <w:numPr>
          <w:ilvl w:val="0"/>
          <w:numId w:val="0"/>
        </w:numPr>
        <w:jc w:val="center"/>
        <w:rPr>
          <w:rFonts w:eastAsia="Arial"/>
          <w:bCs/>
          <w:noProof/>
          <w:u w:val="none"/>
        </w:rPr>
      </w:pPr>
      <w:r>
        <w:rPr>
          <w:noProof/>
          <w:u w:val="none"/>
        </w:rPr>
        <w:t>de evaluare a măsurii în care statele membre au luat măsurile necesare pentru a se conforma Directivei (UE) 2018/1673 a Parlamentului European și a Consiliului din 23</w:t>
      </w:r>
      <w:r w:rsidR="007B5090">
        <w:rPr>
          <w:noProof/>
          <w:u w:val="none"/>
        </w:rPr>
        <w:t> </w:t>
      </w:r>
      <w:r>
        <w:rPr>
          <w:noProof/>
          <w:u w:val="none"/>
        </w:rPr>
        <w:t>octombrie 2018 privind combaterea prin măsuri de drept penal a spălării banilor</w:t>
      </w:r>
    </w:p>
    <w:p w14:paraId="36DCBFFC" w14:textId="77777777" w:rsidR="001C40A8" w:rsidRPr="007B5090" w:rsidRDefault="001C40A8" w:rsidP="001C40A8">
      <w:pPr>
        <w:pStyle w:val="Heading1"/>
        <w:numPr>
          <w:ilvl w:val="0"/>
          <w:numId w:val="0"/>
        </w:numPr>
        <w:ind w:left="432" w:hanging="432"/>
        <w:jc w:val="center"/>
        <w:rPr>
          <w:rFonts w:eastAsia="Arial"/>
          <w:noProof/>
          <w:u w:val="none"/>
          <w:lang w:val="fr-FR"/>
        </w:rPr>
      </w:pPr>
    </w:p>
    <w:p w14:paraId="3B9C9D9C" w14:textId="77777777" w:rsidR="001C40A8" w:rsidRPr="001C40A8" w:rsidRDefault="001C40A8" w:rsidP="001C40A8">
      <w:pPr>
        <w:rPr>
          <w:rFonts w:eastAsia="Arial"/>
          <w:noProof/>
        </w:rPr>
      </w:pPr>
    </w:p>
    <w:p w14:paraId="22B5392F" w14:textId="20B0BA03" w:rsidR="00376697" w:rsidRPr="00CD053B" w:rsidRDefault="00376697" w:rsidP="00376697">
      <w:pPr>
        <w:pStyle w:val="Heading1"/>
        <w:rPr>
          <w:rFonts w:eastAsia="Arial"/>
          <w:noProof/>
          <w:u w:val="none"/>
        </w:rPr>
      </w:pPr>
      <w:r>
        <w:rPr>
          <w:noProof/>
          <w:u w:val="none"/>
        </w:rPr>
        <w:t xml:space="preserve">INTRODUCERE </w:t>
      </w:r>
    </w:p>
    <w:p w14:paraId="47CB63F0" w14:textId="77777777" w:rsidR="00376697" w:rsidRPr="00361957" w:rsidRDefault="00376697" w:rsidP="00376697">
      <w:pPr>
        <w:jc w:val="both"/>
        <w:rPr>
          <w:rFonts w:eastAsia="Arial"/>
          <w:noProof/>
        </w:rPr>
      </w:pPr>
    </w:p>
    <w:p w14:paraId="4FC8CE3F" w14:textId="1EA7FD85" w:rsidR="00376697" w:rsidRDefault="00376697" w:rsidP="001F2AF4">
      <w:pPr>
        <w:jc w:val="both"/>
        <w:rPr>
          <w:rFonts w:eastAsia="Arial"/>
          <w:noProof/>
        </w:rPr>
      </w:pPr>
      <w:r>
        <w:rPr>
          <w:noProof/>
        </w:rPr>
        <w:t>Directiva 2018/1673 privind combaterea prin măsuri de drept penal a spălării banilor (denumită în continuare „directiva”) a intrat în vigoare la 2 decembrie 2018. Cele 25 de state membre ale UE</w:t>
      </w:r>
      <w:r>
        <w:rPr>
          <w:rFonts w:eastAsia="Arial"/>
          <w:noProof/>
          <w:vertAlign w:val="superscript"/>
        </w:rPr>
        <w:footnoteReference w:id="2"/>
      </w:r>
      <w:r>
        <w:rPr>
          <w:noProof/>
        </w:rPr>
        <w:t xml:space="preserve"> care au obligații în temeiul directivei (și anume toate, cu excepția Danemarcei și a Irlandei) trebuiau să asigure intrarea în vigoare a actelor cu putere de lege și a actelor administrative necesare pentru a se conforma acestei directive până la 3 decembrie 2020. </w:t>
      </w:r>
    </w:p>
    <w:p w14:paraId="711C7BE5" w14:textId="77777777" w:rsidR="00376697" w:rsidRDefault="00376697" w:rsidP="001F2AF4">
      <w:pPr>
        <w:jc w:val="both"/>
        <w:rPr>
          <w:rFonts w:eastAsia="Arial"/>
          <w:noProof/>
        </w:rPr>
      </w:pPr>
    </w:p>
    <w:p w14:paraId="62B6FCE0" w14:textId="60A32866" w:rsidR="00376697" w:rsidRDefault="00376697" w:rsidP="001F2AF4">
      <w:pPr>
        <w:jc w:val="both"/>
        <w:rPr>
          <w:rFonts w:eastAsia="Arial"/>
          <w:noProof/>
        </w:rPr>
      </w:pPr>
      <w:r>
        <w:rPr>
          <w:noProof/>
        </w:rPr>
        <w:t>În conformitate cu articolul 14 alineatul (1) din directivă, prezentul raport evaluează gradul în care statele membre au luat măsurile necesare pentru a se conforma directivei. Prezentul raport este transmis ca anexă la raportul întocmit în temeiul articolului 14 alineatul (2) din directivă, care evaluează valoarea adăugată a directivei.</w:t>
      </w:r>
    </w:p>
    <w:p w14:paraId="59F619AA" w14:textId="77777777" w:rsidR="001F2AF4" w:rsidRPr="001F2AF4" w:rsidRDefault="001F2AF4" w:rsidP="001F2AF4">
      <w:pPr>
        <w:jc w:val="both"/>
        <w:rPr>
          <w:rStyle w:val="FootnoteReference"/>
          <w:rFonts w:eastAsia="Arial"/>
          <w:noProof/>
          <w:vertAlign w:val="baseline"/>
        </w:rPr>
      </w:pPr>
    </w:p>
    <w:p w14:paraId="153D1A5E" w14:textId="4344B87C" w:rsidR="00376697" w:rsidRDefault="00376697" w:rsidP="001F2AF4">
      <w:pPr>
        <w:jc w:val="both"/>
        <w:rPr>
          <w:rFonts w:eastAsia="Arial"/>
          <w:noProof/>
        </w:rPr>
      </w:pPr>
      <w:r>
        <w:rPr>
          <w:noProof/>
        </w:rPr>
        <w:t xml:space="preserve">Această analiză se bazează pe informațiile furnizate de statele membre Comisiei Europene până la 20 octombrie 2025, precum și pe un studiu extern. </w:t>
      </w:r>
    </w:p>
    <w:p w14:paraId="17E1144C" w14:textId="77777777" w:rsidR="00376697" w:rsidRDefault="00376697" w:rsidP="001F2AF4">
      <w:pPr>
        <w:jc w:val="both"/>
        <w:rPr>
          <w:rFonts w:eastAsia="Arial"/>
          <w:noProof/>
        </w:rPr>
      </w:pPr>
    </w:p>
    <w:p w14:paraId="4FFEC946" w14:textId="5505F24F" w:rsidR="00376697" w:rsidRDefault="00376697" w:rsidP="001F2AF4">
      <w:pPr>
        <w:jc w:val="both"/>
        <w:rPr>
          <w:rFonts w:eastAsia="Arial"/>
          <w:noProof/>
        </w:rPr>
      </w:pPr>
      <w:r>
        <w:rPr>
          <w:noProof/>
        </w:rPr>
        <w:t>Directiva stabilește definiții comune ale infracțiunilor și sancțiunilor în statele membre ale UE în vederea combaterii spălării banilor, pentru a facilita cooperarea polițienească și judiciară și pentru a împiedica infractorii să exploateze sistemele naționale mai puțin stricte. Întrucât spălarea produselor provenite din săvârșirea de infracțiuni constituie un factor esențial care facilitează criminalitatea organizată, directiva contribuie la slăbirea bazei financiare a rețelelor infracționale și sprijină eforturile de dezmembrare a acestora. Aceasta impune statelor membre să incrimineze, atunci când este săvârșită cu intenție, transformarea sau transferul de bunuri despre care se știe că provin dintr-o activitate infracțională, ascunderea sau disimularea adevăratei naturi, origini, situări, circulații a bunurilor ori a adevăratului proprietar al acestora, precum și dobândirea, posesia sau utilizarea de astfel de bunuri. Directiva permite, de asemenea, statelor membre să extindă infracțiunea de spălare a banilor asupra cazurilor în care autorul „a suspectat sau ar fi trebuit să știe” că bunurile provin dintr-o activitate infracțională. Directiva obligă statele membre să introducă circumstanțe agravante (de exemplu, implicarea unei organizații criminale sau spălarea banilor prin activități profesionale) și impune ca pedepsele să fie eficace, proporționale și cu efect de descurajare, inclusiv o pedeapsă cu închisoarea cu o durată maximă de cel puțin patru ani și, după caz, măsuri privind răspunderea persoanelor juridice. Directiva conține norme privind competența și obligația de a indisponibiliza și confisca produsele și instrumentele provenite din săvârșirea de infracțiuni și obligă statele membre să se asigure că există instrumente eficiente de investigare pentru anchetarea spălării banilor.</w:t>
      </w:r>
    </w:p>
    <w:p w14:paraId="3580D543" w14:textId="77777777" w:rsidR="009759B6" w:rsidRPr="00642B65" w:rsidRDefault="009759B6" w:rsidP="001F2AF4">
      <w:pPr>
        <w:jc w:val="both"/>
        <w:rPr>
          <w:rFonts w:ascii="Aptos" w:eastAsia="Aptos" w:hAnsi="Aptos" w:cs="Aptos"/>
          <w:noProof/>
        </w:rPr>
      </w:pPr>
    </w:p>
    <w:p w14:paraId="18C799F5" w14:textId="019EEB5F" w:rsidR="00376697" w:rsidRDefault="00376697" w:rsidP="001F2AF4">
      <w:pPr>
        <w:jc w:val="both"/>
        <w:rPr>
          <w:rFonts w:eastAsia="Arial"/>
          <w:noProof/>
        </w:rPr>
      </w:pPr>
      <w:r>
        <w:rPr>
          <w:noProof/>
        </w:rPr>
        <w:t xml:space="preserve">Raportul indică faptul că statele membre au depus eforturi considerabile pentru a asigura alinierea legislațiilor naționale la dispozițiile directivei, cu unele inconsecvențe și lacune în cazul unui număr limitat de state membre. </w:t>
      </w:r>
    </w:p>
    <w:p w14:paraId="56522667" w14:textId="77777777" w:rsidR="00376697" w:rsidRPr="007B5090" w:rsidRDefault="00376697" w:rsidP="001F2AF4">
      <w:pPr>
        <w:jc w:val="both"/>
        <w:rPr>
          <w:rFonts w:eastAsia="Arial"/>
          <w:noProof/>
          <w:lang w:val="fr-FR"/>
        </w:rPr>
      </w:pPr>
    </w:p>
    <w:p w14:paraId="2C90F680" w14:textId="3DB2F6E4" w:rsidR="42166614" w:rsidRDefault="42166614" w:rsidP="027FFAE9">
      <w:pPr>
        <w:jc w:val="both"/>
        <w:rPr>
          <w:rFonts w:eastAsia="Arial"/>
          <w:noProof/>
        </w:rPr>
      </w:pPr>
      <w:r>
        <w:rPr>
          <w:noProof/>
        </w:rPr>
        <w:t xml:space="preserve">Pe lângă analiza furnizată de prezentul raport pe baza informațiilor puse la dispoziția Comisiei până în prezent, pot exista provocări suplimentare în ceea ce privește transpunerea și alte dispoziții care nu au fost raportate Comisiei sau evoluții legislative și nelegislative care afectează transpunerea. Prin urmare, prezentul raport nu ar trebui să împiedice Comisia să evalueze în continuare transpunerea și punerea în aplicare a directivei în statele membre. </w:t>
      </w:r>
    </w:p>
    <w:p w14:paraId="75B306A4" w14:textId="25DA1BF0" w:rsidR="008A6C56" w:rsidRDefault="008A6C56" w:rsidP="00C84542">
      <w:pPr>
        <w:jc w:val="both"/>
        <w:rPr>
          <w:b/>
          <w:noProof/>
        </w:rPr>
      </w:pPr>
      <w:bookmarkStart w:id="7" w:name="_Toc231183026"/>
      <w:bookmarkStart w:id="8" w:name="_Toc478487211"/>
      <w:bookmarkStart w:id="9" w:name="_Toc487557394"/>
      <w:bookmarkStart w:id="10" w:name="_Toc487557540"/>
      <w:bookmarkEnd w:id="0"/>
      <w:bookmarkEnd w:id="1"/>
      <w:bookmarkEnd w:id="2"/>
      <w:bookmarkEnd w:id="3"/>
      <w:bookmarkEnd w:id="4"/>
    </w:p>
    <w:p w14:paraId="7012BC88" w14:textId="22B6B935" w:rsidR="00CC7A31" w:rsidRPr="00CD053B" w:rsidRDefault="007831DE" w:rsidP="00C84542">
      <w:pPr>
        <w:pStyle w:val="Heading1"/>
        <w:rPr>
          <w:noProof/>
          <w:u w:val="none"/>
        </w:rPr>
      </w:pPr>
      <w:r>
        <w:rPr>
          <w:noProof/>
          <w:u w:val="none"/>
        </w:rPr>
        <w:t>CONFORMITATEA TRANSPUNERII DIRECTIVEI, DISPOZIȚIE CU DISPOZIȚIE</w:t>
      </w:r>
    </w:p>
    <w:p w14:paraId="19D7B075" w14:textId="77777777" w:rsidR="00175B64" w:rsidRPr="00361957" w:rsidRDefault="00175B64" w:rsidP="0029250C">
      <w:pPr>
        <w:jc w:val="both"/>
        <w:rPr>
          <w:noProof/>
          <w:u w:val="single"/>
        </w:rPr>
      </w:pPr>
    </w:p>
    <w:p w14:paraId="35F3F00D" w14:textId="1207D844" w:rsidR="00C252BE" w:rsidRDefault="00C252BE" w:rsidP="000B3791">
      <w:pPr>
        <w:jc w:val="both"/>
        <w:rPr>
          <w:noProof/>
        </w:rPr>
      </w:pPr>
      <w:bookmarkStart w:id="11" w:name="_Toc106282983"/>
      <w:bookmarkStart w:id="12" w:name="_Toc110247385"/>
      <w:r>
        <w:rPr>
          <w:noProof/>
        </w:rPr>
        <w:t xml:space="preserve">Acest capitol analizează transpunerea directivei de către statele membre în legislația națională, evaluând, articol cu articol, caracterul complet și conformitatea actelor cu putere de lege și a actelor administrative naționale cu cerințele directivei. </w:t>
      </w:r>
    </w:p>
    <w:p w14:paraId="37F66C9C" w14:textId="77777777" w:rsidR="001F2AF4" w:rsidRDefault="001F2AF4" w:rsidP="001F2AF4">
      <w:pPr>
        <w:rPr>
          <w:noProof/>
          <w:lang w:eastAsia="en-US"/>
        </w:rPr>
      </w:pPr>
    </w:p>
    <w:p w14:paraId="02994682" w14:textId="0C82869D" w:rsidR="00175B64" w:rsidRPr="00361957" w:rsidRDefault="00175B64" w:rsidP="00C84542">
      <w:pPr>
        <w:pStyle w:val="Heading2"/>
        <w:rPr>
          <w:noProof/>
        </w:rPr>
      </w:pPr>
      <w:r>
        <w:rPr>
          <w:noProof/>
        </w:rPr>
        <w:t>Articolul 2 – Definiții</w:t>
      </w:r>
      <w:bookmarkEnd w:id="11"/>
      <w:bookmarkEnd w:id="12"/>
      <w:r>
        <w:rPr>
          <w:noProof/>
        </w:rPr>
        <w:t xml:space="preserve"> (inclusiv infracțiunile premisă)</w:t>
      </w:r>
    </w:p>
    <w:p w14:paraId="035BE80D" w14:textId="77777777" w:rsidR="00627297" w:rsidRPr="00361957" w:rsidRDefault="00627297" w:rsidP="0029250C">
      <w:pPr>
        <w:jc w:val="both"/>
        <w:rPr>
          <w:noProof/>
        </w:rPr>
      </w:pPr>
    </w:p>
    <w:p w14:paraId="7ED9CC52" w14:textId="1E845134" w:rsidR="00C54587" w:rsidRPr="00361957" w:rsidRDefault="00216DF0" w:rsidP="00100A7F">
      <w:pPr>
        <w:jc w:val="both"/>
        <w:rPr>
          <w:rFonts w:eastAsia="Arial"/>
          <w:noProof/>
        </w:rPr>
      </w:pPr>
      <w:r>
        <w:rPr>
          <w:noProof/>
        </w:rPr>
        <w:t xml:space="preserve">Articolul 2 conține trei definiții. </w:t>
      </w:r>
      <w:r>
        <w:rPr>
          <w:b/>
          <w:noProof/>
        </w:rPr>
        <w:t>Articolul 2 alineatul (1)</w:t>
      </w:r>
      <w:r>
        <w:rPr>
          <w:noProof/>
        </w:rPr>
        <w:t xml:space="preserve"> definește </w:t>
      </w:r>
      <w:r>
        <w:rPr>
          <w:b/>
          <w:noProof/>
        </w:rPr>
        <w:t>„activitatea infracțională”</w:t>
      </w:r>
      <w:r>
        <w:rPr>
          <w:noProof/>
        </w:rPr>
        <w:t xml:space="preserve"> ca fiind toate infracțiunile pasibile de o pedeapsă cu închisoarea a cărei limită superioară este de cel puțin un an sau, în cazul în care nu este prevăzută o pedeapsă maximă, toate infracțiunile pasibile de o pedeapsă cu închisoarea a cărei limită inferioară este de cel puțin șase luni. Infracțiunile care constituie activități infracționale sunt considerate infracțiuni premisă pentru spălarea banilor, ceea ce înseamnă că statele membre trebuie să incrimineze, ca măsură minimă, spălarea bunurilor proveniți din aceste infracțiuni.</w:t>
      </w:r>
    </w:p>
    <w:p w14:paraId="652128AF" w14:textId="77777777" w:rsidR="00B57A69" w:rsidRDefault="00B57A69" w:rsidP="00100A7F">
      <w:pPr>
        <w:jc w:val="both"/>
        <w:rPr>
          <w:rFonts w:eastAsia="Arial"/>
          <w:noProof/>
        </w:rPr>
      </w:pPr>
    </w:p>
    <w:p w14:paraId="4422A30E" w14:textId="293BE726" w:rsidR="00D74119" w:rsidRPr="00E44128" w:rsidRDefault="00414E49" w:rsidP="00100A7F">
      <w:pPr>
        <w:jc w:val="both"/>
        <w:rPr>
          <w:rFonts w:eastAsia="Arial"/>
          <w:noProof/>
        </w:rPr>
      </w:pPr>
      <w:r>
        <w:rPr>
          <w:noProof/>
        </w:rPr>
        <w:t>În plus, indiferent de pragurile pedepselor, statele membre au, în orice caz, obligația de a include o serie de infracțiuni în fiecare dintre cele 22 de categorii enumerate la articolul 2 alineatul (1), inclusiv infracțiunile armonizate la nivelul UE</w:t>
      </w:r>
      <w:r>
        <w:rPr>
          <w:rStyle w:val="FootnoteReference"/>
          <w:noProof/>
          <w:lang w:val="en-IE"/>
        </w:rPr>
        <w:footnoteReference w:id="3"/>
      </w:r>
      <w:r>
        <w:rPr>
          <w:noProof/>
        </w:rPr>
        <w:t xml:space="preserve">. </w:t>
      </w:r>
    </w:p>
    <w:p w14:paraId="7FD635FC" w14:textId="77777777" w:rsidR="00B57A69" w:rsidRPr="007B5090" w:rsidRDefault="00B57A69" w:rsidP="00100A7F">
      <w:pPr>
        <w:jc w:val="both"/>
        <w:rPr>
          <w:noProof/>
          <w:lang w:val="fr-FR"/>
        </w:rPr>
      </w:pPr>
    </w:p>
    <w:p w14:paraId="57E205F2" w14:textId="0672F1A8" w:rsidR="00C11FE9" w:rsidRDefault="004332A2" w:rsidP="00100A7F">
      <w:pPr>
        <w:jc w:val="both"/>
        <w:rPr>
          <w:rFonts w:eastAsia="Arial"/>
          <w:noProof/>
        </w:rPr>
      </w:pPr>
      <w:r>
        <w:rPr>
          <w:noProof/>
        </w:rPr>
        <w:t xml:space="preserve">Marea majoritate a statelor membre care au obligații în temeiul directivei au mers mai departe, adoptând o așa-numită „abordare care include toate infracțiunile”, potrivit căreia orice infracțiune poate constitui o infracțiune premisă pentru spălarea banilor. Cinci state membre </w:t>
      </w:r>
      <w:r>
        <w:rPr>
          <w:b/>
          <w:noProof/>
        </w:rPr>
        <w:t>(Franța, Țările de Jos, Luxemburg, Portugalia și Austria)</w:t>
      </w:r>
      <w:r>
        <w:rPr>
          <w:noProof/>
        </w:rPr>
        <w:t xml:space="preserve"> desemnează categorii specifice de infracțiuni care pot constitui infracțiuni premisă pentru spălarea banilor. </w:t>
      </w:r>
    </w:p>
    <w:p w14:paraId="00CEE61A" w14:textId="4437E963" w:rsidR="000B1EC5" w:rsidRDefault="000B1EC5" w:rsidP="00100A7F">
      <w:pPr>
        <w:jc w:val="both"/>
        <w:rPr>
          <w:rFonts w:eastAsia="Arial"/>
          <w:noProof/>
        </w:rPr>
      </w:pPr>
      <w:r>
        <w:rPr>
          <w:noProof/>
        </w:rPr>
        <w:t xml:space="preserve"> </w:t>
      </w:r>
      <w:r>
        <w:rPr>
          <w:noProof/>
        </w:rPr>
        <w:br/>
      </w:r>
      <w:r>
        <w:rPr>
          <w:b/>
          <w:noProof/>
        </w:rPr>
        <w:t>Toate statele membre</w:t>
      </w:r>
      <w:r>
        <w:rPr>
          <w:noProof/>
        </w:rPr>
        <w:t xml:space="preserve"> au transpus în mod corect definiția activității infracționale, astfel cum este prevăzută la articolul 2 alineatul (1). </w:t>
      </w:r>
    </w:p>
    <w:p w14:paraId="270A3B7C" w14:textId="77777777" w:rsidR="00E126EA" w:rsidRDefault="00E126EA" w:rsidP="00100A7F">
      <w:pPr>
        <w:jc w:val="both"/>
        <w:rPr>
          <w:rFonts w:eastAsia="Arial"/>
          <w:noProof/>
        </w:rPr>
      </w:pPr>
    </w:p>
    <w:p w14:paraId="14D4A682" w14:textId="7D982F82" w:rsidR="000B1EC5" w:rsidRDefault="00E126EA" w:rsidP="00100A7F">
      <w:pPr>
        <w:jc w:val="both"/>
        <w:rPr>
          <w:noProof/>
        </w:rPr>
      </w:pPr>
      <w:r>
        <w:rPr>
          <w:b/>
          <w:noProof/>
        </w:rPr>
        <w:t>Articolul 2 alineatul (2)</w:t>
      </w:r>
      <w:r>
        <w:rPr>
          <w:noProof/>
        </w:rPr>
        <w:t xml:space="preserve"> prevede o definiție largă a </w:t>
      </w:r>
      <w:r>
        <w:rPr>
          <w:b/>
          <w:noProof/>
        </w:rPr>
        <w:t>„bunurilor”</w:t>
      </w:r>
      <w:r>
        <w:rPr>
          <w:noProof/>
        </w:rPr>
        <w:t xml:space="preserve"> care pot constitui obiectul unei infracțiuni de spălare a banilor. În acest sens, bunurile sunt definite ca active de orice fel, corporale sau necorporale, mobile sau imobile, tangibile sau intangibile, precum și documentele juridice sau instrumentele sub orice formă, inclusiv cele electronice sau digitale, care atestă dreptul de proprietate sau interese în astfel de active. Deși statele membre nu au transpus în mod specific termenul „bunuri” în legislația lor privind spălarea banilor, ele prevăd adesea definiții în alte texte juridice, care sunt utilizate și pentru definirea obiectului spălării banilor, asigurând conformitatea cu această dispoziție. </w:t>
      </w:r>
    </w:p>
    <w:p w14:paraId="4CF095DF" w14:textId="77777777" w:rsidR="000B1EC5" w:rsidRDefault="000B1EC5" w:rsidP="00100A7F">
      <w:pPr>
        <w:jc w:val="both"/>
        <w:rPr>
          <w:noProof/>
        </w:rPr>
      </w:pPr>
    </w:p>
    <w:p w14:paraId="2F2CBA04" w14:textId="688685B7" w:rsidR="000B1EC5" w:rsidRDefault="000B1EC5" w:rsidP="00100A7F">
      <w:pPr>
        <w:jc w:val="both"/>
        <w:rPr>
          <w:noProof/>
        </w:rPr>
      </w:pPr>
      <w:r>
        <w:rPr>
          <w:b/>
          <w:noProof/>
        </w:rPr>
        <w:t>Deși 23 de state membre au transpus</w:t>
      </w:r>
      <w:r>
        <w:rPr>
          <w:noProof/>
        </w:rPr>
        <w:t xml:space="preserve"> definiția bunurilor astfel cum este prevăzută la articolul 2 alineatul (2), se pare că legislația din </w:t>
      </w:r>
      <w:r>
        <w:rPr>
          <w:b/>
          <w:noProof/>
        </w:rPr>
        <w:t xml:space="preserve">Germania și Austria </w:t>
      </w:r>
      <w:r>
        <w:rPr>
          <w:noProof/>
        </w:rPr>
        <w:t xml:space="preserve">nu consideră </w:t>
      </w:r>
      <w:bookmarkStart w:id="13" w:name="_Hlk223604326"/>
      <w:r>
        <w:rPr>
          <w:noProof/>
        </w:rPr>
        <w:t>economiile de cheltuieli (cum ar fi impozitele neplătite ca urmare a săvârșirii unei infracțiuni fiscale) drept bunuri care pot face obiectul spălării banilor</w:t>
      </w:r>
      <w:bookmarkEnd w:id="13"/>
      <w:r>
        <w:rPr>
          <w:noProof/>
        </w:rPr>
        <w:t xml:space="preserve">. În esență, articolul 165 alineatul (6) din Codul penal austriac exclude din domeniul de aplicare al spălării banilor simplele economii, precum pierderile nerealizate, renunțarea la creanțe sau cheltuielile și taxele evitate. Acest lucru împiedică autoritățile austriece să aplice infracțiunea respectivă în cazul sumelor economisite în mod ilegal prin neplata impozitelor și spălate ulterior. În versiunea anterioară a articolului 261 alineatul (5) din Codul penal german, economiile de cheltuieli rezultate din evaziunea fiscală erau incluse în mod explicit în domeniul de aplicare al spălării banilor. În urma unei reforme din anul 2021, acest alineat a fost eliminat, excluzând astfel aceste economii de cheltuieli din domeniul de aplicare al infracțiunii. Prin urmare, ambele jurisdicții par să considere că numai bunurile care reprezintă o creștere pozitivă a activelor unei persoane, de exemplu sumele obținute prin intermediul unei infracțiuni de trafic de droguri sau al unei reduceri fiscale, pot face obiectul unei infracțiuni de spălare a banilor. Cu toate acestea, definiția largă a bunurilor din directivă include toate tipurile de bunuri, inclusiv economiile de cheltuieli, chiar dacă acestea nu sunt menționate în mod explicit. </w:t>
      </w:r>
    </w:p>
    <w:p w14:paraId="34271BC3" w14:textId="77777777" w:rsidR="000B1EC5" w:rsidRDefault="000B1EC5" w:rsidP="00100A7F">
      <w:pPr>
        <w:jc w:val="both"/>
        <w:rPr>
          <w:noProof/>
        </w:rPr>
      </w:pPr>
    </w:p>
    <w:p w14:paraId="150B096E" w14:textId="112E88C5" w:rsidR="00175B64" w:rsidRPr="00C84542" w:rsidRDefault="00E126EA" w:rsidP="00100A7F">
      <w:pPr>
        <w:jc w:val="both"/>
        <w:rPr>
          <w:noProof/>
        </w:rPr>
      </w:pPr>
      <w:r>
        <w:rPr>
          <w:b/>
          <w:noProof/>
        </w:rPr>
        <w:t>Articolul 2 alineatul (3)</w:t>
      </w:r>
      <w:r>
        <w:rPr>
          <w:noProof/>
        </w:rPr>
        <w:t xml:space="preserve"> definește </w:t>
      </w:r>
      <w:r>
        <w:rPr>
          <w:b/>
          <w:noProof/>
        </w:rPr>
        <w:t>„persoana juridică”</w:t>
      </w:r>
      <w:r>
        <w:rPr>
          <w:noProof/>
        </w:rPr>
        <w:t xml:space="preserve"> ca fiind orice entitate care are personalitate juridică în temeiul dreptului aplicabil, cu excepția statelor sau a organismelor publice care își exercită prerogativele de putere publică și a organizațiilor publice internaționale. La fel ca în cazul termenului „bunuri”, multe state membre definesc termenul „persoană juridică” în alte acte legislative, care se aplică, de asemenea, în scopul infracțiunilor de spălare a banilor. Acest lucru este în conformitate cu directiva.</w:t>
      </w:r>
    </w:p>
    <w:p w14:paraId="3C9C60A1" w14:textId="73C35C48" w:rsidR="00CF7FC5" w:rsidRPr="00E44128" w:rsidRDefault="00CF7FC5" w:rsidP="00100A7F">
      <w:pPr>
        <w:pStyle w:val="MBT"/>
        <w:rPr>
          <w:noProof/>
        </w:rPr>
      </w:pPr>
      <w:bookmarkStart w:id="14" w:name="_Toc106282984"/>
      <w:bookmarkStart w:id="15" w:name="_Toc110247386"/>
    </w:p>
    <w:p w14:paraId="5633C45F" w14:textId="77777777" w:rsidR="00175B64" w:rsidRPr="00E44128" w:rsidRDefault="00175B64" w:rsidP="000B3791">
      <w:pPr>
        <w:pStyle w:val="Heading2"/>
        <w:jc w:val="both"/>
        <w:rPr>
          <w:noProof/>
        </w:rPr>
      </w:pPr>
      <w:r>
        <w:rPr>
          <w:noProof/>
        </w:rPr>
        <w:t>Articolul 3 – Infracțiunile de spălare a banilor</w:t>
      </w:r>
      <w:bookmarkEnd w:id="14"/>
      <w:bookmarkEnd w:id="15"/>
    </w:p>
    <w:p w14:paraId="1B016015" w14:textId="77777777" w:rsidR="016A060A" w:rsidRPr="00E44128" w:rsidRDefault="016A060A" w:rsidP="00100A7F">
      <w:pPr>
        <w:jc w:val="both"/>
        <w:rPr>
          <w:noProof/>
        </w:rPr>
      </w:pPr>
    </w:p>
    <w:p w14:paraId="372BAD32" w14:textId="09B96B76" w:rsidR="00343112" w:rsidRDefault="00175B64" w:rsidP="00100A7F">
      <w:pPr>
        <w:jc w:val="both"/>
        <w:rPr>
          <w:noProof/>
        </w:rPr>
      </w:pPr>
      <w:r>
        <w:rPr>
          <w:b/>
          <w:noProof/>
        </w:rPr>
        <w:t>Articolul 3 alineatul (1)</w:t>
      </w:r>
      <w:r>
        <w:rPr>
          <w:noProof/>
        </w:rPr>
        <w:t xml:space="preserve"> impune statelor membre să incrimineze (a) transformarea sau transferul de bunuri, (b) ascunderea sau disimularea diferitelor caracteristici ale bunurilor și (c) dobândirea, posesia sau utilizarea de bunuri, în măsura în care autorul unor astfel de acte știe că bunurile respective provin dintr-o activitate infracțională. </w:t>
      </w:r>
    </w:p>
    <w:p w14:paraId="1181940A" w14:textId="77777777" w:rsidR="00E454F2" w:rsidRDefault="00E454F2" w:rsidP="00100A7F">
      <w:pPr>
        <w:jc w:val="both"/>
        <w:rPr>
          <w:noProof/>
        </w:rPr>
      </w:pPr>
    </w:p>
    <w:p w14:paraId="49B0425A" w14:textId="2C42B2FA" w:rsidR="00E454F2" w:rsidRDefault="00D45640" w:rsidP="00100A7F">
      <w:pPr>
        <w:jc w:val="both"/>
        <w:rPr>
          <w:noProof/>
        </w:rPr>
      </w:pPr>
      <w:r>
        <w:rPr>
          <w:b/>
          <w:noProof/>
        </w:rPr>
        <w:t>Statele membre</w:t>
      </w:r>
      <w:r>
        <w:rPr>
          <w:noProof/>
        </w:rPr>
        <w:t xml:space="preserve"> au transpus această dispoziție în mod diferit. Șapte state membre (</w:t>
      </w:r>
      <w:r>
        <w:rPr>
          <w:b/>
          <w:noProof/>
        </w:rPr>
        <w:t>Bulgaria, Republica Cehă, Grecia, Finlanda, Ungaria, Polonia</w:t>
      </w:r>
      <w:r>
        <w:rPr>
          <w:noProof/>
        </w:rPr>
        <w:t xml:space="preserve"> și </w:t>
      </w:r>
      <w:r>
        <w:rPr>
          <w:b/>
          <w:noProof/>
        </w:rPr>
        <w:t>România</w:t>
      </w:r>
      <w:r>
        <w:rPr>
          <w:noProof/>
        </w:rPr>
        <w:t>) au transpus elementul intențional în mod indirect, bazându-se pe principii generale de drept penal, potrivit cărora o infracțiune este caracterizată numai dacă este prezent elementul intențional. Celelalte state membre au inclus în mod explicit elementul intențional în dispozițiile naționale care incriminează spălarea banilor.</w:t>
      </w:r>
    </w:p>
    <w:p w14:paraId="21A017D4" w14:textId="77777777" w:rsidR="00B57A69" w:rsidRDefault="00B57A69" w:rsidP="00100A7F">
      <w:pPr>
        <w:jc w:val="both"/>
        <w:rPr>
          <w:noProof/>
        </w:rPr>
      </w:pPr>
    </w:p>
    <w:p w14:paraId="0D590B89" w14:textId="6496038E" w:rsidR="00DC5739" w:rsidRPr="00E44128" w:rsidRDefault="00175B64" w:rsidP="00100A7F">
      <w:pPr>
        <w:jc w:val="both"/>
        <w:rPr>
          <w:noProof/>
        </w:rPr>
      </w:pPr>
      <w:r>
        <w:rPr>
          <w:b/>
          <w:noProof/>
        </w:rPr>
        <w:t>Articolul 3 alineatul (2)</w:t>
      </w:r>
      <w:r>
        <w:rPr>
          <w:noProof/>
        </w:rPr>
        <w:t xml:space="preserve"> oferă statelor membre opțiunea de a incrimina în continuare spălarea banilor atunci când autorul infracțiunii nu a știut, dar a suspectat sau ar fi trebuit să știe că bunurile provin dintr-o activitate infracțională (spălarea banilor din neglijență). </w:t>
      </w:r>
      <w:r>
        <w:rPr>
          <w:b/>
          <w:noProof/>
        </w:rPr>
        <w:t>15 state membre</w:t>
      </w:r>
      <w:r>
        <w:rPr>
          <w:rStyle w:val="FootnoteReference"/>
          <w:noProof/>
          <w:lang w:eastAsia="en-US"/>
        </w:rPr>
        <w:footnoteReference w:id="4"/>
      </w:r>
      <w:r>
        <w:rPr>
          <w:noProof/>
        </w:rPr>
        <w:t xml:space="preserve"> au utilizat această opțiune, incriminând spălarea banilor din neglijență.</w:t>
      </w:r>
    </w:p>
    <w:p w14:paraId="2C1C3E5E" w14:textId="77777777" w:rsidR="008E71C6" w:rsidRPr="00E44128" w:rsidRDefault="008E71C6" w:rsidP="00100A7F">
      <w:pPr>
        <w:jc w:val="both"/>
        <w:rPr>
          <w:noProof/>
        </w:rPr>
      </w:pPr>
    </w:p>
    <w:p w14:paraId="6B8DD1FB" w14:textId="3F7EFFDD" w:rsidR="00E16799" w:rsidRPr="00E44128" w:rsidRDefault="00044AD2" w:rsidP="00100A7F">
      <w:pPr>
        <w:jc w:val="both"/>
        <w:rPr>
          <w:noProof/>
        </w:rPr>
      </w:pPr>
      <w:r>
        <w:rPr>
          <w:noProof/>
        </w:rPr>
        <w:t xml:space="preserve">Având în vedere că sistemele complexe de spălare a banilor îngreunează dovedirea infracțiunii premisă, directiva urmărește, de asemenea, eliminarea obstacolelor practice și juridice din calea urmăririi penale a spălării banilor ca infracțiune de sine stătătoare. În acest scop, directiva obligă statele membre să permită urmărirea penală și condamnarea pentru </w:t>
      </w:r>
      <w:r>
        <w:rPr>
          <w:b/>
          <w:noProof/>
        </w:rPr>
        <w:t>spălarea banilor fără a impune o condamnare pentru infracțiunea premisă</w:t>
      </w:r>
      <w:r>
        <w:rPr>
          <w:noProof/>
        </w:rPr>
        <w:t xml:space="preserve"> [</w:t>
      </w:r>
      <w:r>
        <w:rPr>
          <w:b/>
          <w:noProof/>
        </w:rPr>
        <w:t>articolul 3 alineatul (3) litera (a)</w:t>
      </w:r>
      <w:r>
        <w:rPr>
          <w:noProof/>
        </w:rPr>
        <w:t xml:space="preserve">] și fără a impune autorităților </w:t>
      </w:r>
      <w:r>
        <w:rPr>
          <w:b/>
          <w:noProof/>
        </w:rPr>
        <w:t>să dovedească toate elementele infracțiunii premisă</w:t>
      </w:r>
      <w:r>
        <w:rPr>
          <w:noProof/>
        </w:rPr>
        <w:t xml:space="preserve"> (care pot include identitatea autorului activității infracționale din care provin bunurile) [</w:t>
      </w:r>
      <w:r>
        <w:rPr>
          <w:b/>
          <w:noProof/>
        </w:rPr>
        <w:t>articolul 3 alineatul (3) litera (b)</w:t>
      </w:r>
      <w:r>
        <w:rPr>
          <w:noProof/>
        </w:rPr>
        <w:t xml:space="preserve">]. Aceasta este denumită în continuare „spălarea banilor ca infracțiune de sine stătătoare”. </w:t>
      </w:r>
    </w:p>
    <w:p w14:paraId="120E8556" w14:textId="77777777" w:rsidR="00E16799" w:rsidRDefault="00E16799" w:rsidP="00100A7F">
      <w:pPr>
        <w:jc w:val="both"/>
        <w:rPr>
          <w:noProof/>
        </w:rPr>
      </w:pPr>
    </w:p>
    <w:p w14:paraId="382C26DB" w14:textId="11C11DEE" w:rsidR="0095168C" w:rsidRDefault="00133EBC" w:rsidP="00100A7F">
      <w:pPr>
        <w:jc w:val="both"/>
        <w:rPr>
          <w:noProof/>
        </w:rPr>
      </w:pPr>
      <w:r>
        <w:rPr>
          <w:b/>
          <w:noProof/>
        </w:rPr>
        <w:t>Șaisprezece state membre</w:t>
      </w:r>
      <w:r>
        <w:rPr>
          <w:rStyle w:val="FootnoteReference"/>
          <w:noProof/>
        </w:rPr>
        <w:footnoteReference w:id="5"/>
      </w:r>
      <w:r>
        <w:rPr>
          <w:noProof/>
        </w:rPr>
        <w:t xml:space="preserve"> nu au transpus dispoziția în mod explicit, ci </w:t>
      </w:r>
      <w:r>
        <w:rPr>
          <w:b/>
          <w:noProof/>
        </w:rPr>
        <w:t>printr-o „transpunere implicită”</w:t>
      </w:r>
      <w:r>
        <w:rPr>
          <w:noProof/>
        </w:rPr>
        <w:t xml:space="preserve">, adică nemenționând în mod expres în legislația lor națională privind spălarea banilor că trebuie îndeplinite condiții precum o condamnare prealabilă sau simultană pentru infracțiunea premisă ori stabilirea tuturor faptelor și a circumstanțelor aferente acesteia. </w:t>
      </w:r>
    </w:p>
    <w:p w14:paraId="384D3CA3" w14:textId="77777777" w:rsidR="0095168C" w:rsidRDefault="0095168C" w:rsidP="00100A7F">
      <w:pPr>
        <w:jc w:val="both"/>
        <w:rPr>
          <w:noProof/>
        </w:rPr>
      </w:pPr>
    </w:p>
    <w:p w14:paraId="5348223A" w14:textId="38A5E0A5" w:rsidR="00122D23" w:rsidRDefault="00122D23" w:rsidP="00100A7F">
      <w:pPr>
        <w:jc w:val="both"/>
        <w:rPr>
          <w:noProof/>
        </w:rPr>
      </w:pPr>
      <w:r>
        <w:rPr>
          <w:noProof/>
        </w:rPr>
        <w:t xml:space="preserve">Comisia observă că </w:t>
      </w:r>
      <w:r>
        <w:rPr>
          <w:b/>
          <w:noProof/>
        </w:rPr>
        <w:t>pragul pentru dovedirea originii ilicite a bunurilor în instanță diferă considerabil între statele membre</w:t>
      </w:r>
      <w:r>
        <w:rPr>
          <w:noProof/>
        </w:rPr>
        <w:t>.</w:t>
      </w:r>
    </w:p>
    <w:p w14:paraId="2EB70151" w14:textId="77777777" w:rsidR="00122D23" w:rsidRDefault="00122D23" w:rsidP="00100A7F">
      <w:pPr>
        <w:jc w:val="both"/>
        <w:rPr>
          <w:noProof/>
        </w:rPr>
      </w:pPr>
    </w:p>
    <w:p w14:paraId="47E7A979" w14:textId="61B92D24" w:rsidR="00617F8B" w:rsidRPr="00DB0691" w:rsidRDefault="00CF2238" w:rsidP="00100A7F">
      <w:pPr>
        <w:jc w:val="both"/>
        <w:rPr>
          <w:noProof/>
        </w:rPr>
      </w:pPr>
      <w:r>
        <w:rPr>
          <w:noProof/>
        </w:rPr>
        <w:t xml:space="preserve">În </w:t>
      </w:r>
      <w:r>
        <w:rPr>
          <w:b/>
          <w:noProof/>
        </w:rPr>
        <w:t>paisprezece state membre</w:t>
      </w:r>
      <w:r>
        <w:rPr>
          <w:rStyle w:val="FootnoteReference"/>
          <w:noProof/>
          <w:lang w:val="en-US"/>
        </w:rPr>
        <w:footnoteReference w:id="6"/>
      </w:r>
      <w:r>
        <w:rPr>
          <w:noProof/>
        </w:rPr>
        <w:t xml:space="preserve">, nu este necesar să se specifice tipul de infracțiune premisă atunci când se dovedește originea ilicită a bunurilor. Mai degrabă, este suficient să se stabilească faptul că bunurile spălate provin dintr-o activitate infracțională care a fost săvârșită, ceea ce facilitează în mod semnificativ urmărirea penală a spălării banilor. </w:t>
      </w:r>
    </w:p>
    <w:p w14:paraId="4B672290" w14:textId="77777777" w:rsidR="00617F8B" w:rsidRPr="007B5090" w:rsidRDefault="00617F8B" w:rsidP="00100A7F">
      <w:pPr>
        <w:jc w:val="both"/>
        <w:rPr>
          <w:noProof/>
        </w:rPr>
      </w:pPr>
    </w:p>
    <w:p w14:paraId="735DFBB7" w14:textId="791AA6F7" w:rsidR="00153E13" w:rsidRPr="00DB0691" w:rsidRDefault="003B626E" w:rsidP="00100A7F">
      <w:pPr>
        <w:jc w:val="both"/>
        <w:rPr>
          <w:noProof/>
        </w:rPr>
      </w:pPr>
      <w:r>
        <w:rPr>
          <w:noProof/>
        </w:rPr>
        <w:t xml:space="preserve">Cu toate acestea, instanțele din mai multe state membre impun în continuare standarde ridicate pentru dovedirea existenței unei infracțiuni premisă. </w:t>
      </w:r>
      <w:r>
        <w:rPr>
          <w:b/>
          <w:noProof/>
        </w:rPr>
        <w:t>Zece state membre</w:t>
      </w:r>
      <w:r>
        <w:rPr>
          <w:rStyle w:val="FootnoteReference"/>
          <w:noProof/>
        </w:rPr>
        <w:footnoteReference w:id="7"/>
      </w:r>
      <w:r>
        <w:rPr>
          <w:noProof/>
        </w:rPr>
        <w:t xml:space="preserve"> solicită în continuare autorităților să identifice categoria de infracțiuni din care face parte infracțiunea premisă (de exemplu, traficul de droguri, traficul de persoane, frauda etc.). Dintre acestea, două </w:t>
      </w:r>
      <w:r>
        <w:rPr>
          <w:b/>
          <w:noProof/>
        </w:rPr>
        <w:t>state membre</w:t>
      </w:r>
      <w:r>
        <w:rPr>
          <w:noProof/>
        </w:rPr>
        <w:t xml:space="preserve"> (</w:t>
      </w:r>
      <w:r>
        <w:rPr>
          <w:b/>
          <w:noProof/>
        </w:rPr>
        <w:t>Bulgaria și Polonia</w:t>
      </w:r>
      <w:r>
        <w:rPr>
          <w:noProof/>
        </w:rPr>
        <w:t xml:space="preserve">) impun o exigență deosebit de ridicată în ceea ce privește probele pentru infracțiunea premisă. </w:t>
      </w:r>
      <w:r>
        <w:rPr>
          <w:b/>
          <w:noProof/>
        </w:rPr>
        <w:t>Bulgaria</w:t>
      </w:r>
      <w:r>
        <w:rPr>
          <w:rStyle w:val="FootnoteReference"/>
          <w:noProof/>
          <w:lang w:val="en-US"/>
        </w:rPr>
        <w:footnoteReference w:id="8"/>
      </w:r>
      <w:r>
        <w:rPr>
          <w:noProof/>
        </w:rPr>
        <w:t xml:space="preserve"> solicită în continuare dovedirea tipului de infracțiune, precum și a momentului și a locului săvârșirii acesteia. În </w:t>
      </w:r>
      <w:r>
        <w:rPr>
          <w:b/>
          <w:noProof/>
        </w:rPr>
        <w:t>Polonia</w:t>
      </w:r>
      <w:r>
        <w:rPr>
          <w:noProof/>
        </w:rPr>
        <w:t>, jurisprudența</w:t>
      </w:r>
      <w:r>
        <w:rPr>
          <w:rStyle w:val="FootnoteReference"/>
          <w:noProof/>
          <w:lang w:val="en-US"/>
        </w:rPr>
        <w:footnoteReference w:id="9"/>
      </w:r>
      <w:r>
        <w:rPr>
          <w:noProof/>
        </w:rPr>
        <w:t xml:space="preserve"> impune stabilirea faptului că anumite bunuri provin dintr-o infracțiune premisă specifică într-un mod suficient de precis.</w:t>
      </w:r>
    </w:p>
    <w:p w14:paraId="7DEC559A" w14:textId="77777777" w:rsidR="007819E4" w:rsidRPr="007B5090" w:rsidRDefault="007819E4" w:rsidP="00100A7F">
      <w:pPr>
        <w:jc w:val="both"/>
        <w:rPr>
          <w:noProof/>
          <w:lang w:val="fr-FR"/>
        </w:rPr>
      </w:pPr>
    </w:p>
    <w:p w14:paraId="5EFF9C23" w14:textId="109BED42" w:rsidR="007819E4" w:rsidRDefault="00FB34C3" w:rsidP="00100A7F">
      <w:pPr>
        <w:jc w:val="both"/>
        <w:rPr>
          <w:noProof/>
        </w:rPr>
      </w:pPr>
      <w:r>
        <w:rPr>
          <w:noProof/>
        </w:rPr>
        <w:t xml:space="preserve">Astfel cum se indică și în raportul de evaluare, </w:t>
      </w:r>
      <w:r>
        <w:rPr>
          <w:b/>
          <w:noProof/>
        </w:rPr>
        <w:t>formularea directivei este foarte largă, permițând o astfel de transpunere.</w:t>
      </w:r>
      <w:r>
        <w:rPr>
          <w:noProof/>
        </w:rPr>
        <w:t xml:space="preserve"> Directiva prevede că o condamnare pentru infracțiunea de spălare a banilor este posibilă „fără a fi necesar să se stabilească toate elementele de fapt sau toate circumstanțele legate de” infracțiunea premisă, însă o astfel de formulare înseamnă că legislația poate impune în continuare autorităților să dovedească toate elementele infracțiunii premisă, cu excepția unuia singur.</w:t>
      </w:r>
    </w:p>
    <w:p w14:paraId="3B73E500" w14:textId="77777777" w:rsidR="00972B24" w:rsidRPr="007B5090" w:rsidRDefault="00972B24" w:rsidP="00100A7F">
      <w:pPr>
        <w:jc w:val="both"/>
        <w:rPr>
          <w:noProof/>
        </w:rPr>
      </w:pPr>
    </w:p>
    <w:p w14:paraId="2305633B" w14:textId="64B75328" w:rsidR="00972B24" w:rsidRPr="00B358F7" w:rsidRDefault="00044AD2" w:rsidP="00100A7F">
      <w:pPr>
        <w:jc w:val="both"/>
        <w:rPr>
          <w:noProof/>
        </w:rPr>
      </w:pPr>
      <w:r>
        <w:rPr>
          <w:noProof/>
        </w:rPr>
        <w:t xml:space="preserve">Ținând seama de această marjă largă pe care directiva o acordă statelor membre, în ceea ce privește </w:t>
      </w:r>
      <w:r>
        <w:rPr>
          <w:b/>
          <w:noProof/>
        </w:rPr>
        <w:t>articolul 3 alineatul (3) literele (a) și (b)</w:t>
      </w:r>
      <w:r>
        <w:rPr>
          <w:noProof/>
        </w:rPr>
        <w:t xml:space="preserve"> nu a fost identificat niciun caz de neconformitate.</w:t>
      </w:r>
    </w:p>
    <w:p w14:paraId="474BBDD4" w14:textId="7AAC9F40" w:rsidR="00BA247B" w:rsidRPr="00133EBC" w:rsidRDefault="00BA247B" w:rsidP="00100A7F">
      <w:pPr>
        <w:jc w:val="both"/>
        <w:rPr>
          <w:noProof/>
        </w:rPr>
      </w:pPr>
    </w:p>
    <w:p w14:paraId="1C08CBE6" w14:textId="13FAC54D" w:rsidR="005E2821" w:rsidRDefault="00BA247B" w:rsidP="00100A7F">
      <w:pPr>
        <w:jc w:val="both"/>
        <w:rPr>
          <w:noProof/>
        </w:rPr>
      </w:pPr>
      <w:r>
        <w:rPr>
          <w:b/>
          <w:noProof/>
        </w:rPr>
        <w:t xml:space="preserve">Toate statele membre au transpus în mod conform </w:t>
      </w:r>
      <w:r>
        <w:rPr>
          <w:noProof/>
        </w:rPr>
        <w:t xml:space="preserve">dispoziția potrivit căreia </w:t>
      </w:r>
      <w:r>
        <w:rPr>
          <w:b/>
          <w:noProof/>
        </w:rPr>
        <w:t>infracțiunile de spălare a banilor includ bunurile provenite din fapte săvârșite într-un alt stat membru sau într-o țară terță</w:t>
      </w:r>
      <w:r>
        <w:rPr>
          <w:noProof/>
        </w:rPr>
        <w:t>, în cazul în care faptele ar fi constituit o infracțiune premisă dacă ar fi avut loc pe plan intern [</w:t>
      </w:r>
      <w:r>
        <w:rPr>
          <w:b/>
          <w:noProof/>
        </w:rPr>
        <w:t>articolul 3 alineatul (3) litera (c)</w:t>
      </w:r>
      <w:r>
        <w:rPr>
          <w:noProof/>
        </w:rPr>
        <w:t xml:space="preserve">]. </w:t>
      </w:r>
    </w:p>
    <w:p w14:paraId="432E736A" w14:textId="77777777" w:rsidR="00BA247B" w:rsidRDefault="00BA247B" w:rsidP="00100A7F">
      <w:pPr>
        <w:jc w:val="both"/>
        <w:rPr>
          <w:noProof/>
        </w:rPr>
      </w:pPr>
    </w:p>
    <w:p w14:paraId="521DF0A2" w14:textId="70259994" w:rsidR="00DC5739" w:rsidRPr="000118F6" w:rsidRDefault="579CA40E" w:rsidP="00100A7F">
      <w:pPr>
        <w:jc w:val="both"/>
        <w:rPr>
          <w:noProof/>
        </w:rPr>
      </w:pPr>
      <w:r>
        <w:rPr>
          <w:noProof/>
        </w:rPr>
        <w:t xml:space="preserve">Din motive de proporționalitate, </w:t>
      </w:r>
      <w:r>
        <w:rPr>
          <w:b/>
          <w:noProof/>
        </w:rPr>
        <w:t>articolul 3 alineatul (4)</w:t>
      </w:r>
      <w:r>
        <w:rPr>
          <w:noProof/>
        </w:rPr>
        <w:t xml:space="preserve"> oferă statelor membre opțiunea de a restrânge domeniul de aplicare al cazurilor transfrontaliere în care spălarea banilor este pasibilă de pedeapsă, și anume atunci când infracțiunea premisă a avut loc în țări în care un astfel de comportament nu este incriminat (cerința „dublei incriminări”). Cu toate acestea, pentru anumite categorii de infracțiuni grave, o astfel de posibilitate de a restrânge domeniul de aplicare transfrontalier nu este disponibilă. În cazurile de participare la un grup infracțional organizat, terorism, trafic de persoane, introducere ilegală de migranți, exploatare sexuală, trafic de droguri și corupție, săvârșite într-un alt stat membru sau într-o țară terță, trebuie să fie totuși posibilă urmărirea penală a unei persoane pentru infracțiunea de spălare a banilor, chiar dacă faptele care au generat câștigurile în cauză nu constituie o infracțiune în statul respectiv.</w:t>
      </w:r>
    </w:p>
    <w:p w14:paraId="61A56020" w14:textId="77777777" w:rsidR="00B57A69" w:rsidRPr="000118F6" w:rsidRDefault="00B57A69" w:rsidP="000B3791">
      <w:pPr>
        <w:jc w:val="both"/>
        <w:rPr>
          <w:noProof/>
          <w:lang w:eastAsia="en-US"/>
        </w:rPr>
      </w:pPr>
    </w:p>
    <w:p w14:paraId="63B0D09F" w14:textId="648E7EA0" w:rsidR="009F2156" w:rsidRPr="00361957" w:rsidRDefault="31BE6859" w:rsidP="00100A7F">
      <w:pPr>
        <w:jc w:val="both"/>
        <w:rPr>
          <w:noProof/>
        </w:rPr>
      </w:pPr>
      <w:r>
        <w:rPr>
          <w:b/>
          <w:noProof/>
        </w:rPr>
        <w:t>Opt state membre</w:t>
      </w:r>
      <w:r>
        <w:rPr>
          <w:rStyle w:val="FootnoteReference"/>
          <w:bCs/>
          <w:noProof/>
        </w:rPr>
        <w:footnoteReference w:id="10"/>
      </w:r>
      <w:r>
        <w:rPr>
          <w:noProof/>
        </w:rPr>
        <w:t xml:space="preserve"> au utilizat opțiunea de a impune cerința „dublei incriminări”. Cu toate acestea, </w:t>
      </w:r>
      <w:r>
        <w:rPr>
          <w:b/>
          <w:noProof/>
        </w:rPr>
        <w:t>Luxemburgul</w:t>
      </w:r>
      <w:r>
        <w:rPr>
          <w:rStyle w:val="FootnoteReference"/>
          <w:bCs/>
          <w:noProof/>
        </w:rPr>
        <w:footnoteReference w:id="11"/>
      </w:r>
      <w:r>
        <w:rPr>
          <w:noProof/>
        </w:rPr>
        <w:t xml:space="preserve"> impune dubla incriminare pentru unele dintre infracțiunile pentru care un astfel de principiu nu ar trebui să se aplice, și anume participarea la o organizație criminală și racketul. .</w:t>
      </w:r>
    </w:p>
    <w:p w14:paraId="72EBCA52" w14:textId="77777777" w:rsidR="00DE13DB" w:rsidRPr="00361957" w:rsidRDefault="00DE13DB" w:rsidP="00100A7F">
      <w:pPr>
        <w:jc w:val="both"/>
        <w:rPr>
          <w:noProof/>
        </w:rPr>
      </w:pPr>
    </w:p>
    <w:p w14:paraId="24B82504" w14:textId="79F37A81" w:rsidR="0081100A" w:rsidRDefault="05CF4069" w:rsidP="00100A7F">
      <w:pPr>
        <w:jc w:val="both"/>
        <w:rPr>
          <w:noProof/>
        </w:rPr>
      </w:pPr>
      <w:r>
        <w:rPr>
          <w:noProof/>
        </w:rPr>
        <w:t>În cele din urmă, statele membre trebuie să se asigure că faptele incriminate ca spălare a banilor la articolul 3 alineatul (1) litera (a) și litera (b) sunt pasibile de pedeapsă în caz de</w:t>
      </w:r>
      <w:r>
        <w:rPr>
          <w:b/>
          <w:noProof/>
        </w:rPr>
        <w:t xml:space="preserve"> „autospălare a banilor”</w:t>
      </w:r>
      <w:r>
        <w:rPr>
          <w:noProof/>
        </w:rPr>
        <w:t xml:space="preserve"> [</w:t>
      </w:r>
      <w:r>
        <w:rPr>
          <w:b/>
          <w:noProof/>
        </w:rPr>
        <w:t>articolul 3 alineatul (5)</w:t>
      </w:r>
      <w:r>
        <w:rPr>
          <w:noProof/>
        </w:rPr>
        <w:t>], și anume în cazul în care persoana care a comis sau a fost implicată în săvârșirea infracțiunii premisă spală produsele propriei infracțiuni.</w:t>
      </w:r>
      <w:r w:rsidR="007B5090">
        <w:rPr>
          <w:noProof/>
        </w:rPr>
        <w:t xml:space="preserve"> </w:t>
      </w:r>
    </w:p>
    <w:p w14:paraId="2FD3ED1D" w14:textId="77777777" w:rsidR="0045284B" w:rsidRDefault="0045284B" w:rsidP="00100A7F">
      <w:pPr>
        <w:jc w:val="both"/>
        <w:rPr>
          <w:noProof/>
        </w:rPr>
      </w:pPr>
    </w:p>
    <w:p w14:paraId="4E1D118C" w14:textId="27602CC3" w:rsidR="0081100A" w:rsidRDefault="499E32CF" w:rsidP="00100A7F">
      <w:pPr>
        <w:jc w:val="both"/>
        <w:rPr>
          <w:noProof/>
        </w:rPr>
      </w:pPr>
      <w:r>
        <w:rPr>
          <w:b/>
          <w:noProof/>
        </w:rPr>
        <w:t>Statele membre au transpus această dispoziție</w:t>
      </w:r>
      <w:r>
        <w:rPr>
          <w:noProof/>
        </w:rPr>
        <w:t xml:space="preserve"> în legislația lor națională </w:t>
      </w:r>
      <w:r>
        <w:rPr>
          <w:b/>
          <w:noProof/>
        </w:rPr>
        <w:t>în mod explicit</w:t>
      </w:r>
      <w:r>
        <w:rPr>
          <w:noProof/>
        </w:rPr>
        <w:t xml:space="preserve"> </w:t>
      </w:r>
      <w:r>
        <w:rPr>
          <w:b/>
          <w:noProof/>
        </w:rPr>
        <w:t>sau implicit</w:t>
      </w:r>
      <w:r>
        <w:rPr>
          <w:noProof/>
        </w:rPr>
        <w:t xml:space="preserve">, prin faptul că nu impun condiția ca autorul infracțiunii premisă să fie distinct de autorul infracțiunii de spălare a banilor. Unele state membre au inclus în legislația lor națională </w:t>
      </w:r>
      <w:r>
        <w:rPr>
          <w:b/>
          <w:noProof/>
        </w:rPr>
        <w:t>excepții</w:t>
      </w:r>
      <w:r>
        <w:rPr>
          <w:noProof/>
        </w:rPr>
        <w:t xml:space="preserve"> </w:t>
      </w:r>
      <w:r>
        <w:rPr>
          <w:b/>
          <w:noProof/>
        </w:rPr>
        <w:t>care nu afectează conformitatea</w:t>
      </w:r>
      <w:r>
        <w:rPr>
          <w:noProof/>
        </w:rPr>
        <w:t xml:space="preserve">; de exemplu, Germania impune ca activele ilegale să fie introduse în circuitul economic într-un fel sau altul, </w:t>
      </w:r>
      <w:r>
        <w:rPr>
          <w:b/>
          <w:noProof/>
        </w:rPr>
        <w:t>iar Italia și Estonia</w:t>
      </w:r>
      <w:r>
        <w:rPr>
          <w:noProof/>
        </w:rPr>
        <w:t xml:space="preserve"> exclud din domeniul de aplicare utilizarea în scop personal. Prin urmare, nu a fost identificat niciun caz de neconformitate.</w:t>
      </w:r>
    </w:p>
    <w:p w14:paraId="44209691" w14:textId="5BE193DA" w:rsidR="00141D16" w:rsidRPr="00361957" w:rsidRDefault="00141D16" w:rsidP="00100A7F">
      <w:pPr>
        <w:jc w:val="both"/>
        <w:rPr>
          <w:noProof/>
        </w:rPr>
      </w:pPr>
    </w:p>
    <w:p w14:paraId="77A374D4" w14:textId="77777777" w:rsidR="00175B64" w:rsidRPr="00361957" w:rsidRDefault="00175B64" w:rsidP="000B3791">
      <w:pPr>
        <w:pStyle w:val="Heading2"/>
        <w:jc w:val="both"/>
        <w:rPr>
          <w:noProof/>
        </w:rPr>
      </w:pPr>
      <w:bookmarkStart w:id="16" w:name="_Toc106282985"/>
      <w:bookmarkStart w:id="17" w:name="_Toc110247387"/>
      <w:r>
        <w:rPr>
          <w:noProof/>
        </w:rPr>
        <w:t>Articolul 4 – Complicitatea, instigarea și tentativa</w:t>
      </w:r>
      <w:bookmarkEnd w:id="16"/>
      <w:bookmarkEnd w:id="17"/>
    </w:p>
    <w:p w14:paraId="54C5E2EC" w14:textId="77777777" w:rsidR="00175B64" w:rsidRPr="00361957" w:rsidRDefault="00175B64" w:rsidP="00100A7F">
      <w:pPr>
        <w:jc w:val="both"/>
        <w:rPr>
          <w:noProof/>
        </w:rPr>
      </w:pPr>
    </w:p>
    <w:p w14:paraId="27022401" w14:textId="13C695D8" w:rsidR="0009732A" w:rsidRDefault="00175B64" w:rsidP="00100A7F">
      <w:pPr>
        <w:contextualSpacing/>
        <w:jc w:val="both"/>
        <w:rPr>
          <w:noProof/>
        </w:rPr>
      </w:pPr>
      <w:r>
        <w:rPr>
          <w:b/>
          <w:noProof/>
        </w:rPr>
        <w:t>Articolul 4</w:t>
      </w:r>
      <w:r>
        <w:rPr>
          <w:noProof/>
        </w:rPr>
        <w:t xml:space="preserve"> prevede că </w:t>
      </w:r>
      <w:r>
        <w:rPr>
          <w:b/>
          <w:noProof/>
        </w:rPr>
        <w:t>infracțiunile accesorii, și anume complicitatea, instigarea</w:t>
      </w:r>
      <w:r>
        <w:rPr>
          <w:noProof/>
        </w:rPr>
        <w:t xml:space="preserve"> la săvârșirea unei infracțiuni de spălare a banilor și </w:t>
      </w:r>
      <w:r>
        <w:rPr>
          <w:b/>
          <w:noProof/>
        </w:rPr>
        <w:t>tentativa</w:t>
      </w:r>
      <w:r>
        <w:rPr>
          <w:noProof/>
        </w:rPr>
        <w:t xml:space="preserve"> de a săvârși o infracțiune de spălare a banilor, trebuie să fie pedepsite ca infracțiuni. </w:t>
      </w:r>
    </w:p>
    <w:p w14:paraId="70F3C754" w14:textId="77777777" w:rsidR="0009732A" w:rsidRDefault="0009732A" w:rsidP="00100A7F">
      <w:pPr>
        <w:contextualSpacing/>
        <w:jc w:val="both"/>
        <w:rPr>
          <w:noProof/>
        </w:rPr>
      </w:pPr>
    </w:p>
    <w:p w14:paraId="469F65F4" w14:textId="7D267EC3" w:rsidR="00175B64" w:rsidRPr="00361957" w:rsidRDefault="00175B64" w:rsidP="0029250C">
      <w:pPr>
        <w:contextualSpacing/>
        <w:jc w:val="both"/>
        <w:rPr>
          <w:noProof/>
        </w:rPr>
      </w:pPr>
      <w:r>
        <w:rPr>
          <w:b/>
          <w:noProof/>
        </w:rPr>
        <w:t>Toate cele 25 de state membre au transpus corect articolul 4.</w:t>
      </w:r>
      <w:r>
        <w:rPr>
          <w:noProof/>
        </w:rPr>
        <w:t xml:space="preserve"> </w:t>
      </w:r>
    </w:p>
    <w:p w14:paraId="6C1722E5" w14:textId="77777777" w:rsidR="00175B64" w:rsidRPr="00361957" w:rsidRDefault="00175B64" w:rsidP="0029250C">
      <w:pPr>
        <w:pStyle w:val="Heading1"/>
        <w:numPr>
          <w:ilvl w:val="0"/>
          <w:numId w:val="0"/>
        </w:numPr>
        <w:ind w:left="720"/>
        <w:jc w:val="both"/>
        <w:rPr>
          <w:noProof/>
        </w:rPr>
      </w:pPr>
    </w:p>
    <w:p w14:paraId="4EA2A28D" w14:textId="77777777" w:rsidR="00175B64" w:rsidRPr="00361957" w:rsidRDefault="00175B64" w:rsidP="00C84542">
      <w:pPr>
        <w:pStyle w:val="Heading2"/>
        <w:rPr>
          <w:noProof/>
        </w:rPr>
      </w:pPr>
      <w:bookmarkStart w:id="18" w:name="_Toc106282986"/>
      <w:bookmarkStart w:id="19" w:name="_Toc110247388"/>
      <w:r>
        <w:rPr>
          <w:noProof/>
        </w:rPr>
        <w:t>Articolul 5 – Pedepse aplicabile persoanelor fizice</w:t>
      </w:r>
      <w:bookmarkEnd w:id="18"/>
      <w:bookmarkEnd w:id="19"/>
      <w:r>
        <w:rPr>
          <w:noProof/>
        </w:rPr>
        <w:t xml:space="preserve"> </w:t>
      </w:r>
    </w:p>
    <w:p w14:paraId="5042E2B3" w14:textId="77777777" w:rsidR="00175B64" w:rsidRPr="00361957" w:rsidRDefault="00175B64" w:rsidP="0029250C">
      <w:pPr>
        <w:jc w:val="both"/>
        <w:rPr>
          <w:noProof/>
        </w:rPr>
      </w:pPr>
    </w:p>
    <w:p w14:paraId="30FFC0F3" w14:textId="46947F4F" w:rsidR="00203F5D" w:rsidRDefault="00175B64" w:rsidP="0089760C">
      <w:pPr>
        <w:contextualSpacing/>
        <w:jc w:val="both"/>
        <w:rPr>
          <w:noProof/>
        </w:rPr>
      </w:pPr>
      <w:r>
        <w:rPr>
          <w:b/>
          <w:noProof/>
        </w:rPr>
        <w:t>Articolul 5</w:t>
      </w:r>
      <w:r>
        <w:rPr>
          <w:noProof/>
        </w:rPr>
        <w:t xml:space="preserve"> prevede că infracțiunile de spălare a banilor și infracțiunile accesorii </w:t>
      </w:r>
      <w:r>
        <w:rPr>
          <w:b/>
          <w:noProof/>
        </w:rPr>
        <w:t>se pedepsesc cu sancțiuni penale eficace, proporționale și cu efect de descurajare</w:t>
      </w:r>
      <w:r>
        <w:rPr>
          <w:noProof/>
        </w:rPr>
        <w:t xml:space="preserve">, precizând că infracțiunile de spălare a banilor trebuie să fie pedepsite cu închisoare cu o durată maximă de cel puțin patru ani. </w:t>
      </w:r>
    </w:p>
    <w:p w14:paraId="5E99EE89" w14:textId="77777777" w:rsidR="00B57A69" w:rsidRDefault="00B57A69" w:rsidP="0089760C">
      <w:pPr>
        <w:contextualSpacing/>
        <w:jc w:val="both"/>
        <w:rPr>
          <w:noProof/>
        </w:rPr>
      </w:pPr>
    </w:p>
    <w:p w14:paraId="5C90BF72" w14:textId="4CE322C8" w:rsidR="00826BEC" w:rsidRPr="004E2383" w:rsidRDefault="00825270" w:rsidP="000639E5">
      <w:pPr>
        <w:contextualSpacing/>
        <w:jc w:val="both"/>
        <w:rPr>
          <w:bCs/>
          <w:noProof/>
        </w:rPr>
      </w:pPr>
      <w:r>
        <w:rPr>
          <w:b/>
          <w:noProof/>
        </w:rPr>
        <w:t>În această privință, Comisia observă că Suedia</w:t>
      </w:r>
      <w:r>
        <w:rPr>
          <w:rStyle w:val="FootnoteReference"/>
          <w:b/>
          <w:noProof/>
          <w:lang w:val="en-US"/>
        </w:rPr>
        <w:footnoteReference w:id="12"/>
      </w:r>
      <w:r>
        <w:rPr>
          <w:noProof/>
        </w:rPr>
        <w:t xml:space="preserve"> a stabilit în legislația sa o durată maximă de doi ani, în timp ce </w:t>
      </w:r>
      <w:r>
        <w:rPr>
          <w:b/>
          <w:noProof/>
        </w:rPr>
        <w:t>Grecia</w:t>
      </w:r>
      <w:r>
        <w:rPr>
          <w:rStyle w:val="FootnoteReference"/>
          <w:bCs/>
          <w:noProof/>
          <w:lang w:val="en-US"/>
        </w:rPr>
        <w:footnoteReference w:id="13"/>
      </w:r>
      <w:r>
        <w:rPr>
          <w:noProof/>
        </w:rPr>
        <w:t xml:space="preserve"> pare să nu fi respectat pragul de patru ani în cazul în care infracțiunea premisă este un delict, ceea ce, în practică, înseamnă că sancțiunea pentru spălarea banilor nu este suficient de ridicată pentru o gamă largă de infracțiuni premisă prevăzute în directivă.</w:t>
      </w:r>
    </w:p>
    <w:p w14:paraId="6AF6CDEA" w14:textId="77777777" w:rsidR="00175B64" w:rsidRPr="00361957" w:rsidRDefault="00175B64" w:rsidP="0029250C">
      <w:pPr>
        <w:contextualSpacing/>
        <w:jc w:val="both"/>
        <w:rPr>
          <w:noProof/>
        </w:rPr>
      </w:pPr>
    </w:p>
    <w:p w14:paraId="194685CB" w14:textId="77777777" w:rsidR="00175B64" w:rsidRPr="00361957" w:rsidRDefault="00175B64" w:rsidP="00C84542">
      <w:pPr>
        <w:pStyle w:val="Heading2"/>
        <w:rPr>
          <w:noProof/>
        </w:rPr>
      </w:pPr>
      <w:bookmarkStart w:id="20" w:name="_Toc106282987"/>
      <w:bookmarkStart w:id="21" w:name="_Toc110247389"/>
      <w:r>
        <w:rPr>
          <w:noProof/>
        </w:rPr>
        <w:t>Articolul 6 – Circumstanțe agravante</w:t>
      </w:r>
      <w:bookmarkEnd w:id="20"/>
      <w:bookmarkEnd w:id="21"/>
    </w:p>
    <w:p w14:paraId="418772EB" w14:textId="77777777" w:rsidR="00175B64" w:rsidRPr="00361957" w:rsidRDefault="00175B64" w:rsidP="0029250C">
      <w:pPr>
        <w:jc w:val="both"/>
        <w:rPr>
          <w:noProof/>
        </w:rPr>
      </w:pPr>
    </w:p>
    <w:p w14:paraId="045087BA" w14:textId="3E9889C7" w:rsidR="001B6D8F" w:rsidRDefault="680EDADA" w:rsidP="0029250C">
      <w:pPr>
        <w:jc w:val="both"/>
        <w:rPr>
          <w:noProof/>
        </w:rPr>
      </w:pPr>
      <w:r>
        <w:rPr>
          <w:b/>
          <w:noProof/>
        </w:rPr>
        <w:t>Articolul 6 alineatul (1)</w:t>
      </w:r>
      <w:r>
        <w:rPr>
          <w:noProof/>
        </w:rPr>
        <w:t xml:space="preserve"> stabilește două circumstanțe agravante obligatorii: atunci când spălarea banilor este </w:t>
      </w:r>
      <w:r>
        <w:rPr>
          <w:b/>
          <w:noProof/>
        </w:rPr>
        <w:t>săvârșită în cadrul unei organizații criminale</w:t>
      </w:r>
      <w:r>
        <w:rPr>
          <w:noProof/>
        </w:rPr>
        <w:t xml:space="preserve"> sau </w:t>
      </w:r>
      <w:r>
        <w:rPr>
          <w:b/>
          <w:noProof/>
        </w:rPr>
        <w:t>în cursul activităților profesionale ale unei „entități obligate”</w:t>
      </w:r>
      <w:r>
        <w:rPr>
          <w:noProof/>
        </w:rPr>
        <w:t>, și anume o entitate care face obiectul unor obligații specifice de raportare și de verificare a clienților în temeiul legislației UE privind combaterea spălării banilor</w:t>
      </w:r>
      <w:r>
        <w:rPr>
          <w:rStyle w:val="FootnoteReference"/>
          <w:noProof/>
        </w:rPr>
        <w:footnoteReference w:id="14"/>
      </w:r>
      <w:r>
        <w:rPr>
          <w:noProof/>
        </w:rPr>
        <w:t xml:space="preserve">. </w:t>
      </w:r>
    </w:p>
    <w:p w14:paraId="4FC53D7D" w14:textId="77777777" w:rsidR="00402135" w:rsidRPr="00E44128" w:rsidRDefault="00402135" w:rsidP="0029250C">
      <w:pPr>
        <w:jc w:val="both"/>
        <w:rPr>
          <w:noProof/>
        </w:rPr>
      </w:pPr>
    </w:p>
    <w:p w14:paraId="64783094" w14:textId="76988900" w:rsidR="001061A4" w:rsidRDefault="00825270" w:rsidP="0029250C">
      <w:pPr>
        <w:jc w:val="both"/>
        <w:rPr>
          <w:noProof/>
        </w:rPr>
      </w:pPr>
      <w:r>
        <w:rPr>
          <w:noProof/>
        </w:rPr>
        <w:t>În această privință, trebuie remarcat faptul că</w:t>
      </w:r>
      <w:r>
        <w:rPr>
          <w:b/>
          <w:noProof/>
        </w:rPr>
        <w:t xml:space="preserve"> Lituania, Polonia</w:t>
      </w:r>
      <w:r>
        <w:rPr>
          <w:noProof/>
        </w:rPr>
        <w:t xml:space="preserve"> și </w:t>
      </w:r>
      <w:r>
        <w:rPr>
          <w:b/>
          <w:noProof/>
        </w:rPr>
        <w:t>Slovenia</w:t>
      </w:r>
      <w:r>
        <w:rPr>
          <w:noProof/>
        </w:rPr>
        <w:t xml:space="preserve"> nu au introdus în legislația lor circumstanța agravantă a spălării banilor săvârșite de o entitate obligată</w:t>
      </w:r>
      <w:r>
        <w:rPr>
          <w:rStyle w:val="CommentReference"/>
          <w:noProof/>
          <w:sz w:val="24"/>
        </w:rPr>
        <w:t>;</w:t>
      </w:r>
      <w:r>
        <w:rPr>
          <w:rStyle w:val="CommentReference"/>
          <w:noProof/>
        </w:rPr>
        <w:t xml:space="preserve"> </w:t>
      </w:r>
      <w:r>
        <w:rPr>
          <w:b/>
          <w:noProof/>
        </w:rPr>
        <w:t>Cipru</w:t>
      </w:r>
      <w:r>
        <w:rPr>
          <w:rStyle w:val="FootnoteReference"/>
          <w:b/>
          <w:bCs/>
          <w:noProof/>
          <w:lang w:eastAsia="en-US"/>
        </w:rPr>
        <w:footnoteReference w:id="15"/>
      </w:r>
      <w:r>
        <w:rPr>
          <w:noProof/>
        </w:rPr>
        <w:t xml:space="preserve"> nu prevede circumstanțe agravante pentru complicitate, instigare și tentativă de a comite infracțiunea de spălare a banilor; </w:t>
      </w:r>
      <w:r>
        <w:rPr>
          <w:b/>
          <w:noProof/>
        </w:rPr>
        <w:t>Grecia</w:t>
      </w:r>
      <w:r>
        <w:rPr>
          <w:rStyle w:val="FootnoteReference"/>
          <w:noProof/>
          <w:lang w:eastAsia="en-US"/>
        </w:rPr>
        <w:footnoteReference w:id="16"/>
      </w:r>
      <w:r>
        <w:rPr>
          <w:noProof/>
        </w:rPr>
        <w:t xml:space="preserve"> nu poate aplica circumstanțe agravante în cazul în care infracțiunea premisă este un delict, ceea ce, în practică, exclude o gamă largă de infracțiuni premisă prevăzute în directivă.</w:t>
      </w:r>
    </w:p>
    <w:p w14:paraId="0F353C04" w14:textId="77777777" w:rsidR="00EF2334" w:rsidRPr="00E44128" w:rsidRDefault="00EF2334" w:rsidP="0029250C">
      <w:pPr>
        <w:contextualSpacing/>
        <w:jc w:val="both"/>
        <w:rPr>
          <w:noProof/>
        </w:rPr>
      </w:pPr>
    </w:p>
    <w:p w14:paraId="6C481E67" w14:textId="040F24C7" w:rsidR="00F93B59" w:rsidRDefault="00EF2334" w:rsidP="0029250C">
      <w:pPr>
        <w:jc w:val="both"/>
        <w:rPr>
          <w:noProof/>
        </w:rPr>
      </w:pPr>
      <w:r>
        <w:rPr>
          <w:b/>
          <w:noProof/>
        </w:rPr>
        <w:t>Articolul 6 alineatul (2)</w:t>
      </w:r>
      <w:r>
        <w:rPr>
          <w:noProof/>
        </w:rPr>
        <w:t xml:space="preserve"> oferă statelor membre posibilitatea de a introduce două circumstanțe agravante suplimentare, </w:t>
      </w:r>
      <w:r>
        <w:rPr>
          <w:b/>
          <w:noProof/>
        </w:rPr>
        <w:t>(a)</w:t>
      </w:r>
      <w:r>
        <w:rPr>
          <w:noProof/>
        </w:rPr>
        <w:t xml:space="preserve"> atunci când bunurile spălate au o valoare considerabilă sau </w:t>
      </w:r>
      <w:r>
        <w:rPr>
          <w:b/>
          <w:noProof/>
        </w:rPr>
        <w:t>(b)</w:t>
      </w:r>
      <w:r>
        <w:rPr>
          <w:noProof/>
        </w:rPr>
        <w:t xml:space="preserve"> atunci când bunurile spălate provin dintr-o serie de infracțiuni specifice</w:t>
      </w:r>
      <w:r>
        <w:rPr>
          <w:noProof/>
          <w:vertAlign w:val="superscript"/>
        </w:rPr>
        <w:footnoteReference w:id="17"/>
      </w:r>
      <w:r>
        <w:rPr>
          <w:noProof/>
        </w:rPr>
        <w:t xml:space="preserve">. </w:t>
      </w:r>
      <w:r>
        <w:rPr>
          <w:b/>
          <w:noProof/>
        </w:rPr>
        <w:t>Opțiunea (a) a fost transpusă de 14 state membre</w:t>
      </w:r>
      <w:r>
        <w:rPr>
          <w:rStyle w:val="FootnoteReference"/>
          <w:noProof/>
        </w:rPr>
        <w:footnoteReference w:id="18"/>
      </w:r>
      <w:r>
        <w:rPr>
          <w:noProof/>
        </w:rPr>
        <w:t xml:space="preserve">, iar </w:t>
      </w:r>
      <w:r>
        <w:rPr>
          <w:b/>
          <w:noProof/>
        </w:rPr>
        <w:t>opțiunea (b) de patru state membre</w:t>
      </w:r>
      <w:r>
        <w:rPr>
          <w:rStyle w:val="FootnoteReference"/>
          <w:noProof/>
        </w:rPr>
        <w:footnoteReference w:id="19"/>
      </w:r>
      <w:r>
        <w:rPr>
          <w:noProof/>
        </w:rPr>
        <w:t xml:space="preserve">. </w:t>
      </w:r>
    </w:p>
    <w:p w14:paraId="02F93B6C" w14:textId="77777777" w:rsidR="004E2383" w:rsidRDefault="004E2383" w:rsidP="0029250C">
      <w:pPr>
        <w:jc w:val="both"/>
        <w:rPr>
          <w:noProof/>
        </w:rPr>
      </w:pPr>
    </w:p>
    <w:p w14:paraId="51624A63" w14:textId="36276634" w:rsidR="00EF2334" w:rsidRPr="00E44128" w:rsidRDefault="00F82B9F" w:rsidP="0029250C">
      <w:pPr>
        <w:jc w:val="both"/>
        <w:rPr>
          <w:noProof/>
        </w:rPr>
      </w:pPr>
      <w:r>
        <w:rPr>
          <w:b/>
          <w:noProof/>
        </w:rPr>
        <w:t xml:space="preserve">Toate statele membre care au utilizat aceste opțiuni le-au transpus în conformitate </w:t>
      </w:r>
      <w:r>
        <w:rPr>
          <w:noProof/>
        </w:rPr>
        <w:t>cu directiva.</w:t>
      </w:r>
    </w:p>
    <w:p w14:paraId="42CCA0DD" w14:textId="77777777" w:rsidR="00175B64" w:rsidRPr="00E44128" w:rsidRDefault="00175B64" w:rsidP="0029250C">
      <w:pPr>
        <w:contextualSpacing/>
        <w:jc w:val="both"/>
        <w:rPr>
          <w:noProof/>
        </w:rPr>
      </w:pPr>
    </w:p>
    <w:p w14:paraId="3F442383" w14:textId="77777777" w:rsidR="00175B64" w:rsidRPr="00E44128" w:rsidRDefault="00175B64" w:rsidP="00C84542">
      <w:pPr>
        <w:pStyle w:val="Heading2"/>
        <w:rPr>
          <w:noProof/>
        </w:rPr>
      </w:pPr>
      <w:bookmarkStart w:id="22" w:name="_Toc106282988"/>
      <w:bookmarkStart w:id="23" w:name="_Toc110247390"/>
      <w:r>
        <w:rPr>
          <w:noProof/>
        </w:rPr>
        <w:t>Articolul 7 – Răspunderea persoanelor juridice</w:t>
      </w:r>
      <w:bookmarkEnd w:id="22"/>
      <w:bookmarkEnd w:id="23"/>
    </w:p>
    <w:p w14:paraId="341341A4" w14:textId="77777777" w:rsidR="00175B64" w:rsidRPr="00E44128" w:rsidRDefault="00175B64" w:rsidP="0029250C">
      <w:pPr>
        <w:jc w:val="both"/>
        <w:rPr>
          <w:noProof/>
        </w:rPr>
      </w:pPr>
    </w:p>
    <w:p w14:paraId="15C3DFA0" w14:textId="3E5A0245" w:rsidR="005E10CF" w:rsidRDefault="5318E8F5" w:rsidP="0029250C">
      <w:pPr>
        <w:jc w:val="both"/>
        <w:rPr>
          <w:noProof/>
        </w:rPr>
      </w:pPr>
      <w:r>
        <w:rPr>
          <w:noProof/>
        </w:rPr>
        <w:t>În conformitate cu directiva, trebuie să fie posibilă tragerea la răspundere a persoanelor juridice pentru infracțiuni de spălare a banilor, inclusiv pentru autospălarea banilor. Aceasta include acțiunile oricărei persoane care acționează fie individual, fie ca membru al unui organ al persoanei juridice și care deține o poziție de conducere în cadrul entității respective [</w:t>
      </w:r>
      <w:r>
        <w:rPr>
          <w:b/>
          <w:noProof/>
        </w:rPr>
        <w:t>articolul 7 alineatul (1)</w:t>
      </w:r>
      <w:r>
        <w:rPr>
          <w:noProof/>
        </w:rPr>
        <w:t>]. Statele membre trebuie, de asemenea, să se asigure că se poate angaja răspunderea persoanelor juridice în cazul în care lipsa supravegherii sau a controlului a făcut posibilă săvârșirea infracțiunii [</w:t>
      </w:r>
      <w:r>
        <w:rPr>
          <w:b/>
          <w:noProof/>
        </w:rPr>
        <w:t>articolul 7 alineatul (2)</w:t>
      </w:r>
      <w:r>
        <w:rPr>
          <w:noProof/>
        </w:rPr>
        <w:t>]. Cu toate acestea, răspunderea persoanelor juridice nu ar trebui să excludă posibilitatea de a iniția proceduri penale împotriva persoanelor fizice implicate în calitate de autori ai infracțiunilor [</w:t>
      </w:r>
      <w:r>
        <w:rPr>
          <w:b/>
          <w:noProof/>
        </w:rPr>
        <w:t>articolul 7 alineatul (3)</w:t>
      </w:r>
      <w:r>
        <w:rPr>
          <w:noProof/>
        </w:rPr>
        <w:t>].</w:t>
      </w:r>
    </w:p>
    <w:p w14:paraId="043EFFC7" w14:textId="77777777" w:rsidR="00EE144C" w:rsidRDefault="00EE144C" w:rsidP="0029250C">
      <w:pPr>
        <w:jc w:val="both"/>
        <w:rPr>
          <w:rStyle w:val="CommentReference"/>
          <w:noProof/>
          <w:sz w:val="24"/>
          <w:szCs w:val="24"/>
          <w:lang w:eastAsia="en-US"/>
        </w:rPr>
      </w:pPr>
    </w:p>
    <w:p w14:paraId="73958468" w14:textId="682F24A0" w:rsidR="00CF7FC5" w:rsidRDefault="00825270" w:rsidP="0029250C">
      <w:pPr>
        <w:jc w:val="both"/>
        <w:rPr>
          <w:noProof/>
        </w:rPr>
      </w:pPr>
      <w:r>
        <w:rPr>
          <w:b/>
          <w:noProof/>
        </w:rPr>
        <w:t>În ceea ce privește răspunderea persoanelor juridice, Franța nu</w:t>
      </w:r>
      <w:r>
        <w:rPr>
          <w:noProof/>
        </w:rPr>
        <w:t xml:space="preserve"> a introdus în legislația sa posibilitatea de a angaja răspunderea persoanelor juridice atunci când infracțiunile de spălare a banilor au fost posibile din cauza lipsei de supraveghere sau de control din partea unei persoane care deține o funcție de conducere în cadrul entității respective. </w:t>
      </w:r>
    </w:p>
    <w:p w14:paraId="3950A2A9" w14:textId="77777777" w:rsidR="003A0B8C" w:rsidRPr="00E44128" w:rsidRDefault="003A0B8C" w:rsidP="0029250C">
      <w:pPr>
        <w:jc w:val="both"/>
        <w:rPr>
          <w:noProof/>
          <w:lang w:eastAsia="en-US"/>
        </w:rPr>
      </w:pPr>
    </w:p>
    <w:p w14:paraId="4A057AD9" w14:textId="77777777" w:rsidR="00175B64" w:rsidRPr="00E44128" w:rsidRDefault="00175B64" w:rsidP="00C84542">
      <w:pPr>
        <w:pStyle w:val="Heading2"/>
        <w:rPr>
          <w:noProof/>
        </w:rPr>
      </w:pPr>
      <w:bookmarkStart w:id="24" w:name="_Toc106282989"/>
      <w:bookmarkStart w:id="25" w:name="_Toc110247391"/>
      <w:r>
        <w:rPr>
          <w:noProof/>
        </w:rPr>
        <w:t>Articolul 8 – Sancțiuni aplicabile persoanelor juridice</w:t>
      </w:r>
      <w:bookmarkEnd w:id="24"/>
      <w:bookmarkEnd w:id="25"/>
    </w:p>
    <w:p w14:paraId="4F46B46B" w14:textId="77777777" w:rsidR="00175B64" w:rsidRPr="00E44128" w:rsidRDefault="00175B64" w:rsidP="0029250C">
      <w:pPr>
        <w:jc w:val="both"/>
        <w:rPr>
          <w:noProof/>
        </w:rPr>
      </w:pPr>
    </w:p>
    <w:p w14:paraId="668441B0" w14:textId="765A8DE3" w:rsidR="00175B64" w:rsidRPr="00361957" w:rsidRDefault="00175B64" w:rsidP="00100A7F">
      <w:pPr>
        <w:jc w:val="both"/>
        <w:rPr>
          <w:noProof/>
        </w:rPr>
      </w:pPr>
      <w:r>
        <w:rPr>
          <w:b/>
          <w:noProof/>
        </w:rPr>
        <w:t>Articolul 8</w:t>
      </w:r>
      <w:r>
        <w:rPr>
          <w:noProof/>
        </w:rPr>
        <w:t xml:space="preserve"> impune statelor membre să se asigure că o persoană juridică căreia i s-a angajat răspunderea în temeiul articolului 7 </w:t>
      </w:r>
      <w:r>
        <w:rPr>
          <w:b/>
          <w:noProof/>
        </w:rPr>
        <w:t>este pasibilă de pedepse eficace, proporționale și cu efect de descurajare, care includ, în orice caz, amenzi penale sau nepenale.</w:t>
      </w:r>
      <w:r>
        <w:rPr>
          <w:noProof/>
        </w:rPr>
        <w:t xml:space="preserve"> Toate statele membre au transpus această dispoziție într-o manieră conformă.</w:t>
      </w:r>
    </w:p>
    <w:p w14:paraId="7AD8EE73" w14:textId="77777777" w:rsidR="00EF2334" w:rsidRPr="00361957" w:rsidRDefault="00EF2334" w:rsidP="00100A7F">
      <w:pPr>
        <w:jc w:val="both"/>
        <w:rPr>
          <w:noProof/>
          <w:lang w:eastAsia="en-US"/>
        </w:rPr>
      </w:pPr>
    </w:p>
    <w:p w14:paraId="6F40B918" w14:textId="0B023B46" w:rsidR="00020891" w:rsidRPr="00EE144C" w:rsidRDefault="00020891" w:rsidP="00100A7F">
      <w:pPr>
        <w:jc w:val="both"/>
        <w:rPr>
          <w:b/>
          <w:bCs/>
          <w:noProof/>
        </w:rPr>
      </w:pPr>
      <w:r>
        <w:rPr>
          <w:noProof/>
        </w:rPr>
        <w:t xml:space="preserve">În plus, </w:t>
      </w:r>
      <w:r>
        <w:rPr>
          <w:b/>
          <w:noProof/>
        </w:rPr>
        <w:t>articolul 8 enumeră opțiuni de sancțiuni suplimentare</w:t>
      </w:r>
      <w:r>
        <w:rPr>
          <w:noProof/>
        </w:rPr>
        <w:t xml:space="preserve">, de la excluderea persoanei juridice de la dreptul de a beneficia de prestații sau ajutoare de stat până la excluderea de la accesul la fonduri publice, interdicția de a desfășura activități comerciale, plasarea sub control judiciar, închiderea unităților care au servit la săvârșirea infracțiunii și chiar posibilitatea pronunțării unei hotărâri de dizolvare judiciară (și anume lichidare). </w:t>
      </w:r>
      <w:r>
        <w:rPr>
          <w:b/>
          <w:noProof/>
        </w:rPr>
        <w:t>19 state membre</w:t>
      </w:r>
      <w:r>
        <w:rPr>
          <w:rStyle w:val="FootnoteReference"/>
          <w:noProof/>
          <w:lang w:eastAsia="en-US"/>
        </w:rPr>
        <w:footnoteReference w:id="20"/>
      </w:r>
      <w:r>
        <w:rPr>
          <w:b/>
          <w:noProof/>
        </w:rPr>
        <w:t xml:space="preserve"> au utilizat una sau mai multe dintre aceste opțiuni. Șase state membre nu au utilizat niciuna dintre opțiuni. </w:t>
      </w:r>
    </w:p>
    <w:p w14:paraId="555D5B63" w14:textId="77777777" w:rsidR="00175B64" w:rsidRDefault="00175B64" w:rsidP="000B3791">
      <w:pPr>
        <w:pStyle w:val="Heading2"/>
        <w:jc w:val="both"/>
        <w:rPr>
          <w:noProof/>
        </w:rPr>
      </w:pPr>
    </w:p>
    <w:p w14:paraId="43728E8A" w14:textId="43C2EDDD" w:rsidR="008B5796" w:rsidRDefault="008B5796" w:rsidP="00100A7F">
      <w:pPr>
        <w:jc w:val="both"/>
        <w:rPr>
          <w:noProof/>
        </w:rPr>
      </w:pPr>
      <w:r>
        <w:rPr>
          <w:noProof/>
        </w:rPr>
        <w:t>Toate statele membre care au utilizat aceste opțiuni le-au transpus în conformitate cu directiva.</w:t>
      </w:r>
    </w:p>
    <w:p w14:paraId="23B16F02" w14:textId="77777777" w:rsidR="008B5796" w:rsidRPr="008B5796" w:rsidRDefault="008B5796" w:rsidP="008B5796">
      <w:pPr>
        <w:rPr>
          <w:noProof/>
        </w:rPr>
      </w:pPr>
    </w:p>
    <w:p w14:paraId="7987D847" w14:textId="77777777" w:rsidR="00175B64" w:rsidRPr="00361957" w:rsidRDefault="00175B64" w:rsidP="00C84542">
      <w:pPr>
        <w:pStyle w:val="Heading2"/>
        <w:rPr>
          <w:noProof/>
        </w:rPr>
      </w:pPr>
      <w:bookmarkStart w:id="26" w:name="_Toc106282990"/>
      <w:bookmarkStart w:id="27" w:name="_Toc110247392"/>
      <w:r>
        <w:rPr>
          <w:noProof/>
        </w:rPr>
        <w:t>Articolul 9 – Confiscarea</w:t>
      </w:r>
      <w:bookmarkEnd w:id="26"/>
      <w:bookmarkEnd w:id="27"/>
    </w:p>
    <w:p w14:paraId="6B810A89" w14:textId="77777777" w:rsidR="00175B64" w:rsidRPr="007B5090" w:rsidRDefault="00175B64" w:rsidP="0029250C">
      <w:pPr>
        <w:jc w:val="both"/>
        <w:rPr>
          <w:noProof/>
        </w:rPr>
      </w:pPr>
    </w:p>
    <w:p w14:paraId="507E1597" w14:textId="2365F3B9" w:rsidR="00966D19" w:rsidRPr="00CC621A" w:rsidRDefault="00175B64" w:rsidP="0029250C">
      <w:pPr>
        <w:pStyle w:val="ti-art"/>
        <w:spacing w:before="0" w:beforeAutospacing="0" w:after="0" w:afterAutospacing="0"/>
        <w:jc w:val="both"/>
        <w:rPr>
          <w:rFonts w:eastAsia="Arial"/>
          <w:noProof/>
        </w:rPr>
      </w:pPr>
      <w:r>
        <w:rPr>
          <w:b/>
          <w:noProof/>
        </w:rPr>
        <w:t>Articolul 9</w:t>
      </w:r>
      <w:r>
        <w:rPr>
          <w:noProof/>
        </w:rPr>
        <w:t xml:space="preserve"> impune statelor membre </w:t>
      </w:r>
      <w:r>
        <w:rPr>
          <w:b/>
          <w:noProof/>
        </w:rPr>
        <w:t>să se asigure, după caz, că autoritățile naționale competente indisponibilizează sau confiscă</w:t>
      </w:r>
      <w:r>
        <w:rPr>
          <w:noProof/>
        </w:rPr>
        <w:t xml:space="preserve"> produsele provenite din săvârșirea infracțiunilor de spălare a banilor menționate în prezenta directivă și instrumentele folosite sau care sunt destinate a fi folosite pentru săvârșirea acestor infracțiuni sau care contribuie la săvârșirea acestora, în conformitate cu Directiva 2014/42/UE privind confiscarea</w:t>
      </w:r>
      <w:r>
        <w:rPr>
          <w:rStyle w:val="FootnoteReference"/>
          <w:rFonts w:eastAsia="Arial"/>
          <w:noProof/>
          <w:lang w:val="en-IE"/>
        </w:rPr>
        <w:footnoteReference w:id="21"/>
      </w:r>
      <w:r>
        <w:rPr>
          <w:noProof/>
        </w:rPr>
        <w:t xml:space="preserve">. </w:t>
      </w:r>
    </w:p>
    <w:p w14:paraId="100F2A62" w14:textId="77777777" w:rsidR="00853BD9" w:rsidRPr="007B5090" w:rsidRDefault="00853BD9" w:rsidP="0029250C">
      <w:pPr>
        <w:pStyle w:val="ti-art"/>
        <w:spacing w:before="0" w:beforeAutospacing="0" w:after="0" w:afterAutospacing="0"/>
        <w:jc w:val="both"/>
        <w:rPr>
          <w:rFonts w:eastAsia="Arial"/>
          <w:noProof/>
        </w:rPr>
      </w:pPr>
    </w:p>
    <w:p w14:paraId="30D9B3FD" w14:textId="529C6A34" w:rsidR="00175B64" w:rsidRPr="00CC621A" w:rsidRDefault="00175B64" w:rsidP="0029250C">
      <w:pPr>
        <w:pStyle w:val="ti-art"/>
        <w:spacing w:before="0" w:beforeAutospacing="0" w:after="0" w:afterAutospacing="0"/>
        <w:jc w:val="both"/>
        <w:rPr>
          <w:rFonts w:eastAsia="Arial"/>
          <w:noProof/>
        </w:rPr>
      </w:pPr>
      <w:r>
        <w:rPr>
          <w:b/>
          <w:noProof/>
        </w:rPr>
        <w:t xml:space="preserve">Toate cele 25 de state membre au transpus articolul 9 în conformitate </w:t>
      </w:r>
      <w:r>
        <w:rPr>
          <w:noProof/>
        </w:rPr>
        <w:t>cu directiva.</w:t>
      </w:r>
      <w:r w:rsidR="007B5090">
        <w:rPr>
          <w:noProof/>
        </w:rPr>
        <w:t xml:space="preserve"> </w:t>
      </w:r>
    </w:p>
    <w:p w14:paraId="2ADAC834" w14:textId="77777777" w:rsidR="00175B64" w:rsidRPr="00361957" w:rsidRDefault="00175B64" w:rsidP="0029250C">
      <w:pPr>
        <w:jc w:val="both"/>
        <w:rPr>
          <w:noProof/>
        </w:rPr>
      </w:pPr>
    </w:p>
    <w:p w14:paraId="263F3DD2" w14:textId="77777777" w:rsidR="00175B64" w:rsidRPr="00361957" w:rsidRDefault="00175B64" w:rsidP="00C84542">
      <w:pPr>
        <w:pStyle w:val="Heading2"/>
        <w:rPr>
          <w:noProof/>
        </w:rPr>
      </w:pPr>
      <w:bookmarkStart w:id="28" w:name="_Toc106282991"/>
      <w:bookmarkStart w:id="29" w:name="_Toc110247393"/>
      <w:r>
        <w:rPr>
          <w:noProof/>
        </w:rPr>
        <w:t>Articolul 10 – Competența</w:t>
      </w:r>
      <w:bookmarkEnd w:id="28"/>
      <w:bookmarkEnd w:id="29"/>
    </w:p>
    <w:p w14:paraId="63336D57" w14:textId="77777777" w:rsidR="00175B64" w:rsidRPr="00361957" w:rsidRDefault="00175B64" w:rsidP="0029250C">
      <w:pPr>
        <w:jc w:val="both"/>
        <w:rPr>
          <w:noProof/>
        </w:rPr>
      </w:pPr>
    </w:p>
    <w:p w14:paraId="46F68A75" w14:textId="131BFD74" w:rsidR="00EF2334" w:rsidRDefault="00175B64" w:rsidP="00100A7F">
      <w:pPr>
        <w:jc w:val="both"/>
        <w:rPr>
          <w:noProof/>
        </w:rPr>
      </w:pPr>
      <w:r>
        <w:rPr>
          <w:b/>
          <w:noProof/>
        </w:rPr>
        <w:t>Articolul 10 alineatul (1)</w:t>
      </w:r>
      <w:r>
        <w:rPr>
          <w:noProof/>
        </w:rPr>
        <w:t xml:space="preserve"> impune unui stat membru să stabilească propria sa </w:t>
      </w:r>
      <w:r>
        <w:rPr>
          <w:b/>
          <w:noProof/>
        </w:rPr>
        <w:t xml:space="preserve">competență </w:t>
      </w:r>
      <w:r>
        <w:rPr>
          <w:noProof/>
        </w:rPr>
        <w:t>în ceea ce privește infracțiunile de spălare a banilor atunci când infracțiunea este săvârșită pe teritoriul său [</w:t>
      </w:r>
      <w:r>
        <w:rPr>
          <w:b/>
          <w:noProof/>
        </w:rPr>
        <w:t>articolul 10 alineatul (1) litera (a)</w:t>
      </w:r>
      <w:r>
        <w:rPr>
          <w:noProof/>
        </w:rPr>
        <w:t>] sau atunci când autorul infracțiunii este un resortisant al său [</w:t>
      </w:r>
      <w:r>
        <w:rPr>
          <w:b/>
          <w:noProof/>
        </w:rPr>
        <w:t>articolul 10 alineatul (1) litera (b)</w:t>
      </w:r>
      <w:r>
        <w:rPr>
          <w:noProof/>
        </w:rPr>
        <w:t xml:space="preserve">]. Toate </w:t>
      </w:r>
      <w:r>
        <w:rPr>
          <w:b/>
          <w:noProof/>
        </w:rPr>
        <w:t>statele membre</w:t>
      </w:r>
      <w:r>
        <w:rPr>
          <w:noProof/>
        </w:rPr>
        <w:t xml:space="preserve"> au transpus această dispoziție în conformitate cu directiva.</w:t>
      </w:r>
    </w:p>
    <w:p w14:paraId="3624CFEC" w14:textId="77777777" w:rsidR="00945C09" w:rsidRDefault="00945C09" w:rsidP="00100A7F">
      <w:pPr>
        <w:jc w:val="both"/>
        <w:rPr>
          <w:noProof/>
          <w:lang w:eastAsia="en-US"/>
        </w:rPr>
      </w:pPr>
    </w:p>
    <w:p w14:paraId="0C89E1CC" w14:textId="5FAACA15" w:rsidR="00DD7E93" w:rsidRPr="00B94F6B" w:rsidRDefault="00945C09" w:rsidP="00DD7E93">
      <w:pPr>
        <w:jc w:val="both"/>
        <w:rPr>
          <w:rFonts w:eastAsia="Calibri Light"/>
          <w:noProof/>
        </w:rPr>
      </w:pPr>
      <w:r>
        <w:rPr>
          <w:noProof/>
        </w:rPr>
        <w:t>În ceea ce privește</w:t>
      </w:r>
      <w:r>
        <w:rPr>
          <w:b/>
          <w:noProof/>
        </w:rPr>
        <w:t xml:space="preserve"> articolul 10 alineatul (1) litera (b)</w:t>
      </w:r>
      <w:r>
        <w:rPr>
          <w:noProof/>
        </w:rPr>
        <w:t xml:space="preserve">, </w:t>
      </w:r>
      <w:bookmarkStart w:id="30" w:name="_Hlk224203020"/>
      <w:r>
        <w:rPr>
          <w:noProof/>
        </w:rPr>
        <w:t xml:space="preserve">ar trebui remarcat faptul că, în special în cazul în care autorul infracțiunii este resortisant al statului membru, dispoziția a fost transpusă în mod divergent, în special în ceea ce privește cerința </w:t>
      </w:r>
      <w:r>
        <w:rPr>
          <w:b/>
          <w:noProof/>
        </w:rPr>
        <w:t>dublei incriminări</w:t>
      </w:r>
      <w:r>
        <w:rPr>
          <w:rStyle w:val="FootnoteReference"/>
          <w:rFonts w:eastAsia="Calibri Light"/>
          <w:noProof/>
          <w:lang w:val="en-IE"/>
        </w:rPr>
        <w:footnoteReference w:id="22"/>
      </w:r>
      <w:r>
        <w:rPr>
          <w:noProof/>
        </w:rPr>
        <w:t>.</w:t>
      </w:r>
    </w:p>
    <w:p w14:paraId="20A806B5" w14:textId="5582E7BB" w:rsidR="00DD7E93" w:rsidRPr="00071152" w:rsidRDefault="00DD7E93" w:rsidP="00DD7E93">
      <w:pPr>
        <w:jc w:val="both"/>
        <w:rPr>
          <w:rFonts w:asciiTheme="minorHAnsi" w:eastAsiaTheme="minorHAnsi" w:hAnsiTheme="minorHAnsi" w:cstheme="minorBidi"/>
          <w:noProof/>
        </w:rPr>
      </w:pPr>
      <w:r>
        <w:rPr>
          <w:noProof/>
        </w:rPr>
        <w:t xml:space="preserve">În absența unei dispoziții specifice care să reglementeze această chestiune, </w:t>
      </w:r>
      <w:r>
        <w:rPr>
          <w:b/>
          <w:noProof/>
        </w:rPr>
        <w:t>10 state membre</w:t>
      </w:r>
      <w:r>
        <w:rPr>
          <w:rStyle w:val="FootnoteReference"/>
          <w:rFonts w:eastAsia="Calibri Light"/>
          <w:noProof/>
        </w:rPr>
        <w:footnoteReference w:id="23"/>
      </w:r>
      <w:r>
        <w:rPr>
          <w:noProof/>
        </w:rPr>
        <w:t xml:space="preserve"> par să fi pus în aplicare directiva fără a prevedea în mod explicit dubla incriminare ca o condiție prealabilă pentru revendicarea competenței. În schimb, </w:t>
      </w:r>
      <w:r>
        <w:rPr>
          <w:b/>
          <w:noProof/>
        </w:rPr>
        <w:t>11 state membre</w:t>
      </w:r>
      <w:r>
        <w:rPr>
          <w:rStyle w:val="FootnoteReference"/>
          <w:rFonts w:eastAsia="Calibri Light"/>
          <w:noProof/>
        </w:rPr>
        <w:footnoteReference w:id="24"/>
      </w:r>
      <w:r>
        <w:rPr>
          <w:noProof/>
        </w:rPr>
        <w:t xml:space="preserve"> au prevăzut în mod expres această cerință ca o condiție pentru stabilirea competenței în privința resortisanților lor. Între timp, </w:t>
      </w:r>
      <w:r>
        <w:rPr>
          <w:b/>
          <w:noProof/>
        </w:rPr>
        <w:t>trei state membre</w:t>
      </w:r>
      <w:r>
        <w:rPr>
          <w:rStyle w:val="FootnoteReference"/>
          <w:rFonts w:eastAsia="Calibri Light"/>
          <w:noProof/>
        </w:rPr>
        <w:footnoteReference w:id="25"/>
      </w:r>
      <w:r>
        <w:rPr>
          <w:noProof/>
        </w:rPr>
        <w:t xml:space="preserve"> au exclus în mod explicit cerința dublei incriminări pentru infracțiunile de spălare a banilor. </w:t>
      </w:r>
    </w:p>
    <w:bookmarkEnd w:id="30"/>
    <w:p w14:paraId="7B2A7AE6" w14:textId="590C8378" w:rsidR="00EF2334" w:rsidRPr="00361957" w:rsidRDefault="00EF2334" w:rsidP="00100A7F">
      <w:pPr>
        <w:jc w:val="both"/>
        <w:rPr>
          <w:b/>
          <w:bCs/>
          <w:noProof/>
          <w:lang w:eastAsia="en-US"/>
        </w:rPr>
      </w:pPr>
    </w:p>
    <w:p w14:paraId="0A5F17C6" w14:textId="3FEADC20" w:rsidR="00F93B59" w:rsidRDefault="00175B64" w:rsidP="00100A7F">
      <w:pPr>
        <w:jc w:val="both"/>
        <w:rPr>
          <w:noProof/>
        </w:rPr>
      </w:pPr>
      <w:r>
        <w:rPr>
          <w:b/>
          <w:noProof/>
        </w:rPr>
        <w:t>Articolul 10 alineatul (2)</w:t>
      </w:r>
      <w:r>
        <w:rPr>
          <w:noProof/>
        </w:rPr>
        <w:t xml:space="preserve"> permite statelor membre să își extindă competența asupra cazurilor în care (a) autorul infracțiunii își are reședința obișnuită pe teritoriul lor sau (b) infracțiunea a fost săvârșită în beneficiul unei persoane juridice ce își are sediul pe teritoriul lor. </w:t>
      </w:r>
      <w:r>
        <w:rPr>
          <w:b/>
          <w:noProof/>
        </w:rPr>
        <w:t>14 state membre</w:t>
      </w:r>
      <w:r>
        <w:rPr>
          <w:rStyle w:val="FootnoteReference"/>
          <w:noProof/>
          <w:lang w:eastAsia="en-US"/>
        </w:rPr>
        <w:footnoteReference w:id="26"/>
      </w:r>
      <w:r>
        <w:rPr>
          <w:noProof/>
        </w:rPr>
        <w:t xml:space="preserve"> au utilizat opțiunea prevăzută la </w:t>
      </w:r>
      <w:r>
        <w:rPr>
          <w:b/>
          <w:noProof/>
        </w:rPr>
        <w:t>articolul 10 alineatul (2) litera (a)</w:t>
      </w:r>
      <w:r>
        <w:rPr>
          <w:noProof/>
        </w:rPr>
        <w:t xml:space="preserve">. </w:t>
      </w:r>
      <w:r>
        <w:rPr>
          <w:b/>
          <w:noProof/>
        </w:rPr>
        <w:t>Zece state membre</w:t>
      </w:r>
      <w:r>
        <w:rPr>
          <w:rStyle w:val="FootnoteReference"/>
          <w:noProof/>
          <w:lang w:eastAsia="en-US"/>
        </w:rPr>
        <w:footnoteReference w:id="27"/>
      </w:r>
      <w:r>
        <w:rPr>
          <w:noProof/>
        </w:rPr>
        <w:t xml:space="preserve"> au utilizat opțiunea prevăzută la </w:t>
      </w:r>
      <w:r>
        <w:rPr>
          <w:b/>
          <w:noProof/>
        </w:rPr>
        <w:t>articolul 10 alineatul (2) litera (b) într-o manieră conformă cu directiva</w:t>
      </w:r>
      <w:r>
        <w:rPr>
          <w:noProof/>
        </w:rPr>
        <w:t xml:space="preserve">. </w:t>
      </w:r>
    </w:p>
    <w:p w14:paraId="6DAD4C27" w14:textId="637E2453" w:rsidR="000D4F00" w:rsidRPr="000D4F00" w:rsidRDefault="000D4F00" w:rsidP="000B3791">
      <w:pPr>
        <w:jc w:val="both"/>
        <w:rPr>
          <w:noProof/>
        </w:rPr>
      </w:pPr>
    </w:p>
    <w:p w14:paraId="2C4F762C" w14:textId="77777777" w:rsidR="00175B64" w:rsidRPr="00361957" w:rsidRDefault="00175B64" w:rsidP="00C84542">
      <w:pPr>
        <w:pStyle w:val="Heading2"/>
        <w:rPr>
          <w:noProof/>
        </w:rPr>
      </w:pPr>
      <w:bookmarkStart w:id="31" w:name="_Toc106282992"/>
      <w:bookmarkStart w:id="32" w:name="_Toc110247394"/>
      <w:r>
        <w:rPr>
          <w:noProof/>
        </w:rPr>
        <w:t>Articolul 11 – Instrumente de investigare</w:t>
      </w:r>
      <w:bookmarkEnd w:id="31"/>
      <w:bookmarkEnd w:id="32"/>
    </w:p>
    <w:p w14:paraId="7F752F27" w14:textId="77777777" w:rsidR="00175B64" w:rsidRPr="00361957" w:rsidRDefault="00175B64" w:rsidP="0029250C">
      <w:pPr>
        <w:jc w:val="both"/>
        <w:rPr>
          <w:noProof/>
        </w:rPr>
      </w:pPr>
    </w:p>
    <w:p w14:paraId="577920BA" w14:textId="6E794C75" w:rsidR="00175B64" w:rsidRDefault="00175B64" w:rsidP="0029250C">
      <w:pPr>
        <w:jc w:val="both"/>
        <w:rPr>
          <w:noProof/>
        </w:rPr>
      </w:pPr>
      <w:r>
        <w:rPr>
          <w:b/>
          <w:noProof/>
        </w:rPr>
        <w:t>Articolul 11 prevede că</w:t>
      </w:r>
      <w:r>
        <w:rPr>
          <w:noProof/>
        </w:rPr>
        <w:t xml:space="preserve"> persoanele, unitățile sau serviciile responsabile de investigarea sau urmărirea penală a infracțiunilor de spălare a banilor, inclusiv complicitatea, instigarea și tentativa de săvârșire a acestora, au acces la </w:t>
      </w:r>
      <w:r>
        <w:rPr>
          <w:b/>
          <w:noProof/>
        </w:rPr>
        <w:t>instrumente eficiente de investigare</w:t>
      </w:r>
      <w:r>
        <w:rPr>
          <w:noProof/>
        </w:rPr>
        <w:t xml:space="preserve">, </w:t>
      </w:r>
      <w:r>
        <w:rPr>
          <w:noProof/>
          <w:shd w:val="clear" w:color="auto" w:fill="FFFFFF"/>
        </w:rPr>
        <w:t>precum cele utilizate pentru combaterea criminalității organizate sau pentru alte infracțiuni grave</w:t>
      </w:r>
      <w:r>
        <w:rPr>
          <w:rStyle w:val="FootnoteReference"/>
          <w:noProof/>
        </w:rPr>
        <w:footnoteReference w:id="28"/>
      </w:r>
      <w:r>
        <w:rPr>
          <w:noProof/>
        </w:rPr>
        <w:t xml:space="preserve">. </w:t>
      </w:r>
      <w:r>
        <w:rPr>
          <w:b/>
          <w:noProof/>
        </w:rPr>
        <w:t xml:space="preserve">Toate cele 25 de state membre au transpus articolul 11 în conformitate </w:t>
      </w:r>
      <w:r>
        <w:rPr>
          <w:noProof/>
        </w:rPr>
        <w:t>cu directiva.</w:t>
      </w:r>
      <w:r w:rsidR="007B5090">
        <w:rPr>
          <w:noProof/>
        </w:rPr>
        <w:t xml:space="preserve"> </w:t>
      </w:r>
    </w:p>
    <w:p w14:paraId="5CE97116" w14:textId="77777777" w:rsidR="00E44128" w:rsidRPr="00361957" w:rsidRDefault="00E44128" w:rsidP="0029250C">
      <w:pPr>
        <w:jc w:val="both"/>
        <w:rPr>
          <w:noProof/>
        </w:rPr>
      </w:pPr>
    </w:p>
    <w:p w14:paraId="02A439F4" w14:textId="6D392568" w:rsidR="00515F3E" w:rsidRPr="00CD053B" w:rsidRDefault="006D1F2A" w:rsidP="00C84542">
      <w:pPr>
        <w:pStyle w:val="Heading1"/>
        <w:rPr>
          <w:noProof/>
          <w:u w:val="none"/>
        </w:rPr>
      </w:pPr>
      <w:r>
        <w:rPr>
          <w:noProof/>
          <w:u w:val="none"/>
        </w:rPr>
        <w:t xml:space="preserve">CONCLUZII </w:t>
      </w:r>
    </w:p>
    <w:p w14:paraId="714FFAC3" w14:textId="77777777" w:rsidR="00515F3E" w:rsidRPr="00361957" w:rsidRDefault="00515F3E" w:rsidP="0029250C">
      <w:pPr>
        <w:jc w:val="both"/>
        <w:rPr>
          <w:noProof/>
        </w:rPr>
      </w:pPr>
    </w:p>
    <w:p w14:paraId="31479549" w14:textId="054623C6" w:rsidR="005969A4" w:rsidRDefault="007522BB" w:rsidP="00C73D90">
      <w:pPr>
        <w:spacing w:after="200"/>
        <w:jc w:val="both"/>
        <w:rPr>
          <w:noProof/>
        </w:rPr>
      </w:pPr>
      <w:r>
        <w:rPr>
          <w:noProof/>
        </w:rPr>
        <w:t>Având în vedere importanța spălării banilor pentru rețelele de criminalitate organizată ca instrument esențial de finanțare și ca mijloc de a obține câștiguri ilicite și de a infiltra economia legală, armonizarea răspunsului prin măsuri de drept penal la infracțiunea de spălare a banilor reprezintă o componentă esențială a eforturilor mai ample ale Uniunii de a perturba și destructura rețelele infracționale, astfel cum se subliniază în Strategia europeană de securitate internă ProtectEU</w:t>
      </w:r>
      <w:r>
        <w:rPr>
          <w:rStyle w:val="FootnoteReference"/>
          <w:noProof/>
        </w:rPr>
        <w:footnoteReference w:id="29"/>
      </w:r>
      <w:r>
        <w:rPr>
          <w:noProof/>
        </w:rPr>
        <w:t>.</w:t>
      </w:r>
    </w:p>
    <w:p w14:paraId="46E24DF2" w14:textId="6632717E" w:rsidR="005F5B84" w:rsidRDefault="005969A4" w:rsidP="00C73D90">
      <w:pPr>
        <w:spacing w:after="200"/>
        <w:jc w:val="both"/>
        <w:rPr>
          <w:noProof/>
        </w:rPr>
      </w:pPr>
      <w:r>
        <w:rPr>
          <w:noProof/>
        </w:rPr>
        <w:t xml:space="preserve">Comisia recunoaște eforturile depuse de statele membre pentru a lua măsurile necesare pentru asigurarea respectării directivei. Deși persistă unele inconsecvențe și lacune, transpunerea directivei a fost, în ansamblu, conformă, statele membre luând măsuri cuprinzătoare pentru alinierea legislațiilor naționale la standardele UE. Majoritatea statelor membre au adoptat acte legislative specifice pentru a îndeplini cerințele directivei, în timp ce câteva s-au bazat integral sau în mare măsură pe dispozițiile naționale existente. </w:t>
      </w:r>
    </w:p>
    <w:p w14:paraId="168B6CDB" w14:textId="738DAE5E" w:rsidR="005969A4" w:rsidRDefault="009F4041" w:rsidP="00C73D90">
      <w:pPr>
        <w:spacing w:after="200"/>
        <w:jc w:val="both"/>
        <w:rPr>
          <w:noProof/>
        </w:rPr>
      </w:pPr>
      <w:r>
        <w:rPr>
          <w:noProof/>
        </w:rPr>
        <w:t xml:space="preserve">Pentru a asigura transpunerea integrală și corectă a directivei, Comisia va continua să sprijine statele membre în abordarea deficiențelor identificate. Acest sprijin include monitorizarea și asigurarea conformității măsurilor naționale cu dispozițiile directivei. </w:t>
      </w:r>
    </w:p>
    <w:bookmarkEnd w:id="7"/>
    <w:bookmarkEnd w:id="8"/>
    <w:bookmarkEnd w:id="9"/>
    <w:bookmarkEnd w:id="10"/>
    <w:p w14:paraId="126C2028" w14:textId="1B3B3065" w:rsidR="00A30617" w:rsidRPr="00361957" w:rsidRDefault="00A30617" w:rsidP="00A30617">
      <w:pPr>
        <w:jc w:val="both"/>
        <w:rPr>
          <w:b/>
          <w:noProof/>
        </w:rPr>
      </w:pPr>
    </w:p>
    <w:sectPr w:rsidR="00A30617" w:rsidRPr="00361957" w:rsidSect="00466BCC">
      <w:headerReference w:type="even" r:id="rId18"/>
      <w:headerReference w:type="default" r:id="rId19"/>
      <w:footerReference w:type="even" r:id="rId20"/>
      <w:footerReference w:type="default" r:id="rId21"/>
      <w:headerReference w:type="first" r:id="rId22"/>
      <w:footerReference w:type="first" r:id="rId23"/>
      <w:pgSz w:w="11906" w:h="16838" w:code="9"/>
      <w:pgMar w:top="1418" w:right="1418" w:bottom="1418" w:left="1418"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EE90AC1" w14:textId="77777777" w:rsidR="00415C5E" w:rsidRDefault="00415C5E" w:rsidP="00175B64">
      <w:r>
        <w:separator/>
      </w:r>
    </w:p>
  </w:endnote>
  <w:endnote w:type="continuationSeparator" w:id="0">
    <w:p w14:paraId="25E25733" w14:textId="77777777" w:rsidR="00415C5E" w:rsidRDefault="00415C5E" w:rsidP="00175B64">
      <w:r>
        <w:continuationSeparator/>
      </w:r>
    </w:p>
  </w:endnote>
  <w:endnote w:type="continuationNotice" w:id="1">
    <w:p w14:paraId="3C01760A" w14:textId="77777777" w:rsidR="00415C5E" w:rsidRDefault="00415C5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ptos">
    <w:altName w:val="Arial"/>
    <w:panose1 w:val="00000000000000000000"/>
    <w:charset w:val="00"/>
    <w:family w:val="roman"/>
    <w:notTrueType/>
    <w:pitch w:val="default"/>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A9C1E2" w14:textId="1B3D189A" w:rsidR="00971E55" w:rsidRPr="00971E55" w:rsidRDefault="00971E55" w:rsidP="00971E55">
    <w:pPr>
      <w:pStyle w:val="FooterCoverPage"/>
      <w:rPr>
        <w:rFonts w:ascii="Arial" w:hAnsi="Arial" w:cs="Arial"/>
        <w:b/>
        <w:sz w:val="48"/>
      </w:rPr>
    </w:pPr>
    <w:r w:rsidRPr="00971E55">
      <w:rPr>
        <w:rFonts w:ascii="Arial" w:hAnsi="Arial" w:cs="Arial"/>
        <w:b/>
        <w:sz w:val="48"/>
      </w:rPr>
      <w:t>RO</w:t>
    </w:r>
    <w:r w:rsidRPr="00971E55">
      <w:rPr>
        <w:rFonts w:ascii="Arial" w:hAnsi="Arial" w:cs="Arial"/>
        <w:b/>
        <w:sz w:val="48"/>
      </w:rPr>
      <w:tab/>
    </w:r>
    <w:r w:rsidRPr="00971E55">
      <w:rPr>
        <w:rFonts w:ascii="Arial" w:hAnsi="Arial" w:cs="Arial"/>
        <w:b/>
        <w:sz w:val="48"/>
      </w:rPr>
      <w:tab/>
    </w:r>
    <w:r w:rsidRPr="00971E55">
      <w:tab/>
    </w:r>
    <w:r w:rsidRPr="00971E55">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30A03B" w14:textId="0241D14E" w:rsidR="00971E55" w:rsidRPr="00971E55" w:rsidRDefault="00971E55" w:rsidP="00971E55">
    <w:pPr>
      <w:pStyle w:val="FooterCoverPage"/>
      <w:rPr>
        <w:rFonts w:ascii="Arial" w:hAnsi="Arial" w:cs="Arial"/>
        <w:b/>
        <w:sz w:val="48"/>
      </w:rPr>
    </w:pPr>
    <w:r w:rsidRPr="00971E55">
      <w:rPr>
        <w:rFonts w:ascii="Arial" w:hAnsi="Arial" w:cs="Arial"/>
        <w:b/>
        <w:sz w:val="48"/>
      </w:rPr>
      <w:t>RO</w:t>
    </w:r>
    <w:r w:rsidRPr="00971E55">
      <w:rPr>
        <w:rFonts w:ascii="Arial" w:hAnsi="Arial" w:cs="Arial"/>
        <w:b/>
        <w:sz w:val="48"/>
      </w:rPr>
      <w:tab/>
    </w:r>
    <w:r w:rsidRPr="00971E55">
      <w:rPr>
        <w:rFonts w:ascii="Arial" w:hAnsi="Arial" w:cs="Arial"/>
        <w:b/>
        <w:sz w:val="48"/>
      </w:rPr>
      <w:tab/>
    </w:r>
    <w:r w:rsidRPr="00971E55">
      <w:tab/>
    </w:r>
    <w:r w:rsidRPr="00971E55">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E020AE" w14:textId="77777777" w:rsidR="00971E55" w:rsidRPr="00971E55" w:rsidRDefault="00971E55" w:rsidP="00971E55">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EDBAA9" w14:textId="77777777" w:rsidR="00466BCC" w:rsidRDefault="00466BCC">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15531208"/>
      <w:docPartObj>
        <w:docPartGallery w:val="Page Numbers (Bottom of Page)"/>
        <w:docPartUnique/>
      </w:docPartObj>
    </w:sdtPr>
    <w:sdtEndPr>
      <w:rPr>
        <w:noProof/>
      </w:rPr>
    </w:sdtEndPr>
    <w:sdtContent>
      <w:p w14:paraId="3F97FB94" w14:textId="0D4970EA" w:rsidR="00466BCC" w:rsidRDefault="00466BCC">
        <w:pPr>
          <w:pStyle w:val="Footer"/>
          <w:jc w:val="center"/>
        </w:pPr>
        <w:r>
          <w:fldChar w:fldCharType="begin"/>
        </w:r>
        <w:r>
          <w:instrText xml:space="preserve"> PAGE   \* MERGEFORMAT </w:instrText>
        </w:r>
        <w:r>
          <w:fldChar w:fldCharType="separate"/>
        </w:r>
        <w:r w:rsidR="00971E55">
          <w:rPr>
            <w:noProof/>
          </w:rPr>
          <w:t>2</w:t>
        </w:r>
        <w:r>
          <w:fldChar w:fldCharType="end"/>
        </w:r>
      </w:p>
    </w:sdtContent>
  </w:sdt>
  <w:p w14:paraId="449B35A1" w14:textId="77777777" w:rsidR="00466BCC" w:rsidRPr="00A514D4" w:rsidRDefault="00466BCC" w:rsidP="00417B64">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B95084" w14:textId="77777777" w:rsidR="00466BCC" w:rsidRDefault="00466BC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755E42E" w14:textId="77777777" w:rsidR="00415C5E" w:rsidRDefault="00415C5E" w:rsidP="00175B64">
      <w:r>
        <w:separator/>
      </w:r>
    </w:p>
  </w:footnote>
  <w:footnote w:type="continuationSeparator" w:id="0">
    <w:p w14:paraId="7BACCA32" w14:textId="77777777" w:rsidR="00415C5E" w:rsidRDefault="00415C5E" w:rsidP="00175B64">
      <w:r>
        <w:continuationSeparator/>
      </w:r>
    </w:p>
  </w:footnote>
  <w:footnote w:type="continuationNotice" w:id="1">
    <w:p w14:paraId="5D5B0FE9" w14:textId="77777777" w:rsidR="00415C5E" w:rsidRDefault="00415C5E"/>
  </w:footnote>
  <w:footnote w:id="2">
    <w:p w14:paraId="04A34FCA" w14:textId="77777777" w:rsidR="00376697" w:rsidRPr="00A525AF" w:rsidRDefault="00376697" w:rsidP="00376697">
      <w:pPr>
        <w:pStyle w:val="FootnoteText"/>
        <w:rPr>
          <w:sz w:val="20"/>
          <w:szCs w:val="20"/>
        </w:rPr>
      </w:pPr>
      <w:r>
        <w:rPr>
          <w:rStyle w:val="FootnoteReference"/>
          <w:sz w:val="20"/>
          <w:szCs w:val="20"/>
        </w:rPr>
        <w:footnoteRef/>
      </w:r>
      <w:r>
        <w:rPr>
          <w:sz w:val="20"/>
        </w:rPr>
        <w:t xml:space="preserve"> Atunci când prezentul raport se referă la „25 de state membre” sau la orice alt număr de state membre, prin aceasta se înțelege că respectivele state membre sunt state membre obligate în temeiul directivei.</w:t>
      </w:r>
    </w:p>
  </w:footnote>
  <w:footnote w:id="3">
    <w:p w14:paraId="77931710" w14:textId="77777777" w:rsidR="0015642B" w:rsidRPr="00A525AF" w:rsidRDefault="0015642B">
      <w:pPr>
        <w:pStyle w:val="FootnoteText"/>
        <w:rPr>
          <w:sz w:val="20"/>
          <w:szCs w:val="20"/>
        </w:rPr>
      </w:pPr>
      <w:r>
        <w:rPr>
          <w:rStyle w:val="FootnoteReference"/>
          <w:sz w:val="20"/>
          <w:szCs w:val="20"/>
        </w:rPr>
        <w:footnoteRef/>
      </w:r>
      <w:r>
        <w:rPr>
          <w:sz w:val="20"/>
        </w:rPr>
        <w:t xml:space="preserve"> A se vedea considerentul 5.</w:t>
      </w:r>
    </w:p>
  </w:footnote>
  <w:footnote w:id="4">
    <w:p w14:paraId="34AF64B8" w14:textId="38E037BE" w:rsidR="00A32EC5" w:rsidRPr="006A50E1" w:rsidRDefault="00A32EC5">
      <w:pPr>
        <w:pStyle w:val="FootnoteText"/>
        <w:rPr>
          <w:sz w:val="20"/>
          <w:szCs w:val="24"/>
        </w:rPr>
      </w:pPr>
      <w:r>
        <w:rPr>
          <w:rStyle w:val="FootnoteReference"/>
          <w:sz w:val="20"/>
          <w:szCs w:val="24"/>
        </w:rPr>
        <w:footnoteRef/>
      </w:r>
      <w:r>
        <w:rPr>
          <w:rStyle w:val="FootnoteReference"/>
          <w:sz w:val="20"/>
        </w:rPr>
        <w:t xml:space="preserve"> </w:t>
      </w:r>
      <w:r>
        <w:rPr>
          <w:sz w:val="20"/>
        </w:rPr>
        <w:t xml:space="preserve">Belgia, Cipru, Republica Cehă, Germania, Spania, Finlanda, Croația, Ungaria, Letonia, Malta, Țările de Jos, Polonia, Suedia, Slovenia și Slovacia. </w:t>
      </w:r>
    </w:p>
  </w:footnote>
  <w:footnote w:id="5">
    <w:p w14:paraId="495AFB04" w14:textId="6D0522A6" w:rsidR="00EE14CB" w:rsidRPr="006A50E1" w:rsidRDefault="00EE14CB">
      <w:pPr>
        <w:pStyle w:val="FootnoteText"/>
        <w:rPr>
          <w:sz w:val="20"/>
          <w:szCs w:val="24"/>
        </w:rPr>
      </w:pPr>
      <w:r>
        <w:rPr>
          <w:rStyle w:val="FootnoteReference"/>
          <w:sz w:val="20"/>
          <w:szCs w:val="24"/>
        </w:rPr>
        <w:footnoteRef/>
      </w:r>
      <w:r>
        <w:rPr>
          <w:sz w:val="20"/>
        </w:rPr>
        <w:t xml:space="preserve"> Belgia, Bulgaria, Republica Cehă, Estonia, Finlanda, Franța, Croația, Ungaria, Italia, Țările de Jos, Polonia, Portugalia, România, Suedia, Slovenia și Slovacia.</w:t>
      </w:r>
    </w:p>
  </w:footnote>
  <w:footnote w:id="6">
    <w:p w14:paraId="76EC2F25" w14:textId="192F16BE" w:rsidR="00CF2238" w:rsidRPr="000237E7" w:rsidRDefault="00CF2238" w:rsidP="00CF2238">
      <w:pPr>
        <w:pStyle w:val="FootnoteText"/>
      </w:pPr>
      <w:r>
        <w:rPr>
          <w:rStyle w:val="FootnoteReference"/>
          <w:sz w:val="20"/>
          <w:szCs w:val="24"/>
        </w:rPr>
        <w:footnoteRef/>
      </w:r>
      <w:r>
        <w:rPr>
          <w:sz w:val="20"/>
        </w:rPr>
        <w:t xml:space="preserve"> Austria, Belgia, Spania, Franța, Italia, Luxemburg, Letonia, Lituania, Malta, Țările de Jos, România, Suedia, Slovacia și Slovenia.</w:t>
      </w:r>
    </w:p>
  </w:footnote>
  <w:footnote w:id="7">
    <w:p w14:paraId="3A5EFBF5" w14:textId="4E5230A2" w:rsidR="00745C30" w:rsidRPr="006A50E1" w:rsidRDefault="00745C30">
      <w:pPr>
        <w:pStyle w:val="FootnoteText"/>
        <w:rPr>
          <w:sz w:val="20"/>
          <w:szCs w:val="20"/>
        </w:rPr>
      </w:pPr>
      <w:r>
        <w:rPr>
          <w:rStyle w:val="FootnoteReference"/>
          <w:sz w:val="20"/>
          <w:szCs w:val="20"/>
        </w:rPr>
        <w:footnoteRef/>
      </w:r>
      <w:r>
        <w:rPr>
          <w:sz w:val="20"/>
        </w:rPr>
        <w:t xml:space="preserve"> Bulgaria, Croația, Cipru, Republica Cehă, Germania, Estonia, Grecia, Ungaria, Polonia și Portugalia.</w:t>
      </w:r>
    </w:p>
  </w:footnote>
  <w:footnote w:id="8">
    <w:p w14:paraId="73DE79F1" w14:textId="156A0555" w:rsidR="00F24865" w:rsidRPr="00250C42" w:rsidRDefault="00F24865">
      <w:pPr>
        <w:pStyle w:val="FootnoteText"/>
      </w:pPr>
      <w:r>
        <w:rPr>
          <w:rStyle w:val="FootnoteReference"/>
        </w:rPr>
        <w:footnoteRef/>
      </w:r>
      <w:r>
        <w:t xml:space="preserve"> Articolul 253 din Codul penal bulgar.</w:t>
      </w:r>
    </w:p>
  </w:footnote>
  <w:footnote w:id="9">
    <w:p w14:paraId="0E84475F" w14:textId="6139AF6A" w:rsidR="00971964" w:rsidRPr="00250C42" w:rsidRDefault="00971964">
      <w:pPr>
        <w:pStyle w:val="FootnoteText"/>
      </w:pPr>
      <w:r>
        <w:rPr>
          <w:rStyle w:val="FootnoteReference"/>
        </w:rPr>
        <w:footnoteRef/>
      </w:r>
      <w:r>
        <w:t xml:space="preserve"> Hotărârea Curții Supreme privind articolul 299 alineatul (1) din Codul penal.</w:t>
      </w:r>
    </w:p>
  </w:footnote>
  <w:footnote w:id="10">
    <w:p w14:paraId="5701DF3B" w14:textId="072C1407" w:rsidR="0062371E" w:rsidRPr="005977EA" w:rsidRDefault="0062371E">
      <w:pPr>
        <w:pStyle w:val="FootnoteText"/>
      </w:pPr>
      <w:r>
        <w:rPr>
          <w:rStyle w:val="FootnoteReference"/>
          <w:sz w:val="20"/>
          <w:szCs w:val="24"/>
        </w:rPr>
        <w:footnoteRef/>
      </w:r>
      <w:r>
        <w:rPr>
          <w:sz w:val="20"/>
        </w:rPr>
        <w:t xml:space="preserve"> Austria, Germania, Estonia, Grecia, Finlanda, Ungaria, Luxemburg și Portugalia.</w:t>
      </w:r>
    </w:p>
  </w:footnote>
  <w:footnote w:id="11">
    <w:p w14:paraId="3FDE1EF0" w14:textId="76C5E566" w:rsidR="00307872" w:rsidRPr="00250C42" w:rsidRDefault="00307872">
      <w:pPr>
        <w:pStyle w:val="FootnoteText"/>
      </w:pPr>
      <w:r>
        <w:rPr>
          <w:rStyle w:val="FootnoteReference"/>
        </w:rPr>
        <w:footnoteRef/>
      </w:r>
      <w:r>
        <w:t xml:space="preserve"> Articolul 506-3 alineatul (2) din Codul penal, coroborat cu articolul 5-1 din Codul de procedură penală.</w:t>
      </w:r>
    </w:p>
  </w:footnote>
  <w:footnote w:id="12">
    <w:p w14:paraId="599F0579" w14:textId="77B6FF65" w:rsidR="00E22921" w:rsidRPr="00250C42" w:rsidRDefault="00E22921">
      <w:pPr>
        <w:pStyle w:val="FootnoteText"/>
        <w:rPr>
          <w:sz w:val="20"/>
          <w:szCs w:val="20"/>
        </w:rPr>
      </w:pPr>
      <w:r>
        <w:rPr>
          <w:rStyle w:val="FootnoteReference"/>
          <w:sz w:val="20"/>
          <w:szCs w:val="20"/>
        </w:rPr>
        <w:footnoteRef/>
      </w:r>
      <w:r>
        <w:rPr>
          <w:sz w:val="20"/>
        </w:rPr>
        <w:t xml:space="preserve"> </w:t>
      </w:r>
      <w:r>
        <w:rPr>
          <w:i/>
          <w:iCs/>
          <w:sz w:val="20"/>
        </w:rPr>
        <w:t>Lag (2014:307) om straff för penningtvättsbrott, 3 §.</w:t>
      </w:r>
    </w:p>
  </w:footnote>
  <w:footnote w:id="13">
    <w:p w14:paraId="789343DB" w14:textId="23FE7974" w:rsidR="00E657BF" w:rsidRPr="00250C42" w:rsidRDefault="00E657BF">
      <w:pPr>
        <w:pStyle w:val="FootnoteText"/>
      </w:pPr>
      <w:r>
        <w:rPr>
          <w:rStyle w:val="FootnoteReference"/>
          <w:sz w:val="20"/>
          <w:szCs w:val="20"/>
        </w:rPr>
        <w:footnoteRef/>
      </w:r>
      <w:r>
        <w:rPr>
          <w:sz w:val="20"/>
        </w:rPr>
        <w:t xml:space="preserve"> Articolul 39 alineatul (1) litera (d), Legea 4557/2018.</w:t>
      </w:r>
    </w:p>
  </w:footnote>
  <w:footnote w:id="14">
    <w:p w14:paraId="0CB62279" w14:textId="25D1FCA7" w:rsidR="001B6D8F" w:rsidRPr="00745C30" w:rsidRDefault="001B6D8F" w:rsidP="001B6D8F">
      <w:pPr>
        <w:pStyle w:val="FootnoteText"/>
        <w:rPr>
          <w:sz w:val="20"/>
          <w:szCs w:val="20"/>
        </w:rPr>
      </w:pPr>
      <w:r>
        <w:rPr>
          <w:rStyle w:val="FootnoteReference"/>
          <w:sz w:val="20"/>
          <w:szCs w:val="20"/>
        </w:rPr>
        <w:footnoteRef/>
      </w:r>
      <w:r>
        <w:rPr>
          <w:sz w:val="20"/>
        </w:rPr>
        <w:t xml:space="preserve"> A se vedea în special articolul 2 alineatul (1) din Directiva (UE) 2015/849 a Parlamentului European și a Consiliului din 20 mai 2015 privind prevenirea utilizării sistemului financiar în scopul spălării banilor sau finanțării terorismului, </w:t>
      </w:r>
      <w:r>
        <w:rPr>
          <w:i/>
          <w:sz w:val="20"/>
        </w:rPr>
        <w:t>JO L 141, 5.6.2015, p. 73, cea mai recentă versiune consolidată disponibilă la adresa</w:t>
      </w:r>
      <w:r>
        <w:rPr>
          <w:sz w:val="20"/>
        </w:rPr>
        <w:t>:</w:t>
      </w:r>
      <w:r>
        <w:rPr>
          <w:i/>
          <w:sz w:val="20"/>
        </w:rPr>
        <w:t xml:space="preserve"> </w:t>
      </w:r>
      <w:hyperlink r:id="rId1" w:history="1">
        <w:r>
          <w:rPr>
            <w:rStyle w:val="Hyperlink"/>
            <w:i/>
            <w:sz w:val="20"/>
          </w:rPr>
          <w:t>EUR-Lex - 02015L0849-20241230 - RO - EUR-Lex</w:t>
        </w:r>
      </w:hyperlink>
      <w:r>
        <w:t>.</w:t>
      </w:r>
    </w:p>
  </w:footnote>
  <w:footnote w:id="15">
    <w:p w14:paraId="197A550E" w14:textId="05CC85D2" w:rsidR="00523467" w:rsidRPr="00250C42" w:rsidRDefault="00523467">
      <w:pPr>
        <w:pStyle w:val="FootnoteText"/>
      </w:pPr>
      <w:r>
        <w:rPr>
          <w:rStyle w:val="FootnoteReference"/>
        </w:rPr>
        <w:footnoteRef/>
      </w:r>
      <w:r>
        <w:t xml:space="preserve"> Partea I articolul 4 alineatul (4). Legea 188 (I)/2007.</w:t>
      </w:r>
    </w:p>
  </w:footnote>
  <w:footnote w:id="16">
    <w:p w14:paraId="0889EA94" w14:textId="2FE0DEBB" w:rsidR="00FB6572" w:rsidRPr="00250C42" w:rsidRDefault="00FB6572">
      <w:pPr>
        <w:pStyle w:val="FootnoteText"/>
      </w:pPr>
      <w:r>
        <w:rPr>
          <w:rStyle w:val="FootnoteReference"/>
        </w:rPr>
        <w:footnoteRef/>
      </w:r>
      <w:r>
        <w:t xml:space="preserve"> Articolul 39 alineatul (1) litera (d), Legea 4557/2018.</w:t>
      </w:r>
    </w:p>
  </w:footnote>
  <w:footnote w:id="17">
    <w:p w14:paraId="42553B1F" w14:textId="77777777" w:rsidR="00EF2334" w:rsidRPr="00A525AF" w:rsidRDefault="00EF2334" w:rsidP="00EF2334">
      <w:pPr>
        <w:pStyle w:val="FootnoteText"/>
        <w:rPr>
          <w:sz w:val="20"/>
          <w:szCs w:val="20"/>
        </w:rPr>
      </w:pPr>
      <w:r>
        <w:rPr>
          <w:rStyle w:val="FootnoteReference"/>
          <w:sz w:val="20"/>
          <w:szCs w:val="20"/>
        </w:rPr>
        <w:footnoteRef/>
      </w:r>
      <w:r>
        <w:rPr>
          <w:sz w:val="20"/>
        </w:rPr>
        <w:t xml:space="preserve"> Participarea la un grup infracțional organizat sau racketul, terorismul, traficul de persoane și introducerea ilegală de migranți, exploatarea sexuală, traficul ilicit de stupefiante și corupția.</w:t>
      </w:r>
    </w:p>
  </w:footnote>
  <w:footnote w:id="18">
    <w:p w14:paraId="72EA7C8C" w14:textId="3B1845BB" w:rsidR="00DE7BD5" w:rsidRPr="00C0475B" w:rsidRDefault="00DE7BD5">
      <w:pPr>
        <w:pStyle w:val="FootnoteText"/>
        <w:rPr>
          <w:sz w:val="20"/>
          <w:szCs w:val="20"/>
        </w:rPr>
      </w:pPr>
      <w:r>
        <w:rPr>
          <w:rStyle w:val="FootnoteReference"/>
          <w:sz w:val="20"/>
          <w:szCs w:val="20"/>
        </w:rPr>
        <w:footnoteRef/>
      </w:r>
      <w:r>
        <w:rPr>
          <w:sz w:val="20"/>
        </w:rPr>
        <w:t xml:space="preserve"> </w:t>
      </w:r>
      <w:r>
        <w:rPr>
          <w:rStyle w:val="FootnoteReference"/>
          <w:sz w:val="20"/>
          <w:vertAlign w:val="baseline"/>
        </w:rPr>
        <w:t>Austria, Bulgaria, Cipru, Republica Cehă, Estonia, Grecia, Finlanda, Croația, Ungaria, Letonia, Polonia, Suedia, Slovenia și Slovacia.</w:t>
      </w:r>
      <w:r>
        <w:rPr>
          <w:sz w:val="20"/>
        </w:rPr>
        <w:t xml:space="preserve"> </w:t>
      </w:r>
    </w:p>
  </w:footnote>
  <w:footnote w:id="19">
    <w:p w14:paraId="06312698" w14:textId="6DA597C1" w:rsidR="00DE7BD5" w:rsidRPr="006A50E1" w:rsidRDefault="00DE7BD5">
      <w:pPr>
        <w:pStyle w:val="FootnoteText"/>
        <w:rPr>
          <w:sz w:val="20"/>
          <w:szCs w:val="20"/>
        </w:rPr>
      </w:pPr>
      <w:r>
        <w:rPr>
          <w:rStyle w:val="FootnoteReference"/>
          <w:sz w:val="20"/>
          <w:szCs w:val="20"/>
        </w:rPr>
        <w:footnoteRef/>
      </w:r>
      <w:r>
        <w:rPr>
          <w:sz w:val="20"/>
        </w:rPr>
        <w:t xml:space="preserve"> Grecia, Spania, Finlanda și Croația.</w:t>
      </w:r>
    </w:p>
  </w:footnote>
  <w:footnote w:id="20">
    <w:p w14:paraId="016447FD" w14:textId="7E77BA26" w:rsidR="00C836D5" w:rsidRPr="00F33788" w:rsidRDefault="00C836D5">
      <w:pPr>
        <w:pStyle w:val="FootnoteText"/>
      </w:pPr>
      <w:r>
        <w:rPr>
          <w:rStyle w:val="FootnoteReference"/>
          <w:sz w:val="20"/>
          <w:szCs w:val="20"/>
        </w:rPr>
        <w:footnoteRef/>
      </w:r>
      <w:r>
        <w:rPr>
          <w:sz w:val="20"/>
        </w:rPr>
        <w:t xml:space="preserve"> Belgia, Cipru, Republica Cehă, Germania, Grecia, Spania, Franța, Croația, Ungaria, Italia, Lituania, Luxemburg, Letonia, Malta, Polonia, Portugalia, România, Slovenia și Slovacia.</w:t>
      </w:r>
    </w:p>
  </w:footnote>
  <w:footnote w:id="21">
    <w:p w14:paraId="47930408" w14:textId="77777777" w:rsidR="00EE6358" w:rsidRPr="00250C42" w:rsidRDefault="00EE6358" w:rsidP="00EE6358">
      <w:pPr>
        <w:pStyle w:val="FootnoteText"/>
        <w:rPr>
          <w:szCs w:val="18"/>
        </w:rPr>
      </w:pPr>
      <w:r>
        <w:rPr>
          <w:rStyle w:val="FootnoteReference"/>
          <w:szCs w:val="18"/>
        </w:rPr>
        <w:footnoteRef/>
      </w:r>
      <w:r>
        <w:t xml:space="preserve"> A se vedea considerentul 16 din Directiva privind combaterea prin măsuri de drept penal a spălării banilor: „</w:t>
      </w:r>
      <w:r>
        <w:rPr>
          <w:i/>
          <w:color w:val="000000"/>
          <w:shd w:val="clear" w:color="auto" w:fill="FFFFFF"/>
        </w:rPr>
        <w:t>[...] Statele membre ar trebui să asigure, ca o cerință minimă, indisponibilizarea și confiscarea instrumentelor și produselor provenite din săvârșirea de infracțiuni în toate cazurile prevăzute de Directiva 2014/42/UE. Statele membre ar trebui să ia în considerare, de asemenea, prevederea confiscării în toate cazurile în care nu pot fi inițiate sau încheiate proceduri penale, inclusiv în cazurile în care autorul infracțiunii a decedat”</w:t>
      </w:r>
      <w:r>
        <w:t>.</w:t>
      </w:r>
    </w:p>
  </w:footnote>
  <w:footnote w:id="22">
    <w:p w14:paraId="36177A45" w14:textId="4647E016" w:rsidR="00DD7E93" w:rsidRPr="00250C42" w:rsidRDefault="00DD7E93">
      <w:pPr>
        <w:pStyle w:val="FootnoteText"/>
        <w:rPr>
          <w:szCs w:val="18"/>
        </w:rPr>
      </w:pPr>
      <w:r>
        <w:rPr>
          <w:rStyle w:val="FootnoteReference"/>
          <w:szCs w:val="18"/>
        </w:rPr>
        <w:footnoteRef/>
      </w:r>
      <w:r>
        <w:t xml:space="preserve"> Acesta este principiul potrivit căruia competența poate fi stabilită numai dacă fapta în cauză este incriminată atât în statul care efectuează urmărirea penală, cât și în statul în care a fost săvârșită.</w:t>
      </w:r>
    </w:p>
  </w:footnote>
  <w:footnote w:id="23">
    <w:p w14:paraId="1A81B3AF" w14:textId="77777777" w:rsidR="00DD7E93" w:rsidRPr="001C40A8" w:rsidRDefault="00DD7E93" w:rsidP="00DD7E93">
      <w:pPr>
        <w:pStyle w:val="FootnoteText"/>
        <w:rPr>
          <w:szCs w:val="18"/>
        </w:rPr>
      </w:pPr>
      <w:r>
        <w:rPr>
          <w:rStyle w:val="FootnoteReference"/>
          <w:szCs w:val="18"/>
        </w:rPr>
        <w:footnoteRef/>
      </w:r>
      <w:r>
        <w:t xml:space="preserve"> Bulgaria, Cehia, Italia, Letonia, Ungaria, Malta, Polonia, Slovenia, Slovacia, Finlanda.</w:t>
      </w:r>
    </w:p>
  </w:footnote>
  <w:footnote w:id="24">
    <w:p w14:paraId="7CD70A73" w14:textId="77777777" w:rsidR="00DD7E93" w:rsidRPr="003F4533" w:rsidRDefault="00DD7E93" w:rsidP="00DD7E93">
      <w:pPr>
        <w:pStyle w:val="FootnoteText"/>
        <w:rPr>
          <w:szCs w:val="18"/>
        </w:rPr>
      </w:pPr>
      <w:r>
        <w:rPr>
          <w:rStyle w:val="FootnoteReference"/>
          <w:szCs w:val="18"/>
        </w:rPr>
        <w:footnoteRef/>
      </w:r>
      <w:r>
        <w:t xml:space="preserve"> Belgia, Germania, Estonia, Spania, Franța, Croația, Cipru, Lituania, Luxemburg, Austria, Suedia.</w:t>
      </w:r>
    </w:p>
  </w:footnote>
  <w:footnote w:id="25">
    <w:p w14:paraId="60B8E1B9" w14:textId="77777777" w:rsidR="00DD7E93" w:rsidRPr="003F4533" w:rsidRDefault="00DD7E93" w:rsidP="00DD7E93">
      <w:pPr>
        <w:pStyle w:val="FootnoteText"/>
        <w:rPr>
          <w:szCs w:val="18"/>
        </w:rPr>
      </w:pPr>
      <w:r>
        <w:rPr>
          <w:rStyle w:val="FootnoteReference"/>
          <w:szCs w:val="18"/>
        </w:rPr>
        <w:footnoteRef/>
      </w:r>
      <w:r>
        <w:t xml:space="preserve"> Grecia, Țările de Jos, România.</w:t>
      </w:r>
    </w:p>
  </w:footnote>
  <w:footnote w:id="26">
    <w:p w14:paraId="571C1CEF" w14:textId="77777777" w:rsidR="003433F1" w:rsidRPr="003F4533" w:rsidRDefault="003433F1" w:rsidP="003433F1">
      <w:pPr>
        <w:pStyle w:val="FootnoteText"/>
        <w:rPr>
          <w:szCs w:val="18"/>
        </w:rPr>
      </w:pPr>
      <w:r>
        <w:rPr>
          <w:rStyle w:val="FootnoteReference"/>
          <w:szCs w:val="18"/>
        </w:rPr>
        <w:footnoteRef/>
      </w:r>
      <w:r>
        <w:t xml:space="preserve"> Austria, Belgia, Estonia, Spania, Finlanda, Croația, Lituania, Luxemburg, Letonia, Malta, Țările de Jos, Portugalia, Suedia și Slovacia.</w:t>
      </w:r>
    </w:p>
  </w:footnote>
  <w:footnote w:id="27">
    <w:p w14:paraId="3DE53FD7" w14:textId="77777777" w:rsidR="006D5F72" w:rsidRPr="004877C7" w:rsidRDefault="006D5F72" w:rsidP="006D5F72">
      <w:pPr>
        <w:pStyle w:val="FootnoteText"/>
      </w:pPr>
      <w:r>
        <w:rPr>
          <w:rStyle w:val="FootnoteReference"/>
          <w:szCs w:val="18"/>
        </w:rPr>
        <w:footnoteRef/>
      </w:r>
      <w:r>
        <w:t xml:space="preserve"> Austria, Republica Cehă, Estonia, Grecia, Spania, Luxemburg, Letonia, Polonia, Slovenia și Slovacia.</w:t>
      </w:r>
    </w:p>
  </w:footnote>
  <w:footnote w:id="28">
    <w:p w14:paraId="654BB5A0" w14:textId="77777777" w:rsidR="00434B14" w:rsidRPr="00A525AF" w:rsidRDefault="00434B14" w:rsidP="00434B14">
      <w:pPr>
        <w:pStyle w:val="FootnoteText"/>
        <w:rPr>
          <w:sz w:val="20"/>
          <w:szCs w:val="20"/>
        </w:rPr>
      </w:pPr>
      <w:r>
        <w:rPr>
          <w:rStyle w:val="FootnoteReference"/>
          <w:sz w:val="20"/>
          <w:szCs w:val="20"/>
        </w:rPr>
        <w:footnoteRef/>
      </w:r>
      <w:r>
        <w:rPr>
          <w:sz w:val="20"/>
        </w:rPr>
        <w:t xml:space="preserve"> A se vedea, de asemenea, considerentul 19: </w:t>
      </w:r>
      <w:r>
        <w:rPr>
          <w:i/>
          <w:sz w:val="20"/>
        </w:rPr>
        <w:t>„Astfel, ar trebui să se asigure faptul că sunt disponibile personal suficient și formare specifică, resurse și capacitate tehnologică actualizată. […]</w:t>
      </w:r>
      <w:r>
        <w:rPr>
          <w:sz w:val="20"/>
        </w:rPr>
        <w:t>.”</w:t>
      </w:r>
    </w:p>
  </w:footnote>
  <w:footnote w:id="29">
    <w:p w14:paraId="5FA9B99F" w14:textId="26F69B1A" w:rsidR="00672046" w:rsidRPr="000B3791" w:rsidRDefault="00672046">
      <w:pPr>
        <w:pStyle w:val="FootnoteText"/>
      </w:pPr>
      <w:r>
        <w:rPr>
          <w:rStyle w:val="FootnoteReference"/>
        </w:rPr>
        <w:footnoteRef/>
      </w:r>
      <w:r>
        <w:t xml:space="preserve"> </w:t>
      </w:r>
      <w:hyperlink r:id="rId2" w:tgtFrame="_blank" w:history="1">
        <w:r>
          <w:rPr>
            <w:rStyle w:val="Hyperlink"/>
          </w:rPr>
          <w:t>EUR-Lex - 52025DC0148 - RO - EUR-Lex</w:t>
        </w:r>
      </w:hyperlink>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22CBDE" w14:textId="77777777" w:rsidR="00971E55" w:rsidRPr="00971E55" w:rsidRDefault="00971E55" w:rsidP="00971E55">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0324E2" w14:textId="77777777" w:rsidR="00971E55" w:rsidRPr="00971E55" w:rsidRDefault="00971E55" w:rsidP="00971E55">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EEA5BF" w14:textId="77777777" w:rsidR="00971E55" w:rsidRPr="00971E55" w:rsidRDefault="00971E55" w:rsidP="00971E55">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1FD87E" w14:textId="77777777" w:rsidR="00466BCC" w:rsidRDefault="00466BCC">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A16558" w14:textId="77777777" w:rsidR="00466BCC" w:rsidRDefault="00466BCC">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147AFE" w14:textId="77777777" w:rsidR="00466BCC" w:rsidRDefault="00466BC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34E34"/>
    <w:multiLevelType w:val="hybridMultilevel"/>
    <w:tmpl w:val="CC16FB76"/>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 w15:restartNumberingAfterBreak="0">
    <w:nsid w:val="03877CEF"/>
    <w:multiLevelType w:val="hybridMultilevel"/>
    <w:tmpl w:val="4B4E7D38"/>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 w15:restartNumberingAfterBreak="0">
    <w:nsid w:val="076351B5"/>
    <w:multiLevelType w:val="hybridMultilevel"/>
    <w:tmpl w:val="1382D32A"/>
    <w:lvl w:ilvl="0" w:tplc="AAB4318C">
      <w:start w:val="2"/>
      <w:numFmt w:val="decimal"/>
      <w:lvlText w:val="%1"/>
      <w:lvlJc w:val="left"/>
      <w:pPr>
        <w:ind w:left="432" w:hanging="360"/>
      </w:pPr>
    </w:lvl>
    <w:lvl w:ilvl="1" w:tplc="1DE0907A">
      <w:start w:val="1"/>
      <w:numFmt w:val="lowerLetter"/>
      <w:lvlText w:val="%2."/>
      <w:lvlJc w:val="left"/>
      <w:pPr>
        <w:ind w:left="1440" w:hanging="360"/>
      </w:pPr>
    </w:lvl>
    <w:lvl w:ilvl="2" w:tplc="19C62BE6">
      <w:start w:val="1"/>
      <w:numFmt w:val="lowerRoman"/>
      <w:lvlText w:val="%3."/>
      <w:lvlJc w:val="right"/>
      <w:pPr>
        <w:ind w:left="2160" w:hanging="180"/>
      </w:pPr>
    </w:lvl>
    <w:lvl w:ilvl="3" w:tplc="6F14CDA6">
      <w:start w:val="1"/>
      <w:numFmt w:val="decimal"/>
      <w:lvlText w:val="%4."/>
      <w:lvlJc w:val="left"/>
      <w:pPr>
        <w:ind w:left="2880" w:hanging="360"/>
      </w:pPr>
    </w:lvl>
    <w:lvl w:ilvl="4" w:tplc="F49494AA">
      <w:start w:val="1"/>
      <w:numFmt w:val="lowerLetter"/>
      <w:lvlText w:val="%5."/>
      <w:lvlJc w:val="left"/>
      <w:pPr>
        <w:ind w:left="3600" w:hanging="360"/>
      </w:pPr>
    </w:lvl>
    <w:lvl w:ilvl="5" w:tplc="EB3CFF6E">
      <w:start w:val="1"/>
      <w:numFmt w:val="lowerRoman"/>
      <w:lvlText w:val="%6."/>
      <w:lvlJc w:val="right"/>
      <w:pPr>
        <w:ind w:left="4320" w:hanging="180"/>
      </w:pPr>
    </w:lvl>
    <w:lvl w:ilvl="6" w:tplc="C54812AE">
      <w:start w:val="1"/>
      <w:numFmt w:val="decimal"/>
      <w:lvlText w:val="%7."/>
      <w:lvlJc w:val="left"/>
      <w:pPr>
        <w:ind w:left="5040" w:hanging="360"/>
      </w:pPr>
    </w:lvl>
    <w:lvl w:ilvl="7" w:tplc="FA0C4018">
      <w:start w:val="1"/>
      <w:numFmt w:val="lowerLetter"/>
      <w:lvlText w:val="%8."/>
      <w:lvlJc w:val="left"/>
      <w:pPr>
        <w:ind w:left="5760" w:hanging="360"/>
      </w:pPr>
    </w:lvl>
    <w:lvl w:ilvl="8" w:tplc="4EA2F0E0">
      <w:start w:val="1"/>
      <w:numFmt w:val="lowerRoman"/>
      <w:lvlText w:val="%9."/>
      <w:lvlJc w:val="right"/>
      <w:pPr>
        <w:ind w:left="6480" w:hanging="180"/>
      </w:pPr>
    </w:lvl>
  </w:abstractNum>
  <w:abstractNum w:abstractNumId="3" w15:restartNumberingAfterBreak="0">
    <w:nsid w:val="0D0E0015"/>
    <w:multiLevelType w:val="hybridMultilevel"/>
    <w:tmpl w:val="44CE2576"/>
    <w:lvl w:ilvl="0" w:tplc="A456F802">
      <w:numFmt w:val="bullet"/>
      <w:lvlText w:val="-"/>
      <w:lvlJc w:val="left"/>
      <w:pPr>
        <w:ind w:left="1080" w:hanging="360"/>
      </w:pPr>
      <w:rPr>
        <w:rFonts w:ascii="Times New Roman" w:hAnsi="Times New Roman" w:hint="default"/>
      </w:rPr>
    </w:lvl>
    <w:lvl w:ilvl="1" w:tplc="2552105A">
      <w:start w:val="1"/>
      <w:numFmt w:val="bullet"/>
      <w:lvlText w:val="o"/>
      <w:lvlJc w:val="left"/>
      <w:pPr>
        <w:ind w:left="1800" w:hanging="360"/>
      </w:pPr>
      <w:rPr>
        <w:rFonts w:ascii="Courier New" w:hAnsi="Courier New" w:hint="default"/>
      </w:rPr>
    </w:lvl>
    <w:lvl w:ilvl="2" w:tplc="D4321436" w:tentative="1">
      <w:start w:val="1"/>
      <w:numFmt w:val="bullet"/>
      <w:lvlText w:val=""/>
      <w:lvlJc w:val="left"/>
      <w:pPr>
        <w:ind w:left="2520" w:hanging="360"/>
      </w:pPr>
      <w:rPr>
        <w:rFonts w:ascii="Wingdings" w:hAnsi="Wingdings" w:hint="default"/>
      </w:rPr>
    </w:lvl>
    <w:lvl w:ilvl="3" w:tplc="E04A150C" w:tentative="1">
      <w:start w:val="1"/>
      <w:numFmt w:val="bullet"/>
      <w:lvlText w:val=""/>
      <w:lvlJc w:val="left"/>
      <w:pPr>
        <w:ind w:left="3240" w:hanging="360"/>
      </w:pPr>
      <w:rPr>
        <w:rFonts w:ascii="Symbol" w:hAnsi="Symbol" w:hint="default"/>
      </w:rPr>
    </w:lvl>
    <w:lvl w:ilvl="4" w:tplc="BB64867A" w:tentative="1">
      <w:start w:val="1"/>
      <w:numFmt w:val="bullet"/>
      <w:lvlText w:val="o"/>
      <w:lvlJc w:val="left"/>
      <w:pPr>
        <w:ind w:left="3960" w:hanging="360"/>
      </w:pPr>
      <w:rPr>
        <w:rFonts w:ascii="Courier New" w:hAnsi="Courier New" w:hint="default"/>
      </w:rPr>
    </w:lvl>
    <w:lvl w:ilvl="5" w:tplc="5BAEB0A2" w:tentative="1">
      <w:start w:val="1"/>
      <w:numFmt w:val="bullet"/>
      <w:lvlText w:val=""/>
      <w:lvlJc w:val="left"/>
      <w:pPr>
        <w:ind w:left="4680" w:hanging="360"/>
      </w:pPr>
      <w:rPr>
        <w:rFonts w:ascii="Wingdings" w:hAnsi="Wingdings" w:hint="default"/>
      </w:rPr>
    </w:lvl>
    <w:lvl w:ilvl="6" w:tplc="ACA6ECC4" w:tentative="1">
      <w:start w:val="1"/>
      <w:numFmt w:val="bullet"/>
      <w:lvlText w:val=""/>
      <w:lvlJc w:val="left"/>
      <w:pPr>
        <w:ind w:left="5400" w:hanging="360"/>
      </w:pPr>
      <w:rPr>
        <w:rFonts w:ascii="Symbol" w:hAnsi="Symbol" w:hint="default"/>
      </w:rPr>
    </w:lvl>
    <w:lvl w:ilvl="7" w:tplc="A11C382E" w:tentative="1">
      <w:start w:val="1"/>
      <w:numFmt w:val="bullet"/>
      <w:lvlText w:val="o"/>
      <w:lvlJc w:val="left"/>
      <w:pPr>
        <w:ind w:left="6120" w:hanging="360"/>
      </w:pPr>
      <w:rPr>
        <w:rFonts w:ascii="Courier New" w:hAnsi="Courier New" w:hint="default"/>
      </w:rPr>
    </w:lvl>
    <w:lvl w:ilvl="8" w:tplc="BC24567C" w:tentative="1">
      <w:start w:val="1"/>
      <w:numFmt w:val="bullet"/>
      <w:lvlText w:val=""/>
      <w:lvlJc w:val="left"/>
      <w:pPr>
        <w:ind w:left="6840" w:hanging="360"/>
      </w:pPr>
      <w:rPr>
        <w:rFonts w:ascii="Wingdings" w:hAnsi="Wingdings" w:hint="default"/>
      </w:rPr>
    </w:lvl>
  </w:abstractNum>
  <w:abstractNum w:abstractNumId="4" w15:restartNumberingAfterBreak="0">
    <w:nsid w:val="0D256A36"/>
    <w:multiLevelType w:val="hybridMultilevel"/>
    <w:tmpl w:val="B14EAF26"/>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5" w15:restartNumberingAfterBreak="0">
    <w:nsid w:val="0D5F35BE"/>
    <w:multiLevelType w:val="hybridMultilevel"/>
    <w:tmpl w:val="41D60198"/>
    <w:lvl w:ilvl="0" w:tplc="2D880C68">
      <w:start w:val="8"/>
      <w:numFmt w:val="bullet"/>
      <w:lvlText w:val="-"/>
      <w:lvlJc w:val="left"/>
      <w:pPr>
        <w:ind w:left="720" w:hanging="360"/>
      </w:pPr>
      <w:rPr>
        <w:rFonts w:ascii="Times New Roman" w:eastAsia="Times New Roman"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130E3747"/>
    <w:multiLevelType w:val="hybridMultilevel"/>
    <w:tmpl w:val="B910429A"/>
    <w:lvl w:ilvl="0" w:tplc="080C0001">
      <w:start w:val="1"/>
      <w:numFmt w:val="bullet"/>
      <w:lvlText w:val=""/>
      <w:lvlJc w:val="left"/>
      <w:pPr>
        <w:ind w:left="1077" w:hanging="360"/>
      </w:pPr>
      <w:rPr>
        <w:rFonts w:ascii="Symbol" w:hAnsi="Symbol" w:hint="default"/>
      </w:rPr>
    </w:lvl>
    <w:lvl w:ilvl="1" w:tplc="080C0003">
      <w:start w:val="1"/>
      <w:numFmt w:val="bullet"/>
      <w:lvlText w:val="o"/>
      <w:lvlJc w:val="left"/>
      <w:pPr>
        <w:ind w:left="1797" w:hanging="360"/>
      </w:pPr>
      <w:rPr>
        <w:rFonts w:ascii="Courier New" w:hAnsi="Courier New" w:cs="Courier New" w:hint="default"/>
      </w:rPr>
    </w:lvl>
    <w:lvl w:ilvl="2" w:tplc="080C0005">
      <w:start w:val="1"/>
      <w:numFmt w:val="bullet"/>
      <w:lvlText w:val=""/>
      <w:lvlJc w:val="left"/>
      <w:pPr>
        <w:ind w:left="2517" w:hanging="360"/>
      </w:pPr>
      <w:rPr>
        <w:rFonts w:ascii="Wingdings" w:hAnsi="Wingdings" w:hint="default"/>
      </w:rPr>
    </w:lvl>
    <w:lvl w:ilvl="3" w:tplc="080C0001">
      <w:start w:val="1"/>
      <w:numFmt w:val="bullet"/>
      <w:lvlText w:val=""/>
      <w:lvlJc w:val="left"/>
      <w:pPr>
        <w:ind w:left="3237" w:hanging="360"/>
      </w:pPr>
      <w:rPr>
        <w:rFonts w:ascii="Symbol" w:hAnsi="Symbol" w:hint="default"/>
      </w:rPr>
    </w:lvl>
    <w:lvl w:ilvl="4" w:tplc="080C0003">
      <w:start w:val="1"/>
      <w:numFmt w:val="bullet"/>
      <w:lvlText w:val="o"/>
      <w:lvlJc w:val="left"/>
      <w:pPr>
        <w:ind w:left="3957" w:hanging="360"/>
      </w:pPr>
      <w:rPr>
        <w:rFonts w:ascii="Courier New" w:hAnsi="Courier New" w:cs="Courier New" w:hint="default"/>
      </w:rPr>
    </w:lvl>
    <w:lvl w:ilvl="5" w:tplc="080C0005">
      <w:start w:val="1"/>
      <w:numFmt w:val="bullet"/>
      <w:lvlText w:val=""/>
      <w:lvlJc w:val="left"/>
      <w:pPr>
        <w:ind w:left="4677" w:hanging="360"/>
      </w:pPr>
      <w:rPr>
        <w:rFonts w:ascii="Wingdings" w:hAnsi="Wingdings" w:hint="default"/>
      </w:rPr>
    </w:lvl>
    <w:lvl w:ilvl="6" w:tplc="080C0001">
      <w:start w:val="1"/>
      <w:numFmt w:val="bullet"/>
      <w:lvlText w:val=""/>
      <w:lvlJc w:val="left"/>
      <w:pPr>
        <w:ind w:left="5397" w:hanging="360"/>
      </w:pPr>
      <w:rPr>
        <w:rFonts w:ascii="Symbol" w:hAnsi="Symbol" w:hint="default"/>
      </w:rPr>
    </w:lvl>
    <w:lvl w:ilvl="7" w:tplc="080C0003">
      <w:start w:val="1"/>
      <w:numFmt w:val="bullet"/>
      <w:lvlText w:val="o"/>
      <w:lvlJc w:val="left"/>
      <w:pPr>
        <w:ind w:left="6117" w:hanging="360"/>
      </w:pPr>
      <w:rPr>
        <w:rFonts w:ascii="Courier New" w:hAnsi="Courier New" w:cs="Courier New" w:hint="default"/>
      </w:rPr>
    </w:lvl>
    <w:lvl w:ilvl="8" w:tplc="080C0005">
      <w:start w:val="1"/>
      <w:numFmt w:val="bullet"/>
      <w:lvlText w:val=""/>
      <w:lvlJc w:val="left"/>
      <w:pPr>
        <w:ind w:left="6837" w:hanging="360"/>
      </w:pPr>
      <w:rPr>
        <w:rFonts w:ascii="Wingdings" w:hAnsi="Wingdings" w:hint="default"/>
      </w:rPr>
    </w:lvl>
  </w:abstractNum>
  <w:abstractNum w:abstractNumId="7" w15:restartNumberingAfterBreak="0">
    <w:nsid w:val="131119DA"/>
    <w:multiLevelType w:val="hybridMultilevel"/>
    <w:tmpl w:val="6EBCB42E"/>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8" w15:restartNumberingAfterBreak="0">
    <w:nsid w:val="14F110A0"/>
    <w:multiLevelType w:val="hybridMultilevel"/>
    <w:tmpl w:val="673E3F48"/>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9" w15:restartNumberingAfterBreak="0">
    <w:nsid w:val="15342CE8"/>
    <w:multiLevelType w:val="hybridMultilevel"/>
    <w:tmpl w:val="83409E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7141113"/>
    <w:multiLevelType w:val="hybridMultilevel"/>
    <w:tmpl w:val="59E87566"/>
    <w:lvl w:ilvl="0" w:tplc="0809000F">
      <w:start w:val="1"/>
      <w:numFmt w:val="decimal"/>
      <w:lvlText w:val="%1."/>
      <w:lvlJc w:val="left"/>
      <w:pPr>
        <w:ind w:left="720" w:hanging="360"/>
      </w:pPr>
      <w:rPr>
        <w:rFonts w:cs="Times New Roman"/>
      </w:rPr>
    </w:lvl>
    <w:lvl w:ilvl="1" w:tplc="08090019">
      <w:start w:val="1"/>
      <w:numFmt w:val="lowerLetter"/>
      <w:lvlText w:val="%2."/>
      <w:lvlJc w:val="left"/>
      <w:pPr>
        <w:ind w:left="1440" w:hanging="360"/>
      </w:pPr>
      <w:rPr>
        <w:rFonts w:cs="Times New Roman"/>
      </w:rPr>
    </w:lvl>
    <w:lvl w:ilvl="2" w:tplc="0809001B">
      <w:start w:val="1"/>
      <w:numFmt w:val="lowerRoman"/>
      <w:lvlText w:val="%3."/>
      <w:lvlJc w:val="right"/>
      <w:pPr>
        <w:ind w:left="2160" w:hanging="180"/>
      </w:pPr>
      <w:rPr>
        <w:rFonts w:cs="Times New Roman"/>
      </w:rPr>
    </w:lvl>
    <w:lvl w:ilvl="3" w:tplc="0809000F">
      <w:start w:val="1"/>
      <w:numFmt w:val="decimal"/>
      <w:lvlText w:val="%4."/>
      <w:lvlJc w:val="left"/>
      <w:pPr>
        <w:ind w:left="2880" w:hanging="360"/>
      </w:pPr>
      <w:rPr>
        <w:rFonts w:cs="Times New Roman"/>
      </w:rPr>
    </w:lvl>
    <w:lvl w:ilvl="4" w:tplc="08090019">
      <w:start w:val="1"/>
      <w:numFmt w:val="lowerLetter"/>
      <w:lvlText w:val="%5."/>
      <w:lvlJc w:val="left"/>
      <w:pPr>
        <w:ind w:left="3600" w:hanging="360"/>
      </w:pPr>
      <w:rPr>
        <w:rFonts w:cs="Times New Roman"/>
      </w:rPr>
    </w:lvl>
    <w:lvl w:ilvl="5" w:tplc="0809001B">
      <w:start w:val="1"/>
      <w:numFmt w:val="lowerRoman"/>
      <w:lvlText w:val="%6."/>
      <w:lvlJc w:val="right"/>
      <w:pPr>
        <w:ind w:left="4320" w:hanging="180"/>
      </w:pPr>
      <w:rPr>
        <w:rFonts w:cs="Times New Roman"/>
      </w:rPr>
    </w:lvl>
    <w:lvl w:ilvl="6" w:tplc="0809000F">
      <w:start w:val="1"/>
      <w:numFmt w:val="decimal"/>
      <w:lvlText w:val="%7."/>
      <w:lvlJc w:val="left"/>
      <w:pPr>
        <w:ind w:left="5040" w:hanging="360"/>
      </w:pPr>
      <w:rPr>
        <w:rFonts w:cs="Times New Roman"/>
      </w:rPr>
    </w:lvl>
    <w:lvl w:ilvl="7" w:tplc="08090019">
      <w:start w:val="1"/>
      <w:numFmt w:val="lowerLetter"/>
      <w:lvlText w:val="%8."/>
      <w:lvlJc w:val="left"/>
      <w:pPr>
        <w:ind w:left="5760" w:hanging="360"/>
      </w:pPr>
      <w:rPr>
        <w:rFonts w:cs="Times New Roman"/>
      </w:rPr>
    </w:lvl>
    <w:lvl w:ilvl="8" w:tplc="0809001B">
      <w:start w:val="1"/>
      <w:numFmt w:val="lowerRoman"/>
      <w:lvlText w:val="%9."/>
      <w:lvlJc w:val="right"/>
      <w:pPr>
        <w:ind w:left="6480" w:hanging="180"/>
      </w:pPr>
      <w:rPr>
        <w:rFonts w:cs="Times New Roman"/>
      </w:rPr>
    </w:lvl>
  </w:abstractNum>
  <w:abstractNum w:abstractNumId="11" w15:restartNumberingAfterBreak="0">
    <w:nsid w:val="19785980"/>
    <w:multiLevelType w:val="hybridMultilevel"/>
    <w:tmpl w:val="65AABDEC"/>
    <w:lvl w:ilvl="0" w:tplc="4702724C">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E710E55"/>
    <w:multiLevelType w:val="hybridMultilevel"/>
    <w:tmpl w:val="91C01138"/>
    <w:lvl w:ilvl="0" w:tplc="FFFFFFFF">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3" w15:restartNumberingAfterBreak="0">
    <w:nsid w:val="20797F9A"/>
    <w:multiLevelType w:val="hybridMultilevel"/>
    <w:tmpl w:val="FF28464A"/>
    <w:lvl w:ilvl="0" w:tplc="080C0001">
      <w:start w:val="1"/>
      <w:numFmt w:val="bullet"/>
      <w:lvlText w:val=""/>
      <w:lvlJc w:val="left"/>
      <w:pPr>
        <w:ind w:left="720" w:hanging="360"/>
      </w:pPr>
      <w:rPr>
        <w:rFonts w:ascii="Symbol" w:hAnsi="Symbol" w:hint="default"/>
      </w:rPr>
    </w:lvl>
    <w:lvl w:ilvl="1" w:tplc="080C0003">
      <w:start w:val="1"/>
      <w:numFmt w:val="bullet"/>
      <w:lvlText w:val="o"/>
      <w:lvlJc w:val="left"/>
      <w:pPr>
        <w:ind w:left="1440" w:hanging="360"/>
      </w:pPr>
      <w:rPr>
        <w:rFonts w:ascii="Courier New" w:hAnsi="Courier New" w:cs="Courier New" w:hint="default"/>
      </w:rPr>
    </w:lvl>
    <w:lvl w:ilvl="2" w:tplc="080C0005">
      <w:start w:val="1"/>
      <w:numFmt w:val="bullet"/>
      <w:lvlText w:val=""/>
      <w:lvlJc w:val="left"/>
      <w:pPr>
        <w:ind w:left="2160" w:hanging="360"/>
      </w:pPr>
      <w:rPr>
        <w:rFonts w:ascii="Wingdings" w:hAnsi="Wingdings" w:hint="default"/>
      </w:rPr>
    </w:lvl>
    <w:lvl w:ilvl="3" w:tplc="080C0001">
      <w:start w:val="1"/>
      <w:numFmt w:val="bullet"/>
      <w:lvlText w:val=""/>
      <w:lvlJc w:val="left"/>
      <w:pPr>
        <w:ind w:left="2880" w:hanging="360"/>
      </w:pPr>
      <w:rPr>
        <w:rFonts w:ascii="Symbol" w:hAnsi="Symbol" w:hint="default"/>
      </w:rPr>
    </w:lvl>
    <w:lvl w:ilvl="4" w:tplc="080C0003">
      <w:start w:val="1"/>
      <w:numFmt w:val="bullet"/>
      <w:lvlText w:val="o"/>
      <w:lvlJc w:val="left"/>
      <w:pPr>
        <w:ind w:left="3600" w:hanging="360"/>
      </w:pPr>
      <w:rPr>
        <w:rFonts w:ascii="Courier New" w:hAnsi="Courier New" w:cs="Courier New" w:hint="default"/>
      </w:rPr>
    </w:lvl>
    <w:lvl w:ilvl="5" w:tplc="080C0005">
      <w:start w:val="1"/>
      <w:numFmt w:val="bullet"/>
      <w:lvlText w:val=""/>
      <w:lvlJc w:val="left"/>
      <w:pPr>
        <w:ind w:left="4320" w:hanging="360"/>
      </w:pPr>
      <w:rPr>
        <w:rFonts w:ascii="Wingdings" w:hAnsi="Wingdings" w:hint="default"/>
      </w:rPr>
    </w:lvl>
    <w:lvl w:ilvl="6" w:tplc="080C0001">
      <w:start w:val="1"/>
      <w:numFmt w:val="bullet"/>
      <w:lvlText w:val=""/>
      <w:lvlJc w:val="left"/>
      <w:pPr>
        <w:ind w:left="5040" w:hanging="360"/>
      </w:pPr>
      <w:rPr>
        <w:rFonts w:ascii="Symbol" w:hAnsi="Symbol" w:hint="default"/>
      </w:rPr>
    </w:lvl>
    <w:lvl w:ilvl="7" w:tplc="080C0003">
      <w:start w:val="1"/>
      <w:numFmt w:val="bullet"/>
      <w:lvlText w:val="o"/>
      <w:lvlJc w:val="left"/>
      <w:pPr>
        <w:ind w:left="5760" w:hanging="360"/>
      </w:pPr>
      <w:rPr>
        <w:rFonts w:ascii="Courier New" w:hAnsi="Courier New" w:cs="Courier New" w:hint="default"/>
      </w:rPr>
    </w:lvl>
    <w:lvl w:ilvl="8" w:tplc="080C0005">
      <w:start w:val="1"/>
      <w:numFmt w:val="bullet"/>
      <w:lvlText w:val=""/>
      <w:lvlJc w:val="left"/>
      <w:pPr>
        <w:ind w:left="6480" w:hanging="360"/>
      </w:pPr>
      <w:rPr>
        <w:rFonts w:ascii="Wingdings" w:hAnsi="Wingdings" w:hint="default"/>
      </w:rPr>
    </w:lvl>
  </w:abstractNum>
  <w:abstractNum w:abstractNumId="14" w15:restartNumberingAfterBreak="0">
    <w:nsid w:val="2323BE1A"/>
    <w:multiLevelType w:val="multilevel"/>
    <w:tmpl w:val="90CC6C5A"/>
    <w:lvl w:ilvl="0">
      <w:numFmt w:val="none"/>
      <w:lvlText w:val=""/>
      <w:lvlJc w:val="left"/>
      <w:pPr>
        <w:tabs>
          <w:tab w:val="num" w:pos="360"/>
        </w:tabs>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23441444"/>
    <w:multiLevelType w:val="hybridMultilevel"/>
    <w:tmpl w:val="4DFE90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6CC27E3"/>
    <w:multiLevelType w:val="hybridMultilevel"/>
    <w:tmpl w:val="B52A97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7544759"/>
    <w:multiLevelType w:val="hybridMultilevel"/>
    <w:tmpl w:val="D4A699BC"/>
    <w:lvl w:ilvl="0" w:tplc="69A8D672">
      <w:start w:val="1"/>
      <w:numFmt w:val="bullet"/>
      <w:lvlText w:val="-"/>
      <w:lvlJc w:val="left"/>
      <w:pPr>
        <w:ind w:left="720" w:hanging="360"/>
      </w:pPr>
      <w:rPr>
        <w:rFonts w:ascii="Calibri" w:hAnsi="Calibri" w:hint="default"/>
      </w:rPr>
    </w:lvl>
    <w:lvl w:ilvl="1" w:tplc="59A8D958">
      <w:start w:val="1"/>
      <w:numFmt w:val="bullet"/>
      <w:lvlText w:val="o"/>
      <w:lvlJc w:val="left"/>
      <w:pPr>
        <w:ind w:left="1440" w:hanging="360"/>
      </w:pPr>
      <w:rPr>
        <w:rFonts w:ascii="Courier New" w:hAnsi="Courier New" w:hint="default"/>
      </w:rPr>
    </w:lvl>
    <w:lvl w:ilvl="2" w:tplc="9988687A">
      <w:start w:val="1"/>
      <w:numFmt w:val="bullet"/>
      <w:lvlText w:val=""/>
      <w:lvlJc w:val="left"/>
      <w:pPr>
        <w:ind w:left="2160" w:hanging="360"/>
      </w:pPr>
      <w:rPr>
        <w:rFonts w:ascii="Wingdings" w:hAnsi="Wingdings" w:hint="default"/>
      </w:rPr>
    </w:lvl>
    <w:lvl w:ilvl="3" w:tplc="B04862AC">
      <w:start w:val="1"/>
      <w:numFmt w:val="bullet"/>
      <w:lvlText w:val=""/>
      <w:lvlJc w:val="left"/>
      <w:pPr>
        <w:ind w:left="2880" w:hanging="360"/>
      </w:pPr>
      <w:rPr>
        <w:rFonts w:ascii="Symbol" w:hAnsi="Symbol" w:hint="default"/>
      </w:rPr>
    </w:lvl>
    <w:lvl w:ilvl="4" w:tplc="B7608134">
      <w:start w:val="1"/>
      <w:numFmt w:val="bullet"/>
      <w:lvlText w:val="o"/>
      <w:lvlJc w:val="left"/>
      <w:pPr>
        <w:ind w:left="3600" w:hanging="360"/>
      </w:pPr>
      <w:rPr>
        <w:rFonts w:ascii="Courier New" w:hAnsi="Courier New" w:hint="default"/>
      </w:rPr>
    </w:lvl>
    <w:lvl w:ilvl="5" w:tplc="0688CA22">
      <w:start w:val="1"/>
      <w:numFmt w:val="bullet"/>
      <w:lvlText w:val=""/>
      <w:lvlJc w:val="left"/>
      <w:pPr>
        <w:ind w:left="4320" w:hanging="360"/>
      </w:pPr>
      <w:rPr>
        <w:rFonts w:ascii="Wingdings" w:hAnsi="Wingdings" w:hint="default"/>
      </w:rPr>
    </w:lvl>
    <w:lvl w:ilvl="6" w:tplc="1F3CA382">
      <w:start w:val="1"/>
      <w:numFmt w:val="bullet"/>
      <w:lvlText w:val=""/>
      <w:lvlJc w:val="left"/>
      <w:pPr>
        <w:ind w:left="5040" w:hanging="360"/>
      </w:pPr>
      <w:rPr>
        <w:rFonts w:ascii="Symbol" w:hAnsi="Symbol" w:hint="default"/>
      </w:rPr>
    </w:lvl>
    <w:lvl w:ilvl="7" w:tplc="3204518A">
      <w:start w:val="1"/>
      <w:numFmt w:val="bullet"/>
      <w:lvlText w:val="o"/>
      <w:lvlJc w:val="left"/>
      <w:pPr>
        <w:ind w:left="5760" w:hanging="360"/>
      </w:pPr>
      <w:rPr>
        <w:rFonts w:ascii="Courier New" w:hAnsi="Courier New" w:hint="default"/>
      </w:rPr>
    </w:lvl>
    <w:lvl w:ilvl="8" w:tplc="8E46B92E">
      <w:start w:val="1"/>
      <w:numFmt w:val="bullet"/>
      <w:lvlText w:val=""/>
      <w:lvlJc w:val="left"/>
      <w:pPr>
        <w:ind w:left="6480" w:hanging="360"/>
      </w:pPr>
      <w:rPr>
        <w:rFonts w:ascii="Wingdings" w:hAnsi="Wingdings" w:hint="default"/>
      </w:rPr>
    </w:lvl>
  </w:abstractNum>
  <w:abstractNum w:abstractNumId="18" w15:restartNumberingAfterBreak="0">
    <w:nsid w:val="2B9B16D0"/>
    <w:multiLevelType w:val="hybridMultilevel"/>
    <w:tmpl w:val="D29EABEC"/>
    <w:lvl w:ilvl="0" w:tplc="08130001">
      <w:start w:val="1"/>
      <w:numFmt w:val="bullet"/>
      <w:lvlText w:val=""/>
      <w:lvlJc w:val="left"/>
      <w:pPr>
        <w:ind w:left="1440" w:hanging="360"/>
      </w:pPr>
      <w:rPr>
        <w:rFonts w:ascii="Symbol" w:hAnsi="Symbol" w:hint="default"/>
      </w:rPr>
    </w:lvl>
    <w:lvl w:ilvl="1" w:tplc="08130003" w:tentative="1">
      <w:start w:val="1"/>
      <w:numFmt w:val="bullet"/>
      <w:lvlText w:val="o"/>
      <w:lvlJc w:val="left"/>
      <w:pPr>
        <w:ind w:left="2160" w:hanging="360"/>
      </w:pPr>
      <w:rPr>
        <w:rFonts w:ascii="Courier New" w:hAnsi="Courier New" w:cs="Courier New" w:hint="default"/>
      </w:rPr>
    </w:lvl>
    <w:lvl w:ilvl="2" w:tplc="08130005" w:tentative="1">
      <w:start w:val="1"/>
      <w:numFmt w:val="bullet"/>
      <w:lvlText w:val=""/>
      <w:lvlJc w:val="left"/>
      <w:pPr>
        <w:ind w:left="2880" w:hanging="360"/>
      </w:pPr>
      <w:rPr>
        <w:rFonts w:ascii="Wingdings" w:hAnsi="Wingdings" w:hint="default"/>
      </w:rPr>
    </w:lvl>
    <w:lvl w:ilvl="3" w:tplc="08130001" w:tentative="1">
      <w:start w:val="1"/>
      <w:numFmt w:val="bullet"/>
      <w:lvlText w:val=""/>
      <w:lvlJc w:val="left"/>
      <w:pPr>
        <w:ind w:left="3600" w:hanging="360"/>
      </w:pPr>
      <w:rPr>
        <w:rFonts w:ascii="Symbol" w:hAnsi="Symbol" w:hint="default"/>
      </w:rPr>
    </w:lvl>
    <w:lvl w:ilvl="4" w:tplc="08130003" w:tentative="1">
      <w:start w:val="1"/>
      <w:numFmt w:val="bullet"/>
      <w:lvlText w:val="o"/>
      <w:lvlJc w:val="left"/>
      <w:pPr>
        <w:ind w:left="4320" w:hanging="360"/>
      </w:pPr>
      <w:rPr>
        <w:rFonts w:ascii="Courier New" w:hAnsi="Courier New" w:cs="Courier New" w:hint="default"/>
      </w:rPr>
    </w:lvl>
    <w:lvl w:ilvl="5" w:tplc="08130005" w:tentative="1">
      <w:start w:val="1"/>
      <w:numFmt w:val="bullet"/>
      <w:lvlText w:val=""/>
      <w:lvlJc w:val="left"/>
      <w:pPr>
        <w:ind w:left="5040" w:hanging="360"/>
      </w:pPr>
      <w:rPr>
        <w:rFonts w:ascii="Wingdings" w:hAnsi="Wingdings" w:hint="default"/>
      </w:rPr>
    </w:lvl>
    <w:lvl w:ilvl="6" w:tplc="08130001" w:tentative="1">
      <w:start w:val="1"/>
      <w:numFmt w:val="bullet"/>
      <w:lvlText w:val=""/>
      <w:lvlJc w:val="left"/>
      <w:pPr>
        <w:ind w:left="5760" w:hanging="360"/>
      </w:pPr>
      <w:rPr>
        <w:rFonts w:ascii="Symbol" w:hAnsi="Symbol" w:hint="default"/>
      </w:rPr>
    </w:lvl>
    <w:lvl w:ilvl="7" w:tplc="08130003" w:tentative="1">
      <w:start w:val="1"/>
      <w:numFmt w:val="bullet"/>
      <w:lvlText w:val="o"/>
      <w:lvlJc w:val="left"/>
      <w:pPr>
        <w:ind w:left="6480" w:hanging="360"/>
      </w:pPr>
      <w:rPr>
        <w:rFonts w:ascii="Courier New" w:hAnsi="Courier New" w:cs="Courier New" w:hint="default"/>
      </w:rPr>
    </w:lvl>
    <w:lvl w:ilvl="8" w:tplc="08130005" w:tentative="1">
      <w:start w:val="1"/>
      <w:numFmt w:val="bullet"/>
      <w:lvlText w:val=""/>
      <w:lvlJc w:val="left"/>
      <w:pPr>
        <w:ind w:left="7200" w:hanging="360"/>
      </w:pPr>
      <w:rPr>
        <w:rFonts w:ascii="Wingdings" w:hAnsi="Wingdings" w:hint="default"/>
      </w:rPr>
    </w:lvl>
  </w:abstractNum>
  <w:abstractNum w:abstractNumId="19" w15:restartNumberingAfterBreak="0">
    <w:nsid w:val="369B105F"/>
    <w:multiLevelType w:val="hybridMultilevel"/>
    <w:tmpl w:val="293A1088"/>
    <w:lvl w:ilvl="0" w:tplc="FFFFFFFF">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849110C"/>
    <w:multiLevelType w:val="hybridMultilevel"/>
    <w:tmpl w:val="CBAC02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A4B1FAD"/>
    <w:multiLevelType w:val="hybridMultilevel"/>
    <w:tmpl w:val="C01ECFE2"/>
    <w:lvl w:ilvl="0" w:tplc="FFFFFFFF">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2" w15:restartNumberingAfterBreak="0">
    <w:nsid w:val="3BD22741"/>
    <w:multiLevelType w:val="multilevel"/>
    <w:tmpl w:val="C5C6CB34"/>
    <w:lvl w:ilvl="0">
      <w:start w:val="1"/>
      <w:numFmt w:val="bullet"/>
      <w:pStyle w:val="MMultilevel"/>
      <w:lvlText w:val=""/>
      <w:lvlJc w:val="left"/>
      <w:pPr>
        <w:ind w:left="425" w:hanging="425"/>
      </w:pPr>
      <w:rPr>
        <w:rFonts w:ascii="Wingdings" w:hAnsi="Wingdings" w:hint="default"/>
        <w:caps w:val="0"/>
        <w:strike w:val="0"/>
        <w:dstrike w:val="0"/>
        <w:vanish w:val="0"/>
        <w:color w:val="5B9BD5" w:themeColor="accent1"/>
        <w:sz w:val="16"/>
        <w:szCs w:val="16"/>
        <w:vertAlign w:val="baseline"/>
      </w:rPr>
    </w:lvl>
    <w:lvl w:ilvl="1">
      <w:start w:val="1"/>
      <w:numFmt w:val="bullet"/>
      <w:lvlText w:val=""/>
      <w:lvlJc w:val="left"/>
      <w:pPr>
        <w:tabs>
          <w:tab w:val="num" w:pos="851"/>
        </w:tabs>
        <w:ind w:left="851" w:hanging="426"/>
      </w:pPr>
      <w:rPr>
        <w:rFonts w:ascii="Wingdings" w:hAnsi="Wingdings" w:hint="default"/>
        <w:b w:val="0"/>
        <w:i w:val="0"/>
        <w:color w:val="4F81BD"/>
        <w:sz w:val="16"/>
        <w:u w:color="000080"/>
      </w:rPr>
    </w:lvl>
    <w:lvl w:ilvl="2">
      <w:start w:val="1"/>
      <w:numFmt w:val="bullet"/>
      <w:lvlText w:val=""/>
      <w:lvlJc w:val="left"/>
      <w:pPr>
        <w:tabs>
          <w:tab w:val="num" w:pos="1276"/>
        </w:tabs>
        <w:ind w:left="1276" w:hanging="425"/>
      </w:pPr>
      <w:rPr>
        <w:rFonts w:ascii="Wingdings" w:hAnsi="Wingdings" w:hint="default"/>
        <w:color w:val="5B9BD5" w:themeColor="accent1"/>
      </w:rPr>
    </w:lvl>
    <w:lvl w:ilvl="3">
      <w:start w:val="1"/>
      <w:numFmt w:val="bullet"/>
      <w:lvlText w:val=""/>
      <w:lvlJc w:val="left"/>
      <w:pPr>
        <w:tabs>
          <w:tab w:val="num" w:pos="1701"/>
        </w:tabs>
        <w:ind w:left="1701" w:hanging="425"/>
      </w:pPr>
      <w:rPr>
        <w:rFonts w:ascii="Symbol" w:hAnsi="Symbol" w:hint="default"/>
        <w:caps w:val="0"/>
        <w:strike w:val="0"/>
        <w:dstrike w:val="0"/>
        <w:vanish w:val="0"/>
        <w:color w:val="5B9BD5" w:themeColor="accent1"/>
        <w:vertAlign w:val="baseline"/>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3" w15:restartNumberingAfterBreak="0">
    <w:nsid w:val="3C1A4CFA"/>
    <w:multiLevelType w:val="multilevel"/>
    <w:tmpl w:val="3030ED08"/>
    <w:lvl w:ilvl="0">
      <w:start w:val="1"/>
      <w:numFmt w:val="decimal"/>
      <w:lvlText w:val="%1"/>
      <w:lvlJc w:val="left"/>
      <w:pPr>
        <w:ind w:left="432" w:hanging="432"/>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3D52BD36"/>
    <w:multiLevelType w:val="multilevel"/>
    <w:tmpl w:val="AD1A498A"/>
    <w:lvl w:ilvl="0">
      <w:start w:val="1"/>
      <w:numFmt w:val="decimal"/>
      <w:lvlText w:val="%1"/>
      <w:lvlJc w:val="left"/>
      <w:pPr>
        <w:ind w:left="432" w:hanging="432"/>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3F834357"/>
    <w:multiLevelType w:val="hybridMultilevel"/>
    <w:tmpl w:val="318412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4659262"/>
    <w:multiLevelType w:val="hybridMultilevel"/>
    <w:tmpl w:val="CC460CF8"/>
    <w:lvl w:ilvl="0" w:tplc="F2346B28">
      <w:start w:val="1"/>
      <w:numFmt w:val="bullet"/>
      <w:lvlText w:val="-"/>
      <w:lvlJc w:val="left"/>
      <w:pPr>
        <w:ind w:left="720" w:hanging="360"/>
      </w:pPr>
      <w:rPr>
        <w:rFonts w:ascii="Calibri" w:hAnsi="Calibri" w:hint="default"/>
      </w:rPr>
    </w:lvl>
    <w:lvl w:ilvl="1" w:tplc="641C10A0">
      <w:start w:val="1"/>
      <w:numFmt w:val="bullet"/>
      <w:lvlText w:val="o"/>
      <w:lvlJc w:val="left"/>
      <w:pPr>
        <w:ind w:left="1440" w:hanging="360"/>
      </w:pPr>
      <w:rPr>
        <w:rFonts w:ascii="Courier New" w:hAnsi="Courier New" w:hint="default"/>
      </w:rPr>
    </w:lvl>
    <w:lvl w:ilvl="2" w:tplc="4BFC6F48">
      <w:start w:val="1"/>
      <w:numFmt w:val="bullet"/>
      <w:lvlText w:val=""/>
      <w:lvlJc w:val="left"/>
      <w:pPr>
        <w:ind w:left="2160" w:hanging="360"/>
      </w:pPr>
      <w:rPr>
        <w:rFonts w:ascii="Wingdings" w:hAnsi="Wingdings" w:hint="default"/>
      </w:rPr>
    </w:lvl>
    <w:lvl w:ilvl="3" w:tplc="98DA7C06">
      <w:start w:val="1"/>
      <w:numFmt w:val="bullet"/>
      <w:lvlText w:val=""/>
      <w:lvlJc w:val="left"/>
      <w:pPr>
        <w:ind w:left="2880" w:hanging="360"/>
      </w:pPr>
      <w:rPr>
        <w:rFonts w:ascii="Symbol" w:hAnsi="Symbol" w:hint="default"/>
      </w:rPr>
    </w:lvl>
    <w:lvl w:ilvl="4" w:tplc="997A8974">
      <w:start w:val="1"/>
      <w:numFmt w:val="bullet"/>
      <w:lvlText w:val="o"/>
      <w:lvlJc w:val="left"/>
      <w:pPr>
        <w:ind w:left="3600" w:hanging="360"/>
      </w:pPr>
      <w:rPr>
        <w:rFonts w:ascii="Courier New" w:hAnsi="Courier New" w:hint="default"/>
      </w:rPr>
    </w:lvl>
    <w:lvl w:ilvl="5" w:tplc="AAD66274">
      <w:start w:val="1"/>
      <w:numFmt w:val="bullet"/>
      <w:lvlText w:val=""/>
      <w:lvlJc w:val="left"/>
      <w:pPr>
        <w:ind w:left="4320" w:hanging="360"/>
      </w:pPr>
      <w:rPr>
        <w:rFonts w:ascii="Wingdings" w:hAnsi="Wingdings" w:hint="default"/>
      </w:rPr>
    </w:lvl>
    <w:lvl w:ilvl="6" w:tplc="6E6246CC">
      <w:start w:val="1"/>
      <w:numFmt w:val="bullet"/>
      <w:lvlText w:val=""/>
      <w:lvlJc w:val="left"/>
      <w:pPr>
        <w:ind w:left="5040" w:hanging="360"/>
      </w:pPr>
      <w:rPr>
        <w:rFonts w:ascii="Symbol" w:hAnsi="Symbol" w:hint="default"/>
      </w:rPr>
    </w:lvl>
    <w:lvl w:ilvl="7" w:tplc="824ADA08">
      <w:start w:val="1"/>
      <w:numFmt w:val="bullet"/>
      <w:lvlText w:val="o"/>
      <w:lvlJc w:val="left"/>
      <w:pPr>
        <w:ind w:left="5760" w:hanging="360"/>
      </w:pPr>
      <w:rPr>
        <w:rFonts w:ascii="Courier New" w:hAnsi="Courier New" w:hint="default"/>
      </w:rPr>
    </w:lvl>
    <w:lvl w:ilvl="8" w:tplc="FB126418">
      <w:start w:val="1"/>
      <w:numFmt w:val="bullet"/>
      <w:lvlText w:val=""/>
      <w:lvlJc w:val="left"/>
      <w:pPr>
        <w:ind w:left="6480" w:hanging="360"/>
      </w:pPr>
      <w:rPr>
        <w:rFonts w:ascii="Wingdings" w:hAnsi="Wingdings" w:hint="default"/>
      </w:rPr>
    </w:lvl>
  </w:abstractNum>
  <w:abstractNum w:abstractNumId="27" w15:restartNumberingAfterBreak="0">
    <w:nsid w:val="453F4C02"/>
    <w:multiLevelType w:val="hybridMultilevel"/>
    <w:tmpl w:val="ECAC41F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5D9673A"/>
    <w:multiLevelType w:val="hybridMultilevel"/>
    <w:tmpl w:val="FFFFFFFF"/>
    <w:lvl w:ilvl="0" w:tplc="83C24446">
      <w:start w:val="1"/>
      <w:numFmt w:val="decimal"/>
      <w:lvlText w:val="%1."/>
      <w:lvlJc w:val="left"/>
      <w:pPr>
        <w:ind w:left="720" w:hanging="360"/>
      </w:pPr>
    </w:lvl>
    <w:lvl w:ilvl="1" w:tplc="812AAF7C">
      <w:start w:val="1"/>
      <w:numFmt w:val="lowerLetter"/>
      <w:lvlText w:val="%2."/>
      <w:lvlJc w:val="left"/>
      <w:pPr>
        <w:ind w:left="1440" w:hanging="360"/>
      </w:pPr>
    </w:lvl>
    <w:lvl w:ilvl="2" w:tplc="C1AA0774">
      <w:start w:val="1"/>
      <w:numFmt w:val="lowerRoman"/>
      <w:lvlText w:val="%3."/>
      <w:lvlJc w:val="right"/>
      <w:pPr>
        <w:ind w:left="2160" w:hanging="180"/>
      </w:pPr>
    </w:lvl>
    <w:lvl w:ilvl="3" w:tplc="61DE0D3A">
      <w:start w:val="1"/>
      <w:numFmt w:val="decimal"/>
      <w:lvlText w:val="%4."/>
      <w:lvlJc w:val="left"/>
      <w:pPr>
        <w:ind w:left="2880" w:hanging="360"/>
      </w:pPr>
    </w:lvl>
    <w:lvl w:ilvl="4" w:tplc="A8BA6510">
      <w:start w:val="1"/>
      <w:numFmt w:val="lowerLetter"/>
      <w:lvlText w:val="%5."/>
      <w:lvlJc w:val="left"/>
      <w:pPr>
        <w:ind w:left="3600" w:hanging="360"/>
      </w:pPr>
    </w:lvl>
    <w:lvl w:ilvl="5" w:tplc="89AAE616">
      <w:start w:val="1"/>
      <w:numFmt w:val="lowerRoman"/>
      <w:lvlText w:val="%6."/>
      <w:lvlJc w:val="right"/>
      <w:pPr>
        <w:ind w:left="4320" w:hanging="180"/>
      </w:pPr>
    </w:lvl>
    <w:lvl w:ilvl="6" w:tplc="6E2865D6">
      <w:start w:val="1"/>
      <w:numFmt w:val="decimal"/>
      <w:lvlText w:val="%7."/>
      <w:lvlJc w:val="left"/>
      <w:pPr>
        <w:ind w:left="5040" w:hanging="360"/>
      </w:pPr>
    </w:lvl>
    <w:lvl w:ilvl="7" w:tplc="22DCC752">
      <w:start w:val="1"/>
      <w:numFmt w:val="lowerLetter"/>
      <w:lvlText w:val="%8."/>
      <w:lvlJc w:val="left"/>
      <w:pPr>
        <w:ind w:left="5760" w:hanging="360"/>
      </w:pPr>
    </w:lvl>
    <w:lvl w:ilvl="8" w:tplc="23F61E7A">
      <w:start w:val="1"/>
      <w:numFmt w:val="lowerRoman"/>
      <w:lvlText w:val="%9."/>
      <w:lvlJc w:val="right"/>
      <w:pPr>
        <w:ind w:left="6480" w:hanging="180"/>
      </w:pPr>
    </w:lvl>
  </w:abstractNum>
  <w:abstractNum w:abstractNumId="29" w15:restartNumberingAfterBreak="0">
    <w:nsid w:val="4BCC1B20"/>
    <w:multiLevelType w:val="hybridMultilevel"/>
    <w:tmpl w:val="AECC50FA"/>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0" w15:restartNumberingAfterBreak="0">
    <w:nsid w:val="4D642BF8"/>
    <w:multiLevelType w:val="hybridMultilevel"/>
    <w:tmpl w:val="10783DDA"/>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1" w15:restartNumberingAfterBreak="0">
    <w:nsid w:val="4D7A7782"/>
    <w:multiLevelType w:val="multilevel"/>
    <w:tmpl w:val="CD361336"/>
    <w:lvl w:ilvl="0">
      <w:start w:val="1"/>
      <w:numFmt w:val="decimal"/>
      <w:pStyle w:val="Heading1"/>
      <w:lvlText w:val="%1"/>
      <w:lvlJc w:val="left"/>
      <w:pPr>
        <w:ind w:left="432" w:hanging="432"/>
      </w:pPr>
    </w:lvl>
    <w:lvl w:ilvl="1">
      <w:start w:val="1"/>
      <w:numFmt w:val="decimal"/>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32" w15:restartNumberingAfterBreak="0">
    <w:nsid w:val="52705B2B"/>
    <w:multiLevelType w:val="hybridMultilevel"/>
    <w:tmpl w:val="7BC6FA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32C0B7F"/>
    <w:multiLevelType w:val="hybridMultilevel"/>
    <w:tmpl w:val="C92C4C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A03865E"/>
    <w:multiLevelType w:val="hybridMultilevel"/>
    <w:tmpl w:val="C1C431E0"/>
    <w:lvl w:ilvl="0" w:tplc="B79A31FE">
      <w:start w:val="1"/>
      <w:numFmt w:val="bullet"/>
      <w:lvlText w:val="-"/>
      <w:lvlJc w:val="left"/>
      <w:pPr>
        <w:ind w:left="720" w:hanging="360"/>
      </w:pPr>
      <w:rPr>
        <w:rFonts w:ascii="Calibri" w:hAnsi="Calibri" w:hint="default"/>
      </w:rPr>
    </w:lvl>
    <w:lvl w:ilvl="1" w:tplc="406A8FD6">
      <w:start w:val="1"/>
      <w:numFmt w:val="bullet"/>
      <w:lvlText w:val="o"/>
      <w:lvlJc w:val="left"/>
      <w:pPr>
        <w:ind w:left="1440" w:hanging="360"/>
      </w:pPr>
      <w:rPr>
        <w:rFonts w:ascii="Courier New" w:hAnsi="Courier New" w:hint="default"/>
      </w:rPr>
    </w:lvl>
    <w:lvl w:ilvl="2" w:tplc="9B4E95DC">
      <w:start w:val="1"/>
      <w:numFmt w:val="bullet"/>
      <w:lvlText w:val=""/>
      <w:lvlJc w:val="left"/>
      <w:pPr>
        <w:ind w:left="2160" w:hanging="360"/>
      </w:pPr>
      <w:rPr>
        <w:rFonts w:ascii="Wingdings" w:hAnsi="Wingdings" w:hint="default"/>
      </w:rPr>
    </w:lvl>
    <w:lvl w:ilvl="3" w:tplc="C832BE4A">
      <w:start w:val="1"/>
      <w:numFmt w:val="bullet"/>
      <w:lvlText w:val=""/>
      <w:lvlJc w:val="left"/>
      <w:pPr>
        <w:ind w:left="2880" w:hanging="360"/>
      </w:pPr>
      <w:rPr>
        <w:rFonts w:ascii="Symbol" w:hAnsi="Symbol" w:hint="default"/>
      </w:rPr>
    </w:lvl>
    <w:lvl w:ilvl="4" w:tplc="9D6CCE3A">
      <w:start w:val="1"/>
      <w:numFmt w:val="bullet"/>
      <w:lvlText w:val="o"/>
      <w:lvlJc w:val="left"/>
      <w:pPr>
        <w:ind w:left="3600" w:hanging="360"/>
      </w:pPr>
      <w:rPr>
        <w:rFonts w:ascii="Courier New" w:hAnsi="Courier New" w:hint="default"/>
      </w:rPr>
    </w:lvl>
    <w:lvl w:ilvl="5" w:tplc="3D765990">
      <w:start w:val="1"/>
      <w:numFmt w:val="bullet"/>
      <w:lvlText w:val=""/>
      <w:lvlJc w:val="left"/>
      <w:pPr>
        <w:ind w:left="4320" w:hanging="360"/>
      </w:pPr>
      <w:rPr>
        <w:rFonts w:ascii="Wingdings" w:hAnsi="Wingdings" w:hint="default"/>
      </w:rPr>
    </w:lvl>
    <w:lvl w:ilvl="6" w:tplc="4CEC681A">
      <w:start w:val="1"/>
      <w:numFmt w:val="bullet"/>
      <w:lvlText w:val=""/>
      <w:lvlJc w:val="left"/>
      <w:pPr>
        <w:ind w:left="5040" w:hanging="360"/>
      </w:pPr>
      <w:rPr>
        <w:rFonts w:ascii="Symbol" w:hAnsi="Symbol" w:hint="default"/>
      </w:rPr>
    </w:lvl>
    <w:lvl w:ilvl="7" w:tplc="041AD39A">
      <w:start w:val="1"/>
      <w:numFmt w:val="bullet"/>
      <w:lvlText w:val="o"/>
      <w:lvlJc w:val="left"/>
      <w:pPr>
        <w:ind w:left="5760" w:hanging="360"/>
      </w:pPr>
      <w:rPr>
        <w:rFonts w:ascii="Courier New" w:hAnsi="Courier New" w:hint="default"/>
      </w:rPr>
    </w:lvl>
    <w:lvl w:ilvl="8" w:tplc="6C823F0E">
      <w:start w:val="1"/>
      <w:numFmt w:val="bullet"/>
      <w:lvlText w:val=""/>
      <w:lvlJc w:val="left"/>
      <w:pPr>
        <w:ind w:left="6480" w:hanging="360"/>
      </w:pPr>
      <w:rPr>
        <w:rFonts w:ascii="Wingdings" w:hAnsi="Wingdings" w:hint="default"/>
      </w:rPr>
    </w:lvl>
  </w:abstractNum>
  <w:abstractNum w:abstractNumId="35" w15:restartNumberingAfterBreak="0">
    <w:nsid w:val="5CEF18CF"/>
    <w:multiLevelType w:val="hybridMultilevel"/>
    <w:tmpl w:val="920C390A"/>
    <w:lvl w:ilvl="0" w:tplc="EEF26E44">
      <w:start w:val="13"/>
      <w:numFmt w:val="bullet"/>
      <w:lvlText w:val="-"/>
      <w:lvlJc w:val="left"/>
      <w:pPr>
        <w:ind w:left="720" w:hanging="360"/>
      </w:pPr>
      <w:rPr>
        <w:rFonts w:ascii="Arial" w:eastAsia="Times New Roman" w:hAnsi="Arial" w:cs="Aria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6" w15:restartNumberingAfterBreak="0">
    <w:nsid w:val="5D92A5A6"/>
    <w:multiLevelType w:val="hybridMultilevel"/>
    <w:tmpl w:val="B508A2D0"/>
    <w:lvl w:ilvl="0" w:tplc="8EEA3736">
      <w:start w:val="1"/>
      <w:numFmt w:val="bullet"/>
      <w:lvlText w:val="-"/>
      <w:lvlJc w:val="left"/>
      <w:pPr>
        <w:ind w:left="720" w:hanging="360"/>
      </w:pPr>
      <w:rPr>
        <w:rFonts w:ascii="Calibri" w:hAnsi="Calibri" w:hint="default"/>
      </w:rPr>
    </w:lvl>
    <w:lvl w:ilvl="1" w:tplc="6F72F1F2">
      <w:start w:val="1"/>
      <w:numFmt w:val="bullet"/>
      <w:lvlText w:val="o"/>
      <w:lvlJc w:val="left"/>
      <w:pPr>
        <w:ind w:left="1440" w:hanging="360"/>
      </w:pPr>
      <w:rPr>
        <w:rFonts w:ascii="Courier New" w:hAnsi="Courier New" w:hint="default"/>
      </w:rPr>
    </w:lvl>
    <w:lvl w:ilvl="2" w:tplc="951AB094">
      <w:start w:val="1"/>
      <w:numFmt w:val="bullet"/>
      <w:lvlText w:val=""/>
      <w:lvlJc w:val="left"/>
      <w:pPr>
        <w:ind w:left="2160" w:hanging="360"/>
      </w:pPr>
      <w:rPr>
        <w:rFonts w:ascii="Wingdings" w:hAnsi="Wingdings" w:hint="default"/>
      </w:rPr>
    </w:lvl>
    <w:lvl w:ilvl="3" w:tplc="9CDAD920">
      <w:start w:val="1"/>
      <w:numFmt w:val="bullet"/>
      <w:lvlText w:val=""/>
      <w:lvlJc w:val="left"/>
      <w:pPr>
        <w:ind w:left="2880" w:hanging="360"/>
      </w:pPr>
      <w:rPr>
        <w:rFonts w:ascii="Symbol" w:hAnsi="Symbol" w:hint="default"/>
      </w:rPr>
    </w:lvl>
    <w:lvl w:ilvl="4" w:tplc="5F90AF26">
      <w:start w:val="1"/>
      <w:numFmt w:val="bullet"/>
      <w:lvlText w:val="o"/>
      <w:lvlJc w:val="left"/>
      <w:pPr>
        <w:ind w:left="3600" w:hanging="360"/>
      </w:pPr>
      <w:rPr>
        <w:rFonts w:ascii="Courier New" w:hAnsi="Courier New" w:hint="default"/>
      </w:rPr>
    </w:lvl>
    <w:lvl w:ilvl="5" w:tplc="EC88E1D6">
      <w:start w:val="1"/>
      <w:numFmt w:val="bullet"/>
      <w:lvlText w:val=""/>
      <w:lvlJc w:val="left"/>
      <w:pPr>
        <w:ind w:left="4320" w:hanging="360"/>
      </w:pPr>
      <w:rPr>
        <w:rFonts w:ascii="Wingdings" w:hAnsi="Wingdings" w:hint="default"/>
      </w:rPr>
    </w:lvl>
    <w:lvl w:ilvl="6" w:tplc="5DD8B7F6">
      <w:start w:val="1"/>
      <w:numFmt w:val="bullet"/>
      <w:lvlText w:val=""/>
      <w:lvlJc w:val="left"/>
      <w:pPr>
        <w:ind w:left="5040" w:hanging="360"/>
      </w:pPr>
      <w:rPr>
        <w:rFonts w:ascii="Symbol" w:hAnsi="Symbol" w:hint="default"/>
      </w:rPr>
    </w:lvl>
    <w:lvl w:ilvl="7" w:tplc="F182A75A">
      <w:start w:val="1"/>
      <w:numFmt w:val="bullet"/>
      <w:lvlText w:val="o"/>
      <w:lvlJc w:val="left"/>
      <w:pPr>
        <w:ind w:left="5760" w:hanging="360"/>
      </w:pPr>
      <w:rPr>
        <w:rFonts w:ascii="Courier New" w:hAnsi="Courier New" w:hint="default"/>
      </w:rPr>
    </w:lvl>
    <w:lvl w:ilvl="8" w:tplc="B8844A74">
      <w:start w:val="1"/>
      <w:numFmt w:val="bullet"/>
      <w:lvlText w:val=""/>
      <w:lvlJc w:val="left"/>
      <w:pPr>
        <w:ind w:left="6480" w:hanging="360"/>
      </w:pPr>
      <w:rPr>
        <w:rFonts w:ascii="Wingdings" w:hAnsi="Wingdings" w:hint="default"/>
      </w:rPr>
    </w:lvl>
  </w:abstractNum>
  <w:abstractNum w:abstractNumId="37" w15:restartNumberingAfterBreak="0">
    <w:nsid w:val="5E97FDD6"/>
    <w:multiLevelType w:val="multilevel"/>
    <w:tmpl w:val="6720BD46"/>
    <w:lvl w:ilvl="0">
      <w:start w:val="1"/>
      <w:numFmt w:val="decimal"/>
      <w:lvlText w:val="%1"/>
      <w:lvlJc w:val="left"/>
      <w:pPr>
        <w:ind w:left="432" w:hanging="432"/>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8" w15:restartNumberingAfterBreak="0">
    <w:nsid w:val="5E9F5152"/>
    <w:multiLevelType w:val="hybridMultilevel"/>
    <w:tmpl w:val="27682BC4"/>
    <w:lvl w:ilvl="0" w:tplc="080C0001">
      <w:start w:val="1"/>
      <w:numFmt w:val="bullet"/>
      <w:lvlText w:val=""/>
      <w:lvlJc w:val="left"/>
      <w:pPr>
        <w:ind w:left="720" w:hanging="360"/>
      </w:pPr>
      <w:rPr>
        <w:rFonts w:ascii="Symbol" w:hAnsi="Symbol" w:hint="default"/>
      </w:rPr>
    </w:lvl>
    <w:lvl w:ilvl="1" w:tplc="080C0003">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9" w15:restartNumberingAfterBreak="0">
    <w:nsid w:val="61B1442E"/>
    <w:multiLevelType w:val="multilevel"/>
    <w:tmpl w:val="01101588"/>
    <w:lvl w:ilvl="0">
      <w:start w:val="1"/>
      <w:numFmt w:val="decimal"/>
      <w:lvlText w:val="%1"/>
      <w:lvlJc w:val="left"/>
      <w:pPr>
        <w:ind w:left="432" w:hanging="432"/>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0" w15:restartNumberingAfterBreak="0">
    <w:nsid w:val="63CC4D91"/>
    <w:multiLevelType w:val="multilevel"/>
    <w:tmpl w:val="D4322646"/>
    <w:lvl w:ilvl="0">
      <w:start w:val="1"/>
      <w:numFmt w:val="decimal"/>
      <w:lvlText w:val="%1"/>
      <w:lvlJc w:val="left"/>
      <w:pPr>
        <w:tabs>
          <w:tab w:val="num" w:pos="432"/>
        </w:tabs>
        <w:ind w:left="432" w:hanging="432"/>
      </w:pPr>
      <w:rPr>
        <w:rFonts w:hint="default"/>
        <w:b/>
        <w:bCs/>
        <w:i w:val="0"/>
        <w:iCs w:val="0"/>
        <w:caps w:val="0"/>
        <w:smallCaps w:val="0"/>
        <w:strike w:val="0"/>
        <w:dstrike w:val="0"/>
        <w:color w:val="auto"/>
        <w:spacing w:val="0"/>
        <w:w w:val="100"/>
        <w:kern w:val="0"/>
        <w:position w:val="0"/>
        <w:sz w:val="24"/>
        <w:szCs w:val="24"/>
        <w:u w:val="none"/>
        <w:effect w:val="none"/>
        <w:bdr w:val="none" w:sz="0" w:space="0" w:color="auto"/>
        <w:shd w:val="clear" w:color="auto" w:fill="auto"/>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num" w:pos="576"/>
        </w:tabs>
        <w:ind w:left="576" w:hanging="576"/>
      </w:pPr>
      <w:rPr>
        <w:rFonts w:hint="default"/>
        <w:b/>
        <w:i w:val="0"/>
        <w:color w:val="auto"/>
        <w:sz w:val="24"/>
        <w:szCs w:val="24"/>
      </w:rPr>
    </w:lvl>
    <w:lvl w:ilvl="2">
      <w:start w:val="1"/>
      <w:numFmt w:val="bullet"/>
      <w:lvlText w:val=""/>
      <w:lvlJc w:val="left"/>
      <w:pPr>
        <w:tabs>
          <w:tab w:val="num" w:pos="720"/>
        </w:tabs>
        <w:ind w:left="720" w:hanging="720"/>
      </w:pPr>
      <w:rPr>
        <w:rFonts w:ascii="Symbol" w:hAnsi="Symbol" w:hint="default"/>
      </w:rPr>
    </w:lvl>
    <w:lvl w:ilvl="3">
      <w:start w:val="1"/>
      <w:numFmt w:val="decimal"/>
      <w:lvlText w:val="%1.%2.%4"/>
      <w:lvlJc w:val="left"/>
      <w:pPr>
        <w:tabs>
          <w:tab w:val="num" w:pos="1764"/>
        </w:tabs>
        <w:ind w:left="1764" w:hanging="864"/>
      </w:pPr>
      <w:rPr>
        <w:rFonts w:ascii="Century Gothic" w:hAnsi="Century Gothic" w:hint="default"/>
        <w:sz w:val="22"/>
        <w:szCs w:val="22"/>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1" w15:restartNumberingAfterBreak="0">
    <w:nsid w:val="6610AF38"/>
    <w:multiLevelType w:val="hybridMultilevel"/>
    <w:tmpl w:val="9D80BFA2"/>
    <w:lvl w:ilvl="0" w:tplc="4A5AB2FC">
      <w:start w:val="1"/>
      <w:numFmt w:val="bullet"/>
      <w:lvlText w:val="-"/>
      <w:lvlJc w:val="left"/>
      <w:pPr>
        <w:ind w:left="720" w:hanging="360"/>
      </w:pPr>
      <w:rPr>
        <w:rFonts w:ascii="Calibri" w:hAnsi="Calibri" w:hint="default"/>
      </w:rPr>
    </w:lvl>
    <w:lvl w:ilvl="1" w:tplc="E51E6DB8">
      <w:start w:val="1"/>
      <w:numFmt w:val="bullet"/>
      <w:lvlText w:val="o"/>
      <w:lvlJc w:val="left"/>
      <w:pPr>
        <w:ind w:left="1440" w:hanging="360"/>
      </w:pPr>
      <w:rPr>
        <w:rFonts w:ascii="Courier New" w:hAnsi="Courier New" w:hint="default"/>
      </w:rPr>
    </w:lvl>
    <w:lvl w:ilvl="2" w:tplc="991AFDCA">
      <w:start w:val="1"/>
      <w:numFmt w:val="bullet"/>
      <w:lvlText w:val=""/>
      <w:lvlJc w:val="left"/>
      <w:pPr>
        <w:ind w:left="2160" w:hanging="360"/>
      </w:pPr>
      <w:rPr>
        <w:rFonts w:ascii="Wingdings" w:hAnsi="Wingdings" w:hint="default"/>
      </w:rPr>
    </w:lvl>
    <w:lvl w:ilvl="3" w:tplc="F244CE0C">
      <w:start w:val="1"/>
      <w:numFmt w:val="bullet"/>
      <w:lvlText w:val=""/>
      <w:lvlJc w:val="left"/>
      <w:pPr>
        <w:ind w:left="2880" w:hanging="360"/>
      </w:pPr>
      <w:rPr>
        <w:rFonts w:ascii="Symbol" w:hAnsi="Symbol" w:hint="default"/>
      </w:rPr>
    </w:lvl>
    <w:lvl w:ilvl="4" w:tplc="598CD4D8">
      <w:start w:val="1"/>
      <w:numFmt w:val="bullet"/>
      <w:lvlText w:val="o"/>
      <w:lvlJc w:val="left"/>
      <w:pPr>
        <w:ind w:left="3600" w:hanging="360"/>
      </w:pPr>
      <w:rPr>
        <w:rFonts w:ascii="Courier New" w:hAnsi="Courier New" w:hint="default"/>
      </w:rPr>
    </w:lvl>
    <w:lvl w:ilvl="5" w:tplc="092AF2DE">
      <w:start w:val="1"/>
      <w:numFmt w:val="bullet"/>
      <w:lvlText w:val=""/>
      <w:lvlJc w:val="left"/>
      <w:pPr>
        <w:ind w:left="4320" w:hanging="360"/>
      </w:pPr>
      <w:rPr>
        <w:rFonts w:ascii="Wingdings" w:hAnsi="Wingdings" w:hint="default"/>
      </w:rPr>
    </w:lvl>
    <w:lvl w:ilvl="6" w:tplc="DCF6757A">
      <w:start w:val="1"/>
      <w:numFmt w:val="bullet"/>
      <w:lvlText w:val=""/>
      <w:lvlJc w:val="left"/>
      <w:pPr>
        <w:ind w:left="5040" w:hanging="360"/>
      </w:pPr>
      <w:rPr>
        <w:rFonts w:ascii="Symbol" w:hAnsi="Symbol" w:hint="default"/>
      </w:rPr>
    </w:lvl>
    <w:lvl w:ilvl="7" w:tplc="3E3836CA">
      <w:start w:val="1"/>
      <w:numFmt w:val="bullet"/>
      <w:lvlText w:val="o"/>
      <w:lvlJc w:val="left"/>
      <w:pPr>
        <w:ind w:left="5760" w:hanging="360"/>
      </w:pPr>
      <w:rPr>
        <w:rFonts w:ascii="Courier New" w:hAnsi="Courier New" w:hint="default"/>
      </w:rPr>
    </w:lvl>
    <w:lvl w:ilvl="8" w:tplc="3140EF3C">
      <w:start w:val="1"/>
      <w:numFmt w:val="bullet"/>
      <w:lvlText w:val=""/>
      <w:lvlJc w:val="left"/>
      <w:pPr>
        <w:ind w:left="6480" w:hanging="360"/>
      </w:pPr>
      <w:rPr>
        <w:rFonts w:ascii="Wingdings" w:hAnsi="Wingdings" w:hint="default"/>
      </w:rPr>
    </w:lvl>
  </w:abstractNum>
  <w:abstractNum w:abstractNumId="42" w15:restartNumberingAfterBreak="0">
    <w:nsid w:val="67A2034B"/>
    <w:multiLevelType w:val="hybridMultilevel"/>
    <w:tmpl w:val="E1040D04"/>
    <w:lvl w:ilvl="0" w:tplc="08130001">
      <w:start w:val="1"/>
      <w:numFmt w:val="bullet"/>
      <w:lvlText w:val=""/>
      <w:lvlJc w:val="left"/>
      <w:pPr>
        <w:ind w:left="1429" w:hanging="360"/>
      </w:pPr>
      <w:rPr>
        <w:rFonts w:ascii="Symbol" w:hAnsi="Symbol" w:hint="default"/>
      </w:rPr>
    </w:lvl>
    <w:lvl w:ilvl="1" w:tplc="08130003" w:tentative="1">
      <w:start w:val="1"/>
      <w:numFmt w:val="bullet"/>
      <w:lvlText w:val="o"/>
      <w:lvlJc w:val="left"/>
      <w:pPr>
        <w:ind w:left="2149" w:hanging="360"/>
      </w:pPr>
      <w:rPr>
        <w:rFonts w:ascii="Courier New" w:hAnsi="Courier New" w:cs="Courier New" w:hint="default"/>
      </w:rPr>
    </w:lvl>
    <w:lvl w:ilvl="2" w:tplc="08130005" w:tentative="1">
      <w:start w:val="1"/>
      <w:numFmt w:val="bullet"/>
      <w:lvlText w:val=""/>
      <w:lvlJc w:val="left"/>
      <w:pPr>
        <w:ind w:left="2869" w:hanging="360"/>
      </w:pPr>
      <w:rPr>
        <w:rFonts w:ascii="Wingdings" w:hAnsi="Wingdings" w:hint="default"/>
      </w:rPr>
    </w:lvl>
    <w:lvl w:ilvl="3" w:tplc="08130001" w:tentative="1">
      <w:start w:val="1"/>
      <w:numFmt w:val="bullet"/>
      <w:lvlText w:val=""/>
      <w:lvlJc w:val="left"/>
      <w:pPr>
        <w:ind w:left="3589" w:hanging="360"/>
      </w:pPr>
      <w:rPr>
        <w:rFonts w:ascii="Symbol" w:hAnsi="Symbol" w:hint="default"/>
      </w:rPr>
    </w:lvl>
    <w:lvl w:ilvl="4" w:tplc="08130003" w:tentative="1">
      <w:start w:val="1"/>
      <w:numFmt w:val="bullet"/>
      <w:lvlText w:val="o"/>
      <w:lvlJc w:val="left"/>
      <w:pPr>
        <w:ind w:left="4309" w:hanging="360"/>
      </w:pPr>
      <w:rPr>
        <w:rFonts w:ascii="Courier New" w:hAnsi="Courier New" w:cs="Courier New" w:hint="default"/>
      </w:rPr>
    </w:lvl>
    <w:lvl w:ilvl="5" w:tplc="08130005" w:tentative="1">
      <w:start w:val="1"/>
      <w:numFmt w:val="bullet"/>
      <w:lvlText w:val=""/>
      <w:lvlJc w:val="left"/>
      <w:pPr>
        <w:ind w:left="5029" w:hanging="360"/>
      </w:pPr>
      <w:rPr>
        <w:rFonts w:ascii="Wingdings" w:hAnsi="Wingdings" w:hint="default"/>
      </w:rPr>
    </w:lvl>
    <w:lvl w:ilvl="6" w:tplc="08130001" w:tentative="1">
      <w:start w:val="1"/>
      <w:numFmt w:val="bullet"/>
      <w:lvlText w:val=""/>
      <w:lvlJc w:val="left"/>
      <w:pPr>
        <w:ind w:left="5749" w:hanging="360"/>
      </w:pPr>
      <w:rPr>
        <w:rFonts w:ascii="Symbol" w:hAnsi="Symbol" w:hint="default"/>
      </w:rPr>
    </w:lvl>
    <w:lvl w:ilvl="7" w:tplc="08130003" w:tentative="1">
      <w:start w:val="1"/>
      <w:numFmt w:val="bullet"/>
      <w:lvlText w:val="o"/>
      <w:lvlJc w:val="left"/>
      <w:pPr>
        <w:ind w:left="6469" w:hanging="360"/>
      </w:pPr>
      <w:rPr>
        <w:rFonts w:ascii="Courier New" w:hAnsi="Courier New" w:cs="Courier New" w:hint="default"/>
      </w:rPr>
    </w:lvl>
    <w:lvl w:ilvl="8" w:tplc="08130005" w:tentative="1">
      <w:start w:val="1"/>
      <w:numFmt w:val="bullet"/>
      <w:lvlText w:val=""/>
      <w:lvlJc w:val="left"/>
      <w:pPr>
        <w:ind w:left="7189" w:hanging="360"/>
      </w:pPr>
      <w:rPr>
        <w:rFonts w:ascii="Wingdings" w:hAnsi="Wingdings" w:hint="default"/>
      </w:rPr>
    </w:lvl>
  </w:abstractNum>
  <w:abstractNum w:abstractNumId="43" w15:restartNumberingAfterBreak="0">
    <w:nsid w:val="6D8B4824"/>
    <w:multiLevelType w:val="hybridMultilevel"/>
    <w:tmpl w:val="BA0017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6F167B64"/>
    <w:multiLevelType w:val="hybridMultilevel"/>
    <w:tmpl w:val="28E2E1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74AB57B1"/>
    <w:multiLevelType w:val="hybridMultilevel"/>
    <w:tmpl w:val="D89EA43E"/>
    <w:lvl w:ilvl="0" w:tplc="88720AF8">
      <w:start w:val="1"/>
      <w:numFmt w:val="bullet"/>
      <w:lvlText w:val="-"/>
      <w:lvlJc w:val="left"/>
      <w:pPr>
        <w:ind w:left="720" w:hanging="360"/>
      </w:pPr>
      <w:rPr>
        <w:rFonts w:ascii="Calibri" w:hAnsi="Calibri" w:hint="default"/>
      </w:rPr>
    </w:lvl>
    <w:lvl w:ilvl="1" w:tplc="3CE0E9DE">
      <w:start w:val="1"/>
      <w:numFmt w:val="bullet"/>
      <w:lvlText w:val="o"/>
      <w:lvlJc w:val="left"/>
      <w:pPr>
        <w:ind w:left="1440" w:hanging="360"/>
      </w:pPr>
      <w:rPr>
        <w:rFonts w:ascii="Courier New" w:hAnsi="Courier New" w:hint="default"/>
      </w:rPr>
    </w:lvl>
    <w:lvl w:ilvl="2" w:tplc="90688714">
      <w:start w:val="1"/>
      <w:numFmt w:val="bullet"/>
      <w:lvlText w:val=""/>
      <w:lvlJc w:val="left"/>
      <w:pPr>
        <w:ind w:left="2160" w:hanging="360"/>
      </w:pPr>
      <w:rPr>
        <w:rFonts w:ascii="Wingdings" w:hAnsi="Wingdings" w:hint="default"/>
      </w:rPr>
    </w:lvl>
    <w:lvl w:ilvl="3" w:tplc="818415C8">
      <w:start w:val="1"/>
      <w:numFmt w:val="bullet"/>
      <w:lvlText w:val=""/>
      <w:lvlJc w:val="left"/>
      <w:pPr>
        <w:ind w:left="2880" w:hanging="360"/>
      </w:pPr>
      <w:rPr>
        <w:rFonts w:ascii="Symbol" w:hAnsi="Symbol" w:hint="default"/>
      </w:rPr>
    </w:lvl>
    <w:lvl w:ilvl="4" w:tplc="105617A0">
      <w:start w:val="1"/>
      <w:numFmt w:val="bullet"/>
      <w:lvlText w:val="o"/>
      <w:lvlJc w:val="left"/>
      <w:pPr>
        <w:ind w:left="3600" w:hanging="360"/>
      </w:pPr>
      <w:rPr>
        <w:rFonts w:ascii="Courier New" w:hAnsi="Courier New" w:hint="default"/>
      </w:rPr>
    </w:lvl>
    <w:lvl w:ilvl="5" w:tplc="CDEC4B74">
      <w:start w:val="1"/>
      <w:numFmt w:val="bullet"/>
      <w:lvlText w:val=""/>
      <w:lvlJc w:val="left"/>
      <w:pPr>
        <w:ind w:left="4320" w:hanging="360"/>
      </w:pPr>
      <w:rPr>
        <w:rFonts w:ascii="Wingdings" w:hAnsi="Wingdings" w:hint="default"/>
      </w:rPr>
    </w:lvl>
    <w:lvl w:ilvl="6" w:tplc="FE2684FC">
      <w:start w:val="1"/>
      <w:numFmt w:val="bullet"/>
      <w:lvlText w:val=""/>
      <w:lvlJc w:val="left"/>
      <w:pPr>
        <w:ind w:left="5040" w:hanging="360"/>
      </w:pPr>
      <w:rPr>
        <w:rFonts w:ascii="Symbol" w:hAnsi="Symbol" w:hint="default"/>
      </w:rPr>
    </w:lvl>
    <w:lvl w:ilvl="7" w:tplc="3FE81C34">
      <w:start w:val="1"/>
      <w:numFmt w:val="bullet"/>
      <w:lvlText w:val="o"/>
      <w:lvlJc w:val="left"/>
      <w:pPr>
        <w:ind w:left="5760" w:hanging="360"/>
      </w:pPr>
      <w:rPr>
        <w:rFonts w:ascii="Courier New" w:hAnsi="Courier New" w:hint="default"/>
      </w:rPr>
    </w:lvl>
    <w:lvl w:ilvl="8" w:tplc="624EBE96">
      <w:start w:val="1"/>
      <w:numFmt w:val="bullet"/>
      <w:lvlText w:val=""/>
      <w:lvlJc w:val="left"/>
      <w:pPr>
        <w:ind w:left="6480" w:hanging="360"/>
      </w:pPr>
      <w:rPr>
        <w:rFonts w:ascii="Wingdings" w:hAnsi="Wingdings" w:hint="default"/>
      </w:rPr>
    </w:lvl>
  </w:abstractNum>
  <w:abstractNum w:abstractNumId="46" w15:restartNumberingAfterBreak="0">
    <w:nsid w:val="7AEF7EA9"/>
    <w:multiLevelType w:val="hybridMultilevel"/>
    <w:tmpl w:val="B73036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7E13783D"/>
    <w:multiLevelType w:val="hybridMultilevel"/>
    <w:tmpl w:val="06FE91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7"/>
  </w:num>
  <w:num w:numId="2">
    <w:abstractNumId w:val="2"/>
  </w:num>
  <w:num w:numId="3">
    <w:abstractNumId w:val="36"/>
  </w:num>
  <w:num w:numId="4">
    <w:abstractNumId w:val="41"/>
  </w:num>
  <w:num w:numId="5">
    <w:abstractNumId w:val="26"/>
  </w:num>
  <w:num w:numId="6">
    <w:abstractNumId w:val="34"/>
  </w:num>
  <w:num w:numId="7">
    <w:abstractNumId w:val="17"/>
  </w:num>
  <w:num w:numId="8">
    <w:abstractNumId w:val="23"/>
  </w:num>
  <w:num w:numId="9">
    <w:abstractNumId w:val="24"/>
  </w:num>
  <w:num w:numId="10">
    <w:abstractNumId w:val="39"/>
  </w:num>
  <w:num w:numId="11">
    <w:abstractNumId w:val="14"/>
  </w:num>
  <w:num w:numId="12">
    <w:abstractNumId w:val="45"/>
  </w:num>
  <w:num w:numId="13">
    <w:abstractNumId w:val="40"/>
  </w:num>
  <w:num w:numId="14">
    <w:abstractNumId w:val="22"/>
  </w:num>
  <w:num w:numId="15">
    <w:abstractNumId w:val="11"/>
  </w:num>
  <w:num w:numId="16">
    <w:abstractNumId w:val="31"/>
  </w:num>
  <w:num w:numId="1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9"/>
  </w:num>
  <w:num w:numId="19">
    <w:abstractNumId w:val="27"/>
  </w:num>
  <w:num w:numId="20">
    <w:abstractNumId w:val="15"/>
  </w:num>
  <w:num w:numId="21">
    <w:abstractNumId w:val="9"/>
  </w:num>
  <w:num w:numId="22">
    <w:abstractNumId w:val="20"/>
  </w:num>
  <w:num w:numId="23">
    <w:abstractNumId w:val="44"/>
  </w:num>
  <w:num w:numId="24">
    <w:abstractNumId w:val="33"/>
  </w:num>
  <w:num w:numId="25">
    <w:abstractNumId w:val="47"/>
  </w:num>
  <w:num w:numId="26">
    <w:abstractNumId w:val="7"/>
  </w:num>
  <w:num w:numId="27">
    <w:abstractNumId w:val="0"/>
  </w:num>
  <w:num w:numId="28">
    <w:abstractNumId w:val="4"/>
  </w:num>
  <w:num w:numId="29">
    <w:abstractNumId w:val="18"/>
  </w:num>
  <w:num w:numId="30">
    <w:abstractNumId w:val="1"/>
  </w:num>
  <w:num w:numId="31">
    <w:abstractNumId w:val="42"/>
  </w:num>
  <w:num w:numId="32">
    <w:abstractNumId w:val="32"/>
  </w:num>
  <w:num w:numId="33">
    <w:abstractNumId w:val="25"/>
  </w:num>
  <w:num w:numId="34">
    <w:abstractNumId w:val="30"/>
  </w:num>
  <w:num w:numId="35">
    <w:abstractNumId w:val="38"/>
  </w:num>
  <w:num w:numId="36">
    <w:abstractNumId w:val="8"/>
  </w:num>
  <w:num w:numId="37">
    <w:abstractNumId w:val="29"/>
  </w:num>
  <w:num w:numId="38">
    <w:abstractNumId w:val="21"/>
  </w:num>
  <w:num w:numId="39">
    <w:abstractNumId w:val="10"/>
  </w:num>
  <w:num w:numId="40">
    <w:abstractNumId w:val="16"/>
  </w:num>
  <w:num w:numId="41">
    <w:abstractNumId w:val="3"/>
  </w:num>
  <w:num w:numId="42">
    <w:abstractNumId w:val="12"/>
  </w:num>
  <w:num w:numId="43">
    <w:abstractNumId w:val="46"/>
  </w:num>
  <w:num w:numId="44">
    <w:abstractNumId w:val="43"/>
  </w:num>
  <w:num w:numId="45">
    <w:abstractNumId w:val="35"/>
  </w:num>
  <w:num w:numId="46">
    <w:abstractNumId w:val="5"/>
  </w:num>
  <w:num w:numId="47">
    <w:abstractNumId w:val="13"/>
  </w:num>
  <w:num w:numId="48">
    <w:abstractNumId w:val="38"/>
  </w:num>
  <w:num w:numId="49">
    <w:abstractNumId w:val="6"/>
  </w:num>
  <w:num w:numId="50">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ctiveWritingStyle w:appName="MSWord" w:lang="en-US" w:vendorID="64" w:dllVersion="0" w:nlCheck="1" w:checkStyle="0"/>
  <w:activeWritingStyle w:appName="MSWord" w:lang="en-GB" w:vendorID="64" w:dllVersion="0" w:nlCheck="1" w:checkStyle="0"/>
  <w:activeWritingStyle w:appName="MSWord" w:lang="en-IE" w:vendorID="64" w:dllVersion="0" w:nlCheck="1" w:checkStyle="0"/>
  <w:activeWritingStyle w:appName="MSWord" w:lang="fr-BE" w:vendorID="64" w:dllVersion="0" w:nlCheck="1" w:checkStyle="0"/>
  <w:activeWritingStyle w:appName="MSWord" w:lang="sv-SE" w:vendorID="64" w:dllVersion="0" w:nlCheck="1" w:checkStyle="0"/>
  <w:activeWritingStyle w:appName="MSWord" w:lang="it-IT" w:vendorID="64" w:dllVersion="0" w:nlCheck="1" w:checkStyle="0"/>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ACCOMPAGNANT.CP" w:val="&lt;UNUSED&gt;"/>
    <w:docVar w:name="LW_ANNEX_NBR_FIRST" w:val="1"/>
    <w:docVar w:name="LW_ANNEX_NBR_LAST" w:val="1"/>
    <w:docVar w:name="LW_ANNEX_UNIQUE" w:val="1"/>
    <w:docVar w:name="LW_CORRIGENDUM" w:val="&lt;UNUSED&gt;"/>
    <w:docVar w:name="LW_COVERPAGE_EXISTS" w:val="True"/>
    <w:docVar w:name="LW_COVERPAGE_GUID" w:val="AB149B7C-F142-4865-8FC6-0AE02A673262"/>
    <w:docVar w:name="LW_COVERPAGE_TYPE" w:val="1"/>
    <w:docVar w:name="LW_CROSSREFERENCE" w:val="{SWD(2026) 148 final}"/>
    <w:docVar w:name="LW_DocType" w:val="NORMAL"/>
    <w:docVar w:name="LW_EMISSION" w:val="17.6.2026"/>
    <w:docVar w:name="LW_EMISSION_ISODATE" w:val="2026-06-17"/>
    <w:docVar w:name="LW_EMISSION_LOCATION" w:val="BRX"/>
    <w:docVar w:name="LW_EMISSION_PREFIX" w:val="Bruxelles, "/>
    <w:docVar w:name="LW_EMISSION_SUFFIX" w:val=" "/>
    <w:docVar w:name="LW_ID_DOCTYPE_NONLW" w:val="CP-039"/>
    <w:docVar w:name="LW_LANGUE" w:val="RO"/>
    <w:docVar w:name="LW_LEVEL_OF_SENSITIVITY" w:val="Standard treatment"/>
    <w:docVar w:name="LW_NOM.INST" w:val="COMISIA EUROPEAN\u258?"/>
    <w:docVar w:name="LW_NOM.INST_JOINTDOC" w:val="&lt;EMPTY&gt;"/>
    <w:docVar w:name="LW_OBJETACTEPRINCIPAL.CP" w:val="RAPORT AL COMISIEI C\u258?TRE PARLAMENTUL EUROPEAN \u536?I CONSILIU_x000d__x000d__x000d__x000d__x000d__x000b__x000d__x000d__x000d__x000d__x000d__x000b_privind evaluarea Directivei (UE) 2018/1673 privind combaterea prin m\u259?suri de drept penal a sp\u259?l\u259?rii banilor"/>
    <w:docVar w:name="LW_PART_NBR" w:val="1"/>
    <w:docVar w:name="LW_PART_NBR_TOTAL" w:val="1"/>
    <w:docVar w:name="LW_REF.INST.NEW" w:val="COM"/>
    <w:docVar w:name="LW_REF.INST.NEW_ADOPTED" w:val="final"/>
    <w:docVar w:name="LW_REF.INST.NEW_TEXT" w:val="(2026) 277"/>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  "/>
    <w:docVar w:name="LW_TYPE.DOC.CP" w:val="ANEX\u258?_x000b_"/>
    <w:docVar w:name="LW_TYPEACTEPRINCIPAL.CP" w:val="&lt;UNUSED&gt;"/>
    <w:docVar w:name="LwApiVersions" w:val="LW4CoDe 1.24.5.0; LW 9.2, Build 20251112"/>
  </w:docVars>
  <w:rsids>
    <w:rsidRoot w:val="00175B64"/>
    <w:rsid w:val="00000378"/>
    <w:rsid w:val="00000DD1"/>
    <w:rsid w:val="00002C1F"/>
    <w:rsid w:val="0000564B"/>
    <w:rsid w:val="0000602A"/>
    <w:rsid w:val="000062CF"/>
    <w:rsid w:val="00006384"/>
    <w:rsid w:val="00006FF7"/>
    <w:rsid w:val="00007B03"/>
    <w:rsid w:val="00007F31"/>
    <w:rsid w:val="000118F6"/>
    <w:rsid w:val="00011F87"/>
    <w:rsid w:val="0001235E"/>
    <w:rsid w:val="00012A57"/>
    <w:rsid w:val="00012E31"/>
    <w:rsid w:val="000146B0"/>
    <w:rsid w:val="000147DB"/>
    <w:rsid w:val="0001493A"/>
    <w:rsid w:val="0001552D"/>
    <w:rsid w:val="00015B1F"/>
    <w:rsid w:val="0001635B"/>
    <w:rsid w:val="000168A3"/>
    <w:rsid w:val="00017CCE"/>
    <w:rsid w:val="00020022"/>
    <w:rsid w:val="00020772"/>
    <w:rsid w:val="00020891"/>
    <w:rsid w:val="00021533"/>
    <w:rsid w:val="00021677"/>
    <w:rsid w:val="00023003"/>
    <w:rsid w:val="000237E7"/>
    <w:rsid w:val="0002441A"/>
    <w:rsid w:val="00024CED"/>
    <w:rsid w:val="000252E2"/>
    <w:rsid w:val="0002539F"/>
    <w:rsid w:val="00026726"/>
    <w:rsid w:val="00026B45"/>
    <w:rsid w:val="00027D40"/>
    <w:rsid w:val="000301CF"/>
    <w:rsid w:val="00030583"/>
    <w:rsid w:val="00030E29"/>
    <w:rsid w:val="00031F9F"/>
    <w:rsid w:val="0003381D"/>
    <w:rsid w:val="00033EEF"/>
    <w:rsid w:val="00033FAF"/>
    <w:rsid w:val="00034D2E"/>
    <w:rsid w:val="00034DAF"/>
    <w:rsid w:val="00035D3A"/>
    <w:rsid w:val="00037297"/>
    <w:rsid w:val="000406CC"/>
    <w:rsid w:val="00040FB0"/>
    <w:rsid w:val="000412E3"/>
    <w:rsid w:val="00042085"/>
    <w:rsid w:val="00042EEB"/>
    <w:rsid w:val="000436C2"/>
    <w:rsid w:val="00043A5D"/>
    <w:rsid w:val="00043B67"/>
    <w:rsid w:val="00044AD2"/>
    <w:rsid w:val="00045873"/>
    <w:rsid w:val="000505A0"/>
    <w:rsid w:val="0005080E"/>
    <w:rsid w:val="00051B27"/>
    <w:rsid w:val="00051B33"/>
    <w:rsid w:val="00051EF2"/>
    <w:rsid w:val="00053702"/>
    <w:rsid w:val="00053730"/>
    <w:rsid w:val="00053EA3"/>
    <w:rsid w:val="000543C5"/>
    <w:rsid w:val="00055FB8"/>
    <w:rsid w:val="00060E8F"/>
    <w:rsid w:val="00061547"/>
    <w:rsid w:val="00061673"/>
    <w:rsid w:val="000639E5"/>
    <w:rsid w:val="00065026"/>
    <w:rsid w:val="000650F3"/>
    <w:rsid w:val="00065A08"/>
    <w:rsid w:val="00065CFD"/>
    <w:rsid w:val="00067B2F"/>
    <w:rsid w:val="00067E2B"/>
    <w:rsid w:val="00071336"/>
    <w:rsid w:val="00071533"/>
    <w:rsid w:val="00071CB2"/>
    <w:rsid w:val="00072143"/>
    <w:rsid w:val="00072EF2"/>
    <w:rsid w:val="00075822"/>
    <w:rsid w:val="0008239B"/>
    <w:rsid w:val="0008366F"/>
    <w:rsid w:val="0008486A"/>
    <w:rsid w:val="00085025"/>
    <w:rsid w:val="0008620E"/>
    <w:rsid w:val="000864F3"/>
    <w:rsid w:val="00090BBA"/>
    <w:rsid w:val="000921D5"/>
    <w:rsid w:val="00093075"/>
    <w:rsid w:val="00093C76"/>
    <w:rsid w:val="000944B3"/>
    <w:rsid w:val="00095682"/>
    <w:rsid w:val="00095CEF"/>
    <w:rsid w:val="000966D0"/>
    <w:rsid w:val="00096AFB"/>
    <w:rsid w:val="00097124"/>
    <w:rsid w:val="0009732A"/>
    <w:rsid w:val="000A09F7"/>
    <w:rsid w:val="000A2B31"/>
    <w:rsid w:val="000A3432"/>
    <w:rsid w:val="000A37DE"/>
    <w:rsid w:val="000A3D2F"/>
    <w:rsid w:val="000A4934"/>
    <w:rsid w:val="000A575C"/>
    <w:rsid w:val="000A5E5B"/>
    <w:rsid w:val="000A7231"/>
    <w:rsid w:val="000A794A"/>
    <w:rsid w:val="000B0295"/>
    <w:rsid w:val="000B08FE"/>
    <w:rsid w:val="000B1EC5"/>
    <w:rsid w:val="000B2E33"/>
    <w:rsid w:val="000B3374"/>
    <w:rsid w:val="000B3791"/>
    <w:rsid w:val="000B3EF1"/>
    <w:rsid w:val="000B473A"/>
    <w:rsid w:val="000B48B0"/>
    <w:rsid w:val="000B4BF4"/>
    <w:rsid w:val="000B540F"/>
    <w:rsid w:val="000B56A4"/>
    <w:rsid w:val="000B6ED4"/>
    <w:rsid w:val="000B7790"/>
    <w:rsid w:val="000B7F6C"/>
    <w:rsid w:val="000C2E70"/>
    <w:rsid w:val="000C337B"/>
    <w:rsid w:val="000C4ADB"/>
    <w:rsid w:val="000C4EAB"/>
    <w:rsid w:val="000C4F19"/>
    <w:rsid w:val="000C61DB"/>
    <w:rsid w:val="000C6ECC"/>
    <w:rsid w:val="000D072E"/>
    <w:rsid w:val="000D09FF"/>
    <w:rsid w:val="000D2C6D"/>
    <w:rsid w:val="000D2CF7"/>
    <w:rsid w:val="000D2E0B"/>
    <w:rsid w:val="000D37DE"/>
    <w:rsid w:val="000D4F00"/>
    <w:rsid w:val="000D660A"/>
    <w:rsid w:val="000E070D"/>
    <w:rsid w:val="000E1A63"/>
    <w:rsid w:val="000E1DDA"/>
    <w:rsid w:val="000E1FBE"/>
    <w:rsid w:val="000E2B07"/>
    <w:rsid w:val="000E3D0E"/>
    <w:rsid w:val="000E6D66"/>
    <w:rsid w:val="000E744D"/>
    <w:rsid w:val="000E78DB"/>
    <w:rsid w:val="000E7D8F"/>
    <w:rsid w:val="000F0AE4"/>
    <w:rsid w:val="000F0D2B"/>
    <w:rsid w:val="000F291B"/>
    <w:rsid w:val="000F2FC8"/>
    <w:rsid w:val="000F5C7C"/>
    <w:rsid w:val="000F7DEF"/>
    <w:rsid w:val="00100318"/>
    <w:rsid w:val="00100A7F"/>
    <w:rsid w:val="001013D9"/>
    <w:rsid w:val="00102A46"/>
    <w:rsid w:val="00102DCC"/>
    <w:rsid w:val="00103D35"/>
    <w:rsid w:val="00103D56"/>
    <w:rsid w:val="0010402C"/>
    <w:rsid w:val="0010420F"/>
    <w:rsid w:val="00104C42"/>
    <w:rsid w:val="001053BE"/>
    <w:rsid w:val="00105839"/>
    <w:rsid w:val="001061A4"/>
    <w:rsid w:val="00107570"/>
    <w:rsid w:val="001103FC"/>
    <w:rsid w:val="00114273"/>
    <w:rsid w:val="00115348"/>
    <w:rsid w:val="00115B93"/>
    <w:rsid w:val="00115B97"/>
    <w:rsid w:val="001167BF"/>
    <w:rsid w:val="00116E4C"/>
    <w:rsid w:val="001212A1"/>
    <w:rsid w:val="00121CF7"/>
    <w:rsid w:val="00122B70"/>
    <w:rsid w:val="00122D23"/>
    <w:rsid w:val="00124FAF"/>
    <w:rsid w:val="001258A2"/>
    <w:rsid w:val="00126207"/>
    <w:rsid w:val="00126B0A"/>
    <w:rsid w:val="001272CC"/>
    <w:rsid w:val="0012FC7F"/>
    <w:rsid w:val="00130A7E"/>
    <w:rsid w:val="00133EBC"/>
    <w:rsid w:val="00135952"/>
    <w:rsid w:val="00135A32"/>
    <w:rsid w:val="00135F2B"/>
    <w:rsid w:val="001379BB"/>
    <w:rsid w:val="00137DC8"/>
    <w:rsid w:val="00137EF9"/>
    <w:rsid w:val="00140758"/>
    <w:rsid w:val="00140DF8"/>
    <w:rsid w:val="00141416"/>
    <w:rsid w:val="00141D16"/>
    <w:rsid w:val="00144107"/>
    <w:rsid w:val="00144372"/>
    <w:rsid w:val="001446CF"/>
    <w:rsid w:val="00144812"/>
    <w:rsid w:val="00146588"/>
    <w:rsid w:val="00150181"/>
    <w:rsid w:val="0015261B"/>
    <w:rsid w:val="001534AC"/>
    <w:rsid w:val="00153A87"/>
    <w:rsid w:val="00153B74"/>
    <w:rsid w:val="00153E13"/>
    <w:rsid w:val="00154FED"/>
    <w:rsid w:val="00155003"/>
    <w:rsid w:val="0015642B"/>
    <w:rsid w:val="00157193"/>
    <w:rsid w:val="001577A7"/>
    <w:rsid w:val="00160AFB"/>
    <w:rsid w:val="00160DB8"/>
    <w:rsid w:val="001615A2"/>
    <w:rsid w:val="00163D18"/>
    <w:rsid w:val="00163E47"/>
    <w:rsid w:val="0016404E"/>
    <w:rsid w:val="001647C9"/>
    <w:rsid w:val="00165878"/>
    <w:rsid w:val="001660F8"/>
    <w:rsid w:val="0016648E"/>
    <w:rsid w:val="001666CE"/>
    <w:rsid w:val="001722BD"/>
    <w:rsid w:val="00172CA3"/>
    <w:rsid w:val="00173CB6"/>
    <w:rsid w:val="00175B64"/>
    <w:rsid w:val="0017676F"/>
    <w:rsid w:val="00177036"/>
    <w:rsid w:val="00180F9C"/>
    <w:rsid w:val="00181A2F"/>
    <w:rsid w:val="001822E1"/>
    <w:rsid w:val="00182A19"/>
    <w:rsid w:val="00182D2B"/>
    <w:rsid w:val="00183022"/>
    <w:rsid w:val="001835A3"/>
    <w:rsid w:val="00183E63"/>
    <w:rsid w:val="00185C81"/>
    <w:rsid w:val="00185D7C"/>
    <w:rsid w:val="00186387"/>
    <w:rsid w:val="0018665F"/>
    <w:rsid w:val="00186D28"/>
    <w:rsid w:val="0018705B"/>
    <w:rsid w:val="00187ECF"/>
    <w:rsid w:val="0019034D"/>
    <w:rsid w:val="0019177D"/>
    <w:rsid w:val="00192362"/>
    <w:rsid w:val="00192955"/>
    <w:rsid w:val="001932F1"/>
    <w:rsid w:val="00193748"/>
    <w:rsid w:val="00194C5C"/>
    <w:rsid w:val="00195397"/>
    <w:rsid w:val="00195425"/>
    <w:rsid w:val="00195C2C"/>
    <w:rsid w:val="00196871"/>
    <w:rsid w:val="00196A0B"/>
    <w:rsid w:val="00196B30"/>
    <w:rsid w:val="001A11D5"/>
    <w:rsid w:val="001A14FC"/>
    <w:rsid w:val="001A1ADB"/>
    <w:rsid w:val="001A22A6"/>
    <w:rsid w:val="001A337E"/>
    <w:rsid w:val="001A3DB9"/>
    <w:rsid w:val="001A5FFE"/>
    <w:rsid w:val="001A6886"/>
    <w:rsid w:val="001A6C9A"/>
    <w:rsid w:val="001A72BD"/>
    <w:rsid w:val="001A7818"/>
    <w:rsid w:val="001A7DAF"/>
    <w:rsid w:val="001B0A49"/>
    <w:rsid w:val="001B16B6"/>
    <w:rsid w:val="001B190A"/>
    <w:rsid w:val="001B439C"/>
    <w:rsid w:val="001B5E4A"/>
    <w:rsid w:val="001B61E9"/>
    <w:rsid w:val="001B6520"/>
    <w:rsid w:val="001B6D4B"/>
    <w:rsid w:val="001B6D8F"/>
    <w:rsid w:val="001C0299"/>
    <w:rsid w:val="001C091D"/>
    <w:rsid w:val="001C1A35"/>
    <w:rsid w:val="001C22FD"/>
    <w:rsid w:val="001C2822"/>
    <w:rsid w:val="001C37A5"/>
    <w:rsid w:val="001C40A8"/>
    <w:rsid w:val="001C4837"/>
    <w:rsid w:val="001C4A00"/>
    <w:rsid w:val="001C55C9"/>
    <w:rsid w:val="001D09E0"/>
    <w:rsid w:val="001D1400"/>
    <w:rsid w:val="001D1B30"/>
    <w:rsid w:val="001D2F26"/>
    <w:rsid w:val="001D3170"/>
    <w:rsid w:val="001D3C1E"/>
    <w:rsid w:val="001D4C19"/>
    <w:rsid w:val="001D53D1"/>
    <w:rsid w:val="001D5E68"/>
    <w:rsid w:val="001D6017"/>
    <w:rsid w:val="001E0125"/>
    <w:rsid w:val="001E09E7"/>
    <w:rsid w:val="001E0A1A"/>
    <w:rsid w:val="001E1F2F"/>
    <w:rsid w:val="001E1F62"/>
    <w:rsid w:val="001E28D0"/>
    <w:rsid w:val="001E649B"/>
    <w:rsid w:val="001E6DD1"/>
    <w:rsid w:val="001E7577"/>
    <w:rsid w:val="001F2137"/>
    <w:rsid w:val="001F2AF4"/>
    <w:rsid w:val="001F2E21"/>
    <w:rsid w:val="001F3133"/>
    <w:rsid w:val="001F39A6"/>
    <w:rsid w:val="001F3D4C"/>
    <w:rsid w:val="001F4304"/>
    <w:rsid w:val="001F437E"/>
    <w:rsid w:val="001F6CCD"/>
    <w:rsid w:val="001F6DA4"/>
    <w:rsid w:val="001F73C2"/>
    <w:rsid w:val="0020011E"/>
    <w:rsid w:val="002028D5"/>
    <w:rsid w:val="002029B3"/>
    <w:rsid w:val="0020353D"/>
    <w:rsid w:val="00203C9C"/>
    <w:rsid w:val="00203D00"/>
    <w:rsid w:val="00203E00"/>
    <w:rsid w:val="00203F5D"/>
    <w:rsid w:val="002042AD"/>
    <w:rsid w:val="00204C5C"/>
    <w:rsid w:val="00204D7F"/>
    <w:rsid w:val="00205C29"/>
    <w:rsid w:val="00206294"/>
    <w:rsid w:val="00206E08"/>
    <w:rsid w:val="0021005E"/>
    <w:rsid w:val="00210482"/>
    <w:rsid w:val="00211C54"/>
    <w:rsid w:val="00211C65"/>
    <w:rsid w:val="00211D06"/>
    <w:rsid w:val="00213039"/>
    <w:rsid w:val="0021375D"/>
    <w:rsid w:val="0021473E"/>
    <w:rsid w:val="002152B6"/>
    <w:rsid w:val="00215604"/>
    <w:rsid w:val="002157C0"/>
    <w:rsid w:val="00215907"/>
    <w:rsid w:val="00215DED"/>
    <w:rsid w:val="00216D12"/>
    <w:rsid w:val="00216DF0"/>
    <w:rsid w:val="00217833"/>
    <w:rsid w:val="00220A78"/>
    <w:rsid w:val="0022102E"/>
    <w:rsid w:val="00221C3A"/>
    <w:rsid w:val="00221CBE"/>
    <w:rsid w:val="00221E12"/>
    <w:rsid w:val="002240AF"/>
    <w:rsid w:val="0022414E"/>
    <w:rsid w:val="00226359"/>
    <w:rsid w:val="002266DD"/>
    <w:rsid w:val="00227063"/>
    <w:rsid w:val="00227293"/>
    <w:rsid w:val="00227A36"/>
    <w:rsid w:val="00230A1C"/>
    <w:rsid w:val="0023275D"/>
    <w:rsid w:val="00232CF3"/>
    <w:rsid w:val="00234C56"/>
    <w:rsid w:val="002364AA"/>
    <w:rsid w:val="0023665C"/>
    <w:rsid w:val="00236B4C"/>
    <w:rsid w:val="00241223"/>
    <w:rsid w:val="00241941"/>
    <w:rsid w:val="0024349E"/>
    <w:rsid w:val="002435AF"/>
    <w:rsid w:val="00243B14"/>
    <w:rsid w:val="0024453A"/>
    <w:rsid w:val="002445A8"/>
    <w:rsid w:val="00244A97"/>
    <w:rsid w:val="00245FBD"/>
    <w:rsid w:val="002474A7"/>
    <w:rsid w:val="0025029C"/>
    <w:rsid w:val="00250C42"/>
    <w:rsid w:val="00252752"/>
    <w:rsid w:val="002531D8"/>
    <w:rsid w:val="0025321E"/>
    <w:rsid w:val="00253520"/>
    <w:rsid w:val="00254872"/>
    <w:rsid w:val="00254BCE"/>
    <w:rsid w:val="00255CD6"/>
    <w:rsid w:val="00256E12"/>
    <w:rsid w:val="00256FA0"/>
    <w:rsid w:val="0025796B"/>
    <w:rsid w:val="002609D0"/>
    <w:rsid w:val="0026107C"/>
    <w:rsid w:val="0026110C"/>
    <w:rsid w:val="002616BB"/>
    <w:rsid w:val="00261A09"/>
    <w:rsid w:val="00263503"/>
    <w:rsid w:val="00263535"/>
    <w:rsid w:val="00263B4F"/>
    <w:rsid w:val="00264B0C"/>
    <w:rsid w:val="00266FB0"/>
    <w:rsid w:val="0026763B"/>
    <w:rsid w:val="00267A91"/>
    <w:rsid w:val="002728AA"/>
    <w:rsid w:val="00272D85"/>
    <w:rsid w:val="002732D4"/>
    <w:rsid w:val="00275FEB"/>
    <w:rsid w:val="00276488"/>
    <w:rsid w:val="002777C6"/>
    <w:rsid w:val="00281712"/>
    <w:rsid w:val="00282B32"/>
    <w:rsid w:val="00283D06"/>
    <w:rsid w:val="00284347"/>
    <w:rsid w:val="0028456C"/>
    <w:rsid w:val="00284BB1"/>
    <w:rsid w:val="002860F9"/>
    <w:rsid w:val="002904B9"/>
    <w:rsid w:val="0029179F"/>
    <w:rsid w:val="0029250C"/>
    <w:rsid w:val="0029355F"/>
    <w:rsid w:val="002937B9"/>
    <w:rsid w:val="00295734"/>
    <w:rsid w:val="0029586F"/>
    <w:rsid w:val="00295CC7"/>
    <w:rsid w:val="002969BC"/>
    <w:rsid w:val="00297956"/>
    <w:rsid w:val="002A0C06"/>
    <w:rsid w:val="002A0D00"/>
    <w:rsid w:val="002A0E1D"/>
    <w:rsid w:val="002A1985"/>
    <w:rsid w:val="002A1A2A"/>
    <w:rsid w:val="002A3240"/>
    <w:rsid w:val="002A519B"/>
    <w:rsid w:val="002A5937"/>
    <w:rsid w:val="002B00FC"/>
    <w:rsid w:val="002B030A"/>
    <w:rsid w:val="002B0DB3"/>
    <w:rsid w:val="002B263B"/>
    <w:rsid w:val="002B2B4D"/>
    <w:rsid w:val="002B32B3"/>
    <w:rsid w:val="002B34F9"/>
    <w:rsid w:val="002B479C"/>
    <w:rsid w:val="002B4B1F"/>
    <w:rsid w:val="002B5029"/>
    <w:rsid w:val="002B67F5"/>
    <w:rsid w:val="002B6807"/>
    <w:rsid w:val="002B6AC5"/>
    <w:rsid w:val="002C012B"/>
    <w:rsid w:val="002C0276"/>
    <w:rsid w:val="002C0FB3"/>
    <w:rsid w:val="002C1B34"/>
    <w:rsid w:val="002C5A8E"/>
    <w:rsid w:val="002C6941"/>
    <w:rsid w:val="002C6CB3"/>
    <w:rsid w:val="002C6D19"/>
    <w:rsid w:val="002C6EAE"/>
    <w:rsid w:val="002C7275"/>
    <w:rsid w:val="002C77F1"/>
    <w:rsid w:val="002D03E4"/>
    <w:rsid w:val="002D21E6"/>
    <w:rsid w:val="002D40C0"/>
    <w:rsid w:val="002D5768"/>
    <w:rsid w:val="002D5A4D"/>
    <w:rsid w:val="002E0205"/>
    <w:rsid w:val="002E0564"/>
    <w:rsid w:val="002E117C"/>
    <w:rsid w:val="002E12EE"/>
    <w:rsid w:val="002E28C5"/>
    <w:rsid w:val="002E4C82"/>
    <w:rsid w:val="002E7F72"/>
    <w:rsid w:val="002F0B29"/>
    <w:rsid w:val="002F0E08"/>
    <w:rsid w:val="002F27DB"/>
    <w:rsid w:val="002F33D5"/>
    <w:rsid w:val="002F6873"/>
    <w:rsid w:val="00300787"/>
    <w:rsid w:val="0030090D"/>
    <w:rsid w:val="00301362"/>
    <w:rsid w:val="00302553"/>
    <w:rsid w:val="0030265E"/>
    <w:rsid w:val="00302C66"/>
    <w:rsid w:val="00303441"/>
    <w:rsid w:val="00304DC9"/>
    <w:rsid w:val="00304E54"/>
    <w:rsid w:val="003062DD"/>
    <w:rsid w:val="00307872"/>
    <w:rsid w:val="00307E51"/>
    <w:rsid w:val="0031188B"/>
    <w:rsid w:val="003124A4"/>
    <w:rsid w:val="00313700"/>
    <w:rsid w:val="0031464A"/>
    <w:rsid w:val="0031636A"/>
    <w:rsid w:val="00316C7E"/>
    <w:rsid w:val="0031791E"/>
    <w:rsid w:val="003203B6"/>
    <w:rsid w:val="0032063F"/>
    <w:rsid w:val="00322762"/>
    <w:rsid w:val="0032293C"/>
    <w:rsid w:val="0032305D"/>
    <w:rsid w:val="0032476B"/>
    <w:rsid w:val="00325829"/>
    <w:rsid w:val="00325CB3"/>
    <w:rsid w:val="003270B8"/>
    <w:rsid w:val="003274D4"/>
    <w:rsid w:val="00327DB5"/>
    <w:rsid w:val="00332A99"/>
    <w:rsid w:val="00332BAB"/>
    <w:rsid w:val="00333B10"/>
    <w:rsid w:val="00333B44"/>
    <w:rsid w:val="00334201"/>
    <w:rsid w:val="0033647A"/>
    <w:rsid w:val="00336FF8"/>
    <w:rsid w:val="0033752E"/>
    <w:rsid w:val="003378C0"/>
    <w:rsid w:val="00343112"/>
    <w:rsid w:val="003433F1"/>
    <w:rsid w:val="0034347E"/>
    <w:rsid w:val="00343BBE"/>
    <w:rsid w:val="00344D79"/>
    <w:rsid w:val="003462FD"/>
    <w:rsid w:val="00347D8F"/>
    <w:rsid w:val="003501BD"/>
    <w:rsid w:val="0035191C"/>
    <w:rsid w:val="00351EDE"/>
    <w:rsid w:val="0035316C"/>
    <w:rsid w:val="00353DEE"/>
    <w:rsid w:val="00354EF9"/>
    <w:rsid w:val="003557C2"/>
    <w:rsid w:val="0035659C"/>
    <w:rsid w:val="00356FFF"/>
    <w:rsid w:val="00357073"/>
    <w:rsid w:val="003572BD"/>
    <w:rsid w:val="00361957"/>
    <w:rsid w:val="003621A6"/>
    <w:rsid w:val="00363004"/>
    <w:rsid w:val="00363596"/>
    <w:rsid w:val="0036398E"/>
    <w:rsid w:val="00363CA7"/>
    <w:rsid w:val="003649E1"/>
    <w:rsid w:val="00364D12"/>
    <w:rsid w:val="0036576B"/>
    <w:rsid w:val="00365888"/>
    <w:rsid w:val="00370027"/>
    <w:rsid w:val="00370FBE"/>
    <w:rsid w:val="00371908"/>
    <w:rsid w:val="0037214C"/>
    <w:rsid w:val="0037264B"/>
    <w:rsid w:val="003733AB"/>
    <w:rsid w:val="00373637"/>
    <w:rsid w:val="00374503"/>
    <w:rsid w:val="0037499C"/>
    <w:rsid w:val="00375124"/>
    <w:rsid w:val="003761BC"/>
    <w:rsid w:val="00376697"/>
    <w:rsid w:val="00376EE5"/>
    <w:rsid w:val="00381058"/>
    <w:rsid w:val="00381C97"/>
    <w:rsid w:val="00382541"/>
    <w:rsid w:val="003836C0"/>
    <w:rsid w:val="00384003"/>
    <w:rsid w:val="00384C50"/>
    <w:rsid w:val="00385055"/>
    <w:rsid w:val="003855A6"/>
    <w:rsid w:val="00386358"/>
    <w:rsid w:val="00386B4C"/>
    <w:rsid w:val="00386DDF"/>
    <w:rsid w:val="00387178"/>
    <w:rsid w:val="003875F4"/>
    <w:rsid w:val="00390484"/>
    <w:rsid w:val="003909F3"/>
    <w:rsid w:val="00391615"/>
    <w:rsid w:val="00391768"/>
    <w:rsid w:val="00391CAB"/>
    <w:rsid w:val="00393BCF"/>
    <w:rsid w:val="0039420E"/>
    <w:rsid w:val="00394E4A"/>
    <w:rsid w:val="003953BA"/>
    <w:rsid w:val="00396316"/>
    <w:rsid w:val="003963F9"/>
    <w:rsid w:val="00396476"/>
    <w:rsid w:val="003A0B8C"/>
    <w:rsid w:val="003A1B54"/>
    <w:rsid w:val="003A1F0F"/>
    <w:rsid w:val="003A3A2C"/>
    <w:rsid w:val="003A6206"/>
    <w:rsid w:val="003A6DD4"/>
    <w:rsid w:val="003A7428"/>
    <w:rsid w:val="003A7706"/>
    <w:rsid w:val="003A7A3D"/>
    <w:rsid w:val="003A7C77"/>
    <w:rsid w:val="003A7FFC"/>
    <w:rsid w:val="003B185D"/>
    <w:rsid w:val="003B3E38"/>
    <w:rsid w:val="003B557F"/>
    <w:rsid w:val="003B56B5"/>
    <w:rsid w:val="003B5C53"/>
    <w:rsid w:val="003B626E"/>
    <w:rsid w:val="003B711F"/>
    <w:rsid w:val="003C0978"/>
    <w:rsid w:val="003C0DB6"/>
    <w:rsid w:val="003C15BA"/>
    <w:rsid w:val="003C2551"/>
    <w:rsid w:val="003C29BA"/>
    <w:rsid w:val="003D0A6E"/>
    <w:rsid w:val="003D1B0A"/>
    <w:rsid w:val="003D1E64"/>
    <w:rsid w:val="003D25A6"/>
    <w:rsid w:val="003D45A6"/>
    <w:rsid w:val="003D4B98"/>
    <w:rsid w:val="003D61D0"/>
    <w:rsid w:val="003D6DF7"/>
    <w:rsid w:val="003E1505"/>
    <w:rsid w:val="003E29DE"/>
    <w:rsid w:val="003E2E62"/>
    <w:rsid w:val="003E50EC"/>
    <w:rsid w:val="003E57ED"/>
    <w:rsid w:val="003E7136"/>
    <w:rsid w:val="003E79C3"/>
    <w:rsid w:val="003E7F79"/>
    <w:rsid w:val="003F0C9B"/>
    <w:rsid w:val="003F0D41"/>
    <w:rsid w:val="003F1282"/>
    <w:rsid w:val="003F23AC"/>
    <w:rsid w:val="003F309B"/>
    <w:rsid w:val="003F3230"/>
    <w:rsid w:val="003F4533"/>
    <w:rsid w:val="003F4C1F"/>
    <w:rsid w:val="003F52A8"/>
    <w:rsid w:val="003F61AD"/>
    <w:rsid w:val="003F7E61"/>
    <w:rsid w:val="00400062"/>
    <w:rsid w:val="00400D3B"/>
    <w:rsid w:val="004012C8"/>
    <w:rsid w:val="00402135"/>
    <w:rsid w:val="00402270"/>
    <w:rsid w:val="00405C3F"/>
    <w:rsid w:val="00405C53"/>
    <w:rsid w:val="004101D4"/>
    <w:rsid w:val="00413DF0"/>
    <w:rsid w:val="00414E49"/>
    <w:rsid w:val="00415737"/>
    <w:rsid w:val="00415ADC"/>
    <w:rsid w:val="00415C5E"/>
    <w:rsid w:val="00415EA3"/>
    <w:rsid w:val="00417B64"/>
    <w:rsid w:val="00417E3A"/>
    <w:rsid w:val="00420302"/>
    <w:rsid w:val="00421CA1"/>
    <w:rsid w:val="00421F8D"/>
    <w:rsid w:val="00422978"/>
    <w:rsid w:val="004237CD"/>
    <w:rsid w:val="0042461C"/>
    <w:rsid w:val="00426EA7"/>
    <w:rsid w:val="004271ED"/>
    <w:rsid w:val="004301A7"/>
    <w:rsid w:val="00430242"/>
    <w:rsid w:val="004302BA"/>
    <w:rsid w:val="004314B5"/>
    <w:rsid w:val="00432CCE"/>
    <w:rsid w:val="004332A2"/>
    <w:rsid w:val="00434143"/>
    <w:rsid w:val="00434B14"/>
    <w:rsid w:val="004370F6"/>
    <w:rsid w:val="00437B27"/>
    <w:rsid w:val="0044330E"/>
    <w:rsid w:val="00443601"/>
    <w:rsid w:val="00443A8B"/>
    <w:rsid w:val="00443B5E"/>
    <w:rsid w:val="00443C36"/>
    <w:rsid w:val="00445395"/>
    <w:rsid w:val="00446F89"/>
    <w:rsid w:val="00447AB1"/>
    <w:rsid w:val="00451EA2"/>
    <w:rsid w:val="00452467"/>
    <w:rsid w:val="0045284B"/>
    <w:rsid w:val="0045581D"/>
    <w:rsid w:val="00456158"/>
    <w:rsid w:val="004571D5"/>
    <w:rsid w:val="0045735C"/>
    <w:rsid w:val="004607B7"/>
    <w:rsid w:val="00462226"/>
    <w:rsid w:val="0046357F"/>
    <w:rsid w:val="00464229"/>
    <w:rsid w:val="00464502"/>
    <w:rsid w:val="00464C03"/>
    <w:rsid w:val="00464E50"/>
    <w:rsid w:val="0046550E"/>
    <w:rsid w:val="004659C3"/>
    <w:rsid w:val="00465F2E"/>
    <w:rsid w:val="00466A42"/>
    <w:rsid w:val="00466BCC"/>
    <w:rsid w:val="0046752A"/>
    <w:rsid w:val="004675F7"/>
    <w:rsid w:val="00467690"/>
    <w:rsid w:val="00467FD4"/>
    <w:rsid w:val="0047155E"/>
    <w:rsid w:val="00471D0A"/>
    <w:rsid w:val="00471DD2"/>
    <w:rsid w:val="00471E2C"/>
    <w:rsid w:val="00472A55"/>
    <w:rsid w:val="004735E4"/>
    <w:rsid w:val="00474496"/>
    <w:rsid w:val="004746C4"/>
    <w:rsid w:val="00474A96"/>
    <w:rsid w:val="00474E2F"/>
    <w:rsid w:val="004752AA"/>
    <w:rsid w:val="00475906"/>
    <w:rsid w:val="00475A4B"/>
    <w:rsid w:val="00476A4A"/>
    <w:rsid w:val="00477E4B"/>
    <w:rsid w:val="0048056F"/>
    <w:rsid w:val="00480CB7"/>
    <w:rsid w:val="0048118D"/>
    <w:rsid w:val="00482BD9"/>
    <w:rsid w:val="004831E1"/>
    <w:rsid w:val="00484B23"/>
    <w:rsid w:val="004855B9"/>
    <w:rsid w:val="00485913"/>
    <w:rsid w:val="0048677C"/>
    <w:rsid w:val="00486B21"/>
    <w:rsid w:val="00486DDF"/>
    <w:rsid w:val="004877C7"/>
    <w:rsid w:val="00490934"/>
    <w:rsid w:val="00490B17"/>
    <w:rsid w:val="0049114C"/>
    <w:rsid w:val="00491312"/>
    <w:rsid w:val="00491DDD"/>
    <w:rsid w:val="00492E74"/>
    <w:rsid w:val="00492F78"/>
    <w:rsid w:val="00493C37"/>
    <w:rsid w:val="004945B9"/>
    <w:rsid w:val="004946AD"/>
    <w:rsid w:val="004947CC"/>
    <w:rsid w:val="00495093"/>
    <w:rsid w:val="0049688A"/>
    <w:rsid w:val="00497041"/>
    <w:rsid w:val="004A049D"/>
    <w:rsid w:val="004A10AC"/>
    <w:rsid w:val="004A1187"/>
    <w:rsid w:val="004A1DF8"/>
    <w:rsid w:val="004A21C6"/>
    <w:rsid w:val="004A25C8"/>
    <w:rsid w:val="004A34CA"/>
    <w:rsid w:val="004A38EF"/>
    <w:rsid w:val="004A4347"/>
    <w:rsid w:val="004A4948"/>
    <w:rsid w:val="004A62E4"/>
    <w:rsid w:val="004A68B4"/>
    <w:rsid w:val="004B0F75"/>
    <w:rsid w:val="004B11D6"/>
    <w:rsid w:val="004B12E7"/>
    <w:rsid w:val="004B1642"/>
    <w:rsid w:val="004B1B8F"/>
    <w:rsid w:val="004B2101"/>
    <w:rsid w:val="004B2352"/>
    <w:rsid w:val="004B2E32"/>
    <w:rsid w:val="004B4938"/>
    <w:rsid w:val="004B4A27"/>
    <w:rsid w:val="004B4F88"/>
    <w:rsid w:val="004B555F"/>
    <w:rsid w:val="004B5812"/>
    <w:rsid w:val="004B5936"/>
    <w:rsid w:val="004B5A05"/>
    <w:rsid w:val="004B5BCC"/>
    <w:rsid w:val="004B603E"/>
    <w:rsid w:val="004B7330"/>
    <w:rsid w:val="004C0173"/>
    <w:rsid w:val="004C0375"/>
    <w:rsid w:val="004C04B1"/>
    <w:rsid w:val="004C0760"/>
    <w:rsid w:val="004C0E60"/>
    <w:rsid w:val="004C1881"/>
    <w:rsid w:val="004C1E95"/>
    <w:rsid w:val="004C2DA8"/>
    <w:rsid w:val="004C35FE"/>
    <w:rsid w:val="004C3F48"/>
    <w:rsid w:val="004C484A"/>
    <w:rsid w:val="004C4C0A"/>
    <w:rsid w:val="004C5A6D"/>
    <w:rsid w:val="004C5F62"/>
    <w:rsid w:val="004C5FBD"/>
    <w:rsid w:val="004C7B95"/>
    <w:rsid w:val="004D34D1"/>
    <w:rsid w:val="004D37E7"/>
    <w:rsid w:val="004D40AA"/>
    <w:rsid w:val="004D40B9"/>
    <w:rsid w:val="004D4AAF"/>
    <w:rsid w:val="004D54F7"/>
    <w:rsid w:val="004D5960"/>
    <w:rsid w:val="004D625D"/>
    <w:rsid w:val="004D75A9"/>
    <w:rsid w:val="004E0644"/>
    <w:rsid w:val="004E081B"/>
    <w:rsid w:val="004E0B09"/>
    <w:rsid w:val="004E0F04"/>
    <w:rsid w:val="004E2002"/>
    <w:rsid w:val="004E2383"/>
    <w:rsid w:val="004E2C31"/>
    <w:rsid w:val="004E43B3"/>
    <w:rsid w:val="004E44CA"/>
    <w:rsid w:val="004E4742"/>
    <w:rsid w:val="004E48B4"/>
    <w:rsid w:val="004E55C6"/>
    <w:rsid w:val="004E5A30"/>
    <w:rsid w:val="004E7395"/>
    <w:rsid w:val="004E7958"/>
    <w:rsid w:val="004E7A2D"/>
    <w:rsid w:val="004F1CDB"/>
    <w:rsid w:val="004F237D"/>
    <w:rsid w:val="004F3EC2"/>
    <w:rsid w:val="004F6165"/>
    <w:rsid w:val="004F66F4"/>
    <w:rsid w:val="004F7D5B"/>
    <w:rsid w:val="00500750"/>
    <w:rsid w:val="00500AE5"/>
    <w:rsid w:val="005028BF"/>
    <w:rsid w:val="00502D79"/>
    <w:rsid w:val="00504001"/>
    <w:rsid w:val="00504924"/>
    <w:rsid w:val="005055AF"/>
    <w:rsid w:val="00505A31"/>
    <w:rsid w:val="00505E8D"/>
    <w:rsid w:val="005061F8"/>
    <w:rsid w:val="0050678D"/>
    <w:rsid w:val="005075F1"/>
    <w:rsid w:val="0050790F"/>
    <w:rsid w:val="00507E2D"/>
    <w:rsid w:val="005102CD"/>
    <w:rsid w:val="005115EC"/>
    <w:rsid w:val="005125D4"/>
    <w:rsid w:val="0051271F"/>
    <w:rsid w:val="00512787"/>
    <w:rsid w:val="005132CE"/>
    <w:rsid w:val="00513C47"/>
    <w:rsid w:val="0051420F"/>
    <w:rsid w:val="00514DC9"/>
    <w:rsid w:val="00515782"/>
    <w:rsid w:val="00515F3E"/>
    <w:rsid w:val="0051695D"/>
    <w:rsid w:val="00516A7F"/>
    <w:rsid w:val="00520523"/>
    <w:rsid w:val="00523467"/>
    <w:rsid w:val="0052484D"/>
    <w:rsid w:val="005255BC"/>
    <w:rsid w:val="005257FF"/>
    <w:rsid w:val="00526CA0"/>
    <w:rsid w:val="00527CE3"/>
    <w:rsid w:val="0053037E"/>
    <w:rsid w:val="0053197E"/>
    <w:rsid w:val="0053201A"/>
    <w:rsid w:val="00532303"/>
    <w:rsid w:val="00533082"/>
    <w:rsid w:val="00533EBB"/>
    <w:rsid w:val="00534244"/>
    <w:rsid w:val="00534CDC"/>
    <w:rsid w:val="00534FB2"/>
    <w:rsid w:val="005354EC"/>
    <w:rsid w:val="0053601E"/>
    <w:rsid w:val="005361BD"/>
    <w:rsid w:val="005407DD"/>
    <w:rsid w:val="005409D5"/>
    <w:rsid w:val="00541A9C"/>
    <w:rsid w:val="00542132"/>
    <w:rsid w:val="00542B49"/>
    <w:rsid w:val="00542B4E"/>
    <w:rsid w:val="005443FA"/>
    <w:rsid w:val="00544F21"/>
    <w:rsid w:val="005457F9"/>
    <w:rsid w:val="00545A4B"/>
    <w:rsid w:val="00545AFB"/>
    <w:rsid w:val="0054619D"/>
    <w:rsid w:val="00546D92"/>
    <w:rsid w:val="00547088"/>
    <w:rsid w:val="0054721E"/>
    <w:rsid w:val="005473CE"/>
    <w:rsid w:val="005479EE"/>
    <w:rsid w:val="00550758"/>
    <w:rsid w:val="00550D52"/>
    <w:rsid w:val="00550E30"/>
    <w:rsid w:val="00551FFA"/>
    <w:rsid w:val="0055598A"/>
    <w:rsid w:val="00560336"/>
    <w:rsid w:val="00561362"/>
    <w:rsid w:val="00561ABA"/>
    <w:rsid w:val="0056240C"/>
    <w:rsid w:val="00564F18"/>
    <w:rsid w:val="0056638A"/>
    <w:rsid w:val="00566A85"/>
    <w:rsid w:val="0056747D"/>
    <w:rsid w:val="00570039"/>
    <w:rsid w:val="005704B6"/>
    <w:rsid w:val="00571081"/>
    <w:rsid w:val="00571934"/>
    <w:rsid w:val="005723FF"/>
    <w:rsid w:val="0057444E"/>
    <w:rsid w:val="00575744"/>
    <w:rsid w:val="00575C3F"/>
    <w:rsid w:val="005762EF"/>
    <w:rsid w:val="00576B66"/>
    <w:rsid w:val="0058109A"/>
    <w:rsid w:val="005821AC"/>
    <w:rsid w:val="00582A01"/>
    <w:rsid w:val="00583C86"/>
    <w:rsid w:val="00587DE9"/>
    <w:rsid w:val="00590BCB"/>
    <w:rsid w:val="00592108"/>
    <w:rsid w:val="00594736"/>
    <w:rsid w:val="00594CEA"/>
    <w:rsid w:val="0059679F"/>
    <w:rsid w:val="005969A4"/>
    <w:rsid w:val="00596D7D"/>
    <w:rsid w:val="00596EAF"/>
    <w:rsid w:val="005977EA"/>
    <w:rsid w:val="005A090C"/>
    <w:rsid w:val="005A2B1C"/>
    <w:rsid w:val="005A2B48"/>
    <w:rsid w:val="005A2CD7"/>
    <w:rsid w:val="005A4041"/>
    <w:rsid w:val="005A575F"/>
    <w:rsid w:val="005A6171"/>
    <w:rsid w:val="005A6F92"/>
    <w:rsid w:val="005A7A5B"/>
    <w:rsid w:val="005B0216"/>
    <w:rsid w:val="005B079A"/>
    <w:rsid w:val="005B0A73"/>
    <w:rsid w:val="005B1005"/>
    <w:rsid w:val="005B350C"/>
    <w:rsid w:val="005B3F94"/>
    <w:rsid w:val="005B4143"/>
    <w:rsid w:val="005B5BD7"/>
    <w:rsid w:val="005B5D65"/>
    <w:rsid w:val="005B6E6A"/>
    <w:rsid w:val="005C004B"/>
    <w:rsid w:val="005C0368"/>
    <w:rsid w:val="005C2C3B"/>
    <w:rsid w:val="005C2CD1"/>
    <w:rsid w:val="005C3932"/>
    <w:rsid w:val="005C3F1D"/>
    <w:rsid w:val="005C5602"/>
    <w:rsid w:val="005C6EA7"/>
    <w:rsid w:val="005C7F87"/>
    <w:rsid w:val="005D09EE"/>
    <w:rsid w:val="005D14E8"/>
    <w:rsid w:val="005D23A5"/>
    <w:rsid w:val="005D2515"/>
    <w:rsid w:val="005D2642"/>
    <w:rsid w:val="005D2F0A"/>
    <w:rsid w:val="005D341A"/>
    <w:rsid w:val="005D464E"/>
    <w:rsid w:val="005D6B1D"/>
    <w:rsid w:val="005DFC8C"/>
    <w:rsid w:val="005E01D9"/>
    <w:rsid w:val="005E06E5"/>
    <w:rsid w:val="005E10CF"/>
    <w:rsid w:val="005E263B"/>
    <w:rsid w:val="005E2821"/>
    <w:rsid w:val="005E28DD"/>
    <w:rsid w:val="005E3441"/>
    <w:rsid w:val="005E3FCB"/>
    <w:rsid w:val="005E6C0E"/>
    <w:rsid w:val="005E7BC0"/>
    <w:rsid w:val="005E7DB4"/>
    <w:rsid w:val="005F0007"/>
    <w:rsid w:val="005F04C8"/>
    <w:rsid w:val="005F18E7"/>
    <w:rsid w:val="005F226D"/>
    <w:rsid w:val="005F2851"/>
    <w:rsid w:val="005F3AE6"/>
    <w:rsid w:val="005F5B30"/>
    <w:rsid w:val="005F5B84"/>
    <w:rsid w:val="005F6E62"/>
    <w:rsid w:val="005F7637"/>
    <w:rsid w:val="00600BFC"/>
    <w:rsid w:val="00600F3D"/>
    <w:rsid w:val="00602017"/>
    <w:rsid w:val="00602383"/>
    <w:rsid w:val="00603DEB"/>
    <w:rsid w:val="00603FAB"/>
    <w:rsid w:val="006048CD"/>
    <w:rsid w:val="006059B1"/>
    <w:rsid w:val="00606442"/>
    <w:rsid w:val="00606F8E"/>
    <w:rsid w:val="00606FFB"/>
    <w:rsid w:val="006077F2"/>
    <w:rsid w:val="00610DFA"/>
    <w:rsid w:val="00611A17"/>
    <w:rsid w:val="00611AAE"/>
    <w:rsid w:val="006125E0"/>
    <w:rsid w:val="0061297A"/>
    <w:rsid w:val="00613856"/>
    <w:rsid w:val="00615B4D"/>
    <w:rsid w:val="00615F99"/>
    <w:rsid w:val="00616D8D"/>
    <w:rsid w:val="006174CF"/>
    <w:rsid w:val="0061784E"/>
    <w:rsid w:val="00617E4D"/>
    <w:rsid w:val="00617F8B"/>
    <w:rsid w:val="00617F9F"/>
    <w:rsid w:val="00621ACA"/>
    <w:rsid w:val="00622C65"/>
    <w:rsid w:val="0062371E"/>
    <w:rsid w:val="00623A38"/>
    <w:rsid w:val="00626303"/>
    <w:rsid w:val="006271FC"/>
    <w:rsid w:val="00627297"/>
    <w:rsid w:val="0062773F"/>
    <w:rsid w:val="00627F73"/>
    <w:rsid w:val="00630156"/>
    <w:rsid w:val="006310BC"/>
    <w:rsid w:val="00631313"/>
    <w:rsid w:val="00631D64"/>
    <w:rsid w:val="0063349C"/>
    <w:rsid w:val="00634920"/>
    <w:rsid w:val="0063575E"/>
    <w:rsid w:val="00636AA4"/>
    <w:rsid w:val="00636BC6"/>
    <w:rsid w:val="0063783C"/>
    <w:rsid w:val="00640D44"/>
    <w:rsid w:val="00641212"/>
    <w:rsid w:val="00641956"/>
    <w:rsid w:val="00641CC0"/>
    <w:rsid w:val="00642B65"/>
    <w:rsid w:val="00644C3A"/>
    <w:rsid w:val="00645220"/>
    <w:rsid w:val="00645548"/>
    <w:rsid w:val="006456D9"/>
    <w:rsid w:val="0064601C"/>
    <w:rsid w:val="006460A4"/>
    <w:rsid w:val="006462E0"/>
    <w:rsid w:val="006478B7"/>
    <w:rsid w:val="00647C05"/>
    <w:rsid w:val="00650D6C"/>
    <w:rsid w:val="006532D7"/>
    <w:rsid w:val="00653AB6"/>
    <w:rsid w:val="00653B3D"/>
    <w:rsid w:val="0065732A"/>
    <w:rsid w:val="006577AC"/>
    <w:rsid w:val="006610F7"/>
    <w:rsid w:val="006613CE"/>
    <w:rsid w:val="0066324D"/>
    <w:rsid w:val="006640A9"/>
    <w:rsid w:val="00664296"/>
    <w:rsid w:val="006644F1"/>
    <w:rsid w:val="00664BFF"/>
    <w:rsid w:val="00666D8E"/>
    <w:rsid w:val="00666DF5"/>
    <w:rsid w:val="006671EC"/>
    <w:rsid w:val="00667279"/>
    <w:rsid w:val="006673EA"/>
    <w:rsid w:val="00667EFB"/>
    <w:rsid w:val="00670751"/>
    <w:rsid w:val="00670EEB"/>
    <w:rsid w:val="006710A1"/>
    <w:rsid w:val="006713A3"/>
    <w:rsid w:val="00671EE8"/>
    <w:rsid w:val="00672046"/>
    <w:rsid w:val="00672519"/>
    <w:rsid w:val="00673506"/>
    <w:rsid w:val="00673829"/>
    <w:rsid w:val="00673EE1"/>
    <w:rsid w:val="006744BF"/>
    <w:rsid w:val="00674C64"/>
    <w:rsid w:val="006762C3"/>
    <w:rsid w:val="00676E9D"/>
    <w:rsid w:val="006777F1"/>
    <w:rsid w:val="00677ABF"/>
    <w:rsid w:val="00681181"/>
    <w:rsid w:val="00682A91"/>
    <w:rsid w:val="00682D17"/>
    <w:rsid w:val="00684163"/>
    <w:rsid w:val="006853F3"/>
    <w:rsid w:val="0068718D"/>
    <w:rsid w:val="006879FE"/>
    <w:rsid w:val="00687B9B"/>
    <w:rsid w:val="00691662"/>
    <w:rsid w:val="0069173D"/>
    <w:rsid w:val="00691EF7"/>
    <w:rsid w:val="00691F04"/>
    <w:rsid w:val="00692DB9"/>
    <w:rsid w:val="006939EE"/>
    <w:rsid w:val="00693EC4"/>
    <w:rsid w:val="006943B9"/>
    <w:rsid w:val="006955F5"/>
    <w:rsid w:val="00696B56"/>
    <w:rsid w:val="00696B9A"/>
    <w:rsid w:val="00696BC1"/>
    <w:rsid w:val="00696E28"/>
    <w:rsid w:val="00697E02"/>
    <w:rsid w:val="006A025A"/>
    <w:rsid w:val="006A0F8B"/>
    <w:rsid w:val="006A1060"/>
    <w:rsid w:val="006A145C"/>
    <w:rsid w:val="006A24E8"/>
    <w:rsid w:val="006A39B7"/>
    <w:rsid w:val="006A46F3"/>
    <w:rsid w:val="006A50E1"/>
    <w:rsid w:val="006A5F68"/>
    <w:rsid w:val="006A625C"/>
    <w:rsid w:val="006A7D55"/>
    <w:rsid w:val="006B0B42"/>
    <w:rsid w:val="006B2A34"/>
    <w:rsid w:val="006B359B"/>
    <w:rsid w:val="006B39C2"/>
    <w:rsid w:val="006B47FE"/>
    <w:rsid w:val="006B5958"/>
    <w:rsid w:val="006B5C81"/>
    <w:rsid w:val="006B67B5"/>
    <w:rsid w:val="006B6F96"/>
    <w:rsid w:val="006B7040"/>
    <w:rsid w:val="006B763B"/>
    <w:rsid w:val="006C177F"/>
    <w:rsid w:val="006C2282"/>
    <w:rsid w:val="006C2FDC"/>
    <w:rsid w:val="006C374D"/>
    <w:rsid w:val="006C440F"/>
    <w:rsid w:val="006C5011"/>
    <w:rsid w:val="006C5827"/>
    <w:rsid w:val="006C644B"/>
    <w:rsid w:val="006C6F7D"/>
    <w:rsid w:val="006D01F8"/>
    <w:rsid w:val="006D11F3"/>
    <w:rsid w:val="006D1477"/>
    <w:rsid w:val="006D14F7"/>
    <w:rsid w:val="006D1CFD"/>
    <w:rsid w:val="006D1F2A"/>
    <w:rsid w:val="006D2711"/>
    <w:rsid w:val="006D2E2B"/>
    <w:rsid w:val="006D312E"/>
    <w:rsid w:val="006D3501"/>
    <w:rsid w:val="006D3B7A"/>
    <w:rsid w:val="006D4C49"/>
    <w:rsid w:val="006D5C00"/>
    <w:rsid w:val="006D5F72"/>
    <w:rsid w:val="006D724B"/>
    <w:rsid w:val="006E0BF5"/>
    <w:rsid w:val="006E1270"/>
    <w:rsid w:val="006E153D"/>
    <w:rsid w:val="006E1650"/>
    <w:rsid w:val="006E1BA4"/>
    <w:rsid w:val="006E25C6"/>
    <w:rsid w:val="006E3266"/>
    <w:rsid w:val="006E3630"/>
    <w:rsid w:val="006E4224"/>
    <w:rsid w:val="006E5076"/>
    <w:rsid w:val="006E5543"/>
    <w:rsid w:val="006E5E98"/>
    <w:rsid w:val="006F051E"/>
    <w:rsid w:val="006F0FBC"/>
    <w:rsid w:val="006F174E"/>
    <w:rsid w:val="006F1D48"/>
    <w:rsid w:val="006F2A11"/>
    <w:rsid w:val="006F3A1B"/>
    <w:rsid w:val="006F3A5A"/>
    <w:rsid w:val="006F566A"/>
    <w:rsid w:val="006F6654"/>
    <w:rsid w:val="006F6F9E"/>
    <w:rsid w:val="006F7ABD"/>
    <w:rsid w:val="00700A33"/>
    <w:rsid w:val="007012DC"/>
    <w:rsid w:val="0070154B"/>
    <w:rsid w:val="007016A2"/>
    <w:rsid w:val="00703CC0"/>
    <w:rsid w:val="007041A5"/>
    <w:rsid w:val="00705D56"/>
    <w:rsid w:val="00707639"/>
    <w:rsid w:val="00713047"/>
    <w:rsid w:val="00713443"/>
    <w:rsid w:val="00713CB9"/>
    <w:rsid w:val="007143BF"/>
    <w:rsid w:val="00714A7A"/>
    <w:rsid w:val="00716105"/>
    <w:rsid w:val="00716BA3"/>
    <w:rsid w:val="0071726E"/>
    <w:rsid w:val="007178C5"/>
    <w:rsid w:val="00720618"/>
    <w:rsid w:val="00720FB3"/>
    <w:rsid w:val="00721061"/>
    <w:rsid w:val="007213D5"/>
    <w:rsid w:val="007219A7"/>
    <w:rsid w:val="00721A86"/>
    <w:rsid w:val="00722A2B"/>
    <w:rsid w:val="00722A58"/>
    <w:rsid w:val="00723194"/>
    <w:rsid w:val="007241D5"/>
    <w:rsid w:val="00724885"/>
    <w:rsid w:val="007262A4"/>
    <w:rsid w:val="007263BC"/>
    <w:rsid w:val="00727771"/>
    <w:rsid w:val="00727D66"/>
    <w:rsid w:val="00730382"/>
    <w:rsid w:val="007304FF"/>
    <w:rsid w:val="00730CED"/>
    <w:rsid w:val="00731AA4"/>
    <w:rsid w:val="0073227A"/>
    <w:rsid w:val="007326F9"/>
    <w:rsid w:val="00732A2A"/>
    <w:rsid w:val="00733338"/>
    <w:rsid w:val="007334AB"/>
    <w:rsid w:val="007344F9"/>
    <w:rsid w:val="0073454D"/>
    <w:rsid w:val="007346CE"/>
    <w:rsid w:val="007361F3"/>
    <w:rsid w:val="007367FD"/>
    <w:rsid w:val="00736887"/>
    <w:rsid w:val="00737A86"/>
    <w:rsid w:val="00737E6A"/>
    <w:rsid w:val="00740514"/>
    <w:rsid w:val="007405C9"/>
    <w:rsid w:val="00740E87"/>
    <w:rsid w:val="0074136D"/>
    <w:rsid w:val="007416D2"/>
    <w:rsid w:val="00741922"/>
    <w:rsid w:val="00742E36"/>
    <w:rsid w:val="00744601"/>
    <w:rsid w:val="00745C30"/>
    <w:rsid w:val="00746FF2"/>
    <w:rsid w:val="00750199"/>
    <w:rsid w:val="007522BB"/>
    <w:rsid w:val="00752BA6"/>
    <w:rsid w:val="00753294"/>
    <w:rsid w:val="00753C50"/>
    <w:rsid w:val="00755A63"/>
    <w:rsid w:val="00756C02"/>
    <w:rsid w:val="00757A6E"/>
    <w:rsid w:val="007600E9"/>
    <w:rsid w:val="0076022C"/>
    <w:rsid w:val="007605E0"/>
    <w:rsid w:val="00760DFD"/>
    <w:rsid w:val="007621A7"/>
    <w:rsid w:val="007632C4"/>
    <w:rsid w:val="00765B83"/>
    <w:rsid w:val="0076622F"/>
    <w:rsid w:val="00766376"/>
    <w:rsid w:val="007673A6"/>
    <w:rsid w:val="00767932"/>
    <w:rsid w:val="0076795D"/>
    <w:rsid w:val="0077044C"/>
    <w:rsid w:val="00770D15"/>
    <w:rsid w:val="007727DC"/>
    <w:rsid w:val="00774348"/>
    <w:rsid w:val="00776C9F"/>
    <w:rsid w:val="0077789E"/>
    <w:rsid w:val="00777AC3"/>
    <w:rsid w:val="007819E4"/>
    <w:rsid w:val="00781D30"/>
    <w:rsid w:val="007820AD"/>
    <w:rsid w:val="007826B5"/>
    <w:rsid w:val="007831DE"/>
    <w:rsid w:val="007835F9"/>
    <w:rsid w:val="00783DDF"/>
    <w:rsid w:val="0078417B"/>
    <w:rsid w:val="007843E3"/>
    <w:rsid w:val="0078487A"/>
    <w:rsid w:val="00784DF8"/>
    <w:rsid w:val="007854D6"/>
    <w:rsid w:val="00785634"/>
    <w:rsid w:val="00786E9F"/>
    <w:rsid w:val="00787BC4"/>
    <w:rsid w:val="00790394"/>
    <w:rsid w:val="00790F7C"/>
    <w:rsid w:val="00791958"/>
    <w:rsid w:val="0079365E"/>
    <w:rsid w:val="00793C04"/>
    <w:rsid w:val="007963E6"/>
    <w:rsid w:val="00796980"/>
    <w:rsid w:val="00796C1B"/>
    <w:rsid w:val="007A086A"/>
    <w:rsid w:val="007A08C4"/>
    <w:rsid w:val="007A1928"/>
    <w:rsid w:val="007A2E81"/>
    <w:rsid w:val="007A3124"/>
    <w:rsid w:val="007A4411"/>
    <w:rsid w:val="007A56B1"/>
    <w:rsid w:val="007A5B06"/>
    <w:rsid w:val="007A5E60"/>
    <w:rsid w:val="007A5EE0"/>
    <w:rsid w:val="007A61BA"/>
    <w:rsid w:val="007A6326"/>
    <w:rsid w:val="007A7838"/>
    <w:rsid w:val="007B0B11"/>
    <w:rsid w:val="007B152E"/>
    <w:rsid w:val="007B181D"/>
    <w:rsid w:val="007B1B27"/>
    <w:rsid w:val="007B25B1"/>
    <w:rsid w:val="007B2DF8"/>
    <w:rsid w:val="007B3F0A"/>
    <w:rsid w:val="007B409A"/>
    <w:rsid w:val="007B4548"/>
    <w:rsid w:val="007B46DF"/>
    <w:rsid w:val="007B492F"/>
    <w:rsid w:val="007B5090"/>
    <w:rsid w:val="007B520E"/>
    <w:rsid w:val="007B56E6"/>
    <w:rsid w:val="007B5A50"/>
    <w:rsid w:val="007B6943"/>
    <w:rsid w:val="007B6DFA"/>
    <w:rsid w:val="007B74AE"/>
    <w:rsid w:val="007B776E"/>
    <w:rsid w:val="007B7CA8"/>
    <w:rsid w:val="007C2FB2"/>
    <w:rsid w:val="007C3DB9"/>
    <w:rsid w:val="007C4BDC"/>
    <w:rsid w:val="007C5F6D"/>
    <w:rsid w:val="007C6B54"/>
    <w:rsid w:val="007D084A"/>
    <w:rsid w:val="007D0A7D"/>
    <w:rsid w:val="007D0EAB"/>
    <w:rsid w:val="007D37D5"/>
    <w:rsid w:val="007D3B60"/>
    <w:rsid w:val="007D3C8B"/>
    <w:rsid w:val="007D556F"/>
    <w:rsid w:val="007D7A93"/>
    <w:rsid w:val="007E0347"/>
    <w:rsid w:val="007E0491"/>
    <w:rsid w:val="007E1943"/>
    <w:rsid w:val="007E1AC2"/>
    <w:rsid w:val="007E281F"/>
    <w:rsid w:val="007E2D3D"/>
    <w:rsid w:val="007E30E4"/>
    <w:rsid w:val="007E31DF"/>
    <w:rsid w:val="007E3692"/>
    <w:rsid w:val="007E44BE"/>
    <w:rsid w:val="007E4CE5"/>
    <w:rsid w:val="007E51DD"/>
    <w:rsid w:val="007E66A4"/>
    <w:rsid w:val="007E6802"/>
    <w:rsid w:val="007F0190"/>
    <w:rsid w:val="007F2169"/>
    <w:rsid w:val="007F2D5D"/>
    <w:rsid w:val="007F3B05"/>
    <w:rsid w:val="007F3B77"/>
    <w:rsid w:val="007F3BCA"/>
    <w:rsid w:val="007F459B"/>
    <w:rsid w:val="007F6C26"/>
    <w:rsid w:val="007F7A40"/>
    <w:rsid w:val="007F7B4F"/>
    <w:rsid w:val="00800578"/>
    <w:rsid w:val="00800848"/>
    <w:rsid w:val="00800E90"/>
    <w:rsid w:val="008029B2"/>
    <w:rsid w:val="008034D3"/>
    <w:rsid w:val="008038B3"/>
    <w:rsid w:val="00803B68"/>
    <w:rsid w:val="00804DEA"/>
    <w:rsid w:val="00806CC2"/>
    <w:rsid w:val="00807494"/>
    <w:rsid w:val="00807FC3"/>
    <w:rsid w:val="008109E8"/>
    <w:rsid w:val="0081100A"/>
    <w:rsid w:val="00811B71"/>
    <w:rsid w:val="00811D38"/>
    <w:rsid w:val="00812FE8"/>
    <w:rsid w:val="0081424E"/>
    <w:rsid w:val="00814577"/>
    <w:rsid w:val="00814C58"/>
    <w:rsid w:val="00814D7A"/>
    <w:rsid w:val="00814DD6"/>
    <w:rsid w:val="00814F65"/>
    <w:rsid w:val="00814FD8"/>
    <w:rsid w:val="00815241"/>
    <w:rsid w:val="008152DA"/>
    <w:rsid w:val="008157F0"/>
    <w:rsid w:val="00820497"/>
    <w:rsid w:val="008208DA"/>
    <w:rsid w:val="00821AC4"/>
    <w:rsid w:val="00821E6D"/>
    <w:rsid w:val="0082260C"/>
    <w:rsid w:val="00823EB1"/>
    <w:rsid w:val="00824448"/>
    <w:rsid w:val="00824CDA"/>
    <w:rsid w:val="00825270"/>
    <w:rsid w:val="00826237"/>
    <w:rsid w:val="00826BEC"/>
    <w:rsid w:val="0082714C"/>
    <w:rsid w:val="00827E12"/>
    <w:rsid w:val="0083094A"/>
    <w:rsid w:val="00831062"/>
    <w:rsid w:val="00831B55"/>
    <w:rsid w:val="00833F28"/>
    <w:rsid w:val="00834D74"/>
    <w:rsid w:val="00834F41"/>
    <w:rsid w:val="0083558A"/>
    <w:rsid w:val="008356A9"/>
    <w:rsid w:val="00836616"/>
    <w:rsid w:val="00836973"/>
    <w:rsid w:val="00836E2E"/>
    <w:rsid w:val="0083751F"/>
    <w:rsid w:val="008405E6"/>
    <w:rsid w:val="00840C46"/>
    <w:rsid w:val="008417A4"/>
    <w:rsid w:val="008426DD"/>
    <w:rsid w:val="00842A25"/>
    <w:rsid w:val="00843198"/>
    <w:rsid w:val="00843B55"/>
    <w:rsid w:val="00845226"/>
    <w:rsid w:val="00845466"/>
    <w:rsid w:val="00845B08"/>
    <w:rsid w:val="00845B3C"/>
    <w:rsid w:val="00845BE1"/>
    <w:rsid w:val="008463C8"/>
    <w:rsid w:val="00847A3A"/>
    <w:rsid w:val="00852724"/>
    <w:rsid w:val="00852AFA"/>
    <w:rsid w:val="00853BD9"/>
    <w:rsid w:val="00854050"/>
    <w:rsid w:val="008545D7"/>
    <w:rsid w:val="00854FC5"/>
    <w:rsid w:val="00856461"/>
    <w:rsid w:val="008566E6"/>
    <w:rsid w:val="008569E0"/>
    <w:rsid w:val="00856AAA"/>
    <w:rsid w:val="00860C25"/>
    <w:rsid w:val="0086172D"/>
    <w:rsid w:val="00864E0F"/>
    <w:rsid w:val="00867B84"/>
    <w:rsid w:val="00867C80"/>
    <w:rsid w:val="0087060E"/>
    <w:rsid w:val="0087069A"/>
    <w:rsid w:val="00871D8D"/>
    <w:rsid w:val="0087277E"/>
    <w:rsid w:val="00872B09"/>
    <w:rsid w:val="00873745"/>
    <w:rsid w:val="00873D0B"/>
    <w:rsid w:val="008744D8"/>
    <w:rsid w:val="008746FF"/>
    <w:rsid w:val="0088058A"/>
    <w:rsid w:val="00880BD2"/>
    <w:rsid w:val="008819F3"/>
    <w:rsid w:val="00881A2A"/>
    <w:rsid w:val="00884054"/>
    <w:rsid w:val="00884A7D"/>
    <w:rsid w:val="0088512E"/>
    <w:rsid w:val="008865B9"/>
    <w:rsid w:val="00886B0D"/>
    <w:rsid w:val="008905AE"/>
    <w:rsid w:val="00890A8E"/>
    <w:rsid w:val="00892C94"/>
    <w:rsid w:val="00892CEC"/>
    <w:rsid w:val="00893A7B"/>
    <w:rsid w:val="0089479F"/>
    <w:rsid w:val="00894A61"/>
    <w:rsid w:val="00895C04"/>
    <w:rsid w:val="008973A9"/>
    <w:rsid w:val="0089760C"/>
    <w:rsid w:val="00897669"/>
    <w:rsid w:val="008976D0"/>
    <w:rsid w:val="00897C35"/>
    <w:rsid w:val="008A0295"/>
    <w:rsid w:val="008A1EF2"/>
    <w:rsid w:val="008A214E"/>
    <w:rsid w:val="008A43A0"/>
    <w:rsid w:val="008A44B5"/>
    <w:rsid w:val="008A450F"/>
    <w:rsid w:val="008A4A95"/>
    <w:rsid w:val="008A4C3C"/>
    <w:rsid w:val="008A5565"/>
    <w:rsid w:val="008A5D1A"/>
    <w:rsid w:val="008A6C56"/>
    <w:rsid w:val="008A7517"/>
    <w:rsid w:val="008A7945"/>
    <w:rsid w:val="008B00A8"/>
    <w:rsid w:val="008B06DD"/>
    <w:rsid w:val="008B25C0"/>
    <w:rsid w:val="008B35DC"/>
    <w:rsid w:val="008B3912"/>
    <w:rsid w:val="008B39F0"/>
    <w:rsid w:val="008B3EFF"/>
    <w:rsid w:val="008B427D"/>
    <w:rsid w:val="008B46AC"/>
    <w:rsid w:val="008B5796"/>
    <w:rsid w:val="008B5884"/>
    <w:rsid w:val="008B662C"/>
    <w:rsid w:val="008C0583"/>
    <w:rsid w:val="008C0906"/>
    <w:rsid w:val="008C09A2"/>
    <w:rsid w:val="008C0C33"/>
    <w:rsid w:val="008C2726"/>
    <w:rsid w:val="008C2A19"/>
    <w:rsid w:val="008C330F"/>
    <w:rsid w:val="008C36C9"/>
    <w:rsid w:val="008C38AC"/>
    <w:rsid w:val="008C3B15"/>
    <w:rsid w:val="008C573E"/>
    <w:rsid w:val="008C6108"/>
    <w:rsid w:val="008C6C2A"/>
    <w:rsid w:val="008C6EFB"/>
    <w:rsid w:val="008D026B"/>
    <w:rsid w:val="008D05DF"/>
    <w:rsid w:val="008D2A94"/>
    <w:rsid w:val="008D2D3A"/>
    <w:rsid w:val="008D32E9"/>
    <w:rsid w:val="008D3D14"/>
    <w:rsid w:val="008D4340"/>
    <w:rsid w:val="008D5521"/>
    <w:rsid w:val="008D5C4D"/>
    <w:rsid w:val="008D703B"/>
    <w:rsid w:val="008E0CAE"/>
    <w:rsid w:val="008E17F7"/>
    <w:rsid w:val="008E38C8"/>
    <w:rsid w:val="008E3D60"/>
    <w:rsid w:val="008E5B5D"/>
    <w:rsid w:val="008E6C6F"/>
    <w:rsid w:val="008E71C6"/>
    <w:rsid w:val="008E738E"/>
    <w:rsid w:val="008E7529"/>
    <w:rsid w:val="008F0015"/>
    <w:rsid w:val="008F0FBD"/>
    <w:rsid w:val="008F276D"/>
    <w:rsid w:val="008F4076"/>
    <w:rsid w:val="008F4A2D"/>
    <w:rsid w:val="008F4FE6"/>
    <w:rsid w:val="008F56B5"/>
    <w:rsid w:val="008F56FC"/>
    <w:rsid w:val="008F7E55"/>
    <w:rsid w:val="009036FD"/>
    <w:rsid w:val="009040BB"/>
    <w:rsid w:val="00904656"/>
    <w:rsid w:val="00904A68"/>
    <w:rsid w:val="00904E45"/>
    <w:rsid w:val="00905EA4"/>
    <w:rsid w:val="009071E1"/>
    <w:rsid w:val="00910204"/>
    <w:rsid w:val="00911E4F"/>
    <w:rsid w:val="00912338"/>
    <w:rsid w:val="00913159"/>
    <w:rsid w:val="00913C0E"/>
    <w:rsid w:val="009154A6"/>
    <w:rsid w:val="009170E0"/>
    <w:rsid w:val="00917628"/>
    <w:rsid w:val="009204E9"/>
    <w:rsid w:val="00920540"/>
    <w:rsid w:val="00923BB7"/>
    <w:rsid w:val="00923CD8"/>
    <w:rsid w:val="00923E77"/>
    <w:rsid w:val="0093087E"/>
    <w:rsid w:val="00931DE1"/>
    <w:rsid w:val="0093264F"/>
    <w:rsid w:val="00935DEB"/>
    <w:rsid w:val="009369F2"/>
    <w:rsid w:val="00941992"/>
    <w:rsid w:val="00941F27"/>
    <w:rsid w:val="009436F3"/>
    <w:rsid w:val="009440EB"/>
    <w:rsid w:val="00945C09"/>
    <w:rsid w:val="00946D85"/>
    <w:rsid w:val="0095011C"/>
    <w:rsid w:val="009505B3"/>
    <w:rsid w:val="009513D5"/>
    <w:rsid w:val="0095168C"/>
    <w:rsid w:val="00951B80"/>
    <w:rsid w:val="00951C9F"/>
    <w:rsid w:val="009528EB"/>
    <w:rsid w:val="009539E2"/>
    <w:rsid w:val="009541A6"/>
    <w:rsid w:val="009554CC"/>
    <w:rsid w:val="0095573D"/>
    <w:rsid w:val="00955D68"/>
    <w:rsid w:val="00956F54"/>
    <w:rsid w:val="009574CD"/>
    <w:rsid w:val="009574E1"/>
    <w:rsid w:val="00957B4A"/>
    <w:rsid w:val="00957D6C"/>
    <w:rsid w:val="00960FD5"/>
    <w:rsid w:val="00961467"/>
    <w:rsid w:val="00962079"/>
    <w:rsid w:val="00962692"/>
    <w:rsid w:val="00962A97"/>
    <w:rsid w:val="009638AD"/>
    <w:rsid w:val="00965B96"/>
    <w:rsid w:val="00966440"/>
    <w:rsid w:val="00966D19"/>
    <w:rsid w:val="009677EB"/>
    <w:rsid w:val="00970655"/>
    <w:rsid w:val="00971964"/>
    <w:rsid w:val="00971E55"/>
    <w:rsid w:val="009723EA"/>
    <w:rsid w:val="00972A6A"/>
    <w:rsid w:val="00972B24"/>
    <w:rsid w:val="009735BC"/>
    <w:rsid w:val="009744F4"/>
    <w:rsid w:val="00974C5C"/>
    <w:rsid w:val="009751DE"/>
    <w:rsid w:val="009759B6"/>
    <w:rsid w:val="00976C78"/>
    <w:rsid w:val="00976D37"/>
    <w:rsid w:val="00977BA7"/>
    <w:rsid w:val="00977DF5"/>
    <w:rsid w:val="00981148"/>
    <w:rsid w:val="00981BD8"/>
    <w:rsid w:val="009828B6"/>
    <w:rsid w:val="00984446"/>
    <w:rsid w:val="009844FE"/>
    <w:rsid w:val="0098750E"/>
    <w:rsid w:val="00987D77"/>
    <w:rsid w:val="009918D6"/>
    <w:rsid w:val="0099286C"/>
    <w:rsid w:val="00992D21"/>
    <w:rsid w:val="00994077"/>
    <w:rsid w:val="009940E4"/>
    <w:rsid w:val="00994339"/>
    <w:rsid w:val="00994FD6"/>
    <w:rsid w:val="009950AB"/>
    <w:rsid w:val="0099644E"/>
    <w:rsid w:val="009967CB"/>
    <w:rsid w:val="00996964"/>
    <w:rsid w:val="009971C3"/>
    <w:rsid w:val="009979BA"/>
    <w:rsid w:val="009A122D"/>
    <w:rsid w:val="009A1504"/>
    <w:rsid w:val="009A1B58"/>
    <w:rsid w:val="009A3037"/>
    <w:rsid w:val="009A347E"/>
    <w:rsid w:val="009A517E"/>
    <w:rsid w:val="009A52C2"/>
    <w:rsid w:val="009A5C95"/>
    <w:rsid w:val="009A657B"/>
    <w:rsid w:val="009A676B"/>
    <w:rsid w:val="009A734F"/>
    <w:rsid w:val="009B03D0"/>
    <w:rsid w:val="009B0495"/>
    <w:rsid w:val="009B16AA"/>
    <w:rsid w:val="009B24F5"/>
    <w:rsid w:val="009B3D63"/>
    <w:rsid w:val="009B4228"/>
    <w:rsid w:val="009B57B7"/>
    <w:rsid w:val="009B5C69"/>
    <w:rsid w:val="009B6B0F"/>
    <w:rsid w:val="009C0DA7"/>
    <w:rsid w:val="009C1F4E"/>
    <w:rsid w:val="009C2CF2"/>
    <w:rsid w:val="009C329D"/>
    <w:rsid w:val="009C41C9"/>
    <w:rsid w:val="009C48BF"/>
    <w:rsid w:val="009C4DF9"/>
    <w:rsid w:val="009C6159"/>
    <w:rsid w:val="009C6657"/>
    <w:rsid w:val="009C6739"/>
    <w:rsid w:val="009C7D47"/>
    <w:rsid w:val="009C7D53"/>
    <w:rsid w:val="009D15AB"/>
    <w:rsid w:val="009D23F0"/>
    <w:rsid w:val="009D3391"/>
    <w:rsid w:val="009D364E"/>
    <w:rsid w:val="009D585B"/>
    <w:rsid w:val="009D63AA"/>
    <w:rsid w:val="009D70A0"/>
    <w:rsid w:val="009D756F"/>
    <w:rsid w:val="009D7E03"/>
    <w:rsid w:val="009E0903"/>
    <w:rsid w:val="009E092E"/>
    <w:rsid w:val="009E27EE"/>
    <w:rsid w:val="009E6C02"/>
    <w:rsid w:val="009E6E55"/>
    <w:rsid w:val="009E6F06"/>
    <w:rsid w:val="009E7181"/>
    <w:rsid w:val="009F0142"/>
    <w:rsid w:val="009F20B9"/>
    <w:rsid w:val="009F2156"/>
    <w:rsid w:val="009F4041"/>
    <w:rsid w:val="009F4385"/>
    <w:rsid w:val="009F4569"/>
    <w:rsid w:val="009F46CD"/>
    <w:rsid w:val="009F4796"/>
    <w:rsid w:val="009F66A2"/>
    <w:rsid w:val="009F6D7E"/>
    <w:rsid w:val="009F7C62"/>
    <w:rsid w:val="00A006A3"/>
    <w:rsid w:val="00A00E06"/>
    <w:rsid w:val="00A015C6"/>
    <w:rsid w:val="00A01DE9"/>
    <w:rsid w:val="00A02DEE"/>
    <w:rsid w:val="00A03749"/>
    <w:rsid w:val="00A03A00"/>
    <w:rsid w:val="00A047FE"/>
    <w:rsid w:val="00A05534"/>
    <w:rsid w:val="00A05928"/>
    <w:rsid w:val="00A05BA9"/>
    <w:rsid w:val="00A07C5A"/>
    <w:rsid w:val="00A07D6F"/>
    <w:rsid w:val="00A11252"/>
    <w:rsid w:val="00A11ADA"/>
    <w:rsid w:val="00A12496"/>
    <w:rsid w:val="00A154E5"/>
    <w:rsid w:val="00A15793"/>
    <w:rsid w:val="00A15AA7"/>
    <w:rsid w:val="00A15ED2"/>
    <w:rsid w:val="00A169E9"/>
    <w:rsid w:val="00A170E0"/>
    <w:rsid w:val="00A200EA"/>
    <w:rsid w:val="00A20977"/>
    <w:rsid w:val="00A22FD5"/>
    <w:rsid w:val="00A231E2"/>
    <w:rsid w:val="00A2457A"/>
    <w:rsid w:val="00A247DC"/>
    <w:rsid w:val="00A26F93"/>
    <w:rsid w:val="00A276D4"/>
    <w:rsid w:val="00A27AD5"/>
    <w:rsid w:val="00A30617"/>
    <w:rsid w:val="00A3079E"/>
    <w:rsid w:val="00A3107C"/>
    <w:rsid w:val="00A317AE"/>
    <w:rsid w:val="00A319BD"/>
    <w:rsid w:val="00A31B0F"/>
    <w:rsid w:val="00A31EC3"/>
    <w:rsid w:val="00A326E4"/>
    <w:rsid w:val="00A32AD3"/>
    <w:rsid w:val="00A32E04"/>
    <w:rsid w:val="00A32EC5"/>
    <w:rsid w:val="00A342B1"/>
    <w:rsid w:val="00A35925"/>
    <w:rsid w:val="00A35CBA"/>
    <w:rsid w:val="00A35EA1"/>
    <w:rsid w:val="00A36169"/>
    <w:rsid w:val="00A36898"/>
    <w:rsid w:val="00A404CD"/>
    <w:rsid w:val="00A408AA"/>
    <w:rsid w:val="00A40D36"/>
    <w:rsid w:val="00A426B4"/>
    <w:rsid w:val="00A42B88"/>
    <w:rsid w:val="00A471B8"/>
    <w:rsid w:val="00A47FD7"/>
    <w:rsid w:val="00A505D7"/>
    <w:rsid w:val="00A507C4"/>
    <w:rsid w:val="00A50A1D"/>
    <w:rsid w:val="00A517F3"/>
    <w:rsid w:val="00A52392"/>
    <w:rsid w:val="00A52588"/>
    <w:rsid w:val="00A525AF"/>
    <w:rsid w:val="00A5262C"/>
    <w:rsid w:val="00A53931"/>
    <w:rsid w:val="00A55579"/>
    <w:rsid w:val="00A56AE6"/>
    <w:rsid w:val="00A56FE7"/>
    <w:rsid w:val="00A579CE"/>
    <w:rsid w:val="00A57F29"/>
    <w:rsid w:val="00A6030E"/>
    <w:rsid w:val="00A6037D"/>
    <w:rsid w:val="00A61977"/>
    <w:rsid w:val="00A61D00"/>
    <w:rsid w:val="00A62183"/>
    <w:rsid w:val="00A62644"/>
    <w:rsid w:val="00A631BF"/>
    <w:rsid w:val="00A64EFE"/>
    <w:rsid w:val="00A66168"/>
    <w:rsid w:val="00A661FE"/>
    <w:rsid w:val="00A66613"/>
    <w:rsid w:val="00A668C0"/>
    <w:rsid w:val="00A66CEB"/>
    <w:rsid w:val="00A676C8"/>
    <w:rsid w:val="00A67F19"/>
    <w:rsid w:val="00A67F77"/>
    <w:rsid w:val="00A70B86"/>
    <w:rsid w:val="00A72330"/>
    <w:rsid w:val="00A735D5"/>
    <w:rsid w:val="00A746C3"/>
    <w:rsid w:val="00A755C2"/>
    <w:rsid w:val="00A761CC"/>
    <w:rsid w:val="00A76CFA"/>
    <w:rsid w:val="00A8073E"/>
    <w:rsid w:val="00A808A0"/>
    <w:rsid w:val="00A818B4"/>
    <w:rsid w:val="00A827FE"/>
    <w:rsid w:val="00A82F18"/>
    <w:rsid w:val="00A82F7B"/>
    <w:rsid w:val="00A831C1"/>
    <w:rsid w:val="00A83E08"/>
    <w:rsid w:val="00A87044"/>
    <w:rsid w:val="00A87C5E"/>
    <w:rsid w:val="00A91030"/>
    <w:rsid w:val="00A913A1"/>
    <w:rsid w:val="00A91D8B"/>
    <w:rsid w:val="00A91E81"/>
    <w:rsid w:val="00A91FD8"/>
    <w:rsid w:val="00A92995"/>
    <w:rsid w:val="00A92E0D"/>
    <w:rsid w:val="00A93D88"/>
    <w:rsid w:val="00AA0211"/>
    <w:rsid w:val="00AA050E"/>
    <w:rsid w:val="00AA185A"/>
    <w:rsid w:val="00AA3861"/>
    <w:rsid w:val="00AA3BDB"/>
    <w:rsid w:val="00AA5DBE"/>
    <w:rsid w:val="00AA5E7D"/>
    <w:rsid w:val="00AA5F75"/>
    <w:rsid w:val="00AA62E7"/>
    <w:rsid w:val="00AA6345"/>
    <w:rsid w:val="00AA6A72"/>
    <w:rsid w:val="00AA71EB"/>
    <w:rsid w:val="00AA7820"/>
    <w:rsid w:val="00AB01EC"/>
    <w:rsid w:val="00AB0B4F"/>
    <w:rsid w:val="00AB1385"/>
    <w:rsid w:val="00AB369A"/>
    <w:rsid w:val="00AB3803"/>
    <w:rsid w:val="00AB4E10"/>
    <w:rsid w:val="00AB543E"/>
    <w:rsid w:val="00AB555F"/>
    <w:rsid w:val="00AB587C"/>
    <w:rsid w:val="00AB5F01"/>
    <w:rsid w:val="00AB644C"/>
    <w:rsid w:val="00AB7A69"/>
    <w:rsid w:val="00AB7A72"/>
    <w:rsid w:val="00AB7ADE"/>
    <w:rsid w:val="00AC1CD8"/>
    <w:rsid w:val="00AC2A5B"/>
    <w:rsid w:val="00AC355A"/>
    <w:rsid w:val="00AC579C"/>
    <w:rsid w:val="00AC5B0B"/>
    <w:rsid w:val="00AD0851"/>
    <w:rsid w:val="00AD1038"/>
    <w:rsid w:val="00AD188B"/>
    <w:rsid w:val="00AD255A"/>
    <w:rsid w:val="00AD4726"/>
    <w:rsid w:val="00AD4F83"/>
    <w:rsid w:val="00AD5274"/>
    <w:rsid w:val="00AD6801"/>
    <w:rsid w:val="00AD797A"/>
    <w:rsid w:val="00AD9F08"/>
    <w:rsid w:val="00AE13D8"/>
    <w:rsid w:val="00AE184A"/>
    <w:rsid w:val="00AE1B6B"/>
    <w:rsid w:val="00AE2A98"/>
    <w:rsid w:val="00AE3590"/>
    <w:rsid w:val="00AE3611"/>
    <w:rsid w:val="00AE3636"/>
    <w:rsid w:val="00AE3646"/>
    <w:rsid w:val="00AE377F"/>
    <w:rsid w:val="00AE39B6"/>
    <w:rsid w:val="00AE4D83"/>
    <w:rsid w:val="00AE523C"/>
    <w:rsid w:val="00AE5295"/>
    <w:rsid w:val="00AE5FCD"/>
    <w:rsid w:val="00AE63F4"/>
    <w:rsid w:val="00AE6504"/>
    <w:rsid w:val="00AE72E1"/>
    <w:rsid w:val="00AF0313"/>
    <w:rsid w:val="00AF035B"/>
    <w:rsid w:val="00AF035D"/>
    <w:rsid w:val="00AF22B7"/>
    <w:rsid w:val="00AF2A82"/>
    <w:rsid w:val="00AF2AAF"/>
    <w:rsid w:val="00AF2CD9"/>
    <w:rsid w:val="00AF327D"/>
    <w:rsid w:val="00AF32E3"/>
    <w:rsid w:val="00AF3BED"/>
    <w:rsid w:val="00AF49A7"/>
    <w:rsid w:val="00AF4C2E"/>
    <w:rsid w:val="00AF55ED"/>
    <w:rsid w:val="00AF5AC2"/>
    <w:rsid w:val="00AF5CDB"/>
    <w:rsid w:val="00AF66EA"/>
    <w:rsid w:val="00B0023B"/>
    <w:rsid w:val="00B00248"/>
    <w:rsid w:val="00B00863"/>
    <w:rsid w:val="00B0126E"/>
    <w:rsid w:val="00B025FB"/>
    <w:rsid w:val="00B02768"/>
    <w:rsid w:val="00B032D8"/>
    <w:rsid w:val="00B035B8"/>
    <w:rsid w:val="00B04498"/>
    <w:rsid w:val="00B057CF"/>
    <w:rsid w:val="00B06541"/>
    <w:rsid w:val="00B067E6"/>
    <w:rsid w:val="00B1070B"/>
    <w:rsid w:val="00B12AE0"/>
    <w:rsid w:val="00B13242"/>
    <w:rsid w:val="00B133FD"/>
    <w:rsid w:val="00B13F13"/>
    <w:rsid w:val="00B15DA4"/>
    <w:rsid w:val="00B162BC"/>
    <w:rsid w:val="00B165B4"/>
    <w:rsid w:val="00B17CDC"/>
    <w:rsid w:val="00B20794"/>
    <w:rsid w:val="00B21C1C"/>
    <w:rsid w:val="00B21E73"/>
    <w:rsid w:val="00B22508"/>
    <w:rsid w:val="00B23473"/>
    <w:rsid w:val="00B235B2"/>
    <w:rsid w:val="00B24779"/>
    <w:rsid w:val="00B24A9B"/>
    <w:rsid w:val="00B25613"/>
    <w:rsid w:val="00B25F7E"/>
    <w:rsid w:val="00B26D74"/>
    <w:rsid w:val="00B26F43"/>
    <w:rsid w:val="00B273B7"/>
    <w:rsid w:val="00B275FB"/>
    <w:rsid w:val="00B306BC"/>
    <w:rsid w:val="00B30C94"/>
    <w:rsid w:val="00B31301"/>
    <w:rsid w:val="00B31408"/>
    <w:rsid w:val="00B31A08"/>
    <w:rsid w:val="00B323C7"/>
    <w:rsid w:val="00B3308F"/>
    <w:rsid w:val="00B33A73"/>
    <w:rsid w:val="00B3442C"/>
    <w:rsid w:val="00B34A92"/>
    <w:rsid w:val="00B34C43"/>
    <w:rsid w:val="00B358F7"/>
    <w:rsid w:val="00B35958"/>
    <w:rsid w:val="00B35C7A"/>
    <w:rsid w:val="00B3607F"/>
    <w:rsid w:val="00B37C24"/>
    <w:rsid w:val="00B37E13"/>
    <w:rsid w:val="00B406C0"/>
    <w:rsid w:val="00B41AEC"/>
    <w:rsid w:val="00B42138"/>
    <w:rsid w:val="00B42418"/>
    <w:rsid w:val="00B42FD2"/>
    <w:rsid w:val="00B437CA"/>
    <w:rsid w:val="00B44883"/>
    <w:rsid w:val="00B45BF8"/>
    <w:rsid w:val="00B4658C"/>
    <w:rsid w:val="00B46604"/>
    <w:rsid w:val="00B47440"/>
    <w:rsid w:val="00B47523"/>
    <w:rsid w:val="00B502E7"/>
    <w:rsid w:val="00B506BB"/>
    <w:rsid w:val="00B50E07"/>
    <w:rsid w:val="00B50E6E"/>
    <w:rsid w:val="00B512AE"/>
    <w:rsid w:val="00B52C9D"/>
    <w:rsid w:val="00B54297"/>
    <w:rsid w:val="00B5487A"/>
    <w:rsid w:val="00B552DE"/>
    <w:rsid w:val="00B5553C"/>
    <w:rsid w:val="00B55D92"/>
    <w:rsid w:val="00B57A69"/>
    <w:rsid w:val="00B57BAF"/>
    <w:rsid w:val="00B57D70"/>
    <w:rsid w:val="00B6042C"/>
    <w:rsid w:val="00B60BEE"/>
    <w:rsid w:val="00B61368"/>
    <w:rsid w:val="00B62531"/>
    <w:rsid w:val="00B64537"/>
    <w:rsid w:val="00B64D15"/>
    <w:rsid w:val="00B66015"/>
    <w:rsid w:val="00B660E6"/>
    <w:rsid w:val="00B667B0"/>
    <w:rsid w:val="00B67069"/>
    <w:rsid w:val="00B6778C"/>
    <w:rsid w:val="00B705D0"/>
    <w:rsid w:val="00B70778"/>
    <w:rsid w:val="00B716D7"/>
    <w:rsid w:val="00B71F6A"/>
    <w:rsid w:val="00B7293C"/>
    <w:rsid w:val="00B72E6A"/>
    <w:rsid w:val="00B7395E"/>
    <w:rsid w:val="00B741C9"/>
    <w:rsid w:val="00B74CE9"/>
    <w:rsid w:val="00B76BFF"/>
    <w:rsid w:val="00B8083A"/>
    <w:rsid w:val="00B80C0D"/>
    <w:rsid w:val="00B80D44"/>
    <w:rsid w:val="00B84013"/>
    <w:rsid w:val="00B840B2"/>
    <w:rsid w:val="00B859D1"/>
    <w:rsid w:val="00B863A0"/>
    <w:rsid w:val="00B869D6"/>
    <w:rsid w:val="00B86C3A"/>
    <w:rsid w:val="00B8744B"/>
    <w:rsid w:val="00B87A5A"/>
    <w:rsid w:val="00B87E63"/>
    <w:rsid w:val="00B87F2A"/>
    <w:rsid w:val="00B9021B"/>
    <w:rsid w:val="00B9086D"/>
    <w:rsid w:val="00B909D3"/>
    <w:rsid w:val="00B91CE3"/>
    <w:rsid w:val="00B96256"/>
    <w:rsid w:val="00B97BFD"/>
    <w:rsid w:val="00B97F7C"/>
    <w:rsid w:val="00BA155F"/>
    <w:rsid w:val="00BA1E1C"/>
    <w:rsid w:val="00BA247B"/>
    <w:rsid w:val="00BA30D4"/>
    <w:rsid w:val="00BA3FF5"/>
    <w:rsid w:val="00BA47A5"/>
    <w:rsid w:val="00BA555B"/>
    <w:rsid w:val="00BA5A03"/>
    <w:rsid w:val="00BA5C40"/>
    <w:rsid w:val="00BA663A"/>
    <w:rsid w:val="00BA66DA"/>
    <w:rsid w:val="00BA70C3"/>
    <w:rsid w:val="00BA7E12"/>
    <w:rsid w:val="00BB002B"/>
    <w:rsid w:val="00BB0058"/>
    <w:rsid w:val="00BB0999"/>
    <w:rsid w:val="00BB0B9C"/>
    <w:rsid w:val="00BB1083"/>
    <w:rsid w:val="00BB1EE8"/>
    <w:rsid w:val="00BB1F5D"/>
    <w:rsid w:val="00BB2BD5"/>
    <w:rsid w:val="00BB2D3A"/>
    <w:rsid w:val="00BB2DB9"/>
    <w:rsid w:val="00BB34D7"/>
    <w:rsid w:val="00BB4357"/>
    <w:rsid w:val="00BB588E"/>
    <w:rsid w:val="00BB735D"/>
    <w:rsid w:val="00BB7892"/>
    <w:rsid w:val="00BC1163"/>
    <w:rsid w:val="00BC1617"/>
    <w:rsid w:val="00BC1955"/>
    <w:rsid w:val="00BC1D52"/>
    <w:rsid w:val="00BC2EFF"/>
    <w:rsid w:val="00BC3496"/>
    <w:rsid w:val="00BC3C41"/>
    <w:rsid w:val="00BC497F"/>
    <w:rsid w:val="00BC58C4"/>
    <w:rsid w:val="00BC6CAD"/>
    <w:rsid w:val="00BC7A20"/>
    <w:rsid w:val="00BD08A3"/>
    <w:rsid w:val="00BD16D7"/>
    <w:rsid w:val="00BD233A"/>
    <w:rsid w:val="00BD3A55"/>
    <w:rsid w:val="00BD3A5F"/>
    <w:rsid w:val="00BD4C04"/>
    <w:rsid w:val="00BD5463"/>
    <w:rsid w:val="00BD6209"/>
    <w:rsid w:val="00BD64A4"/>
    <w:rsid w:val="00BD67FC"/>
    <w:rsid w:val="00BD70B9"/>
    <w:rsid w:val="00BD7590"/>
    <w:rsid w:val="00BD788C"/>
    <w:rsid w:val="00BE047C"/>
    <w:rsid w:val="00BE09F9"/>
    <w:rsid w:val="00BE0BAF"/>
    <w:rsid w:val="00BE1080"/>
    <w:rsid w:val="00BE1A92"/>
    <w:rsid w:val="00BE2041"/>
    <w:rsid w:val="00BE268C"/>
    <w:rsid w:val="00BE352A"/>
    <w:rsid w:val="00BE3710"/>
    <w:rsid w:val="00BE50C8"/>
    <w:rsid w:val="00BE662C"/>
    <w:rsid w:val="00BE7261"/>
    <w:rsid w:val="00BE749E"/>
    <w:rsid w:val="00BF0B1D"/>
    <w:rsid w:val="00BF0C4D"/>
    <w:rsid w:val="00BF13AF"/>
    <w:rsid w:val="00BF2B41"/>
    <w:rsid w:val="00BF2BBF"/>
    <w:rsid w:val="00BF3953"/>
    <w:rsid w:val="00BF3FA6"/>
    <w:rsid w:val="00BF4481"/>
    <w:rsid w:val="00BF4889"/>
    <w:rsid w:val="00C01237"/>
    <w:rsid w:val="00C02028"/>
    <w:rsid w:val="00C02A05"/>
    <w:rsid w:val="00C03502"/>
    <w:rsid w:val="00C03614"/>
    <w:rsid w:val="00C03A05"/>
    <w:rsid w:val="00C0404A"/>
    <w:rsid w:val="00C0475B"/>
    <w:rsid w:val="00C04D17"/>
    <w:rsid w:val="00C05889"/>
    <w:rsid w:val="00C06EA1"/>
    <w:rsid w:val="00C07840"/>
    <w:rsid w:val="00C078A1"/>
    <w:rsid w:val="00C07C1F"/>
    <w:rsid w:val="00C1173C"/>
    <w:rsid w:val="00C11FE9"/>
    <w:rsid w:val="00C1490A"/>
    <w:rsid w:val="00C14CFB"/>
    <w:rsid w:val="00C14EA0"/>
    <w:rsid w:val="00C15134"/>
    <w:rsid w:val="00C15BF9"/>
    <w:rsid w:val="00C16BE6"/>
    <w:rsid w:val="00C200B8"/>
    <w:rsid w:val="00C202F3"/>
    <w:rsid w:val="00C22290"/>
    <w:rsid w:val="00C2301D"/>
    <w:rsid w:val="00C230F7"/>
    <w:rsid w:val="00C23DF8"/>
    <w:rsid w:val="00C23E08"/>
    <w:rsid w:val="00C24B71"/>
    <w:rsid w:val="00C250A3"/>
    <w:rsid w:val="00C252BE"/>
    <w:rsid w:val="00C26DAC"/>
    <w:rsid w:val="00C26F2F"/>
    <w:rsid w:val="00C27CEA"/>
    <w:rsid w:val="00C27D08"/>
    <w:rsid w:val="00C30B66"/>
    <w:rsid w:val="00C30EB3"/>
    <w:rsid w:val="00C314EE"/>
    <w:rsid w:val="00C32139"/>
    <w:rsid w:val="00C321DB"/>
    <w:rsid w:val="00C32869"/>
    <w:rsid w:val="00C32D6C"/>
    <w:rsid w:val="00C33D2B"/>
    <w:rsid w:val="00C34735"/>
    <w:rsid w:val="00C35F02"/>
    <w:rsid w:val="00C36B6D"/>
    <w:rsid w:val="00C37AAA"/>
    <w:rsid w:val="00C403F3"/>
    <w:rsid w:val="00C418DF"/>
    <w:rsid w:val="00C42215"/>
    <w:rsid w:val="00C429CC"/>
    <w:rsid w:val="00C4314C"/>
    <w:rsid w:val="00C43A95"/>
    <w:rsid w:val="00C44FD6"/>
    <w:rsid w:val="00C456AB"/>
    <w:rsid w:val="00C4771F"/>
    <w:rsid w:val="00C47920"/>
    <w:rsid w:val="00C50308"/>
    <w:rsid w:val="00C504A1"/>
    <w:rsid w:val="00C50C96"/>
    <w:rsid w:val="00C5148D"/>
    <w:rsid w:val="00C5176E"/>
    <w:rsid w:val="00C51E3F"/>
    <w:rsid w:val="00C5212C"/>
    <w:rsid w:val="00C52654"/>
    <w:rsid w:val="00C52E30"/>
    <w:rsid w:val="00C54587"/>
    <w:rsid w:val="00C56504"/>
    <w:rsid w:val="00C56F5F"/>
    <w:rsid w:val="00C57169"/>
    <w:rsid w:val="00C57300"/>
    <w:rsid w:val="00C57679"/>
    <w:rsid w:val="00C57691"/>
    <w:rsid w:val="00C600B7"/>
    <w:rsid w:val="00C60ECE"/>
    <w:rsid w:val="00C61A06"/>
    <w:rsid w:val="00C6315C"/>
    <w:rsid w:val="00C63B80"/>
    <w:rsid w:val="00C63BE8"/>
    <w:rsid w:val="00C64020"/>
    <w:rsid w:val="00C64358"/>
    <w:rsid w:val="00C654E9"/>
    <w:rsid w:val="00C66340"/>
    <w:rsid w:val="00C67B0A"/>
    <w:rsid w:val="00C70A62"/>
    <w:rsid w:val="00C71B79"/>
    <w:rsid w:val="00C71DFF"/>
    <w:rsid w:val="00C72946"/>
    <w:rsid w:val="00C73237"/>
    <w:rsid w:val="00C73D90"/>
    <w:rsid w:val="00C7431F"/>
    <w:rsid w:val="00C756B1"/>
    <w:rsid w:val="00C7738A"/>
    <w:rsid w:val="00C77440"/>
    <w:rsid w:val="00C7779E"/>
    <w:rsid w:val="00C812D6"/>
    <w:rsid w:val="00C81F66"/>
    <w:rsid w:val="00C83423"/>
    <w:rsid w:val="00C836D5"/>
    <w:rsid w:val="00C84542"/>
    <w:rsid w:val="00C84982"/>
    <w:rsid w:val="00C8744D"/>
    <w:rsid w:val="00C90505"/>
    <w:rsid w:val="00C90D33"/>
    <w:rsid w:val="00C9125A"/>
    <w:rsid w:val="00C939B9"/>
    <w:rsid w:val="00C93A60"/>
    <w:rsid w:val="00C93AB7"/>
    <w:rsid w:val="00C940EE"/>
    <w:rsid w:val="00C95D07"/>
    <w:rsid w:val="00C9782D"/>
    <w:rsid w:val="00CA1813"/>
    <w:rsid w:val="00CA278E"/>
    <w:rsid w:val="00CA2BB1"/>
    <w:rsid w:val="00CA2F43"/>
    <w:rsid w:val="00CA3651"/>
    <w:rsid w:val="00CA4461"/>
    <w:rsid w:val="00CA4C01"/>
    <w:rsid w:val="00CA5542"/>
    <w:rsid w:val="00CA692A"/>
    <w:rsid w:val="00CA7729"/>
    <w:rsid w:val="00CA7FEC"/>
    <w:rsid w:val="00CB22B2"/>
    <w:rsid w:val="00CB2D2D"/>
    <w:rsid w:val="00CB2DB0"/>
    <w:rsid w:val="00CB3434"/>
    <w:rsid w:val="00CB3EA3"/>
    <w:rsid w:val="00CB560B"/>
    <w:rsid w:val="00CB580A"/>
    <w:rsid w:val="00CB690C"/>
    <w:rsid w:val="00CB6B62"/>
    <w:rsid w:val="00CB6E57"/>
    <w:rsid w:val="00CC12C3"/>
    <w:rsid w:val="00CC1CC2"/>
    <w:rsid w:val="00CC217F"/>
    <w:rsid w:val="00CC2CBF"/>
    <w:rsid w:val="00CC3FDA"/>
    <w:rsid w:val="00CC5558"/>
    <w:rsid w:val="00CC621A"/>
    <w:rsid w:val="00CC6574"/>
    <w:rsid w:val="00CC7A31"/>
    <w:rsid w:val="00CD053B"/>
    <w:rsid w:val="00CD34BF"/>
    <w:rsid w:val="00CD3FFA"/>
    <w:rsid w:val="00CD439F"/>
    <w:rsid w:val="00CD4424"/>
    <w:rsid w:val="00CD47A9"/>
    <w:rsid w:val="00CD4CAE"/>
    <w:rsid w:val="00CD5579"/>
    <w:rsid w:val="00CD5A40"/>
    <w:rsid w:val="00CD6278"/>
    <w:rsid w:val="00CD7499"/>
    <w:rsid w:val="00CD7DD0"/>
    <w:rsid w:val="00CE004F"/>
    <w:rsid w:val="00CE13BB"/>
    <w:rsid w:val="00CE158C"/>
    <w:rsid w:val="00CE1A3F"/>
    <w:rsid w:val="00CE23D5"/>
    <w:rsid w:val="00CE2C9A"/>
    <w:rsid w:val="00CE5F2E"/>
    <w:rsid w:val="00CE73D6"/>
    <w:rsid w:val="00CE752A"/>
    <w:rsid w:val="00CF1525"/>
    <w:rsid w:val="00CF1E7A"/>
    <w:rsid w:val="00CF2238"/>
    <w:rsid w:val="00CF2900"/>
    <w:rsid w:val="00CF2B67"/>
    <w:rsid w:val="00CF3540"/>
    <w:rsid w:val="00CF4626"/>
    <w:rsid w:val="00CF5784"/>
    <w:rsid w:val="00CF5C41"/>
    <w:rsid w:val="00CF5F5D"/>
    <w:rsid w:val="00CF6957"/>
    <w:rsid w:val="00CF7DFA"/>
    <w:rsid w:val="00CF7FC5"/>
    <w:rsid w:val="00D00505"/>
    <w:rsid w:val="00D01B9F"/>
    <w:rsid w:val="00D02D9D"/>
    <w:rsid w:val="00D02EFB"/>
    <w:rsid w:val="00D041BE"/>
    <w:rsid w:val="00D049E7"/>
    <w:rsid w:val="00D04C8E"/>
    <w:rsid w:val="00D04E11"/>
    <w:rsid w:val="00D04E75"/>
    <w:rsid w:val="00D05E54"/>
    <w:rsid w:val="00D10261"/>
    <w:rsid w:val="00D11EF8"/>
    <w:rsid w:val="00D11F7D"/>
    <w:rsid w:val="00D134DD"/>
    <w:rsid w:val="00D14242"/>
    <w:rsid w:val="00D15650"/>
    <w:rsid w:val="00D1583A"/>
    <w:rsid w:val="00D218D6"/>
    <w:rsid w:val="00D2245F"/>
    <w:rsid w:val="00D225C7"/>
    <w:rsid w:val="00D2684F"/>
    <w:rsid w:val="00D26F03"/>
    <w:rsid w:val="00D27AB1"/>
    <w:rsid w:val="00D31E35"/>
    <w:rsid w:val="00D33018"/>
    <w:rsid w:val="00D33765"/>
    <w:rsid w:val="00D341B5"/>
    <w:rsid w:val="00D34C06"/>
    <w:rsid w:val="00D35DA0"/>
    <w:rsid w:val="00D36721"/>
    <w:rsid w:val="00D36783"/>
    <w:rsid w:val="00D36F5A"/>
    <w:rsid w:val="00D37BAF"/>
    <w:rsid w:val="00D40B28"/>
    <w:rsid w:val="00D40B52"/>
    <w:rsid w:val="00D4110A"/>
    <w:rsid w:val="00D42706"/>
    <w:rsid w:val="00D454AA"/>
    <w:rsid w:val="00D45640"/>
    <w:rsid w:val="00D4636A"/>
    <w:rsid w:val="00D46E7A"/>
    <w:rsid w:val="00D46F81"/>
    <w:rsid w:val="00D46FCE"/>
    <w:rsid w:val="00D47357"/>
    <w:rsid w:val="00D504EE"/>
    <w:rsid w:val="00D513EE"/>
    <w:rsid w:val="00D514D4"/>
    <w:rsid w:val="00D5196D"/>
    <w:rsid w:val="00D51A63"/>
    <w:rsid w:val="00D51D3E"/>
    <w:rsid w:val="00D52C5F"/>
    <w:rsid w:val="00D537ED"/>
    <w:rsid w:val="00D5397F"/>
    <w:rsid w:val="00D543AD"/>
    <w:rsid w:val="00D549A8"/>
    <w:rsid w:val="00D55253"/>
    <w:rsid w:val="00D5559E"/>
    <w:rsid w:val="00D57207"/>
    <w:rsid w:val="00D617F6"/>
    <w:rsid w:val="00D63061"/>
    <w:rsid w:val="00D64501"/>
    <w:rsid w:val="00D64879"/>
    <w:rsid w:val="00D64E7D"/>
    <w:rsid w:val="00D64FEC"/>
    <w:rsid w:val="00D65EFD"/>
    <w:rsid w:val="00D718EB"/>
    <w:rsid w:val="00D727DB"/>
    <w:rsid w:val="00D73027"/>
    <w:rsid w:val="00D739EB"/>
    <w:rsid w:val="00D73CFE"/>
    <w:rsid w:val="00D74038"/>
    <w:rsid w:val="00D74119"/>
    <w:rsid w:val="00D76565"/>
    <w:rsid w:val="00D76F81"/>
    <w:rsid w:val="00D80208"/>
    <w:rsid w:val="00D820E3"/>
    <w:rsid w:val="00D83AF9"/>
    <w:rsid w:val="00D847BE"/>
    <w:rsid w:val="00D8545B"/>
    <w:rsid w:val="00D856A8"/>
    <w:rsid w:val="00D85829"/>
    <w:rsid w:val="00D85AD1"/>
    <w:rsid w:val="00D85C5F"/>
    <w:rsid w:val="00D8667E"/>
    <w:rsid w:val="00D871A0"/>
    <w:rsid w:val="00D87985"/>
    <w:rsid w:val="00D87B89"/>
    <w:rsid w:val="00D87FF9"/>
    <w:rsid w:val="00D90DF8"/>
    <w:rsid w:val="00D90F7C"/>
    <w:rsid w:val="00D91455"/>
    <w:rsid w:val="00D91C3E"/>
    <w:rsid w:val="00D91E60"/>
    <w:rsid w:val="00D9258B"/>
    <w:rsid w:val="00D93D8F"/>
    <w:rsid w:val="00D94498"/>
    <w:rsid w:val="00D9626E"/>
    <w:rsid w:val="00D97005"/>
    <w:rsid w:val="00D97629"/>
    <w:rsid w:val="00DA0000"/>
    <w:rsid w:val="00DA0366"/>
    <w:rsid w:val="00DA05AE"/>
    <w:rsid w:val="00DA105E"/>
    <w:rsid w:val="00DA1D70"/>
    <w:rsid w:val="00DA293B"/>
    <w:rsid w:val="00DA52B3"/>
    <w:rsid w:val="00DA5845"/>
    <w:rsid w:val="00DA668A"/>
    <w:rsid w:val="00DA6C41"/>
    <w:rsid w:val="00DB0691"/>
    <w:rsid w:val="00DB141C"/>
    <w:rsid w:val="00DB21AB"/>
    <w:rsid w:val="00DB3C9C"/>
    <w:rsid w:val="00DB41F9"/>
    <w:rsid w:val="00DB448E"/>
    <w:rsid w:val="00DB50B6"/>
    <w:rsid w:val="00DB66B6"/>
    <w:rsid w:val="00DB6A41"/>
    <w:rsid w:val="00DB78D0"/>
    <w:rsid w:val="00DC19C7"/>
    <w:rsid w:val="00DC1F62"/>
    <w:rsid w:val="00DC223B"/>
    <w:rsid w:val="00DC3204"/>
    <w:rsid w:val="00DC3DE1"/>
    <w:rsid w:val="00DC5739"/>
    <w:rsid w:val="00DC66D5"/>
    <w:rsid w:val="00DC7597"/>
    <w:rsid w:val="00DC771F"/>
    <w:rsid w:val="00DC79D0"/>
    <w:rsid w:val="00DD0317"/>
    <w:rsid w:val="00DD0864"/>
    <w:rsid w:val="00DD0AA4"/>
    <w:rsid w:val="00DD0C28"/>
    <w:rsid w:val="00DD0D25"/>
    <w:rsid w:val="00DD11F6"/>
    <w:rsid w:val="00DD21FC"/>
    <w:rsid w:val="00DD2B17"/>
    <w:rsid w:val="00DD397C"/>
    <w:rsid w:val="00DD4D94"/>
    <w:rsid w:val="00DD5ADA"/>
    <w:rsid w:val="00DD66B7"/>
    <w:rsid w:val="00DD7B2A"/>
    <w:rsid w:val="00DD7E93"/>
    <w:rsid w:val="00DE0785"/>
    <w:rsid w:val="00DE0ECB"/>
    <w:rsid w:val="00DE106B"/>
    <w:rsid w:val="00DE13DB"/>
    <w:rsid w:val="00DE2807"/>
    <w:rsid w:val="00DE351C"/>
    <w:rsid w:val="00DE5876"/>
    <w:rsid w:val="00DE68B2"/>
    <w:rsid w:val="00DE75C7"/>
    <w:rsid w:val="00DE7BD5"/>
    <w:rsid w:val="00DF0B76"/>
    <w:rsid w:val="00DF1EF4"/>
    <w:rsid w:val="00DF1FDB"/>
    <w:rsid w:val="00DF2F32"/>
    <w:rsid w:val="00DF4E62"/>
    <w:rsid w:val="00DF4EC0"/>
    <w:rsid w:val="00DF5300"/>
    <w:rsid w:val="00DF68E0"/>
    <w:rsid w:val="00DF71A5"/>
    <w:rsid w:val="00DF7438"/>
    <w:rsid w:val="00E0020B"/>
    <w:rsid w:val="00E012CD"/>
    <w:rsid w:val="00E01DA9"/>
    <w:rsid w:val="00E04F46"/>
    <w:rsid w:val="00E05353"/>
    <w:rsid w:val="00E05B19"/>
    <w:rsid w:val="00E06841"/>
    <w:rsid w:val="00E06A93"/>
    <w:rsid w:val="00E075EB"/>
    <w:rsid w:val="00E10AC7"/>
    <w:rsid w:val="00E111FA"/>
    <w:rsid w:val="00E118CB"/>
    <w:rsid w:val="00E126EA"/>
    <w:rsid w:val="00E12782"/>
    <w:rsid w:val="00E12A0F"/>
    <w:rsid w:val="00E1317B"/>
    <w:rsid w:val="00E13C1A"/>
    <w:rsid w:val="00E144FA"/>
    <w:rsid w:val="00E15954"/>
    <w:rsid w:val="00E163E3"/>
    <w:rsid w:val="00E16799"/>
    <w:rsid w:val="00E17BF2"/>
    <w:rsid w:val="00E204F8"/>
    <w:rsid w:val="00E215F3"/>
    <w:rsid w:val="00E22842"/>
    <w:rsid w:val="00E22921"/>
    <w:rsid w:val="00E24284"/>
    <w:rsid w:val="00E24B4C"/>
    <w:rsid w:val="00E25A7B"/>
    <w:rsid w:val="00E265D5"/>
    <w:rsid w:val="00E2676A"/>
    <w:rsid w:val="00E27BD0"/>
    <w:rsid w:val="00E3032A"/>
    <w:rsid w:val="00E30C19"/>
    <w:rsid w:val="00E30CF1"/>
    <w:rsid w:val="00E3273F"/>
    <w:rsid w:val="00E32811"/>
    <w:rsid w:val="00E34E16"/>
    <w:rsid w:val="00E34F08"/>
    <w:rsid w:val="00E354DF"/>
    <w:rsid w:val="00E36D8B"/>
    <w:rsid w:val="00E36E98"/>
    <w:rsid w:val="00E40364"/>
    <w:rsid w:val="00E43009"/>
    <w:rsid w:val="00E43AA1"/>
    <w:rsid w:val="00E43AB7"/>
    <w:rsid w:val="00E44128"/>
    <w:rsid w:val="00E454F2"/>
    <w:rsid w:val="00E4637D"/>
    <w:rsid w:val="00E4686C"/>
    <w:rsid w:val="00E475D3"/>
    <w:rsid w:val="00E50A14"/>
    <w:rsid w:val="00E50CA7"/>
    <w:rsid w:val="00E50DB8"/>
    <w:rsid w:val="00E51384"/>
    <w:rsid w:val="00E51966"/>
    <w:rsid w:val="00E52064"/>
    <w:rsid w:val="00E5274D"/>
    <w:rsid w:val="00E5344B"/>
    <w:rsid w:val="00E5490E"/>
    <w:rsid w:val="00E554D7"/>
    <w:rsid w:val="00E55BD6"/>
    <w:rsid w:val="00E56D7F"/>
    <w:rsid w:val="00E608E8"/>
    <w:rsid w:val="00E617DD"/>
    <w:rsid w:val="00E61A32"/>
    <w:rsid w:val="00E6452D"/>
    <w:rsid w:val="00E657BF"/>
    <w:rsid w:val="00E65E71"/>
    <w:rsid w:val="00E6609D"/>
    <w:rsid w:val="00E661EB"/>
    <w:rsid w:val="00E66327"/>
    <w:rsid w:val="00E66BFC"/>
    <w:rsid w:val="00E6725D"/>
    <w:rsid w:val="00E67909"/>
    <w:rsid w:val="00E717E8"/>
    <w:rsid w:val="00E74B9F"/>
    <w:rsid w:val="00E76259"/>
    <w:rsid w:val="00E766E6"/>
    <w:rsid w:val="00E77B2F"/>
    <w:rsid w:val="00E77C98"/>
    <w:rsid w:val="00E77EA5"/>
    <w:rsid w:val="00E80CEC"/>
    <w:rsid w:val="00E81097"/>
    <w:rsid w:val="00E82A76"/>
    <w:rsid w:val="00E8371A"/>
    <w:rsid w:val="00E84219"/>
    <w:rsid w:val="00E84714"/>
    <w:rsid w:val="00E848F9"/>
    <w:rsid w:val="00E84C42"/>
    <w:rsid w:val="00E85916"/>
    <w:rsid w:val="00E867D2"/>
    <w:rsid w:val="00E86E42"/>
    <w:rsid w:val="00E87090"/>
    <w:rsid w:val="00E87681"/>
    <w:rsid w:val="00E904B8"/>
    <w:rsid w:val="00E91543"/>
    <w:rsid w:val="00E91604"/>
    <w:rsid w:val="00E91B0B"/>
    <w:rsid w:val="00E92AFA"/>
    <w:rsid w:val="00E94148"/>
    <w:rsid w:val="00E95E14"/>
    <w:rsid w:val="00E95FD2"/>
    <w:rsid w:val="00E96CEC"/>
    <w:rsid w:val="00E96DF8"/>
    <w:rsid w:val="00E973B8"/>
    <w:rsid w:val="00EA1517"/>
    <w:rsid w:val="00EA2CA3"/>
    <w:rsid w:val="00EA3635"/>
    <w:rsid w:val="00EA3CA0"/>
    <w:rsid w:val="00EA3F97"/>
    <w:rsid w:val="00EA4088"/>
    <w:rsid w:val="00EA646E"/>
    <w:rsid w:val="00EA6804"/>
    <w:rsid w:val="00EB005F"/>
    <w:rsid w:val="00EB07CC"/>
    <w:rsid w:val="00EB0FBB"/>
    <w:rsid w:val="00EB1448"/>
    <w:rsid w:val="00EB2E92"/>
    <w:rsid w:val="00EB409C"/>
    <w:rsid w:val="00EB488F"/>
    <w:rsid w:val="00EB506B"/>
    <w:rsid w:val="00EB6D0E"/>
    <w:rsid w:val="00EB72A2"/>
    <w:rsid w:val="00EB78FA"/>
    <w:rsid w:val="00EC042F"/>
    <w:rsid w:val="00EC150D"/>
    <w:rsid w:val="00EC2779"/>
    <w:rsid w:val="00EC3A9B"/>
    <w:rsid w:val="00EC4AD2"/>
    <w:rsid w:val="00EC50F6"/>
    <w:rsid w:val="00EC51E6"/>
    <w:rsid w:val="00EC576C"/>
    <w:rsid w:val="00EC7FF4"/>
    <w:rsid w:val="00ED094E"/>
    <w:rsid w:val="00ED0F07"/>
    <w:rsid w:val="00ED202A"/>
    <w:rsid w:val="00ED4F28"/>
    <w:rsid w:val="00ED521B"/>
    <w:rsid w:val="00ED55DF"/>
    <w:rsid w:val="00ED6C82"/>
    <w:rsid w:val="00ED7901"/>
    <w:rsid w:val="00ED7A67"/>
    <w:rsid w:val="00ED7BBD"/>
    <w:rsid w:val="00EE02C7"/>
    <w:rsid w:val="00EE144C"/>
    <w:rsid w:val="00EE14CB"/>
    <w:rsid w:val="00EE1A32"/>
    <w:rsid w:val="00EE2B3D"/>
    <w:rsid w:val="00EE2B42"/>
    <w:rsid w:val="00EE2D1A"/>
    <w:rsid w:val="00EE32BE"/>
    <w:rsid w:val="00EE33E5"/>
    <w:rsid w:val="00EE3E5B"/>
    <w:rsid w:val="00EE4025"/>
    <w:rsid w:val="00EE4C41"/>
    <w:rsid w:val="00EE5728"/>
    <w:rsid w:val="00EE576C"/>
    <w:rsid w:val="00EE592A"/>
    <w:rsid w:val="00EE6358"/>
    <w:rsid w:val="00EE692A"/>
    <w:rsid w:val="00EE77C2"/>
    <w:rsid w:val="00EF1437"/>
    <w:rsid w:val="00EF162E"/>
    <w:rsid w:val="00EF22D3"/>
    <w:rsid w:val="00EF2334"/>
    <w:rsid w:val="00EF2517"/>
    <w:rsid w:val="00EF3BD2"/>
    <w:rsid w:val="00EF4614"/>
    <w:rsid w:val="00EF6314"/>
    <w:rsid w:val="00EF7313"/>
    <w:rsid w:val="00F00915"/>
    <w:rsid w:val="00F0092A"/>
    <w:rsid w:val="00F00D57"/>
    <w:rsid w:val="00F01255"/>
    <w:rsid w:val="00F01E53"/>
    <w:rsid w:val="00F03187"/>
    <w:rsid w:val="00F05937"/>
    <w:rsid w:val="00F06F14"/>
    <w:rsid w:val="00F11B2E"/>
    <w:rsid w:val="00F13F51"/>
    <w:rsid w:val="00F14CE6"/>
    <w:rsid w:val="00F1541D"/>
    <w:rsid w:val="00F15D61"/>
    <w:rsid w:val="00F171F7"/>
    <w:rsid w:val="00F179E8"/>
    <w:rsid w:val="00F17C83"/>
    <w:rsid w:val="00F206CD"/>
    <w:rsid w:val="00F2070C"/>
    <w:rsid w:val="00F20727"/>
    <w:rsid w:val="00F207E0"/>
    <w:rsid w:val="00F21473"/>
    <w:rsid w:val="00F230AE"/>
    <w:rsid w:val="00F232CB"/>
    <w:rsid w:val="00F23A39"/>
    <w:rsid w:val="00F23EDD"/>
    <w:rsid w:val="00F24865"/>
    <w:rsid w:val="00F26346"/>
    <w:rsid w:val="00F27A19"/>
    <w:rsid w:val="00F309D0"/>
    <w:rsid w:val="00F30A15"/>
    <w:rsid w:val="00F30BAF"/>
    <w:rsid w:val="00F31F30"/>
    <w:rsid w:val="00F32661"/>
    <w:rsid w:val="00F32701"/>
    <w:rsid w:val="00F32AD9"/>
    <w:rsid w:val="00F32B4C"/>
    <w:rsid w:val="00F33788"/>
    <w:rsid w:val="00F35561"/>
    <w:rsid w:val="00F35F04"/>
    <w:rsid w:val="00F362DA"/>
    <w:rsid w:val="00F36916"/>
    <w:rsid w:val="00F4285D"/>
    <w:rsid w:val="00F4363F"/>
    <w:rsid w:val="00F44EF1"/>
    <w:rsid w:val="00F44FD4"/>
    <w:rsid w:val="00F4535B"/>
    <w:rsid w:val="00F47CC6"/>
    <w:rsid w:val="00F50482"/>
    <w:rsid w:val="00F50F69"/>
    <w:rsid w:val="00F516E7"/>
    <w:rsid w:val="00F52727"/>
    <w:rsid w:val="00F52F28"/>
    <w:rsid w:val="00F53286"/>
    <w:rsid w:val="00F536CC"/>
    <w:rsid w:val="00F5388D"/>
    <w:rsid w:val="00F53951"/>
    <w:rsid w:val="00F543A3"/>
    <w:rsid w:val="00F553EA"/>
    <w:rsid w:val="00F56363"/>
    <w:rsid w:val="00F56382"/>
    <w:rsid w:val="00F56BB7"/>
    <w:rsid w:val="00F57889"/>
    <w:rsid w:val="00F61168"/>
    <w:rsid w:val="00F61E21"/>
    <w:rsid w:val="00F61E2C"/>
    <w:rsid w:val="00F6292C"/>
    <w:rsid w:val="00F62DCA"/>
    <w:rsid w:val="00F6311F"/>
    <w:rsid w:val="00F6454A"/>
    <w:rsid w:val="00F64BB1"/>
    <w:rsid w:val="00F65CD6"/>
    <w:rsid w:val="00F66560"/>
    <w:rsid w:val="00F66960"/>
    <w:rsid w:val="00F66F6F"/>
    <w:rsid w:val="00F70031"/>
    <w:rsid w:val="00F70BDD"/>
    <w:rsid w:val="00F71799"/>
    <w:rsid w:val="00F71873"/>
    <w:rsid w:val="00F72244"/>
    <w:rsid w:val="00F72713"/>
    <w:rsid w:val="00F72C40"/>
    <w:rsid w:val="00F72F31"/>
    <w:rsid w:val="00F73E3A"/>
    <w:rsid w:val="00F74312"/>
    <w:rsid w:val="00F744E2"/>
    <w:rsid w:val="00F748C4"/>
    <w:rsid w:val="00F748F1"/>
    <w:rsid w:val="00F74918"/>
    <w:rsid w:val="00F7578F"/>
    <w:rsid w:val="00F76824"/>
    <w:rsid w:val="00F77B6F"/>
    <w:rsid w:val="00F77CAF"/>
    <w:rsid w:val="00F80093"/>
    <w:rsid w:val="00F82350"/>
    <w:rsid w:val="00F8246B"/>
    <w:rsid w:val="00F82B9F"/>
    <w:rsid w:val="00F82C2F"/>
    <w:rsid w:val="00F82DBC"/>
    <w:rsid w:val="00F83031"/>
    <w:rsid w:val="00F83DE9"/>
    <w:rsid w:val="00F841C1"/>
    <w:rsid w:val="00F8452C"/>
    <w:rsid w:val="00F848DD"/>
    <w:rsid w:val="00F84AAB"/>
    <w:rsid w:val="00F84E9B"/>
    <w:rsid w:val="00F85063"/>
    <w:rsid w:val="00F8637A"/>
    <w:rsid w:val="00F86B1D"/>
    <w:rsid w:val="00F86CFD"/>
    <w:rsid w:val="00F8701E"/>
    <w:rsid w:val="00F87EC6"/>
    <w:rsid w:val="00F909E2"/>
    <w:rsid w:val="00F9127A"/>
    <w:rsid w:val="00F9159E"/>
    <w:rsid w:val="00F924EC"/>
    <w:rsid w:val="00F93B59"/>
    <w:rsid w:val="00F94B21"/>
    <w:rsid w:val="00F95A75"/>
    <w:rsid w:val="00F963C7"/>
    <w:rsid w:val="00F97546"/>
    <w:rsid w:val="00F9765F"/>
    <w:rsid w:val="00F97913"/>
    <w:rsid w:val="00FA0CB8"/>
    <w:rsid w:val="00FA0DD3"/>
    <w:rsid w:val="00FA2656"/>
    <w:rsid w:val="00FA2BDA"/>
    <w:rsid w:val="00FA2C54"/>
    <w:rsid w:val="00FA390A"/>
    <w:rsid w:val="00FA5221"/>
    <w:rsid w:val="00FA5B0A"/>
    <w:rsid w:val="00FA5ED5"/>
    <w:rsid w:val="00FA658B"/>
    <w:rsid w:val="00FA68D2"/>
    <w:rsid w:val="00FA6E8F"/>
    <w:rsid w:val="00FB139C"/>
    <w:rsid w:val="00FB1D47"/>
    <w:rsid w:val="00FB2219"/>
    <w:rsid w:val="00FB32B3"/>
    <w:rsid w:val="00FB33E8"/>
    <w:rsid w:val="00FB34C3"/>
    <w:rsid w:val="00FB39E9"/>
    <w:rsid w:val="00FB4CC2"/>
    <w:rsid w:val="00FB51CD"/>
    <w:rsid w:val="00FB5DCA"/>
    <w:rsid w:val="00FB62A9"/>
    <w:rsid w:val="00FB6572"/>
    <w:rsid w:val="00FB739A"/>
    <w:rsid w:val="00FB7D0D"/>
    <w:rsid w:val="00FB7E55"/>
    <w:rsid w:val="00FC0E46"/>
    <w:rsid w:val="00FC1063"/>
    <w:rsid w:val="00FC1A1A"/>
    <w:rsid w:val="00FC29B3"/>
    <w:rsid w:val="00FC3E49"/>
    <w:rsid w:val="00FC4814"/>
    <w:rsid w:val="00FC4F68"/>
    <w:rsid w:val="00FC563C"/>
    <w:rsid w:val="00FC612D"/>
    <w:rsid w:val="00FC66FF"/>
    <w:rsid w:val="00FC7652"/>
    <w:rsid w:val="00FC7C3B"/>
    <w:rsid w:val="00FC7F37"/>
    <w:rsid w:val="00FD0557"/>
    <w:rsid w:val="00FD068A"/>
    <w:rsid w:val="00FD08E3"/>
    <w:rsid w:val="00FD0938"/>
    <w:rsid w:val="00FD0949"/>
    <w:rsid w:val="00FD0D54"/>
    <w:rsid w:val="00FD10FF"/>
    <w:rsid w:val="00FD1B77"/>
    <w:rsid w:val="00FD1DF7"/>
    <w:rsid w:val="00FD1E77"/>
    <w:rsid w:val="00FD2D5D"/>
    <w:rsid w:val="00FD3C84"/>
    <w:rsid w:val="00FD48DD"/>
    <w:rsid w:val="00FD49E9"/>
    <w:rsid w:val="00FD5681"/>
    <w:rsid w:val="00FD5784"/>
    <w:rsid w:val="00FD7887"/>
    <w:rsid w:val="00FD7D8D"/>
    <w:rsid w:val="00FE1119"/>
    <w:rsid w:val="00FE16A4"/>
    <w:rsid w:val="00FE48D8"/>
    <w:rsid w:val="00FE5A57"/>
    <w:rsid w:val="00FE6D3D"/>
    <w:rsid w:val="00FE726D"/>
    <w:rsid w:val="00FE7FB4"/>
    <w:rsid w:val="00FF0631"/>
    <w:rsid w:val="00FF0B0D"/>
    <w:rsid w:val="00FF12DD"/>
    <w:rsid w:val="00FF27B8"/>
    <w:rsid w:val="00FF6BA2"/>
    <w:rsid w:val="016A060A"/>
    <w:rsid w:val="01712947"/>
    <w:rsid w:val="01D1C7F0"/>
    <w:rsid w:val="021094E3"/>
    <w:rsid w:val="021BCE94"/>
    <w:rsid w:val="0222D2BC"/>
    <w:rsid w:val="027FFAE9"/>
    <w:rsid w:val="02B24D38"/>
    <w:rsid w:val="02C5FFBD"/>
    <w:rsid w:val="02F4025D"/>
    <w:rsid w:val="02FC178E"/>
    <w:rsid w:val="0309FEDD"/>
    <w:rsid w:val="039BB3AC"/>
    <w:rsid w:val="044FC1A1"/>
    <w:rsid w:val="048FD2BE"/>
    <w:rsid w:val="048FFA69"/>
    <w:rsid w:val="0497E7EF"/>
    <w:rsid w:val="04A8CA09"/>
    <w:rsid w:val="04C08D77"/>
    <w:rsid w:val="051E9AE6"/>
    <w:rsid w:val="051F2961"/>
    <w:rsid w:val="056A5891"/>
    <w:rsid w:val="05C0F5AA"/>
    <w:rsid w:val="05CF4069"/>
    <w:rsid w:val="05D7C982"/>
    <w:rsid w:val="06260EBD"/>
    <w:rsid w:val="062BA31F"/>
    <w:rsid w:val="062BCACA"/>
    <w:rsid w:val="06457DB6"/>
    <w:rsid w:val="067FEECD"/>
    <w:rsid w:val="06FC486D"/>
    <w:rsid w:val="077399E3"/>
    <w:rsid w:val="077B7BB2"/>
    <w:rsid w:val="078A2D88"/>
    <w:rsid w:val="07C79B2B"/>
    <w:rsid w:val="07C91CA7"/>
    <w:rsid w:val="0837B6DC"/>
    <w:rsid w:val="0845E347"/>
    <w:rsid w:val="08BB6849"/>
    <w:rsid w:val="08E1315A"/>
    <w:rsid w:val="090F6A44"/>
    <w:rsid w:val="0948E9D2"/>
    <w:rsid w:val="09D196BF"/>
    <w:rsid w:val="09E1B3A8"/>
    <w:rsid w:val="0A2CCB4B"/>
    <w:rsid w:val="0A3AB951"/>
    <w:rsid w:val="0AA6DB7E"/>
    <w:rsid w:val="0AEEE256"/>
    <w:rsid w:val="0AF9980F"/>
    <w:rsid w:val="0AFF3BED"/>
    <w:rsid w:val="0B0B522F"/>
    <w:rsid w:val="0B7D8409"/>
    <w:rsid w:val="0B8D65D3"/>
    <w:rsid w:val="0BA7CF37"/>
    <w:rsid w:val="0BAFB12A"/>
    <w:rsid w:val="0BBF586A"/>
    <w:rsid w:val="0BF2FEE0"/>
    <w:rsid w:val="0C4AD4B5"/>
    <w:rsid w:val="0CA01DAD"/>
    <w:rsid w:val="0CA2F9D4"/>
    <w:rsid w:val="0CAC4725"/>
    <w:rsid w:val="0D54031E"/>
    <w:rsid w:val="0D7F7D3F"/>
    <w:rsid w:val="0DC94F5E"/>
    <w:rsid w:val="0DD25792"/>
    <w:rsid w:val="0E240C3F"/>
    <w:rsid w:val="0E3ECA35"/>
    <w:rsid w:val="0EDF6FF9"/>
    <w:rsid w:val="0EE4F66A"/>
    <w:rsid w:val="0EFFABFF"/>
    <w:rsid w:val="0F003C6E"/>
    <w:rsid w:val="0F2A46E5"/>
    <w:rsid w:val="0F52935A"/>
    <w:rsid w:val="0F8D7365"/>
    <w:rsid w:val="0FAA6F43"/>
    <w:rsid w:val="0FB78CDB"/>
    <w:rsid w:val="0FD2AD10"/>
    <w:rsid w:val="0FDA9A96"/>
    <w:rsid w:val="0FF5CF85"/>
    <w:rsid w:val="0FFB221C"/>
    <w:rsid w:val="103508E1"/>
    <w:rsid w:val="1050F52C"/>
    <w:rsid w:val="10891A12"/>
    <w:rsid w:val="10E5E8A8"/>
    <w:rsid w:val="1105AB54"/>
    <w:rsid w:val="113514A0"/>
    <w:rsid w:val="116849EF"/>
    <w:rsid w:val="116A9F55"/>
    <w:rsid w:val="116E7D71"/>
    <w:rsid w:val="121012C0"/>
    <w:rsid w:val="121F6D04"/>
    <w:rsid w:val="12322887"/>
    <w:rsid w:val="1284F953"/>
    <w:rsid w:val="12F98D44"/>
    <w:rsid w:val="1380DFF5"/>
    <w:rsid w:val="13A2675E"/>
    <w:rsid w:val="13B3C799"/>
    <w:rsid w:val="14341152"/>
    <w:rsid w:val="14955DA5"/>
    <w:rsid w:val="14AB96DE"/>
    <w:rsid w:val="14AE0BB9"/>
    <w:rsid w:val="1531A517"/>
    <w:rsid w:val="15909FBF"/>
    <w:rsid w:val="15E94871"/>
    <w:rsid w:val="15EFCA9C"/>
    <w:rsid w:val="1641EE94"/>
    <w:rsid w:val="164F962E"/>
    <w:rsid w:val="16B880B7"/>
    <w:rsid w:val="16DA73F4"/>
    <w:rsid w:val="171061D8"/>
    <w:rsid w:val="1725EEBE"/>
    <w:rsid w:val="17ACB751"/>
    <w:rsid w:val="17B195A2"/>
    <w:rsid w:val="17EF9144"/>
    <w:rsid w:val="181C6330"/>
    <w:rsid w:val="185CC7FA"/>
    <w:rsid w:val="18A71EB4"/>
    <w:rsid w:val="18C04711"/>
    <w:rsid w:val="18FEF1FE"/>
    <w:rsid w:val="19026B61"/>
    <w:rsid w:val="190683F5"/>
    <w:rsid w:val="193883AA"/>
    <w:rsid w:val="1961E8AD"/>
    <w:rsid w:val="19AC26A9"/>
    <w:rsid w:val="1A265646"/>
    <w:rsid w:val="1A89C0E2"/>
    <w:rsid w:val="1B155FB7"/>
    <w:rsid w:val="1B4D926A"/>
    <w:rsid w:val="1BA351DA"/>
    <w:rsid w:val="1C26A03C"/>
    <w:rsid w:val="1C7EB239"/>
    <w:rsid w:val="1CB29C71"/>
    <w:rsid w:val="1CE3C76B"/>
    <w:rsid w:val="1D29F1D0"/>
    <w:rsid w:val="1D7A8FD7"/>
    <w:rsid w:val="1D97E0F0"/>
    <w:rsid w:val="1DB49431"/>
    <w:rsid w:val="1DBD873D"/>
    <w:rsid w:val="1DD6848E"/>
    <w:rsid w:val="1DFB127E"/>
    <w:rsid w:val="1E5FAC73"/>
    <w:rsid w:val="1E7F97CC"/>
    <w:rsid w:val="1E8D09D3"/>
    <w:rsid w:val="1EBA1D4A"/>
    <w:rsid w:val="1F2342A9"/>
    <w:rsid w:val="1F33B151"/>
    <w:rsid w:val="1F3DFDF0"/>
    <w:rsid w:val="1F406AAF"/>
    <w:rsid w:val="1F8C6E66"/>
    <w:rsid w:val="1FAEFF76"/>
    <w:rsid w:val="1FEC3C78"/>
    <w:rsid w:val="201B682D"/>
    <w:rsid w:val="207C86BA"/>
    <w:rsid w:val="20E27287"/>
    <w:rsid w:val="21356367"/>
    <w:rsid w:val="221C568A"/>
    <w:rsid w:val="2255EE80"/>
    <w:rsid w:val="22E575DF"/>
    <w:rsid w:val="23055C63"/>
    <w:rsid w:val="23A68CE3"/>
    <w:rsid w:val="24213148"/>
    <w:rsid w:val="24610F0A"/>
    <w:rsid w:val="246A5636"/>
    <w:rsid w:val="24739011"/>
    <w:rsid w:val="24CDC722"/>
    <w:rsid w:val="2500C230"/>
    <w:rsid w:val="250332EC"/>
    <w:rsid w:val="25157C93"/>
    <w:rsid w:val="2570A1FB"/>
    <w:rsid w:val="2572493E"/>
    <w:rsid w:val="258D8F42"/>
    <w:rsid w:val="25ABD19C"/>
    <w:rsid w:val="25AD747F"/>
    <w:rsid w:val="25B96545"/>
    <w:rsid w:val="25EDE06E"/>
    <w:rsid w:val="26713ABB"/>
    <w:rsid w:val="270E199F"/>
    <w:rsid w:val="278B0DEA"/>
    <w:rsid w:val="2792FB3F"/>
    <w:rsid w:val="27930AC6"/>
    <w:rsid w:val="27E8B8D3"/>
    <w:rsid w:val="280567E4"/>
    <w:rsid w:val="286D14CE"/>
    <w:rsid w:val="2933027A"/>
    <w:rsid w:val="2964BB66"/>
    <w:rsid w:val="298365BC"/>
    <w:rsid w:val="29F8C912"/>
    <w:rsid w:val="2A0462BC"/>
    <w:rsid w:val="2A08E52F"/>
    <w:rsid w:val="2A2EED86"/>
    <w:rsid w:val="2A3B89FF"/>
    <w:rsid w:val="2A72113C"/>
    <w:rsid w:val="2AA9C092"/>
    <w:rsid w:val="2AC42F41"/>
    <w:rsid w:val="2B060279"/>
    <w:rsid w:val="2B54CF42"/>
    <w:rsid w:val="2B665CA9"/>
    <w:rsid w:val="2B7A4049"/>
    <w:rsid w:val="2B9C2158"/>
    <w:rsid w:val="2C270AD5"/>
    <w:rsid w:val="2C4590F3"/>
    <w:rsid w:val="2C5D3487"/>
    <w:rsid w:val="2C98D0AB"/>
    <w:rsid w:val="2CA17E88"/>
    <w:rsid w:val="2CB108B5"/>
    <w:rsid w:val="2CF9884D"/>
    <w:rsid w:val="2D089556"/>
    <w:rsid w:val="2D9076CB"/>
    <w:rsid w:val="2E18809B"/>
    <w:rsid w:val="2E203694"/>
    <w:rsid w:val="2E7347A7"/>
    <w:rsid w:val="2E887A26"/>
    <w:rsid w:val="2F45AC5F"/>
    <w:rsid w:val="2F5290B0"/>
    <w:rsid w:val="2FA736EA"/>
    <w:rsid w:val="2FF1D48A"/>
    <w:rsid w:val="303D66F0"/>
    <w:rsid w:val="30786BC1"/>
    <w:rsid w:val="308EAB6F"/>
    <w:rsid w:val="30FFD2A3"/>
    <w:rsid w:val="310D4ADB"/>
    <w:rsid w:val="312DA2AA"/>
    <w:rsid w:val="31BE6859"/>
    <w:rsid w:val="3253F483"/>
    <w:rsid w:val="329B45EE"/>
    <w:rsid w:val="32E592EF"/>
    <w:rsid w:val="3334F8CA"/>
    <w:rsid w:val="3347F587"/>
    <w:rsid w:val="335DA60F"/>
    <w:rsid w:val="33A35FD3"/>
    <w:rsid w:val="3471A3ED"/>
    <w:rsid w:val="34C1B0CC"/>
    <w:rsid w:val="34E51754"/>
    <w:rsid w:val="352E3EE9"/>
    <w:rsid w:val="355D9120"/>
    <w:rsid w:val="35C1D897"/>
    <w:rsid w:val="35CC9781"/>
    <w:rsid w:val="35D846B9"/>
    <w:rsid w:val="36239280"/>
    <w:rsid w:val="3625B3E9"/>
    <w:rsid w:val="36438E60"/>
    <w:rsid w:val="365D812D"/>
    <w:rsid w:val="36A07947"/>
    <w:rsid w:val="36BA2C9F"/>
    <w:rsid w:val="37547EA4"/>
    <w:rsid w:val="375CD486"/>
    <w:rsid w:val="375EE52A"/>
    <w:rsid w:val="37F11ED1"/>
    <w:rsid w:val="37F9518E"/>
    <w:rsid w:val="381A29ED"/>
    <w:rsid w:val="383EE388"/>
    <w:rsid w:val="385E022D"/>
    <w:rsid w:val="3895634B"/>
    <w:rsid w:val="38987000"/>
    <w:rsid w:val="389E9764"/>
    <w:rsid w:val="3952EEF9"/>
    <w:rsid w:val="39665367"/>
    <w:rsid w:val="39BEAC0C"/>
    <w:rsid w:val="3A65F542"/>
    <w:rsid w:val="3A6AAC4E"/>
    <w:rsid w:val="3A885F06"/>
    <w:rsid w:val="3ABD6113"/>
    <w:rsid w:val="3ACF7F53"/>
    <w:rsid w:val="3B06A722"/>
    <w:rsid w:val="3B0C69F9"/>
    <w:rsid w:val="3B16E0CF"/>
    <w:rsid w:val="3B374E49"/>
    <w:rsid w:val="3B3EC6B9"/>
    <w:rsid w:val="3B51CAAF"/>
    <w:rsid w:val="3BC8E844"/>
    <w:rsid w:val="3BD02E1F"/>
    <w:rsid w:val="3C1C9AF4"/>
    <w:rsid w:val="3C242F67"/>
    <w:rsid w:val="3C593174"/>
    <w:rsid w:val="3CB6C98F"/>
    <w:rsid w:val="3CD42DA3"/>
    <w:rsid w:val="3DF501D5"/>
    <w:rsid w:val="3EE6ED0E"/>
    <w:rsid w:val="3FB437C8"/>
    <w:rsid w:val="3FDA1845"/>
    <w:rsid w:val="3FF31D09"/>
    <w:rsid w:val="3FFB0987"/>
    <w:rsid w:val="4002C449"/>
    <w:rsid w:val="401584D1"/>
    <w:rsid w:val="40252FE8"/>
    <w:rsid w:val="40D6AF3D"/>
    <w:rsid w:val="40F7A08A"/>
    <w:rsid w:val="40F97D74"/>
    <w:rsid w:val="41027DEB"/>
    <w:rsid w:val="4167B7E0"/>
    <w:rsid w:val="418600CB"/>
    <w:rsid w:val="41A5BA45"/>
    <w:rsid w:val="41BA7E7E"/>
    <w:rsid w:val="41C10049"/>
    <w:rsid w:val="42166614"/>
    <w:rsid w:val="42611809"/>
    <w:rsid w:val="429370EB"/>
    <w:rsid w:val="42CD598E"/>
    <w:rsid w:val="433A650B"/>
    <w:rsid w:val="43418AA6"/>
    <w:rsid w:val="43584292"/>
    <w:rsid w:val="43A4CC49"/>
    <w:rsid w:val="43C7E992"/>
    <w:rsid w:val="43E7FAC5"/>
    <w:rsid w:val="44266670"/>
    <w:rsid w:val="4441139B"/>
    <w:rsid w:val="444A16A6"/>
    <w:rsid w:val="44C53E91"/>
    <w:rsid w:val="44EE1EA6"/>
    <w:rsid w:val="44F8A10B"/>
    <w:rsid w:val="455F9890"/>
    <w:rsid w:val="4566D5D6"/>
    <w:rsid w:val="45902013"/>
    <w:rsid w:val="45A8FBA7"/>
    <w:rsid w:val="45CB11AD"/>
    <w:rsid w:val="45EF3943"/>
    <w:rsid w:val="463CDFE5"/>
    <w:rsid w:val="46625E8D"/>
    <w:rsid w:val="4689EF07"/>
    <w:rsid w:val="46D92738"/>
    <w:rsid w:val="471C1078"/>
    <w:rsid w:val="4778B45D"/>
    <w:rsid w:val="47DD7431"/>
    <w:rsid w:val="47E683BA"/>
    <w:rsid w:val="47E69D13"/>
    <w:rsid w:val="47FBC7F6"/>
    <w:rsid w:val="483041CD"/>
    <w:rsid w:val="4873AF24"/>
    <w:rsid w:val="48D5BB2F"/>
    <w:rsid w:val="48F4BE2E"/>
    <w:rsid w:val="493549C2"/>
    <w:rsid w:val="495328B5"/>
    <w:rsid w:val="49558695"/>
    <w:rsid w:val="49794492"/>
    <w:rsid w:val="499E32CF"/>
    <w:rsid w:val="49CC122E"/>
    <w:rsid w:val="49DD4D05"/>
    <w:rsid w:val="4A52A6CD"/>
    <w:rsid w:val="4A8CFCD4"/>
    <w:rsid w:val="4AAFD26A"/>
    <w:rsid w:val="4AFBEC96"/>
    <w:rsid w:val="4B008E69"/>
    <w:rsid w:val="4B058478"/>
    <w:rsid w:val="4B2ED43A"/>
    <w:rsid w:val="4B3CDA1B"/>
    <w:rsid w:val="4B4F2BC4"/>
    <w:rsid w:val="4B5D64DE"/>
    <w:rsid w:val="4B7FF1AE"/>
    <w:rsid w:val="4B91D7DF"/>
    <w:rsid w:val="4C38479C"/>
    <w:rsid w:val="4C50661A"/>
    <w:rsid w:val="4C7742C4"/>
    <w:rsid w:val="4C82BAA1"/>
    <w:rsid w:val="4C8CB75D"/>
    <w:rsid w:val="4D03B2F0"/>
    <w:rsid w:val="4D1CDB4D"/>
    <w:rsid w:val="4DA38E44"/>
    <w:rsid w:val="4DC692D4"/>
    <w:rsid w:val="4DD62392"/>
    <w:rsid w:val="4DD92B51"/>
    <w:rsid w:val="4E0A8E96"/>
    <w:rsid w:val="4E4435FA"/>
    <w:rsid w:val="4E9F8351"/>
    <w:rsid w:val="4EBCD46A"/>
    <w:rsid w:val="4F07A962"/>
    <w:rsid w:val="4F0B3C37"/>
    <w:rsid w:val="4F15FE91"/>
    <w:rsid w:val="4F62D16D"/>
    <w:rsid w:val="4FEC5C85"/>
    <w:rsid w:val="501C4BCF"/>
    <w:rsid w:val="5045128F"/>
    <w:rsid w:val="504C35CC"/>
    <w:rsid w:val="50B4F7F1"/>
    <w:rsid w:val="50C5BDD2"/>
    <w:rsid w:val="50DB2F06"/>
    <w:rsid w:val="50DBB837"/>
    <w:rsid w:val="50FE3396"/>
    <w:rsid w:val="510DC454"/>
    <w:rsid w:val="5142CD80"/>
    <w:rsid w:val="51BB9316"/>
    <w:rsid w:val="51C401B2"/>
    <w:rsid w:val="52000694"/>
    <w:rsid w:val="52A994B5"/>
    <w:rsid w:val="52AC399D"/>
    <w:rsid w:val="52B74729"/>
    <w:rsid w:val="52BAE44F"/>
    <w:rsid w:val="52C53BB0"/>
    <w:rsid w:val="5318E8F5"/>
    <w:rsid w:val="5353CD86"/>
    <w:rsid w:val="53569A61"/>
    <w:rsid w:val="535B8991"/>
    <w:rsid w:val="536ADF43"/>
    <w:rsid w:val="53D11B33"/>
    <w:rsid w:val="54139A38"/>
    <w:rsid w:val="542CC295"/>
    <w:rsid w:val="5444A2AF"/>
    <w:rsid w:val="54456516"/>
    <w:rsid w:val="54989374"/>
    <w:rsid w:val="549A0691"/>
    <w:rsid w:val="549BDE18"/>
    <w:rsid w:val="54A73AD7"/>
    <w:rsid w:val="54C6E517"/>
    <w:rsid w:val="54C6E8DD"/>
    <w:rsid w:val="54EF3C7C"/>
    <w:rsid w:val="550C2FF6"/>
    <w:rsid w:val="551A0CD5"/>
    <w:rsid w:val="551FA6EF"/>
    <w:rsid w:val="55392809"/>
    <w:rsid w:val="55412E71"/>
    <w:rsid w:val="557A95AE"/>
    <w:rsid w:val="55ADFA97"/>
    <w:rsid w:val="55E13577"/>
    <w:rsid w:val="55EAC078"/>
    <w:rsid w:val="5602BD39"/>
    <w:rsid w:val="564A25A6"/>
    <w:rsid w:val="5690171D"/>
    <w:rsid w:val="569B5875"/>
    <w:rsid w:val="56A89522"/>
    <w:rsid w:val="5708B5E7"/>
    <w:rsid w:val="571D1890"/>
    <w:rsid w:val="5720D111"/>
    <w:rsid w:val="574B3AFA"/>
    <w:rsid w:val="574F9252"/>
    <w:rsid w:val="579CA40E"/>
    <w:rsid w:val="5843D0B8"/>
    <w:rsid w:val="5860C105"/>
    <w:rsid w:val="58AEA6B5"/>
    <w:rsid w:val="598935C5"/>
    <w:rsid w:val="599498C3"/>
    <w:rsid w:val="59D1C3F2"/>
    <w:rsid w:val="59FB0598"/>
    <w:rsid w:val="5A23DF6F"/>
    <w:rsid w:val="5A758661"/>
    <w:rsid w:val="5ACB856D"/>
    <w:rsid w:val="5B93A9A2"/>
    <w:rsid w:val="5C08FAE3"/>
    <w:rsid w:val="5C610FA1"/>
    <w:rsid w:val="5C83FF96"/>
    <w:rsid w:val="5C8AEEC4"/>
    <w:rsid w:val="5C932B2B"/>
    <w:rsid w:val="5CA31328"/>
    <w:rsid w:val="5CAD366E"/>
    <w:rsid w:val="5CB904B0"/>
    <w:rsid w:val="5D1741DB"/>
    <w:rsid w:val="5D2FF374"/>
    <w:rsid w:val="5D7B8D6E"/>
    <w:rsid w:val="5D7CFFBA"/>
    <w:rsid w:val="5DC29BE7"/>
    <w:rsid w:val="5DEBC34C"/>
    <w:rsid w:val="5DF7646B"/>
    <w:rsid w:val="5E1ED484"/>
    <w:rsid w:val="5E452B70"/>
    <w:rsid w:val="5E8272E0"/>
    <w:rsid w:val="5EA2CD98"/>
    <w:rsid w:val="5EA88FE4"/>
    <w:rsid w:val="5EB9CFD7"/>
    <w:rsid w:val="5F7D16ED"/>
    <w:rsid w:val="5FA6DDEE"/>
    <w:rsid w:val="601E792C"/>
    <w:rsid w:val="6055A038"/>
    <w:rsid w:val="60A68C3B"/>
    <w:rsid w:val="60BD0D43"/>
    <w:rsid w:val="60C7D212"/>
    <w:rsid w:val="60CCA035"/>
    <w:rsid w:val="611E622F"/>
    <w:rsid w:val="616E9B2F"/>
    <w:rsid w:val="61723B47"/>
    <w:rsid w:val="61C2D455"/>
    <w:rsid w:val="61C3BF7C"/>
    <w:rsid w:val="61F17099"/>
    <w:rsid w:val="62919DBC"/>
    <w:rsid w:val="629376FB"/>
    <w:rsid w:val="62CFDBE3"/>
    <w:rsid w:val="6357F76F"/>
    <w:rsid w:val="636F3B83"/>
    <w:rsid w:val="63D742A8"/>
    <w:rsid w:val="63ECF6D8"/>
    <w:rsid w:val="640D8613"/>
    <w:rsid w:val="6461956F"/>
    <w:rsid w:val="64633808"/>
    <w:rsid w:val="646559A2"/>
    <w:rsid w:val="64AB7675"/>
    <w:rsid w:val="6529D58A"/>
    <w:rsid w:val="65362376"/>
    <w:rsid w:val="656DF55E"/>
    <w:rsid w:val="6591AE67"/>
    <w:rsid w:val="66073CED"/>
    <w:rsid w:val="66164FE6"/>
    <w:rsid w:val="66338132"/>
    <w:rsid w:val="667D017F"/>
    <w:rsid w:val="6684F6D7"/>
    <w:rsid w:val="6685E015"/>
    <w:rsid w:val="6689B3A6"/>
    <w:rsid w:val="66D4CC52"/>
    <w:rsid w:val="66EA6D4C"/>
    <w:rsid w:val="66EEBA49"/>
    <w:rsid w:val="6707E596"/>
    <w:rsid w:val="6733E26E"/>
    <w:rsid w:val="6762DEC5"/>
    <w:rsid w:val="6772043A"/>
    <w:rsid w:val="678A2974"/>
    <w:rsid w:val="67A3411C"/>
    <w:rsid w:val="67B22047"/>
    <w:rsid w:val="680EDADA"/>
    <w:rsid w:val="681A7603"/>
    <w:rsid w:val="6821B076"/>
    <w:rsid w:val="6824F125"/>
    <w:rsid w:val="686DC438"/>
    <w:rsid w:val="68764B24"/>
    <w:rsid w:val="68C2D2A1"/>
    <w:rsid w:val="693723F7"/>
    <w:rsid w:val="6955E93F"/>
    <w:rsid w:val="69B04559"/>
    <w:rsid w:val="69C6B06D"/>
    <w:rsid w:val="69CAB5B0"/>
    <w:rsid w:val="6A1D52B6"/>
    <w:rsid w:val="6AA0ED0C"/>
    <w:rsid w:val="6AAF27BB"/>
    <w:rsid w:val="6AD4C1C2"/>
    <w:rsid w:val="6ADAEDC8"/>
    <w:rsid w:val="6B10C71B"/>
    <w:rsid w:val="6B23EE64"/>
    <w:rsid w:val="6BAE69BD"/>
    <w:rsid w:val="6BC4612B"/>
    <w:rsid w:val="6C12C629"/>
    <w:rsid w:val="6C3AD47F"/>
    <w:rsid w:val="6C6EC4B9"/>
    <w:rsid w:val="6C8B01FB"/>
    <w:rsid w:val="6C8F2D33"/>
    <w:rsid w:val="6CF73C26"/>
    <w:rsid w:val="6D4AFFCB"/>
    <w:rsid w:val="6D8225A3"/>
    <w:rsid w:val="6DA55388"/>
    <w:rsid w:val="6DCDBD62"/>
    <w:rsid w:val="6DEE35B0"/>
    <w:rsid w:val="6E615237"/>
    <w:rsid w:val="6E66B8E0"/>
    <w:rsid w:val="6F3390A0"/>
    <w:rsid w:val="6F7C4022"/>
    <w:rsid w:val="6FA3D09C"/>
    <w:rsid w:val="6FD583EA"/>
    <w:rsid w:val="6FEDA61C"/>
    <w:rsid w:val="70020623"/>
    <w:rsid w:val="701BA9E5"/>
    <w:rsid w:val="706BFADB"/>
    <w:rsid w:val="707609A0"/>
    <w:rsid w:val="7099F17B"/>
    <w:rsid w:val="714A2362"/>
    <w:rsid w:val="715B057C"/>
    <w:rsid w:val="71628558"/>
    <w:rsid w:val="71E9F98C"/>
    <w:rsid w:val="7214A67E"/>
    <w:rsid w:val="72812B5B"/>
    <w:rsid w:val="728F9F25"/>
    <w:rsid w:val="72DE063D"/>
    <w:rsid w:val="72E48149"/>
    <w:rsid w:val="7363FE78"/>
    <w:rsid w:val="73BA8F2E"/>
    <w:rsid w:val="74257902"/>
    <w:rsid w:val="742D931C"/>
    <w:rsid w:val="744D55C3"/>
    <w:rsid w:val="7479D69E"/>
    <w:rsid w:val="74F19E17"/>
    <w:rsid w:val="74F9483B"/>
    <w:rsid w:val="75315597"/>
    <w:rsid w:val="755310E5"/>
    <w:rsid w:val="755DCC65"/>
    <w:rsid w:val="759ED7B1"/>
    <w:rsid w:val="75CD11DC"/>
    <w:rsid w:val="7600B6D4"/>
    <w:rsid w:val="76468A90"/>
    <w:rsid w:val="76E817A1"/>
    <w:rsid w:val="76EDBC0A"/>
    <w:rsid w:val="76F6307D"/>
    <w:rsid w:val="76F87208"/>
    <w:rsid w:val="770998F0"/>
    <w:rsid w:val="776436F4"/>
    <w:rsid w:val="77AEE281"/>
    <w:rsid w:val="77C2BE92"/>
    <w:rsid w:val="77CA4700"/>
    <w:rsid w:val="784B6B08"/>
    <w:rsid w:val="787C44CA"/>
    <w:rsid w:val="788BD588"/>
    <w:rsid w:val="78BE62B0"/>
    <w:rsid w:val="78E3F1B4"/>
    <w:rsid w:val="79126ED6"/>
    <w:rsid w:val="79661761"/>
    <w:rsid w:val="798D7B15"/>
    <w:rsid w:val="79DBDB82"/>
    <w:rsid w:val="79F94837"/>
    <w:rsid w:val="7A1EDBA0"/>
    <w:rsid w:val="7A8CC5A8"/>
    <w:rsid w:val="7BA23D4F"/>
    <w:rsid w:val="7BB28A1B"/>
    <w:rsid w:val="7C0BDDBA"/>
    <w:rsid w:val="7C2AB2D2"/>
    <w:rsid w:val="7C39BF10"/>
    <w:rsid w:val="7C6E71E9"/>
    <w:rsid w:val="7C84E883"/>
    <w:rsid w:val="7C9DB823"/>
    <w:rsid w:val="7D4FB5ED"/>
    <w:rsid w:val="7D6A90EE"/>
    <w:rsid w:val="7DA7AE1B"/>
    <w:rsid w:val="7DDF7C6B"/>
    <w:rsid w:val="7DED96FC"/>
    <w:rsid w:val="7DF26B70"/>
    <w:rsid w:val="7E4564A8"/>
    <w:rsid w:val="7EAC50A5"/>
    <w:rsid w:val="7F2E1F0A"/>
    <w:rsid w:val="7F40043B"/>
    <w:rsid w:val="7F437E7C"/>
    <w:rsid w:val="7F72CC3D"/>
    <w:rsid w:val="7F7559DC"/>
    <w:rsid w:val="7FCE35A8"/>
    <w:rsid w:val="7FCE8156"/>
    <w:rsid w:val="7FD558E5"/>
    <w:rsid w:val="7FD78BF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2CEFAD65"/>
  <w15:chartTrackingRefBased/>
  <w15:docId w15:val="{C2BD76D5-B285-437E-A523-78E449797D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2E12EE"/>
    <w:pPr>
      <w:spacing w:after="0" w:line="240" w:lineRule="auto"/>
    </w:pPr>
    <w:rPr>
      <w:rFonts w:ascii="Times New Roman" w:eastAsia="Times New Roman" w:hAnsi="Times New Roman" w:cs="Times New Roman"/>
      <w:sz w:val="24"/>
      <w:szCs w:val="24"/>
      <w:lang w:eastAsia="fr-FR"/>
    </w:rPr>
  </w:style>
  <w:style w:type="paragraph" w:styleId="Heading1">
    <w:name w:val="heading 1"/>
    <w:basedOn w:val="Normal"/>
    <w:next w:val="Normal"/>
    <w:link w:val="Heading1Char"/>
    <w:uiPriority w:val="9"/>
    <w:qFormat/>
    <w:rsid w:val="00175B64"/>
    <w:pPr>
      <w:keepNext/>
      <w:numPr>
        <w:numId w:val="16"/>
      </w:numPr>
      <w:outlineLvl w:val="0"/>
    </w:pPr>
    <w:rPr>
      <w:b/>
      <w:u w:val="single"/>
    </w:rPr>
  </w:style>
  <w:style w:type="paragraph" w:styleId="Heading2">
    <w:name w:val="heading 2"/>
    <w:basedOn w:val="Normal"/>
    <w:next w:val="Normal"/>
    <w:link w:val="Heading2Char"/>
    <w:autoRedefine/>
    <w:uiPriority w:val="9"/>
    <w:unhideWhenUsed/>
    <w:qFormat/>
    <w:rsid w:val="00220A78"/>
    <w:pPr>
      <w:keepNext/>
      <w:keepLines/>
      <w:outlineLvl w:val="1"/>
    </w:pPr>
    <w:rPr>
      <w:rFonts w:eastAsiaTheme="majorEastAsia" w:cstheme="majorBidi"/>
      <w:b/>
      <w:szCs w:val="22"/>
    </w:rPr>
  </w:style>
  <w:style w:type="paragraph" w:styleId="Heading3">
    <w:name w:val="heading 3"/>
    <w:basedOn w:val="Normal"/>
    <w:next w:val="Normal"/>
    <w:link w:val="Heading3Char"/>
    <w:uiPriority w:val="9"/>
    <w:semiHidden/>
    <w:unhideWhenUsed/>
    <w:qFormat/>
    <w:rsid w:val="00175B64"/>
    <w:pPr>
      <w:keepNext/>
      <w:keepLines/>
      <w:numPr>
        <w:ilvl w:val="2"/>
        <w:numId w:val="16"/>
      </w:numPr>
      <w:tabs>
        <w:tab w:val="num" w:pos="360"/>
      </w:tabs>
      <w:spacing w:before="40"/>
      <w:ind w:left="0" w:firstLine="0"/>
      <w:outlineLvl w:val="2"/>
    </w:pPr>
    <w:rPr>
      <w:rFonts w:asciiTheme="majorHAnsi" w:eastAsiaTheme="majorEastAsia" w:hAnsiTheme="majorHAnsi" w:cstheme="majorBidi"/>
      <w:color w:val="1F4D78" w:themeColor="accent1" w:themeShade="7F"/>
    </w:rPr>
  </w:style>
  <w:style w:type="paragraph" w:styleId="Heading4">
    <w:name w:val="heading 4"/>
    <w:basedOn w:val="Normal"/>
    <w:next w:val="Normal"/>
    <w:link w:val="Heading4Char"/>
    <w:uiPriority w:val="9"/>
    <w:semiHidden/>
    <w:unhideWhenUsed/>
    <w:qFormat/>
    <w:rsid w:val="00175B64"/>
    <w:pPr>
      <w:keepNext/>
      <w:keepLines/>
      <w:numPr>
        <w:ilvl w:val="3"/>
        <w:numId w:val="16"/>
      </w:numPr>
      <w:tabs>
        <w:tab w:val="num" w:pos="360"/>
      </w:tabs>
      <w:spacing w:before="40"/>
      <w:ind w:left="0" w:firstLine="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175B64"/>
    <w:pPr>
      <w:keepNext/>
      <w:keepLines/>
      <w:numPr>
        <w:ilvl w:val="4"/>
        <w:numId w:val="16"/>
      </w:numPr>
      <w:tabs>
        <w:tab w:val="num" w:pos="360"/>
      </w:tabs>
      <w:spacing w:before="40"/>
      <w:ind w:left="0" w:firstLine="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semiHidden/>
    <w:unhideWhenUsed/>
    <w:qFormat/>
    <w:rsid w:val="00175B64"/>
    <w:pPr>
      <w:keepNext/>
      <w:keepLines/>
      <w:numPr>
        <w:ilvl w:val="5"/>
        <w:numId w:val="16"/>
      </w:numPr>
      <w:tabs>
        <w:tab w:val="num" w:pos="360"/>
      </w:tabs>
      <w:spacing w:before="40"/>
      <w:ind w:left="0" w:firstLine="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semiHidden/>
    <w:unhideWhenUsed/>
    <w:qFormat/>
    <w:rsid w:val="00175B64"/>
    <w:pPr>
      <w:keepNext/>
      <w:keepLines/>
      <w:numPr>
        <w:ilvl w:val="6"/>
        <w:numId w:val="16"/>
      </w:numPr>
      <w:tabs>
        <w:tab w:val="num" w:pos="360"/>
      </w:tabs>
      <w:spacing w:before="40"/>
      <w:ind w:left="0" w:firstLine="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semiHidden/>
    <w:unhideWhenUsed/>
    <w:qFormat/>
    <w:rsid w:val="00175B64"/>
    <w:pPr>
      <w:keepNext/>
      <w:keepLines/>
      <w:numPr>
        <w:ilvl w:val="7"/>
        <w:numId w:val="16"/>
      </w:numPr>
      <w:tabs>
        <w:tab w:val="num" w:pos="360"/>
      </w:tabs>
      <w:spacing w:before="40"/>
      <w:ind w:left="0" w:firstLine="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175B64"/>
    <w:pPr>
      <w:keepNext/>
      <w:keepLines/>
      <w:numPr>
        <w:ilvl w:val="8"/>
        <w:numId w:val="16"/>
      </w:numPr>
      <w:tabs>
        <w:tab w:val="num" w:pos="360"/>
      </w:tabs>
      <w:spacing w:before="40"/>
      <w:ind w:left="0" w:firstLine="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75B64"/>
    <w:rPr>
      <w:rFonts w:ascii="Times New Roman" w:eastAsia="Times New Roman" w:hAnsi="Times New Roman" w:cs="Times New Roman"/>
      <w:b/>
      <w:sz w:val="24"/>
      <w:szCs w:val="24"/>
      <w:u w:val="single"/>
      <w:lang w:val="ro-RO" w:eastAsia="fr-FR"/>
    </w:rPr>
  </w:style>
  <w:style w:type="character" w:customStyle="1" w:styleId="Heading2Char">
    <w:name w:val="Heading 2 Char"/>
    <w:basedOn w:val="DefaultParagraphFont"/>
    <w:link w:val="Heading2"/>
    <w:uiPriority w:val="9"/>
    <w:rsid w:val="00220A78"/>
    <w:rPr>
      <w:rFonts w:ascii="Times New Roman" w:eastAsiaTheme="majorEastAsia" w:hAnsi="Times New Roman" w:cstheme="majorBidi"/>
      <w:b/>
      <w:sz w:val="24"/>
      <w:lang w:val="ro-RO" w:eastAsia="fr-FR"/>
    </w:rPr>
  </w:style>
  <w:style w:type="character" w:customStyle="1" w:styleId="Heading3Char">
    <w:name w:val="Heading 3 Char"/>
    <w:basedOn w:val="DefaultParagraphFont"/>
    <w:link w:val="Heading3"/>
    <w:uiPriority w:val="9"/>
    <w:semiHidden/>
    <w:rsid w:val="00175B64"/>
    <w:rPr>
      <w:rFonts w:asciiTheme="majorHAnsi" w:eastAsiaTheme="majorEastAsia" w:hAnsiTheme="majorHAnsi" w:cstheme="majorBidi"/>
      <w:color w:val="1F4D78" w:themeColor="accent1" w:themeShade="7F"/>
      <w:sz w:val="24"/>
      <w:szCs w:val="24"/>
      <w:lang w:val="ro-RO" w:eastAsia="fr-FR"/>
    </w:rPr>
  </w:style>
  <w:style w:type="character" w:customStyle="1" w:styleId="Heading4Char">
    <w:name w:val="Heading 4 Char"/>
    <w:basedOn w:val="DefaultParagraphFont"/>
    <w:link w:val="Heading4"/>
    <w:uiPriority w:val="9"/>
    <w:semiHidden/>
    <w:rsid w:val="00175B64"/>
    <w:rPr>
      <w:rFonts w:asciiTheme="majorHAnsi" w:eastAsiaTheme="majorEastAsia" w:hAnsiTheme="majorHAnsi" w:cstheme="majorBidi"/>
      <w:i/>
      <w:iCs/>
      <w:color w:val="2E74B5" w:themeColor="accent1" w:themeShade="BF"/>
      <w:sz w:val="24"/>
      <w:szCs w:val="24"/>
      <w:lang w:val="ro-RO" w:eastAsia="fr-FR"/>
    </w:rPr>
  </w:style>
  <w:style w:type="character" w:customStyle="1" w:styleId="Heading5Char">
    <w:name w:val="Heading 5 Char"/>
    <w:basedOn w:val="DefaultParagraphFont"/>
    <w:link w:val="Heading5"/>
    <w:uiPriority w:val="9"/>
    <w:semiHidden/>
    <w:rsid w:val="00175B64"/>
    <w:rPr>
      <w:rFonts w:asciiTheme="majorHAnsi" w:eastAsiaTheme="majorEastAsia" w:hAnsiTheme="majorHAnsi" w:cstheme="majorBidi"/>
      <w:color w:val="2E74B5" w:themeColor="accent1" w:themeShade="BF"/>
      <w:sz w:val="24"/>
      <w:szCs w:val="24"/>
      <w:lang w:val="ro-RO" w:eastAsia="fr-FR"/>
    </w:rPr>
  </w:style>
  <w:style w:type="character" w:customStyle="1" w:styleId="Heading6Char">
    <w:name w:val="Heading 6 Char"/>
    <w:basedOn w:val="DefaultParagraphFont"/>
    <w:link w:val="Heading6"/>
    <w:uiPriority w:val="9"/>
    <w:semiHidden/>
    <w:rsid w:val="00175B64"/>
    <w:rPr>
      <w:rFonts w:asciiTheme="majorHAnsi" w:eastAsiaTheme="majorEastAsia" w:hAnsiTheme="majorHAnsi" w:cstheme="majorBidi"/>
      <w:color w:val="1F4D78" w:themeColor="accent1" w:themeShade="7F"/>
      <w:sz w:val="24"/>
      <w:szCs w:val="24"/>
      <w:lang w:val="ro-RO" w:eastAsia="fr-FR"/>
    </w:rPr>
  </w:style>
  <w:style w:type="character" w:customStyle="1" w:styleId="Heading7Char">
    <w:name w:val="Heading 7 Char"/>
    <w:basedOn w:val="DefaultParagraphFont"/>
    <w:link w:val="Heading7"/>
    <w:uiPriority w:val="9"/>
    <w:semiHidden/>
    <w:rsid w:val="00175B64"/>
    <w:rPr>
      <w:rFonts w:asciiTheme="majorHAnsi" w:eastAsiaTheme="majorEastAsia" w:hAnsiTheme="majorHAnsi" w:cstheme="majorBidi"/>
      <w:i/>
      <w:iCs/>
      <w:color w:val="1F4D78" w:themeColor="accent1" w:themeShade="7F"/>
      <w:sz w:val="24"/>
      <w:szCs w:val="24"/>
      <w:lang w:val="ro-RO" w:eastAsia="fr-FR"/>
    </w:rPr>
  </w:style>
  <w:style w:type="character" w:customStyle="1" w:styleId="Heading8Char">
    <w:name w:val="Heading 8 Char"/>
    <w:basedOn w:val="DefaultParagraphFont"/>
    <w:link w:val="Heading8"/>
    <w:uiPriority w:val="9"/>
    <w:semiHidden/>
    <w:rsid w:val="00175B64"/>
    <w:rPr>
      <w:rFonts w:asciiTheme="majorHAnsi" w:eastAsiaTheme="majorEastAsia" w:hAnsiTheme="majorHAnsi" w:cstheme="majorBidi"/>
      <w:color w:val="272727" w:themeColor="text1" w:themeTint="D8"/>
      <w:sz w:val="21"/>
      <w:szCs w:val="21"/>
      <w:lang w:val="ro-RO" w:eastAsia="fr-FR"/>
    </w:rPr>
  </w:style>
  <w:style w:type="character" w:customStyle="1" w:styleId="Heading9Char">
    <w:name w:val="Heading 9 Char"/>
    <w:basedOn w:val="DefaultParagraphFont"/>
    <w:link w:val="Heading9"/>
    <w:uiPriority w:val="9"/>
    <w:semiHidden/>
    <w:rsid w:val="00175B64"/>
    <w:rPr>
      <w:rFonts w:asciiTheme="majorHAnsi" w:eastAsiaTheme="majorEastAsia" w:hAnsiTheme="majorHAnsi" w:cstheme="majorBidi"/>
      <w:i/>
      <w:iCs/>
      <w:color w:val="272727" w:themeColor="text1" w:themeTint="D8"/>
      <w:sz w:val="21"/>
      <w:szCs w:val="21"/>
      <w:lang w:val="ro-RO" w:eastAsia="fr-FR"/>
    </w:rPr>
  </w:style>
  <w:style w:type="paragraph" w:styleId="Footer">
    <w:name w:val="footer"/>
    <w:basedOn w:val="Normal"/>
    <w:link w:val="FooterChar"/>
    <w:uiPriority w:val="99"/>
    <w:rsid w:val="00175B64"/>
    <w:pPr>
      <w:tabs>
        <w:tab w:val="center" w:pos="4536"/>
        <w:tab w:val="right" w:pos="9072"/>
      </w:tabs>
    </w:pPr>
  </w:style>
  <w:style w:type="character" w:customStyle="1" w:styleId="FooterChar">
    <w:name w:val="Footer Char"/>
    <w:basedOn w:val="DefaultParagraphFont"/>
    <w:link w:val="Footer"/>
    <w:uiPriority w:val="99"/>
    <w:rsid w:val="00175B64"/>
    <w:rPr>
      <w:rFonts w:ascii="Times New Roman" w:eastAsia="Times New Roman" w:hAnsi="Times New Roman" w:cs="Times New Roman"/>
      <w:sz w:val="24"/>
      <w:szCs w:val="24"/>
      <w:lang w:val="ro-RO" w:eastAsia="fr-FR"/>
    </w:rPr>
  </w:style>
  <w:style w:type="character" w:styleId="PageNumber">
    <w:name w:val="page number"/>
    <w:basedOn w:val="DefaultParagraphFont"/>
    <w:rsid w:val="00175B64"/>
  </w:style>
  <w:style w:type="paragraph" w:styleId="BodyText">
    <w:name w:val="Body Text"/>
    <w:basedOn w:val="Normal"/>
    <w:link w:val="BodyTextChar"/>
    <w:rsid w:val="00175B64"/>
    <w:rPr>
      <w:szCs w:val="20"/>
    </w:rPr>
  </w:style>
  <w:style w:type="character" w:customStyle="1" w:styleId="BodyTextChar">
    <w:name w:val="Body Text Char"/>
    <w:basedOn w:val="DefaultParagraphFont"/>
    <w:link w:val="BodyText"/>
    <w:rsid w:val="00175B64"/>
    <w:rPr>
      <w:rFonts w:ascii="Times New Roman" w:eastAsia="Times New Roman" w:hAnsi="Times New Roman" w:cs="Times New Roman"/>
      <w:sz w:val="24"/>
      <w:szCs w:val="20"/>
      <w:lang w:eastAsia="fr-FR"/>
    </w:rPr>
  </w:style>
  <w:style w:type="character" w:styleId="Hyperlink">
    <w:name w:val="Hyperlink"/>
    <w:uiPriority w:val="99"/>
    <w:rsid w:val="00175B64"/>
    <w:rPr>
      <w:color w:val="0000FF"/>
      <w:u w:val="single"/>
    </w:rPr>
  </w:style>
  <w:style w:type="paragraph" w:styleId="BlockText">
    <w:name w:val="Block Text"/>
    <w:basedOn w:val="Normal"/>
    <w:rsid w:val="00175B64"/>
    <w:pPr>
      <w:tabs>
        <w:tab w:val="left" w:pos="0"/>
      </w:tabs>
      <w:suppressAutoHyphens/>
      <w:ind w:left="340" w:right="340"/>
      <w:jc w:val="both"/>
    </w:pPr>
    <w:rPr>
      <w:szCs w:val="20"/>
      <w:lang w:eastAsia="en-US"/>
    </w:rPr>
  </w:style>
  <w:style w:type="paragraph" w:styleId="TOC1">
    <w:name w:val="toc 1"/>
    <w:basedOn w:val="Normal"/>
    <w:next w:val="Normal"/>
    <w:autoRedefine/>
    <w:uiPriority w:val="39"/>
    <w:rsid w:val="00175B64"/>
    <w:pPr>
      <w:tabs>
        <w:tab w:val="left" w:pos="480"/>
        <w:tab w:val="left" w:pos="960"/>
        <w:tab w:val="right" w:leader="dot" w:pos="9060"/>
      </w:tabs>
    </w:pPr>
    <w:rPr>
      <w:rFonts w:ascii="Century Gothic" w:hAnsi="Century Gothic"/>
      <w:b/>
      <w:bCs/>
      <w:caps/>
      <w:noProof/>
      <w:sz w:val="22"/>
      <w:szCs w:val="22"/>
    </w:rPr>
  </w:style>
  <w:style w:type="paragraph" w:styleId="Header">
    <w:name w:val="header"/>
    <w:basedOn w:val="Normal"/>
    <w:link w:val="HeaderChar"/>
    <w:rsid w:val="00175B64"/>
    <w:pPr>
      <w:tabs>
        <w:tab w:val="center" w:pos="4153"/>
        <w:tab w:val="right" w:pos="8306"/>
      </w:tabs>
    </w:pPr>
  </w:style>
  <w:style w:type="character" w:customStyle="1" w:styleId="HeaderChar">
    <w:name w:val="Header Char"/>
    <w:basedOn w:val="DefaultParagraphFont"/>
    <w:link w:val="Header"/>
    <w:rsid w:val="00175B64"/>
    <w:rPr>
      <w:rFonts w:ascii="Times New Roman" w:eastAsia="Times New Roman" w:hAnsi="Times New Roman" w:cs="Times New Roman"/>
      <w:sz w:val="24"/>
      <w:szCs w:val="24"/>
      <w:lang w:val="ro-RO" w:eastAsia="fr-FR"/>
    </w:rPr>
  </w:style>
  <w:style w:type="table" w:styleId="TableGrid">
    <w:name w:val="Table Grid"/>
    <w:basedOn w:val="TableNormal"/>
    <w:uiPriority w:val="39"/>
    <w:rsid w:val="00175B64"/>
    <w:pPr>
      <w:spacing w:after="0" w:line="240" w:lineRule="auto"/>
    </w:pPr>
    <w:rPr>
      <w:rFonts w:ascii="Times New Roman" w:eastAsia="Times New Roman" w:hAnsi="Times New Roman" w:cs="Times New Roman"/>
      <w:sz w:val="18"/>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uiPriority w:val="99"/>
    <w:semiHidden/>
    <w:rsid w:val="00175B64"/>
    <w:rPr>
      <w:sz w:val="16"/>
      <w:szCs w:val="16"/>
    </w:rPr>
  </w:style>
  <w:style w:type="character" w:styleId="FootnoteReference">
    <w:name w:val="footnote reference"/>
    <w:aliases w:val="Footnote Refernece,BVI fnr,callout,16 Point,Superscript 6 Point,Odwołanie przypisu,Footnote symbol,Footnote Reference Number,Footnote Reference Superscript,SUPERS,Times 10 Point,Exposant 3 Point,Ref,de nota al pie,number, BVI fnr,FR"/>
    <w:link w:val="FootnoteReferenceCharCarCharCharCarCharCarCharCarCharCarCharCharCarCarCharCharCharCharCharCarCharCarCharCharCarCharCar"/>
    <w:uiPriority w:val="99"/>
    <w:qFormat/>
    <w:rsid w:val="00175B64"/>
    <w:rPr>
      <w:vertAlign w:val="superscript"/>
    </w:rPr>
  </w:style>
  <w:style w:type="paragraph" w:styleId="ListParagraph">
    <w:name w:val="List Paragraph"/>
    <w:aliases w:val="Heading 2_sj,List Paragraph1,Numbered Para 1,Dot pt,No Spacing1,List Paragraph Char Char Char,Indicator Text,Bullet 1,Bullet Points,MAIN CONTENT,List Paragraph12,F5 List Paragraph,Reference list,Source"/>
    <w:basedOn w:val="Normal"/>
    <w:link w:val="ListParagraphChar"/>
    <w:uiPriority w:val="34"/>
    <w:qFormat/>
    <w:rsid w:val="00175B64"/>
    <w:pPr>
      <w:ind w:left="720"/>
      <w:contextualSpacing/>
      <w:jc w:val="both"/>
    </w:pPr>
    <w:rPr>
      <w:sz w:val="22"/>
      <w:szCs w:val="20"/>
    </w:rPr>
  </w:style>
  <w:style w:type="paragraph" w:styleId="FootnoteText">
    <w:name w:val="footnote text"/>
    <w:aliases w:val="M Footnotes,Fußnotentextf,Footnote,Fußnote,Char Char Car,Note de bas de page Car Car Car Car Car Car Car Car Car Car,Note de bas de page Car Car Car Car,Note de bas de page Car Car Car Car Car Car Car Car Car,ft,fn,o,f,Footnote Text Char1"/>
    <w:basedOn w:val="Normal"/>
    <w:link w:val="FootnoteTextChar"/>
    <w:uiPriority w:val="99"/>
    <w:qFormat/>
    <w:rsid w:val="00175B64"/>
    <w:pPr>
      <w:jc w:val="both"/>
    </w:pPr>
    <w:rPr>
      <w:sz w:val="18"/>
      <w:szCs w:val="22"/>
    </w:rPr>
  </w:style>
  <w:style w:type="character" w:customStyle="1" w:styleId="FootnoteTextChar">
    <w:name w:val="Footnote Text Char"/>
    <w:aliases w:val="M Footnotes Char,Fußnotentextf Char,Footnote Char,Fußnote Char,Char Char Car Char,Note de bas de page Car Car Car Car Car Car Car Car Car Car Char,Note de bas de page Car Car Car Car Char,ft Char,fn Char,o Char,f Char"/>
    <w:basedOn w:val="DefaultParagraphFont"/>
    <w:link w:val="FootnoteText"/>
    <w:uiPriority w:val="99"/>
    <w:qFormat/>
    <w:rsid w:val="00175B64"/>
    <w:rPr>
      <w:rFonts w:ascii="Times New Roman" w:eastAsia="Times New Roman" w:hAnsi="Times New Roman" w:cs="Times New Roman"/>
      <w:sz w:val="18"/>
      <w:lang w:val="ro-RO" w:eastAsia="fr-FR"/>
    </w:rPr>
  </w:style>
  <w:style w:type="paragraph" w:customStyle="1" w:styleId="MBT">
    <w:name w:val="M BT"/>
    <w:basedOn w:val="Normal"/>
    <w:link w:val="MBTChar"/>
    <w:qFormat/>
    <w:rsid w:val="00175B64"/>
    <w:pPr>
      <w:widowControl w:val="0"/>
      <w:jc w:val="both"/>
    </w:pPr>
    <w:rPr>
      <w:bCs/>
      <w:sz w:val="22"/>
      <w:szCs w:val="22"/>
    </w:rPr>
  </w:style>
  <w:style w:type="character" w:customStyle="1" w:styleId="MBTChar">
    <w:name w:val="M BT Char"/>
    <w:link w:val="MBT"/>
    <w:rsid w:val="00175B64"/>
    <w:rPr>
      <w:rFonts w:ascii="Times New Roman" w:eastAsia="Times New Roman" w:hAnsi="Times New Roman" w:cs="Times New Roman"/>
      <w:bCs/>
      <w:lang w:eastAsia="fr-FR"/>
    </w:rPr>
  </w:style>
  <w:style w:type="paragraph" w:customStyle="1" w:styleId="MH1nonumb">
    <w:name w:val="M H 1 no numb"/>
    <w:basedOn w:val="Normal"/>
    <w:next w:val="MBT"/>
    <w:link w:val="MH1nonumbChar"/>
    <w:qFormat/>
    <w:rsid w:val="00175B64"/>
    <w:pPr>
      <w:keepNext/>
      <w:pageBreakBefore/>
      <w:spacing w:after="480"/>
      <w:jc w:val="both"/>
      <w:outlineLvl w:val="0"/>
    </w:pPr>
    <w:rPr>
      <w:rFonts w:ascii="Century Gothic" w:hAnsi="Century Gothic"/>
      <w:b/>
      <w:caps/>
    </w:rPr>
  </w:style>
  <w:style w:type="character" w:customStyle="1" w:styleId="MH1nonumbChar">
    <w:name w:val="M H 1 no numb Char"/>
    <w:link w:val="MH1nonumb"/>
    <w:rsid w:val="00175B64"/>
    <w:rPr>
      <w:rFonts w:ascii="Century Gothic" w:eastAsia="Times New Roman" w:hAnsi="Century Gothic" w:cs="Times New Roman"/>
      <w:b/>
      <w:caps/>
      <w:sz w:val="24"/>
      <w:szCs w:val="24"/>
      <w:lang w:val="ro-RO" w:eastAsia="fr-FR"/>
    </w:rPr>
  </w:style>
  <w:style w:type="character" w:customStyle="1" w:styleId="ListParagraphChar">
    <w:name w:val="List Paragraph Char"/>
    <w:aliases w:val="Heading 2_sj Char,List Paragraph1 Char,Numbered Para 1 Char,Dot pt Char,No Spacing1 Char,List Paragraph Char Char Char Char,Indicator Text Char,Bullet 1 Char,Bullet Points Char,MAIN CONTENT Char,List Paragraph12 Char,Source Char"/>
    <w:basedOn w:val="DefaultParagraphFont"/>
    <w:link w:val="ListParagraph"/>
    <w:uiPriority w:val="34"/>
    <w:qFormat/>
    <w:rsid w:val="00175B64"/>
    <w:rPr>
      <w:rFonts w:ascii="Times New Roman" w:eastAsia="Times New Roman" w:hAnsi="Times New Roman" w:cs="Times New Roman"/>
      <w:szCs w:val="20"/>
      <w:lang w:val="ro-RO" w:eastAsia="fr-FR"/>
    </w:rPr>
  </w:style>
  <w:style w:type="paragraph" w:styleId="BalloonText">
    <w:name w:val="Balloon Text"/>
    <w:basedOn w:val="Normal"/>
    <w:link w:val="BalloonTextChar"/>
    <w:uiPriority w:val="99"/>
    <w:semiHidden/>
    <w:unhideWhenUsed/>
    <w:rsid w:val="00175B64"/>
    <w:rPr>
      <w:rFonts w:ascii="Tahoma" w:hAnsi="Tahoma" w:cs="Tahoma"/>
      <w:sz w:val="16"/>
      <w:szCs w:val="16"/>
    </w:rPr>
  </w:style>
  <w:style w:type="character" w:customStyle="1" w:styleId="BalloonTextChar">
    <w:name w:val="Balloon Text Char"/>
    <w:basedOn w:val="DefaultParagraphFont"/>
    <w:link w:val="BalloonText"/>
    <w:uiPriority w:val="99"/>
    <w:semiHidden/>
    <w:rsid w:val="00175B64"/>
    <w:rPr>
      <w:rFonts w:ascii="Tahoma" w:eastAsia="Times New Roman" w:hAnsi="Tahoma" w:cs="Tahoma"/>
      <w:sz w:val="16"/>
      <w:szCs w:val="16"/>
      <w:lang w:val="ro-RO" w:eastAsia="fr-FR"/>
    </w:rPr>
  </w:style>
  <w:style w:type="paragraph" w:styleId="CommentText">
    <w:name w:val="annotation text"/>
    <w:basedOn w:val="Normal"/>
    <w:link w:val="CommentTextChar"/>
    <w:uiPriority w:val="99"/>
    <w:unhideWhenUsed/>
    <w:rsid w:val="00175B64"/>
    <w:rPr>
      <w:sz w:val="20"/>
      <w:szCs w:val="20"/>
    </w:rPr>
  </w:style>
  <w:style w:type="character" w:customStyle="1" w:styleId="CommentTextChar">
    <w:name w:val="Comment Text Char"/>
    <w:basedOn w:val="DefaultParagraphFont"/>
    <w:link w:val="CommentText"/>
    <w:uiPriority w:val="99"/>
    <w:rsid w:val="00175B64"/>
    <w:rPr>
      <w:rFonts w:ascii="Times New Roman" w:eastAsia="Times New Roman" w:hAnsi="Times New Roman" w:cs="Times New Roman"/>
      <w:sz w:val="20"/>
      <w:szCs w:val="20"/>
      <w:lang w:val="ro-RO" w:eastAsia="fr-FR"/>
    </w:rPr>
  </w:style>
  <w:style w:type="paragraph" w:styleId="CommentSubject">
    <w:name w:val="annotation subject"/>
    <w:basedOn w:val="CommentText"/>
    <w:next w:val="CommentText"/>
    <w:link w:val="CommentSubjectChar"/>
    <w:uiPriority w:val="99"/>
    <w:semiHidden/>
    <w:unhideWhenUsed/>
    <w:rsid w:val="00175B64"/>
    <w:rPr>
      <w:b/>
      <w:bCs/>
    </w:rPr>
  </w:style>
  <w:style w:type="character" w:customStyle="1" w:styleId="CommentSubjectChar">
    <w:name w:val="Comment Subject Char"/>
    <w:basedOn w:val="CommentTextChar"/>
    <w:link w:val="CommentSubject"/>
    <w:uiPriority w:val="99"/>
    <w:semiHidden/>
    <w:rsid w:val="00175B64"/>
    <w:rPr>
      <w:rFonts w:ascii="Times New Roman" w:eastAsia="Times New Roman" w:hAnsi="Times New Roman" w:cs="Times New Roman"/>
      <w:b/>
      <w:bCs/>
      <w:sz w:val="20"/>
      <w:szCs w:val="20"/>
      <w:lang w:val="ro-RO" w:eastAsia="fr-FR"/>
    </w:rPr>
  </w:style>
  <w:style w:type="paragraph" w:styleId="Revision">
    <w:name w:val="Revision"/>
    <w:hidden/>
    <w:uiPriority w:val="99"/>
    <w:semiHidden/>
    <w:rsid w:val="00175B64"/>
    <w:pPr>
      <w:spacing w:after="0" w:line="240" w:lineRule="auto"/>
    </w:pPr>
    <w:rPr>
      <w:rFonts w:ascii="Times New Roman" w:eastAsia="Times New Roman" w:hAnsi="Times New Roman" w:cs="Times New Roman"/>
      <w:sz w:val="24"/>
      <w:szCs w:val="24"/>
      <w:lang w:eastAsia="fr-FR"/>
    </w:rPr>
  </w:style>
  <w:style w:type="paragraph" w:styleId="BodyText3">
    <w:name w:val="Body Text 3"/>
    <w:basedOn w:val="Normal"/>
    <w:link w:val="BodyText3Char"/>
    <w:rsid w:val="00175B64"/>
    <w:pPr>
      <w:spacing w:after="120"/>
    </w:pPr>
    <w:rPr>
      <w:sz w:val="16"/>
      <w:szCs w:val="16"/>
    </w:rPr>
  </w:style>
  <w:style w:type="character" w:customStyle="1" w:styleId="BodyText3Char">
    <w:name w:val="Body Text 3 Char"/>
    <w:basedOn w:val="DefaultParagraphFont"/>
    <w:link w:val="BodyText3"/>
    <w:rsid w:val="00175B64"/>
    <w:rPr>
      <w:rFonts w:ascii="Times New Roman" w:eastAsia="Times New Roman" w:hAnsi="Times New Roman" w:cs="Times New Roman"/>
      <w:sz w:val="16"/>
      <w:szCs w:val="16"/>
      <w:lang w:val="ro-RO" w:eastAsia="fr-FR"/>
    </w:rPr>
  </w:style>
  <w:style w:type="paragraph" w:customStyle="1" w:styleId="MMultilevel">
    <w:name w:val="M Multilevel"/>
    <w:basedOn w:val="Normal"/>
    <w:link w:val="MMultilevelChar"/>
    <w:qFormat/>
    <w:rsid w:val="00175B64"/>
    <w:pPr>
      <w:widowControl w:val="0"/>
      <w:numPr>
        <w:numId w:val="14"/>
      </w:numPr>
      <w:jc w:val="both"/>
    </w:pPr>
    <w:rPr>
      <w:bCs/>
      <w:sz w:val="22"/>
      <w:szCs w:val="22"/>
    </w:rPr>
  </w:style>
  <w:style w:type="character" w:customStyle="1" w:styleId="MMultilevelChar">
    <w:name w:val="M Multilevel Char"/>
    <w:link w:val="MMultilevel"/>
    <w:rsid w:val="00175B64"/>
    <w:rPr>
      <w:rFonts w:ascii="Times New Roman" w:eastAsia="Times New Roman" w:hAnsi="Times New Roman" w:cs="Times New Roman"/>
      <w:bCs/>
      <w:lang w:eastAsia="fr-FR"/>
    </w:rPr>
  </w:style>
  <w:style w:type="paragraph" w:styleId="Caption">
    <w:name w:val="caption"/>
    <w:basedOn w:val="Normal"/>
    <w:next w:val="Normal"/>
    <w:uiPriority w:val="35"/>
    <w:unhideWhenUsed/>
    <w:qFormat/>
    <w:rsid w:val="00175B64"/>
    <w:pPr>
      <w:spacing w:after="200"/>
    </w:pPr>
    <w:rPr>
      <w:i/>
      <w:iCs/>
      <w:color w:val="44546A" w:themeColor="text2"/>
      <w:sz w:val="18"/>
      <w:szCs w:val="18"/>
    </w:rPr>
  </w:style>
  <w:style w:type="character" w:customStyle="1" w:styleId="UnresolvedMention1">
    <w:name w:val="Unresolved Mention1"/>
    <w:basedOn w:val="DefaultParagraphFont"/>
    <w:uiPriority w:val="99"/>
    <w:semiHidden/>
    <w:unhideWhenUsed/>
    <w:rsid w:val="00175B64"/>
    <w:rPr>
      <w:color w:val="605E5C"/>
      <w:shd w:val="clear" w:color="auto" w:fill="E1DFDD"/>
    </w:rPr>
  </w:style>
  <w:style w:type="paragraph" w:styleId="TOC2">
    <w:name w:val="toc 2"/>
    <w:basedOn w:val="Normal"/>
    <w:next w:val="Normal"/>
    <w:autoRedefine/>
    <w:uiPriority w:val="39"/>
    <w:unhideWhenUsed/>
    <w:rsid w:val="00175B64"/>
    <w:pPr>
      <w:spacing w:after="100"/>
      <w:ind w:left="240"/>
    </w:pPr>
  </w:style>
  <w:style w:type="paragraph" w:customStyle="1" w:styleId="FootnoteReferenceCharCarCharCharCarCharCarCharCarCharCarCharCharCarCarCharCharCharCharCharCarCharCarCharCharCarCharCar">
    <w:name w:val="Footnote Reference Char Car Char Char Car Char Car Char Car Char Car Char Char Car Car Char Char Char Char Char Car Char Car Char Char Car Char Car"/>
    <w:aliases w:val="Footnotes refss Car Char Car,callout Car Car Char Char Car,Footnotes refss Car1"/>
    <w:basedOn w:val="Normal"/>
    <w:link w:val="FootnoteReference"/>
    <w:uiPriority w:val="99"/>
    <w:rsid w:val="00175B64"/>
    <w:pPr>
      <w:spacing w:before="60" w:after="160" w:line="240" w:lineRule="exact"/>
      <w:jc w:val="both"/>
    </w:pPr>
    <w:rPr>
      <w:rFonts w:asciiTheme="minorHAnsi" w:eastAsiaTheme="minorHAnsi" w:hAnsiTheme="minorHAnsi" w:cstheme="minorBidi"/>
      <w:sz w:val="22"/>
      <w:szCs w:val="22"/>
      <w:vertAlign w:val="superscript"/>
      <w:lang w:eastAsia="en-US"/>
    </w:rPr>
  </w:style>
  <w:style w:type="paragraph" w:styleId="NormalWeb">
    <w:name w:val="Normal (Web)"/>
    <w:basedOn w:val="Normal"/>
    <w:uiPriority w:val="99"/>
    <w:rsid w:val="00175B64"/>
    <w:pPr>
      <w:spacing w:before="100" w:beforeAutospacing="1" w:after="100" w:afterAutospacing="1"/>
    </w:pPr>
    <w:rPr>
      <w:rFonts w:ascii="Arial" w:hAnsi="Arial" w:cs="Arial"/>
      <w:color w:val="000066"/>
      <w:sz w:val="20"/>
      <w:szCs w:val="20"/>
    </w:rPr>
  </w:style>
  <w:style w:type="paragraph" w:customStyle="1" w:styleId="xmsonormal">
    <w:name w:val="x_msonormal"/>
    <w:basedOn w:val="Normal"/>
    <w:rsid w:val="00175B64"/>
    <w:rPr>
      <w:rFonts w:ascii="Calibri" w:eastAsiaTheme="minorHAnsi" w:hAnsi="Calibri" w:cs="Calibri"/>
      <w:sz w:val="22"/>
      <w:szCs w:val="22"/>
      <w:lang w:eastAsia="en-GB"/>
    </w:rPr>
  </w:style>
  <w:style w:type="paragraph" w:customStyle="1" w:styleId="ti-art">
    <w:name w:val="ti-art"/>
    <w:basedOn w:val="Normal"/>
    <w:rsid w:val="00175B64"/>
    <w:pPr>
      <w:spacing w:before="100" w:beforeAutospacing="1" w:after="100" w:afterAutospacing="1"/>
    </w:pPr>
    <w:rPr>
      <w:lang w:eastAsia="nl-BE"/>
    </w:rPr>
  </w:style>
  <w:style w:type="character" w:customStyle="1" w:styleId="UnresolvedMention2">
    <w:name w:val="Unresolved Mention2"/>
    <w:basedOn w:val="DefaultParagraphFont"/>
    <w:uiPriority w:val="99"/>
    <w:semiHidden/>
    <w:unhideWhenUsed/>
    <w:rsid w:val="00175B64"/>
    <w:rPr>
      <w:color w:val="605E5C"/>
      <w:shd w:val="clear" w:color="auto" w:fill="E1DFDD"/>
    </w:rPr>
  </w:style>
  <w:style w:type="character" w:styleId="FollowedHyperlink">
    <w:name w:val="FollowedHyperlink"/>
    <w:basedOn w:val="DefaultParagraphFont"/>
    <w:uiPriority w:val="99"/>
    <w:semiHidden/>
    <w:unhideWhenUsed/>
    <w:rsid w:val="00175B64"/>
    <w:rPr>
      <w:color w:val="954F72" w:themeColor="followedHyperlink"/>
      <w:u w:val="single"/>
    </w:rPr>
  </w:style>
  <w:style w:type="character" w:customStyle="1" w:styleId="cf01">
    <w:name w:val="cf01"/>
    <w:basedOn w:val="DefaultParagraphFont"/>
    <w:rsid w:val="00175B64"/>
    <w:rPr>
      <w:rFonts w:ascii="Segoe UI" w:hAnsi="Segoe UI" w:cs="Segoe UI" w:hint="default"/>
      <w:sz w:val="18"/>
      <w:szCs w:val="18"/>
    </w:rPr>
  </w:style>
  <w:style w:type="character" w:customStyle="1" w:styleId="UnresolvedMention3">
    <w:name w:val="Unresolved Mention3"/>
    <w:basedOn w:val="DefaultParagraphFont"/>
    <w:uiPriority w:val="99"/>
    <w:semiHidden/>
    <w:unhideWhenUsed/>
    <w:rsid w:val="00DE5876"/>
    <w:rPr>
      <w:color w:val="605E5C"/>
      <w:shd w:val="clear" w:color="auto" w:fill="E1DFDD"/>
    </w:rPr>
  </w:style>
  <w:style w:type="character" w:customStyle="1" w:styleId="UnresolvedMention4">
    <w:name w:val="Unresolved Mention4"/>
    <w:basedOn w:val="DefaultParagraphFont"/>
    <w:uiPriority w:val="99"/>
    <w:semiHidden/>
    <w:unhideWhenUsed/>
    <w:rsid w:val="005704B6"/>
    <w:rPr>
      <w:color w:val="605E5C"/>
      <w:shd w:val="clear" w:color="auto" w:fill="E1DFDD"/>
    </w:rPr>
  </w:style>
  <w:style w:type="character" w:customStyle="1" w:styleId="Marker">
    <w:name w:val="Marker"/>
    <w:basedOn w:val="DefaultParagraphFont"/>
    <w:rsid w:val="00466BCC"/>
    <w:rPr>
      <w:color w:val="0000FF"/>
      <w:shd w:val="clear" w:color="auto" w:fill="auto"/>
    </w:rPr>
  </w:style>
  <w:style w:type="paragraph" w:customStyle="1" w:styleId="Pagedecouverture">
    <w:name w:val="Page de couverture"/>
    <w:basedOn w:val="Normal"/>
    <w:next w:val="Normal"/>
    <w:rsid w:val="00466BCC"/>
    <w:pPr>
      <w:jc w:val="both"/>
    </w:pPr>
    <w:rPr>
      <w:rFonts w:eastAsiaTheme="minorHAnsi"/>
      <w:szCs w:val="22"/>
      <w:lang w:eastAsia="en-US"/>
    </w:rPr>
  </w:style>
  <w:style w:type="paragraph" w:customStyle="1" w:styleId="FooterCoverPage">
    <w:name w:val="Footer Cover Page"/>
    <w:basedOn w:val="Normal"/>
    <w:link w:val="FooterCoverPageChar"/>
    <w:rsid w:val="00466BCC"/>
    <w:pPr>
      <w:tabs>
        <w:tab w:val="center" w:pos="4535"/>
        <w:tab w:val="right" w:pos="9071"/>
        <w:tab w:val="right" w:pos="9921"/>
      </w:tabs>
      <w:spacing w:before="360"/>
      <w:ind w:left="-850" w:right="-850"/>
    </w:pPr>
  </w:style>
  <w:style w:type="character" w:customStyle="1" w:styleId="FooterCoverPageChar">
    <w:name w:val="Footer Cover Page Char"/>
    <w:basedOn w:val="DefaultParagraphFont"/>
    <w:link w:val="FooterCoverPage"/>
    <w:rsid w:val="00466BCC"/>
    <w:rPr>
      <w:rFonts w:ascii="Times New Roman" w:eastAsia="Times New Roman" w:hAnsi="Times New Roman" w:cs="Times New Roman"/>
      <w:sz w:val="24"/>
      <w:szCs w:val="24"/>
      <w:lang w:eastAsia="fr-FR"/>
    </w:rPr>
  </w:style>
  <w:style w:type="paragraph" w:customStyle="1" w:styleId="FooterSensitivity">
    <w:name w:val="Footer Sensitivity"/>
    <w:basedOn w:val="Normal"/>
    <w:link w:val="FooterSensitivityChar"/>
    <w:rsid w:val="00466BCC"/>
    <w:pPr>
      <w:pBdr>
        <w:top w:val="single" w:sz="4" w:space="1" w:color="auto"/>
        <w:left w:val="single" w:sz="4" w:space="4" w:color="auto"/>
        <w:bottom w:val="single" w:sz="4" w:space="1" w:color="auto"/>
        <w:right w:val="single" w:sz="4" w:space="4" w:color="auto"/>
      </w:pBdr>
      <w:spacing w:before="360"/>
      <w:ind w:left="113" w:right="113"/>
      <w:jc w:val="center"/>
    </w:pPr>
    <w:rPr>
      <w:b/>
      <w:sz w:val="32"/>
    </w:rPr>
  </w:style>
  <w:style w:type="character" w:customStyle="1" w:styleId="FooterSensitivityChar">
    <w:name w:val="Footer Sensitivity Char"/>
    <w:basedOn w:val="DefaultParagraphFont"/>
    <w:link w:val="FooterSensitivity"/>
    <w:rsid w:val="00466BCC"/>
    <w:rPr>
      <w:rFonts w:ascii="Times New Roman" w:eastAsia="Times New Roman" w:hAnsi="Times New Roman" w:cs="Times New Roman"/>
      <w:b/>
      <w:sz w:val="32"/>
      <w:szCs w:val="24"/>
      <w:lang w:eastAsia="fr-FR"/>
    </w:rPr>
  </w:style>
  <w:style w:type="paragraph" w:customStyle="1" w:styleId="HeaderCoverPage">
    <w:name w:val="Header Cover Page"/>
    <w:basedOn w:val="Normal"/>
    <w:link w:val="HeaderCoverPageChar"/>
    <w:rsid w:val="00466BCC"/>
    <w:pPr>
      <w:tabs>
        <w:tab w:val="center" w:pos="4535"/>
        <w:tab w:val="right" w:pos="9071"/>
      </w:tabs>
      <w:spacing w:after="120"/>
      <w:jc w:val="both"/>
    </w:pPr>
  </w:style>
  <w:style w:type="character" w:customStyle="1" w:styleId="HeaderCoverPageChar">
    <w:name w:val="Header Cover Page Char"/>
    <w:basedOn w:val="DefaultParagraphFont"/>
    <w:link w:val="HeaderCoverPage"/>
    <w:rsid w:val="00466BCC"/>
    <w:rPr>
      <w:rFonts w:ascii="Times New Roman" w:eastAsia="Times New Roman" w:hAnsi="Times New Roman" w:cs="Times New Roman"/>
      <w:sz w:val="24"/>
      <w:szCs w:val="24"/>
      <w:lang w:eastAsia="fr-FR"/>
    </w:rPr>
  </w:style>
  <w:style w:type="paragraph" w:customStyle="1" w:styleId="HeaderSensitivity">
    <w:name w:val="Header Sensitivity"/>
    <w:basedOn w:val="Normal"/>
    <w:link w:val="HeaderSensitivityChar"/>
    <w:rsid w:val="00466BCC"/>
    <w:pPr>
      <w:pBdr>
        <w:top w:val="single" w:sz="4" w:space="1" w:color="auto"/>
        <w:left w:val="single" w:sz="4" w:space="4" w:color="auto"/>
        <w:bottom w:val="single" w:sz="4" w:space="1" w:color="auto"/>
        <w:right w:val="single" w:sz="4" w:space="4" w:color="auto"/>
      </w:pBdr>
      <w:spacing w:after="120"/>
      <w:ind w:left="113" w:right="113"/>
      <w:jc w:val="center"/>
    </w:pPr>
    <w:rPr>
      <w:b/>
      <w:sz w:val="32"/>
    </w:rPr>
  </w:style>
  <w:style w:type="character" w:customStyle="1" w:styleId="HeaderSensitivityChar">
    <w:name w:val="Header Sensitivity Char"/>
    <w:basedOn w:val="DefaultParagraphFont"/>
    <w:link w:val="HeaderSensitivity"/>
    <w:rsid w:val="00466BCC"/>
    <w:rPr>
      <w:rFonts w:ascii="Times New Roman" w:eastAsia="Times New Roman" w:hAnsi="Times New Roman" w:cs="Times New Roman"/>
      <w:b/>
      <w:sz w:val="32"/>
      <w:szCs w:val="24"/>
      <w:lang w:eastAsia="fr-FR"/>
    </w:rPr>
  </w:style>
  <w:style w:type="paragraph" w:customStyle="1" w:styleId="HeaderSensitivityRight">
    <w:name w:val="Header Sensitivity Right"/>
    <w:basedOn w:val="Normal"/>
    <w:link w:val="HeaderSensitivityRightChar"/>
    <w:rsid w:val="00466BCC"/>
    <w:pPr>
      <w:spacing w:after="120"/>
      <w:jc w:val="right"/>
    </w:pPr>
    <w:rPr>
      <w:sz w:val="28"/>
    </w:rPr>
  </w:style>
  <w:style w:type="character" w:customStyle="1" w:styleId="HeaderSensitivityRightChar">
    <w:name w:val="Header Sensitivity Right Char"/>
    <w:basedOn w:val="DefaultParagraphFont"/>
    <w:link w:val="HeaderSensitivityRight"/>
    <w:rsid w:val="00466BCC"/>
    <w:rPr>
      <w:rFonts w:ascii="Times New Roman" w:eastAsia="Times New Roman" w:hAnsi="Times New Roman" w:cs="Times New Roman"/>
      <w:sz w:val="28"/>
      <w:szCs w:val="24"/>
      <w:lang w:eastAsia="fr-FR"/>
    </w:rPr>
  </w:style>
  <w:style w:type="character" w:customStyle="1" w:styleId="UnresolvedMention">
    <w:name w:val="Unresolved Mention"/>
    <w:basedOn w:val="DefaultParagraphFont"/>
    <w:uiPriority w:val="99"/>
    <w:semiHidden/>
    <w:unhideWhenUsed/>
    <w:rsid w:val="006F7ABD"/>
    <w:rPr>
      <w:color w:val="605E5C"/>
      <w:shd w:val="clear" w:color="auto" w:fill="E1DFDD"/>
    </w:rPr>
  </w:style>
  <w:style w:type="character" w:customStyle="1" w:styleId="Mention">
    <w:name w:val="Mention"/>
    <w:basedOn w:val="DefaultParagraphFont"/>
    <w:uiPriority w:val="99"/>
    <w:unhideWhenUsed/>
    <w:rsid w:val="00631313"/>
    <w:rPr>
      <w:color w:val="2B579A"/>
      <w:shd w:val="clear" w:color="auto" w:fill="E1DFDD"/>
    </w:rPr>
  </w:style>
  <w:style w:type="paragraph" w:customStyle="1" w:styleId="Languesfaisantfoi">
    <w:name w:val="Langues faisant foi"/>
    <w:basedOn w:val="Normal"/>
    <w:next w:val="Normal"/>
    <w:rsid w:val="00FD08E3"/>
    <w:pPr>
      <w:spacing w:before="360" w:after="240"/>
      <w:jc w:val="center"/>
    </w:pPr>
    <w:rPr>
      <w:rFonts w:eastAsiaTheme="minorHAnsi"/>
      <w:szCs w:val="22"/>
      <w:lang w:eastAsia="en-US"/>
    </w:rPr>
  </w:style>
  <w:style w:type="paragraph" w:customStyle="1" w:styleId="LanguesfaisantfoiPagedecouverture">
    <w:name w:val="Langues faisant foi (Page de couverture)"/>
    <w:basedOn w:val="Normal"/>
    <w:next w:val="Normal"/>
    <w:rsid w:val="00FD08E3"/>
    <w:pPr>
      <w:spacing w:before="360" w:after="240"/>
      <w:jc w:val="center"/>
    </w:pPr>
    <w:rPr>
      <w:rFonts w:eastAsiaTheme="minorHAnsi"/>
      <w:szCs w:val="22"/>
      <w:lang w:eastAsia="en-US"/>
    </w:rPr>
  </w:style>
  <w:style w:type="paragraph" w:customStyle="1" w:styleId="IntrtEEE">
    <w:name w:val="Intérêt EEE"/>
    <w:basedOn w:val="Languesfaisantfoi"/>
    <w:next w:val="Normal"/>
    <w:rsid w:val="00FD08E3"/>
    <w:pPr>
      <w:spacing w:after="0"/>
    </w:pPr>
  </w:style>
  <w:style w:type="paragraph" w:customStyle="1" w:styleId="IntrtEEEPagedecouverture">
    <w:name w:val="Intérêt EEE (Page de couverture)"/>
    <w:basedOn w:val="IntrtEEE"/>
    <w:next w:val="Normal"/>
    <w:rsid w:val="00FD08E3"/>
  </w:style>
  <w:style w:type="paragraph" w:customStyle="1" w:styleId="FootnotesymbolCharCharCharChar">
    <w:name w:val="Footnote symbol Char Char Char Char"/>
    <w:aliases w:val="Voetnootverwijzing Char Char Char Char,Times 10 Point Char Char Char Char,Exposant 3 Point Char Char Char Char,Footnote Reference Superscript Char Char Char Cha"/>
    <w:basedOn w:val="Normal"/>
    <w:uiPriority w:val="99"/>
    <w:qFormat/>
    <w:rsid w:val="00DD7E93"/>
    <w:pPr>
      <w:spacing w:after="160" w:line="240" w:lineRule="exact"/>
    </w:pPr>
    <w:rPr>
      <w:rFonts w:asciiTheme="minorHAnsi" w:eastAsiaTheme="minorHAnsi" w:hAnsiTheme="minorHAnsi" w:cstheme="minorBidi"/>
      <w:kern w:val="2"/>
      <w:sz w:val="20"/>
      <w:vertAlign w:val="superscript"/>
      <w:lang w:eastAsia="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8308661">
      <w:bodyDiv w:val="1"/>
      <w:marLeft w:val="0"/>
      <w:marRight w:val="0"/>
      <w:marTop w:val="0"/>
      <w:marBottom w:val="0"/>
      <w:divBdr>
        <w:top w:val="none" w:sz="0" w:space="0" w:color="auto"/>
        <w:left w:val="none" w:sz="0" w:space="0" w:color="auto"/>
        <w:bottom w:val="none" w:sz="0" w:space="0" w:color="auto"/>
        <w:right w:val="none" w:sz="0" w:space="0" w:color="auto"/>
      </w:divBdr>
    </w:div>
    <w:div w:id="184835163">
      <w:bodyDiv w:val="1"/>
      <w:marLeft w:val="0"/>
      <w:marRight w:val="0"/>
      <w:marTop w:val="0"/>
      <w:marBottom w:val="0"/>
      <w:divBdr>
        <w:top w:val="none" w:sz="0" w:space="0" w:color="auto"/>
        <w:left w:val="none" w:sz="0" w:space="0" w:color="auto"/>
        <w:bottom w:val="none" w:sz="0" w:space="0" w:color="auto"/>
        <w:right w:val="none" w:sz="0" w:space="0" w:color="auto"/>
      </w:divBdr>
    </w:div>
    <w:div w:id="534000242">
      <w:bodyDiv w:val="1"/>
      <w:marLeft w:val="0"/>
      <w:marRight w:val="0"/>
      <w:marTop w:val="0"/>
      <w:marBottom w:val="0"/>
      <w:divBdr>
        <w:top w:val="none" w:sz="0" w:space="0" w:color="auto"/>
        <w:left w:val="none" w:sz="0" w:space="0" w:color="auto"/>
        <w:bottom w:val="none" w:sz="0" w:space="0" w:color="auto"/>
        <w:right w:val="none" w:sz="0" w:space="0" w:color="auto"/>
      </w:divBdr>
    </w:div>
    <w:div w:id="689376534">
      <w:bodyDiv w:val="1"/>
      <w:marLeft w:val="0"/>
      <w:marRight w:val="0"/>
      <w:marTop w:val="0"/>
      <w:marBottom w:val="0"/>
      <w:divBdr>
        <w:top w:val="none" w:sz="0" w:space="0" w:color="auto"/>
        <w:left w:val="none" w:sz="0" w:space="0" w:color="auto"/>
        <w:bottom w:val="none" w:sz="0" w:space="0" w:color="auto"/>
        <w:right w:val="none" w:sz="0" w:space="0" w:color="auto"/>
      </w:divBdr>
    </w:div>
    <w:div w:id="741491231">
      <w:bodyDiv w:val="1"/>
      <w:marLeft w:val="0"/>
      <w:marRight w:val="0"/>
      <w:marTop w:val="0"/>
      <w:marBottom w:val="0"/>
      <w:divBdr>
        <w:top w:val="none" w:sz="0" w:space="0" w:color="auto"/>
        <w:left w:val="none" w:sz="0" w:space="0" w:color="auto"/>
        <w:bottom w:val="none" w:sz="0" w:space="0" w:color="auto"/>
        <w:right w:val="none" w:sz="0" w:space="0" w:color="auto"/>
      </w:divBdr>
    </w:div>
    <w:div w:id="841894648">
      <w:bodyDiv w:val="1"/>
      <w:marLeft w:val="0"/>
      <w:marRight w:val="0"/>
      <w:marTop w:val="0"/>
      <w:marBottom w:val="0"/>
      <w:divBdr>
        <w:top w:val="none" w:sz="0" w:space="0" w:color="auto"/>
        <w:left w:val="none" w:sz="0" w:space="0" w:color="auto"/>
        <w:bottom w:val="none" w:sz="0" w:space="0" w:color="auto"/>
        <w:right w:val="none" w:sz="0" w:space="0" w:color="auto"/>
      </w:divBdr>
    </w:div>
    <w:div w:id="867570022">
      <w:bodyDiv w:val="1"/>
      <w:marLeft w:val="0"/>
      <w:marRight w:val="0"/>
      <w:marTop w:val="0"/>
      <w:marBottom w:val="0"/>
      <w:divBdr>
        <w:top w:val="none" w:sz="0" w:space="0" w:color="auto"/>
        <w:left w:val="none" w:sz="0" w:space="0" w:color="auto"/>
        <w:bottom w:val="none" w:sz="0" w:space="0" w:color="auto"/>
        <w:right w:val="none" w:sz="0" w:space="0" w:color="auto"/>
      </w:divBdr>
    </w:div>
    <w:div w:id="872887170">
      <w:bodyDiv w:val="1"/>
      <w:marLeft w:val="0"/>
      <w:marRight w:val="0"/>
      <w:marTop w:val="0"/>
      <w:marBottom w:val="0"/>
      <w:divBdr>
        <w:top w:val="none" w:sz="0" w:space="0" w:color="auto"/>
        <w:left w:val="none" w:sz="0" w:space="0" w:color="auto"/>
        <w:bottom w:val="none" w:sz="0" w:space="0" w:color="auto"/>
        <w:right w:val="none" w:sz="0" w:space="0" w:color="auto"/>
      </w:divBdr>
      <w:divsChild>
        <w:div w:id="333072821">
          <w:marLeft w:val="0"/>
          <w:marRight w:val="0"/>
          <w:marTop w:val="0"/>
          <w:marBottom w:val="0"/>
          <w:divBdr>
            <w:top w:val="none" w:sz="0" w:space="0" w:color="auto"/>
            <w:left w:val="none" w:sz="0" w:space="0" w:color="auto"/>
            <w:bottom w:val="none" w:sz="0" w:space="0" w:color="auto"/>
            <w:right w:val="none" w:sz="0" w:space="0" w:color="auto"/>
          </w:divBdr>
        </w:div>
        <w:div w:id="1336881093">
          <w:marLeft w:val="0"/>
          <w:marRight w:val="0"/>
          <w:marTop w:val="0"/>
          <w:marBottom w:val="0"/>
          <w:divBdr>
            <w:top w:val="none" w:sz="0" w:space="0" w:color="auto"/>
            <w:left w:val="none" w:sz="0" w:space="0" w:color="auto"/>
            <w:bottom w:val="none" w:sz="0" w:space="0" w:color="auto"/>
            <w:right w:val="none" w:sz="0" w:space="0" w:color="auto"/>
          </w:divBdr>
        </w:div>
      </w:divsChild>
    </w:div>
    <w:div w:id="970749089">
      <w:bodyDiv w:val="1"/>
      <w:marLeft w:val="0"/>
      <w:marRight w:val="0"/>
      <w:marTop w:val="0"/>
      <w:marBottom w:val="0"/>
      <w:divBdr>
        <w:top w:val="none" w:sz="0" w:space="0" w:color="auto"/>
        <w:left w:val="none" w:sz="0" w:space="0" w:color="auto"/>
        <w:bottom w:val="none" w:sz="0" w:space="0" w:color="auto"/>
        <w:right w:val="none" w:sz="0" w:space="0" w:color="auto"/>
      </w:divBdr>
    </w:div>
    <w:div w:id="976571517">
      <w:bodyDiv w:val="1"/>
      <w:marLeft w:val="0"/>
      <w:marRight w:val="0"/>
      <w:marTop w:val="0"/>
      <w:marBottom w:val="0"/>
      <w:divBdr>
        <w:top w:val="none" w:sz="0" w:space="0" w:color="auto"/>
        <w:left w:val="none" w:sz="0" w:space="0" w:color="auto"/>
        <w:bottom w:val="none" w:sz="0" w:space="0" w:color="auto"/>
        <w:right w:val="none" w:sz="0" w:space="0" w:color="auto"/>
      </w:divBdr>
    </w:div>
    <w:div w:id="1201283896">
      <w:bodyDiv w:val="1"/>
      <w:marLeft w:val="0"/>
      <w:marRight w:val="0"/>
      <w:marTop w:val="0"/>
      <w:marBottom w:val="0"/>
      <w:divBdr>
        <w:top w:val="none" w:sz="0" w:space="0" w:color="auto"/>
        <w:left w:val="none" w:sz="0" w:space="0" w:color="auto"/>
        <w:bottom w:val="none" w:sz="0" w:space="0" w:color="auto"/>
        <w:right w:val="none" w:sz="0" w:space="0" w:color="auto"/>
      </w:divBdr>
    </w:div>
    <w:div w:id="1259943507">
      <w:bodyDiv w:val="1"/>
      <w:marLeft w:val="0"/>
      <w:marRight w:val="0"/>
      <w:marTop w:val="0"/>
      <w:marBottom w:val="0"/>
      <w:divBdr>
        <w:top w:val="none" w:sz="0" w:space="0" w:color="auto"/>
        <w:left w:val="none" w:sz="0" w:space="0" w:color="auto"/>
        <w:bottom w:val="none" w:sz="0" w:space="0" w:color="auto"/>
        <w:right w:val="none" w:sz="0" w:space="0" w:color="auto"/>
      </w:divBdr>
    </w:div>
    <w:div w:id="1384526816">
      <w:bodyDiv w:val="1"/>
      <w:marLeft w:val="0"/>
      <w:marRight w:val="0"/>
      <w:marTop w:val="0"/>
      <w:marBottom w:val="0"/>
      <w:divBdr>
        <w:top w:val="none" w:sz="0" w:space="0" w:color="auto"/>
        <w:left w:val="none" w:sz="0" w:space="0" w:color="auto"/>
        <w:bottom w:val="none" w:sz="0" w:space="0" w:color="auto"/>
        <w:right w:val="none" w:sz="0" w:space="0" w:color="auto"/>
      </w:divBdr>
    </w:div>
    <w:div w:id="1450003593">
      <w:bodyDiv w:val="1"/>
      <w:marLeft w:val="0"/>
      <w:marRight w:val="0"/>
      <w:marTop w:val="0"/>
      <w:marBottom w:val="0"/>
      <w:divBdr>
        <w:top w:val="none" w:sz="0" w:space="0" w:color="auto"/>
        <w:left w:val="none" w:sz="0" w:space="0" w:color="auto"/>
        <w:bottom w:val="none" w:sz="0" w:space="0" w:color="auto"/>
        <w:right w:val="none" w:sz="0" w:space="0" w:color="auto"/>
      </w:divBdr>
    </w:div>
    <w:div w:id="1458599935">
      <w:bodyDiv w:val="1"/>
      <w:marLeft w:val="0"/>
      <w:marRight w:val="0"/>
      <w:marTop w:val="0"/>
      <w:marBottom w:val="0"/>
      <w:divBdr>
        <w:top w:val="none" w:sz="0" w:space="0" w:color="auto"/>
        <w:left w:val="none" w:sz="0" w:space="0" w:color="auto"/>
        <w:bottom w:val="none" w:sz="0" w:space="0" w:color="auto"/>
        <w:right w:val="none" w:sz="0" w:space="0" w:color="auto"/>
      </w:divBdr>
      <w:divsChild>
        <w:div w:id="180821262">
          <w:marLeft w:val="0"/>
          <w:marRight w:val="0"/>
          <w:marTop w:val="0"/>
          <w:marBottom w:val="0"/>
          <w:divBdr>
            <w:top w:val="none" w:sz="0" w:space="0" w:color="auto"/>
            <w:left w:val="none" w:sz="0" w:space="0" w:color="auto"/>
            <w:bottom w:val="none" w:sz="0" w:space="0" w:color="auto"/>
            <w:right w:val="none" w:sz="0" w:space="0" w:color="auto"/>
          </w:divBdr>
        </w:div>
        <w:div w:id="853347538">
          <w:marLeft w:val="0"/>
          <w:marRight w:val="0"/>
          <w:marTop w:val="0"/>
          <w:marBottom w:val="0"/>
          <w:divBdr>
            <w:top w:val="none" w:sz="0" w:space="0" w:color="auto"/>
            <w:left w:val="none" w:sz="0" w:space="0" w:color="auto"/>
            <w:bottom w:val="none" w:sz="0" w:space="0" w:color="auto"/>
            <w:right w:val="none" w:sz="0" w:space="0" w:color="auto"/>
          </w:divBdr>
        </w:div>
        <w:div w:id="1860895826">
          <w:marLeft w:val="0"/>
          <w:marRight w:val="0"/>
          <w:marTop w:val="0"/>
          <w:marBottom w:val="0"/>
          <w:divBdr>
            <w:top w:val="none" w:sz="0" w:space="0" w:color="auto"/>
            <w:left w:val="none" w:sz="0" w:space="0" w:color="auto"/>
            <w:bottom w:val="none" w:sz="0" w:space="0" w:color="auto"/>
            <w:right w:val="none" w:sz="0" w:space="0" w:color="auto"/>
          </w:divBdr>
        </w:div>
      </w:divsChild>
    </w:div>
    <w:div w:id="1471558944">
      <w:bodyDiv w:val="1"/>
      <w:marLeft w:val="0"/>
      <w:marRight w:val="0"/>
      <w:marTop w:val="0"/>
      <w:marBottom w:val="0"/>
      <w:divBdr>
        <w:top w:val="none" w:sz="0" w:space="0" w:color="auto"/>
        <w:left w:val="none" w:sz="0" w:space="0" w:color="auto"/>
        <w:bottom w:val="none" w:sz="0" w:space="0" w:color="auto"/>
        <w:right w:val="none" w:sz="0" w:space="0" w:color="auto"/>
      </w:divBdr>
    </w:div>
    <w:div w:id="1546916285">
      <w:bodyDiv w:val="1"/>
      <w:marLeft w:val="0"/>
      <w:marRight w:val="0"/>
      <w:marTop w:val="0"/>
      <w:marBottom w:val="0"/>
      <w:divBdr>
        <w:top w:val="none" w:sz="0" w:space="0" w:color="auto"/>
        <w:left w:val="none" w:sz="0" w:space="0" w:color="auto"/>
        <w:bottom w:val="none" w:sz="0" w:space="0" w:color="auto"/>
        <w:right w:val="none" w:sz="0" w:space="0" w:color="auto"/>
      </w:divBdr>
    </w:div>
    <w:div w:id="1670913248">
      <w:bodyDiv w:val="1"/>
      <w:marLeft w:val="0"/>
      <w:marRight w:val="0"/>
      <w:marTop w:val="0"/>
      <w:marBottom w:val="0"/>
      <w:divBdr>
        <w:top w:val="none" w:sz="0" w:space="0" w:color="auto"/>
        <w:left w:val="none" w:sz="0" w:space="0" w:color="auto"/>
        <w:bottom w:val="none" w:sz="0" w:space="0" w:color="auto"/>
        <w:right w:val="none" w:sz="0" w:space="0" w:color="auto"/>
      </w:divBdr>
    </w:div>
    <w:div w:id="1676373512">
      <w:bodyDiv w:val="1"/>
      <w:marLeft w:val="0"/>
      <w:marRight w:val="0"/>
      <w:marTop w:val="0"/>
      <w:marBottom w:val="0"/>
      <w:divBdr>
        <w:top w:val="none" w:sz="0" w:space="0" w:color="auto"/>
        <w:left w:val="none" w:sz="0" w:space="0" w:color="auto"/>
        <w:bottom w:val="none" w:sz="0" w:space="0" w:color="auto"/>
        <w:right w:val="none" w:sz="0" w:space="0" w:color="auto"/>
      </w:divBdr>
    </w:div>
    <w:div w:id="1688410167">
      <w:bodyDiv w:val="1"/>
      <w:marLeft w:val="0"/>
      <w:marRight w:val="0"/>
      <w:marTop w:val="0"/>
      <w:marBottom w:val="0"/>
      <w:divBdr>
        <w:top w:val="none" w:sz="0" w:space="0" w:color="auto"/>
        <w:left w:val="none" w:sz="0" w:space="0" w:color="auto"/>
        <w:bottom w:val="none" w:sz="0" w:space="0" w:color="auto"/>
        <w:right w:val="none" w:sz="0" w:space="0" w:color="auto"/>
      </w:divBdr>
    </w:div>
    <w:div w:id="1694189100">
      <w:bodyDiv w:val="1"/>
      <w:marLeft w:val="0"/>
      <w:marRight w:val="0"/>
      <w:marTop w:val="0"/>
      <w:marBottom w:val="0"/>
      <w:divBdr>
        <w:top w:val="none" w:sz="0" w:space="0" w:color="auto"/>
        <w:left w:val="none" w:sz="0" w:space="0" w:color="auto"/>
        <w:bottom w:val="none" w:sz="0" w:space="0" w:color="auto"/>
        <w:right w:val="none" w:sz="0" w:space="0" w:color="auto"/>
      </w:divBdr>
    </w:div>
    <w:div w:id="1696153623">
      <w:bodyDiv w:val="1"/>
      <w:marLeft w:val="0"/>
      <w:marRight w:val="0"/>
      <w:marTop w:val="0"/>
      <w:marBottom w:val="0"/>
      <w:divBdr>
        <w:top w:val="none" w:sz="0" w:space="0" w:color="auto"/>
        <w:left w:val="none" w:sz="0" w:space="0" w:color="auto"/>
        <w:bottom w:val="none" w:sz="0" w:space="0" w:color="auto"/>
        <w:right w:val="none" w:sz="0" w:space="0" w:color="auto"/>
      </w:divBdr>
    </w:div>
    <w:div w:id="1736010234">
      <w:bodyDiv w:val="1"/>
      <w:marLeft w:val="0"/>
      <w:marRight w:val="0"/>
      <w:marTop w:val="0"/>
      <w:marBottom w:val="0"/>
      <w:divBdr>
        <w:top w:val="none" w:sz="0" w:space="0" w:color="auto"/>
        <w:left w:val="none" w:sz="0" w:space="0" w:color="auto"/>
        <w:bottom w:val="none" w:sz="0" w:space="0" w:color="auto"/>
        <w:right w:val="none" w:sz="0" w:space="0" w:color="auto"/>
      </w:divBdr>
    </w:div>
    <w:div w:id="1807776841">
      <w:bodyDiv w:val="1"/>
      <w:marLeft w:val="0"/>
      <w:marRight w:val="0"/>
      <w:marTop w:val="0"/>
      <w:marBottom w:val="0"/>
      <w:divBdr>
        <w:top w:val="none" w:sz="0" w:space="0" w:color="auto"/>
        <w:left w:val="none" w:sz="0" w:space="0" w:color="auto"/>
        <w:bottom w:val="none" w:sz="0" w:space="0" w:color="auto"/>
        <w:right w:val="none" w:sz="0" w:space="0" w:color="auto"/>
      </w:divBdr>
    </w:div>
    <w:div w:id="1869174650">
      <w:bodyDiv w:val="1"/>
      <w:marLeft w:val="0"/>
      <w:marRight w:val="0"/>
      <w:marTop w:val="0"/>
      <w:marBottom w:val="0"/>
      <w:divBdr>
        <w:top w:val="none" w:sz="0" w:space="0" w:color="auto"/>
        <w:left w:val="none" w:sz="0" w:space="0" w:color="auto"/>
        <w:bottom w:val="none" w:sz="0" w:space="0" w:color="auto"/>
        <w:right w:val="none" w:sz="0" w:space="0" w:color="auto"/>
      </w:divBdr>
    </w:div>
    <w:div w:id="1914663097">
      <w:bodyDiv w:val="1"/>
      <w:marLeft w:val="0"/>
      <w:marRight w:val="0"/>
      <w:marTop w:val="0"/>
      <w:marBottom w:val="0"/>
      <w:divBdr>
        <w:top w:val="none" w:sz="0" w:space="0" w:color="auto"/>
        <w:left w:val="none" w:sz="0" w:space="0" w:color="auto"/>
        <w:bottom w:val="none" w:sz="0" w:space="0" w:color="auto"/>
        <w:right w:val="none" w:sz="0" w:space="0" w:color="auto"/>
      </w:divBdr>
    </w:div>
    <w:div w:id="1943612278">
      <w:bodyDiv w:val="1"/>
      <w:marLeft w:val="0"/>
      <w:marRight w:val="0"/>
      <w:marTop w:val="0"/>
      <w:marBottom w:val="0"/>
      <w:divBdr>
        <w:top w:val="none" w:sz="0" w:space="0" w:color="auto"/>
        <w:left w:val="none" w:sz="0" w:space="0" w:color="auto"/>
        <w:bottom w:val="none" w:sz="0" w:space="0" w:color="auto"/>
        <w:right w:val="none" w:sz="0" w:space="0" w:color="auto"/>
      </w:divBdr>
    </w:div>
    <w:div w:id="1964457381">
      <w:bodyDiv w:val="1"/>
      <w:marLeft w:val="0"/>
      <w:marRight w:val="0"/>
      <w:marTop w:val="0"/>
      <w:marBottom w:val="0"/>
      <w:divBdr>
        <w:top w:val="none" w:sz="0" w:space="0" w:color="auto"/>
        <w:left w:val="none" w:sz="0" w:space="0" w:color="auto"/>
        <w:bottom w:val="none" w:sz="0" w:space="0" w:color="auto"/>
        <w:right w:val="none" w:sz="0" w:space="0" w:color="auto"/>
      </w:divBdr>
    </w:div>
    <w:div w:id="1997951834">
      <w:bodyDiv w:val="1"/>
      <w:marLeft w:val="0"/>
      <w:marRight w:val="0"/>
      <w:marTop w:val="0"/>
      <w:marBottom w:val="0"/>
      <w:divBdr>
        <w:top w:val="none" w:sz="0" w:space="0" w:color="auto"/>
        <w:left w:val="none" w:sz="0" w:space="0" w:color="auto"/>
        <w:bottom w:val="none" w:sz="0" w:space="0" w:color="auto"/>
        <w:right w:val="none" w:sz="0" w:space="0" w:color="auto"/>
      </w:divBdr>
    </w:div>
    <w:div w:id="2082874175">
      <w:bodyDiv w:val="1"/>
      <w:marLeft w:val="0"/>
      <w:marRight w:val="0"/>
      <w:marTop w:val="0"/>
      <w:marBottom w:val="0"/>
      <w:divBdr>
        <w:top w:val="none" w:sz="0" w:space="0" w:color="auto"/>
        <w:left w:val="none" w:sz="0" w:space="0" w:color="auto"/>
        <w:bottom w:val="none" w:sz="0" w:space="0" w:color="auto"/>
        <w:right w:val="none" w:sz="0" w:space="0" w:color="auto"/>
      </w:divBdr>
    </w:div>
    <w:div w:id="2123068172">
      <w:bodyDiv w:val="1"/>
      <w:marLeft w:val="0"/>
      <w:marRight w:val="0"/>
      <w:marTop w:val="0"/>
      <w:marBottom w:val="0"/>
      <w:divBdr>
        <w:top w:val="none" w:sz="0" w:space="0" w:color="auto"/>
        <w:left w:val="none" w:sz="0" w:space="0" w:color="auto"/>
        <w:bottom w:val="none" w:sz="0" w:space="0" w:color="auto"/>
        <w:right w:val="none" w:sz="0" w:space="0" w:color="auto"/>
      </w:divBdr>
    </w:div>
    <w:div w:id="21466578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header" Target="head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eader" Target="header6.xml"/></Relationships>
</file>

<file path=word/_rels/footnotes.xml.rels><?xml version="1.0" encoding="UTF-8" standalone="yes"?>
<Relationships xmlns="http://schemas.openxmlformats.org/package/2006/relationships"><Relationship Id="rId2" Type="http://schemas.openxmlformats.org/officeDocument/2006/relationships/hyperlink" Target="https://eur-lex.europa.eu/legal-content/RO/TXT/?uri=CELEX%3A52025DC0148" TargetMode="External"/><Relationship Id="rId1" Type="http://schemas.openxmlformats.org/officeDocument/2006/relationships/hyperlink" Target="https://eur-lex.europa.eu/legal-content/RO/TXT/?uri=CELEX%3A02015L0849-2024123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AC49111DA9BD745A0EB6E7980F333A8" ma:contentTypeVersion="4" ma:contentTypeDescription="Create a new document." ma:contentTypeScope="" ma:versionID="e5753a5ba36c07f3caf444461acd0766">
  <xsd:schema xmlns:xsd="http://www.w3.org/2001/XMLSchema" xmlns:xs="http://www.w3.org/2001/XMLSchema" xmlns:p="http://schemas.microsoft.com/office/2006/metadata/properties" xmlns:ns2="aecc2f25-bdff-447c-a363-d6113a15eb9a" targetNamespace="http://schemas.microsoft.com/office/2006/metadata/properties" ma:root="true" ma:fieldsID="890e56ba86fe906df91419f4d1a8d1eb" ns2:_="">
    <xsd:import namespace="aecc2f25-bdff-447c-a363-d6113a15eb9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ecc2f25-bdff-447c-a363-d6113a15eb9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3F6CCA1-EEAF-44D8-986A-F49B33F45BB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ecc2f25-bdff-447c-a363-d6113a15eb9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F70174B-1A15-4D0E-B88E-5D826F1FAF55}">
  <ds:schemaRefs>
    <ds:schemaRef ds:uri="http://schemas.microsoft.com/sharepoint/v3/contenttype/forms"/>
  </ds:schemaRefs>
</ds:datastoreItem>
</file>

<file path=customXml/itemProps3.xml><?xml version="1.0" encoding="utf-8"?>
<ds:datastoreItem xmlns:ds="http://schemas.openxmlformats.org/officeDocument/2006/customXml" ds:itemID="{84BA6F44-5D44-4EFE-B39C-C91E7DF3C308}">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AE950B47-9EB9-47AF-AD26-9FD50C9A19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9</Pages>
  <Words>3645</Words>
  <Characters>20783</Characters>
  <Application>Microsoft Office Word</Application>
  <DocSecurity>0</DocSecurity>
  <Lines>173</Lines>
  <Paragraphs>48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24380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7</cp:revision>
  <cp:lastPrinted>2026-02-25T10:54:00Z</cp:lastPrinted>
  <dcterms:created xsi:type="dcterms:W3CDTF">2026-06-08T07:53:00Z</dcterms:created>
  <dcterms:modified xsi:type="dcterms:W3CDTF">2026-06-10T08:32:00Z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2023-04-20T10:22:33Z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bc1538fb-a14c-4229-8663-38101fdb714c</vt:lpwstr>
  </property>
  <property fmtid="{D5CDD505-2E9C-101B-9397-08002B2CF9AE}" pid="8" name="MSIP_Label_6bd9ddd1-4d20-43f6-abfa-fc3c07406f94_ContentBits">
    <vt:lpwstr>0</vt:lpwstr>
  </property>
  <property fmtid="{D5CDD505-2E9C-101B-9397-08002B2CF9AE}" pid="9" name="ContentTypeId">
    <vt:lpwstr>0x010100BAC49111DA9BD745A0EB6E7980F333A8</vt:lpwstr>
  </property>
  <property fmtid="{D5CDD505-2E9C-101B-9397-08002B2CF9AE}" pid="10" name="Level of sensitivity">
    <vt:lpwstr>Standard treatment</vt:lpwstr>
  </property>
  <property fmtid="{D5CDD505-2E9C-101B-9397-08002B2CF9AE}" pid="11" name="Part">
    <vt:lpwstr>1</vt:lpwstr>
  </property>
  <property fmtid="{D5CDD505-2E9C-101B-9397-08002B2CF9AE}" pid="12" name="Total parts">
    <vt:lpwstr>1</vt:lpwstr>
  </property>
  <property fmtid="{D5CDD505-2E9C-101B-9397-08002B2CF9AE}" pid="13" name="DocStatus">
    <vt:lpwstr>Green</vt:lpwstr>
  </property>
  <property fmtid="{D5CDD505-2E9C-101B-9397-08002B2CF9AE}" pid="14" name="CPTemplateID">
    <vt:lpwstr>CP-039</vt:lpwstr>
  </property>
  <property fmtid="{D5CDD505-2E9C-101B-9397-08002B2CF9AE}" pid="15" name="Last edited using">
    <vt:lpwstr>LW 9.2, Build 20250828</vt:lpwstr>
  </property>
  <property fmtid="{D5CDD505-2E9C-101B-9397-08002B2CF9AE}" pid="16" name="Created using">
    <vt:lpwstr>LW 9.0, Build 20230317</vt:lpwstr>
  </property>
  <property fmtid="{D5CDD505-2E9C-101B-9397-08002B2CF9AE}" pid="17" name="First annex">
    <vt:lpwstr>1</vt:lpwstr>
  </property>
  <property fmtid="{D5CDD505-2E9C-101B-9397-08002B2CF9AE}" pid="18" name="Last annex">
    <vt:lpwstr>1</vt:lpwstr>
  </property>
  <property fmtid="{D5CDD505-2E9C-101B-9397-08002B2CF9AE}" pid="19" name="Unique annex">
    <vt:lpwstr>1</vt:lpwstr>
  </property>
</Properties>
</file>