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A76" w:rsidRPr="006D329F" w:rsidRDefault="00B42706" w:rsidP="00B4270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BD0CF1-12E8-4040-9963-67C5549F5725" style="width:455.25pt;height:399pt">
            <v:imagedata r:id="rId8" o:title=""/>
          </v:shape>
        </w:pict>
      </w:r>
    </w:p>
    <w:p w:rsidR="002D2A76" w:rsidRPr="006D329F" w:rsidRDefault="002D2A76" w:rsidP="002D2A76">
      <w:pPr>
        <w:rPr>
          <w:noProof/>
          <w:szCs w:val="24"/>
        </w:rPr>
        <w:sectPr w:rsidR="002D2A76" w:rsidRPr="006D329F" w:rsidSect="00B42706">
          <w:footerReference w:type="even" r:id="rId9"/>
          <w:footerReference w:type="default" r:id="rId10"/>
          <w:pgSz w:w="11907" w:h="16839"/>
          <w:pgMar w:top="1134" w:right="1417" w:bottom="1134" w:left="1417" w:header="709" w:footer="709" w:gutter="0"/>
          <w:pgNumType w:start="0"/>
          <w:cols w:space="720"/>
          <w:docGrid w:linePitch="360"/>
        </w:sectPr>
      </w:pPr>
    </w:p>
    <w:p w:rsidR="00FF7A64" w:rsidRPr="006D329F" w:rsidRDefault="00FF7A64" w:rsidP="00971B4C">
      <w:pPr>
        <w:pStyle w:val="Exposdesmotifstitre"/>
        <w:rPr>
          <w:noProof/>
          <w:szCs w:val="24"/>
        </w:rPr>
      </w:pPr>
      <w:bookmarkStart w:id="0" w:name="_GoBack"/>
      <w:bookmarkEnd w:id="0"/>
      <w:r w:rsidRPr="006D329F">
        <w:rPr>
          <w:noProof/>
        </w:rPr>
        <w:lastRenderedPageBreak/>
        <w:t>EXPUNERE DE MOTIVE</w:t>
      </w:r>
    </w:p>
    <w:p w:rsidR="00FF7A64" w:rsidRPr="006D329F" w:rsidRDefault="00FF7A64" w:rsidP="00882CE0">
      <w:pPr>
        <w:pStyle w:val="ManualHeading1"/>
        <w:rPr>
          <w:noProof/>
        </w:rPr>
      </w:pPr>
      <w:r>
        <w:rPr>
          <w:noProof/>
        </w:rPr>
        <w:t>1.</w:t>
      </w:r>
      <w:r>
        <w:rPr>
          <w:noProof/>
        </w:rPr>
        <w:tab/>
      </w:r>
      <w:r w:rsidRPr="006D329F">
        <w:rPr>
          <w:noProof/>
        </w:rPr>
        <w:t>Obiectul propunerii</w:t>
      </w:r>
    </w:p>
    <w:p w:rsidR="002A7668" w:rsidRPr="006D329F" w:rsidRDefault="00FF7A64" w:rsidP="002A7668">
      <w:pPr>
        <w:rPr>
          <w:rFonts w:eastAsia="Arial Unicode MS"/>
          <w:noProof/>
          <w:szCs w:val="24"/>
        </w:rPr>
      </w:pPr>
      <w:r w:rsidRPr="006D329F">
        <w:rPr>
          <w:noProof/>
        </w:rPr>
        <w:t xml:space="preserve">Prezenta propunere se referă la o decizie-cadru de stabilire a poziției care urmează să fie adoptată în numele Uniunii în reuniunile din cadrul Organizației Mondiale a Vămilor (OMV) cu privire la redactarea și adoptarea de note explicative, avize de clasificare, alte avize privind interpretarea Sistemului armonizat și recomandări pentru a asigura o interpretare și o aplicare uniformă a Sistemului armonizat în temeiul Convenției privind Sistemul armonizat, precum și cu privire la Recomandarea privind modificarea nomenclaturii prezentate în anexă la Convenția privind Sistemul armonizat, care în temeiul articolului </w:t>
      </w:r>
      <w:r w:rsidRPr="00874920">
        <w:rPr>
          <w:noProof/>
        </w:rPr>
        <w:t>2</w:t>
      </w:r>
      <w:r w:rsidRPr="006D329F">
        <w:rPr>
          <w:noProof/>
        </w:rPr>
        <w:t xml:space="preserve"> din convenția menționată, face parte integrantă din aceasta.</w:t>
      </w:r>
    </w:p>
    <w:p w:rsidR="007C7692" w:rsidRPr="006D329F" w:rsidRDefault="007C7692" w:rsidP="002A7668">
      <w:pPr>
        <w:rPr>
          <w:rFonts w:eastAsia="Arial Unicode MS"/>
          <w:noProof/>
          <w:szCs w:val="24"/>
        </w:rPr>
      </w:pPr>
      <w:r w:rsidRPr="006D329F">
        <w:rPr>
          <w:noProof/>
        </w:rPr>
        <w:t xml:space="preserve">Decizia vizează înlocuirea Deciziei (UE) </w:t>
      </w:r>
      <w:r w:rsidRPr="00874920">
        <w:rPr>
          <w:noProof/>
        </w:rPr>
        <w:t>2023</w:t>
      </w:r>
      <w:r w:rsidRPr="006D329F">
        <w:rPr>
          <w:noProof/>
        </w:rPr>
        <w:t>/</w:t>
      </w:r>
      <w:r w:rsidRPr="00874920">
        <w:rPr>
          <w:noProof/>
        </w:rPr>
        <w:t>2898</w:t>
      </w:r>
      <w:r w:rsidRPr="006D329F">
        <w:rPr>
          <w:noProof/>
        </w:rPr>
        <w:t xml:space="preserve"> a Consiliului din </w:t>
      </w:r>
      <w:r w:rsidRPr="00874920">
        <w:rPr>
          <w:noProof/>
        </w:rPr>
        <w:t>19</w:t>
      </w:r>
      <w:r w:rsidRPr="006D329F">
        <w:rPr>
          <w:noProof/>
        </w:rPr>
        <w:t xml:space="preserve"> decembrie </w:t>
      </w:r>
      <w:r w:rsidRPr="00874920">
        <w:rPr>
          <w:noProof/>
        </w:rPr>
        <w:t>2023</w:t>
      </w:r>
      <w:r w:rsidRPr="006D329F">
        <w:rPr>
          <w:rStyle w:val="FootnoteReference"/>
          <w:rFonts w:eastAsia="Arial Unicode MS"/>
          <w:noProof/>
          <w:szCs w:val="24"/>
        </w:rPr>
        <w:footnoteReference w:id="1"/>
      </w:r>
      <w:r w:rsidRPr="006D329F">
        <w:rPr>
          <w:noProof/>
        </w:rPr>
        <w:t xml:space="preserve">, care expiră la </w:t>
      </w:r>
      <w:r w:rsidRPr="00874920">
        <w:rPr>
          <w:noProof/>
        </w:rPr>
        <w:t>31</w:t>
      </w:r>
      <w:r w:rsidRPr="006D329F">
        <w:rPr>
          <w:noProof/>
        </w:rPr>
        <w:t xml:space="preserve"> decembrie </w:t>
      </w:r>
      <w:r w:rsidRPr="00874920">
        <w:rPr>
          <w:noProof/>
        </w:rPr>
        <w:t>2026</w:t>
      </w:r>
      <w:r w:rsidRPr="006D329F">
        <w:rPr>
          <w:noProof/>
        </w:rPr>
        <w:t>.</w:t>
      </w:r>
    </w:p>
    <w:p w:rsidR="0011231E" w:rsidRPr="006D329F" w:rsidRDefault="0011231E" w:rsidP="002A7668">
      <w:pPr>
        <w:rPr>
          <w:rFonts w:eastAsia="Times New Roman"/>
          <w:noProof/>
          <w:szCs w:val="24"/>
        </w:rPr>
      </w:pPr>
      <w:r w:rsidRPr="006D329F">
        <w:rPr>
          <w:noProof/>
        </w:rPr>
        <w:t>Aceasta urmărește, de asemenea, să includă în domeniul său de aplicare Recomandarea privind modificarea nomenclaturii prezentate în anexă la Convenția privind Sistemul armonizat în temeiul articolului </w:t>
      </w:r>
      <w:r w:rsidRPr="00874920">
        <w:rPr>
          <w:noProof/>
        </w:rPr>
        <w:t>16</w:t>
      </w:r>
      <w:r w:rsidRPr="006D329F">
        <w:rPr>
          <w:noProof/>
        </w:rPr>
        <w:t xml:space="preserve"> din Convenția SA, aceasta fiind ultima adoptată prin Decizia (UE) </w:t>
      </w:r>
      <w:r w:rsidRPr="00874920">
        <w:rPr>
          <w:noProof/>
        </w:rPr>
        <w:t>2025</w:t>
      </w:r>
      <w:r w:rsidRPr="006D329F">
        <w:rPr>
          <w:noProof/>
        </w:rPr>
        <w:t>/</w:t>
      </w:r>
      <w:r w:rsidRPr="00874920">
        <w:rPr>
          <w:noProof/>
        </w:rPr>
        <w:t>1308</w:t>
      </w:r>
      <w:r w:rsidRPr="006D329F">
        <w:rPr>
          <w:noProof/>
        </w:rPr>
        <w:t xml:space="preserve"> a Consiliului</w:t>
      </w:r>
      <w:r w:rsidRPr="006D329F">
        <w:rPr>
          <w:rStyle w:val="FootnoteReference"/>
          <w:rFonts w:eastAsia="Arial Unicode MS"/>
          <w:noProof/>
          <w:szCs w:val="24"/>
        </w:rPr>
        <w:footnoteReference w:id="2"/>
      </w:r>
      <w:r w:rsidRPr="006D329F">
        <w:rPr>
          <w:noProof/>
        </w:rPr>
        <w:t>.</w:t>
      </w:r>
    </w:p>
    <w:p w:rsidR="00FF7A64" w:rsidRPr="006D329F" w:rsidRDefault="00FF7A64" w:rsidP="002A7080">
      <w:pPr>
        <w:pStyle w:val="ManualHeading1"/>
        <w:rPr>
          <w:b w:val="0"/>
          <w:smallCaps w:val="0"/>
          <w:noProof/>
          <w:szCs w:val="24"/>
        </w:rPr>
      </w:pPr>
      <w:r>
        <w:rPr>
          <w:noProof/>
        </w:rPr>
        <w:t>2.</w:t>
      </w:r>
      <w:r>
        <w:rPr>
          <w:noProof/>
        </w:rPr>
        <w:tab/>
      </w:r>
      <w:r w:rsidRPr="006D329F">
        <w:rPr>
          <w:noProof/>
        </w:rPr>
        <w:t>Contextul propunerii</w:t>
      </w:r>
    </w:p>
    <w:p w:rsidR="00FF7A64" w:rsidRPr="006D329F" w:rsidRDefault="00FF7A64" w:rsidP="002A7080">
      <w:pPr>
        <w:pStyle w:val="ManualHeading2"/>
        <w:rPr>
          <w:noProof/>
        </w:rPr>
      </w:pPr>
      <w:r>
        <w:rPr>
          <w:noProof/>
        </w:rPr>
        <w:t>2.1.</w:t>
      </w:r>
      <w:r>
        <w:rPr>
          <w:noProof/>
        </w:rPr>
        <w:tab/>
      </w:r>
      <w:r w:rsidRPr="006D329F">
        <w:rPr>
          <w:noProof/>
        </w:rPr>
        <w:t>Convenția internațională privind Sistemul armonizat de denumire și codificare a mărfurilor</w:t>
      </w:r>
    </w:p>
    <w:p w:rsidR="00FF7A64" w:rsidRPr="006D329F" w:rsidRDefault="00FF7A64" w:rsidP="00FF7A64">
      <w:pPr>
        <w:rPr>
          <w:rFonts w:eastAsia="Arial Unicode MS"/>
          <w:noProof/>
          <w:szCs w:val="24"/>
        </w:rPr>
      </w:pPr>
      <w:r w:rsidRPr="006D329F">
        <w:rPr>
          <w:noProof/>
        </w:rPr>
        <w:t xml:space="preserve">Convenția internațională privind Sistemul armonizat de denumire și codificare a mărfurilor („Convenția SA”) urmărește să faciliteze comerțul internațional și colectarea, compararea și analiza statisticilor, în special a celor referitoare la comerțul internațional. Convenția include ca anexă Nomenclatura SA, un sistem internațional armonizat care permite țărilor participante să clasifice mărfurile comercializate pe o bază comună, în scopuri vamale. În particular, Nomenclatura SA include descrierea mărfurilor, care apar sub formă de poziții și subpoziții, și codurile numerice aferente, pe baza unui sistem format dintr-un cod de </w:t>
      </w:r>
      <w:r w:rsidRPr="00874920">
        <w:rPr>
          <w:noProof/>
        </w:rPr>
        <w:t>6</w:t>
      </w:r>
      <w:r w:rsidRPr="006D329F">
        <w:rPr>
          <w:noProof/>
        </w:rPr>
        <w:t xml:space="preserve"> cifre. Nomenclatura SA este revizuită o dată la cinci ani</w:t>
      </w:r>
      <w:r w:rsidRPr="006D329F">
        <w:rPr>
          <w:rStyle w:val="FootnoteReference"/>
          <w:noProof/>
          <w:szCs w:val="24"/>
        </w:rPr>
        <w:footnoteReference w:id="3"/>
      </w:r>
      <w:r w:rsidRPr="006D329F">
        <w:rPr>
          <w:noProof/>
        </w:rPr>
        <w:t xml:space="preserve">. Ea este aplicată de peste </w:t>
      </w:r>
      <w:r w:rsidRPr="00874920">
        <w:rPr>
          <w:noProof/>
        </w:rPr>
        <w:t>190</w:t>
      </w:r>
      <w:r w:rsidRPr="006D329F">
        <w:rPr>
          <w:noProof/>
        </w:rPr>
        <w:t xml:space="preserve"> de administrații din întreaga lume; în consecință, peste </w:t>
      </w:r>
      <w:r w:rsidRPr="00874920">
        <w:rPr>
          <w:noProof/>
        </w:rPr>
        <w:t>98</w:t>
      </w:r>
      <w:r w:rsidRPr="006D329F">
        <w:rPr>
          <w:noProof/>
        </w:rPr>
        <w:t xml:space="preserve"> % din totalul mărfurilor care fac obiectul schimburilor comerciale la nivel mondial sunt clasificate în conformitate cu aceasta. </w:t>
      </w:r>
    </w:p>
    <w:p w:rsidR="00FF7A64" w:rsidRPr="006D329F" w:rsidRDefault="00FF7A64" w:rsidP="00FF7A64">
      <w:pPr>
        <w:rPr>
          <w:rFonts w:eastAsia="Arial Unicode MS"/>
          <w:noProof/>
          <w:szCs w:val="24"/>
        </w:rPr>
      </w:pPr>
      <w:r w:rsidRPr="006D329F">
        <w:rPr>
          <w:noProof/>
        </w:rPr>
        <w:t xml:space="preserve">Convenția SA a intrat în vigoare la </w:t>
      </w:r>
      <w:r w:rsidRPr="00874920">
        <w:rPr>
          <w:noProof/>
        </w:rPr>
        <w:t>1</w:t>
      </w:r>
      <w:r w:rsidRPr="006D329F">
        <w:rPr>
          <w:noProof/>
        </w:rPr>
        <w:t xml:space="preserve"> ianuarie </w:t>
      </w:r>
      <w:r w:rsidRPr="00874920">
        <w:rPr>
          <w:noProof/>
        </w:rPr>
        <w:t>1988</w:t>
      </w:r>
      <w:r w:rsidRPr="006D329F">
        <w:rPr>
          <w:noProof/>
        </w:rPr>
        <w:t>.</w:t>
      </w:r>
    </w:p>
    <w:p w:rsidR="00FF7A64" w:rsidRPr="006D329F" w:rsidRDefault="00FF7A64" w:rsidP="00FF7A64">
      <w:pPr>
        <w:rPr>
          <w:rFonts w:eastAsia="Arial Unicode MS"/>
          <w:noProof/>
          <w:szCs w:val="24"/>
        </w:rPr>
      </w:pPr>
      <w:r w:rsidRPr="006D329F">
        <w:rPr>
          <w:noProof/>
        </w:rPr>
        <w:t>Uniunea Europeană și toate statele membre sunt părți la această convenție</w:t>
      </w:r>
      <w:r w:rsidRPr="006D329F">
        <w:rPr>
          <w:rStyle w:val="FootnoteReference"/>
          <w:noProof/>
          <w:szCs w:val="24"/>
        </w:rPr>
        <w:footnoteReference w:id="4"/>
      </w:r>
      <w:r w:rsidRPr="006D329F">
        <w:rPr>
          <w:noProof/>
        </w:rPr>
        <w:t>.</w:t>
      </w:r>
    </w:p>
    <w:p w:rsidR="00FF7A64" w:rsidRPr="006D329F" w:rsidRDefault="00FF7A64" w:rsidP="002A7080">
      <w:pPr>
        <w:pStyle w:val="ManualHeading2"/>
        <w:rPr>
          <w:b w:val="0"/>
          <w:noProof/>
          <w:szCs w:val="24"/>
        </w:rPr>
      </w:pPr>
      <w:r>
        <w:rPr>
          <w:noProof/>
        </w:rPr>
        <w:lastRenderedPageBreak/>
        <w:t>2.2.</w:t>
      </w:r>
      <w:r>
        <w:rPr>
          <w:noProof/>
        </w:rPr>
        <w:tab/>
      </w:r>
      <w:r w:rsidRPr="006D329F">
        <w:rPr>
          <w:noProof/>
        </w:rPr>
        <w:t>Organizația Mondială a Vămilor (OMV)</w:t>
      </w:r>
    </w:p>
    <w:p w:rsidR="00627BD8" w:rsidRPr="006D329F" w:rsidRDefault="00627BD8" w:rsidP="00627BD8">
      <w:pPr>
        <w:rPr>
          <w:rFonts w:eastAsia="Arial Unicode MS"/>
          <w:noProof/>
          <w:szCs w:val="24"/>
        </w:rPr>
      </w:pPr>
      <w:r w:rsidRPr="006D329F">
        <w:rPr>
          <w:noProof/>
        </w:rPr>
        <w:t xml:space="preserve">Organizația Mondială a Vămilor (OMV), creată în </w:t>
      </w:r>
      <w:r w:rsidRPr="00874920">
        <w:rPr>
          <w:noProof/>
        </w:rPr>
        <w:t>1952</w:t>
      </w:r>
      <w:r w:rsidRPr="006D329F">
        <w:rPr>
          <w:noProof/>
        </w:rPr>
        <w:t xml:space="preserve"> sub forma Consiliului de Cooperare Vamală, este un organism interguvernamental independent a cărui misiune este de a spori eficacitatea și eficiența administrațiilor vamale. Aceasta reprezintă </w:t>
      </w:r>
      <w:r w:rsidRPr="00874920">
        <w:rPr>
          <w:noProof/>
        </w:rPr>
        <w:t>187</w:t>
      </w:r>
      <w:r w:rsidRPr="006D329F">
        <w:rPr>
          <w:noProof/>
        </w:rPr>
        <w:t xml:space="preserve"> de administrații vamale de pe mapamond. Organul de conducere al OMV este Consiliul. Fiecărui membru al Consiliului îi revine un vot. Deciziile Consiliului sunt luate de o majoritate de două treimi din membrii prezenți și cu drept de vot. Uniunea exercită ad interim drepturi și obligații similare celor acordate membrilor OMV până la intrarea în vigoare a modificării Convenției pentru înființarea unui consiliu de cooperare vamală.</w:t>
      </w:r>
    </w:p>
    <w:p w:rsidR="00FF7A64" w:rsidRPr="006D329F" w:rsidRDefault="0087693B" w:rsidP="00FF7A64">
      <w:pPr>
        <w:rPr>
          <w:rFonts w:eastAsiaTheme="majorEastAsia"/>
          <w:bCs/>
          <w:noProof/>
          <w:szCs w:val="24"/>
        </w:rPr>
      </w:pPr>
      <w:r w:rsidRPr="006D329F">
        <w:rPr>
          <w:noProof/>
        </w:rPr>
        <w:t>Comitetul Sistemului armonizat (CSA) este un comitet tehnic în cadrul OMV, însărcinat cu lucrările pregătitoare legate de Convenția SA. Principalele sarcini ale CSA sunt următoarele:</w:t>
      </w:r>
    </w:p>
    <w:p w:rsidR="00791F65" w:rsidRPr="006D329F" w:rsidRDefault="00791F65" w:rsidP="00791F65">
      <w:pPr>
        <w:pStyle w:val="Bullet0"/>
        <w:numPr>
          <w:ilvl w:val="0"/>
          <w:numId w:val="9"/>
        </w:numPr>
        <w:rPr>
          <w:noProof/>
          <w:szCs w:val="24"/>
        </w:rPr>
      </w:pPr>
      <w:r w:rsidRPr="006D329F">
        <w:rPr>
          <w:noProof/>
        </w:rPr>
        <w:t>redactarea de note explicative, avize de clasificare sau alte avize orientative pentru interpretarea Sistemului armonizat și exercitarea altor atribuții și funcții în legătură cu Sistemul armonizat pe care Consiliul OMV sau părțile contractante le consideră necesare. Poate înființa organisme pregătitoare, cum ar fi subcomitete sau grupuri de lucru.</w:t>
      </w:r>
    </w:p>
    <w:p w:rsidR="00FF7A64" w:rsidRPr="006D329F" w:rsidRDefault="00FF7A64" w:rsidP="00043629">
      <w:pPr>
        <w:pStyle w:val="Bullet0"/>
        <w:numPr>
          <w:ilvl w:val="0"/>
          <w:numId w:val="9"/>
        </w:numPr>
        <w:rPr>
          <w:noProof/>
          <w:szCs w:val="24"/>
        </w:rPr>
      </w:pPr>
      <w:r w:rsidRPr="006D329F">
        <w:rPr>
          <w:noProof/>
        </w:rPr>
        <w:t xml:space="preserve">elaborarea de recomandări pentru a asigura o interpretare și o aplicare uniformă a textelor juridice referitoare la Sistemul armonizat, inclusiv prin soluționarea litigiilor legate de clasificare dintre părțile contractante, facilitând astfel comerțul; </w:t>
      </w:r>
    </w:p>
    <w:p w:rsidR="00FF7A64" w:rsidRPr="006D329F" w:rsidRDefault="00FF7A64" w:rsidP="002A7080">
      <w:pPr>
        <w:pStyle w:val="Bullet0"/>
        <w:rPr>
          <w:noProof/>
          <w:szCs w:val="24"/>
        </w:rPr>
      </w:pPr>
      <w:r w:rsidRPr="006D329F">
        <w:rPr>
          <w:noProof/>
        </w:rPr>
        <w:t xml:space="preserve">de a propune amendamente și actualizări ale Sistemului armonizat care să reflecte evoluțiile din domeniul tehnologiei și modificările configurațiilor schimburilor comerciale, precum și alte necesități ale utilizatorilor Sistemului armonizat; </w:t>
      </w:r>
    </w:p>
    <w:p w:rsidR="00245D9A" w:rsidRPr="006D329F" w:rsidRDefault="00FF7A64" w:rsidP="00213394">
      <w:pPr>
        <w:pStyle w:val="Bullet0"/>
        <w:rPr>
          <w:noProof/>
          <w:szCs w:val="24"/>
        </w:rPr>
      </w:pPr>
      <w:r w:rsidRPr="006D329F">
        <w:rPr>
          <w:noProof/>
        </w:rPr>
        <w:t>de a promova aplicarea la scară largă a Sistemului armonizat și de a examina întrebările generale și chestiunile de politică legate de aceasta.</w:t>
      </w:r>
    </w:p>
    <w:p w:rsidR="00206341" w:rsidRPr="006D329F" w:rsidRDefault="00206341" w:rsidP="00D3574A">
      <w:pPr>
        <w:rPr>
          <w:noProof/>
        </w:rPr>
      </w:pPr>
      <w:r w:rsidRPr="006D329F">
        <w:rPr>
          <w:noProof/>
        </w:rPr>
        <w:t xml:space="preserve">În conformitate cu articolul </w:t>
      </w:r>
      <w:r w:rsidRPr="00874920">
        <w:rPr>
          <w:noProof/>
        </w:rPr>
        <w:t>6</w:t>
      </w:r>
      <w:r w:rsidRPr="006D329F">
        <w:rPr>
          <w:noProof/>
        </w:rPr>
        <w:t xml:space="preserve"> alineatul (</w:t>
      </w:r>
      <w:r w:rsidRPr="00874920">
        <w:rPr>
          <w:noProof/>
        </w:rPr>
        <w:t>2</w:t>
      </w:r>
      <w:r w:rsidRPr="006D329F">
        <w:rPr>
          <w:noProof/>
        </w:rPr>
        <w:t xml:space="preserve">) din Convenția SA, CSA se întrunește în mod normal de două ori pe an. În practică, reuniunile CSA au loc în general în martie și în septembrie. </w:t>
      </w:r>
    </w:p>
    <w:p w:rsidR="0087693B" w:rsidRPr="006D329F" w:rsidRDefault="0087693B" w:rsidP="00D3574A">
      <w:pPr>
        <w:rPr>
          <w:noProof/>
        </w:rPr>
      </w:pPr>
      <w:r w:rsidRPr="006D329F">
        <w:rPr>
          <w:noProof/>
        </w:rPr>
        <w:t>Uniunea și statele sale membre dețin împreună un singur vot în cadrul CSA. Deciziile CSA cu privire la aspectele reglementate de această decizie-cadru sunt adoptate cu majoritate simplă.</w:t>
      </w:r>
    </w:p>
    <w:p w:rsidR="001B6688" w:rsidRPr="006D329F" w:rsidRDefault="001B6688" w:rsidP="001B6688">
      <w:pPr>
        <w:rPr>
          <w:noProof/>
        </w:rPr>
      </w:pPr>
      <w:r w:rsidRPr="006D329F">
        <w:rPr>
          <w:noProof/>
        </w:rPr>
        <w:t xml:space="preserve">Potrivit articolului </w:t>
      </w:r>
      <w:r w:rsidRPr="00874920">
        <w:rPr>
          <w:noProof/>
        </w:rPr>
        <w:t>8</w:t>
      </w:r>
      <w:r w:rsidRPr="006D329F">
        <w:rPr>
          <w:noProof/>
        </w:rPr>
        <w:t xml:space="preserve"> alineatul (</w:t>
      </w:r>
      <w:r w:rsidRPr="00874920">
        <w:rPr>
          <w:noProof/>
        </w:rPr>
        <w:t>1</w:t>
      </w:r>
      <w:r w:rsidRPr="006D329F">
        <w:rPr>
          <w:noProof/>
        </w:rPr>
        <w:t xml:space="preserve">) din Convenția SA, Consiliul OMV examinează propunerile de modificări aduse Nomenclaturii, pregătite de Comitetul SA, și le poate recomanda părților contractante. Potrivit articolului </w:t>
      </w:r>
      <w:r w:rsidRPr="00874920">
        <w:rPr>
          <w:noProof/>
        </w:rPr>
        <w:t>16</w:t>
      </w:r>
      <w:r w:rsidRPr="006D329F">
        <w:rPr>
          <w:noProof/>
        </w:rPr>
        <w:t xml:space="preserve"> din Convenția SA, modificările recomandate de Consiliul OMV se consideră acceptate dacă niciuna dintre părțile contractante nu prezintă nicio obiecție într-o perioadă de șase luni după ce le-au fost notificate.</w:t>
      </w:r>
    </w:p>
    <w:p w:rsidR="002F2C12" w:rsidRPr="006D329F" w:rsidRDefault="002F2C12" w:rsidP="00D3574A">
      <w:pPr>
        <w:rPr>
          <w:noProof/>
        </w:rPr>
      </w:pPr>
      <w:r w:rsidRPr="006D329F">
        <w:rPr>
          <w:noProof/>
        </w:rPr>
        <w:t xml:space="preserve">În temeiul articolului </w:t>
      </w:r>
      <w:r w:rsidRPr="00874920">
        <w:rPr>
          <w:noProof/>
        </w:rPr>
        <w:t>8</w:t>
      </w:r>
      <w:r w:rsidRPr="006D329F">
        <w:rPr>
          <w:noProof/>
        </w:rPr>
        <w:t xml:space="preserve"> alineatul (</w:t>
      </w:r>
      <w:r w:rsidRPr="00874920">
        <w:rPr>
          <w:noProof/>
        </w:rPr>
        <w:t>3</w:t>
      </w:r>
      <w:r w:rsidRPr="006D329F">
        <w:rPr>
          <w:noProof/>
        </w:rPr>
        <w:t xml:space="preserve">) din Convenția SA, notele explicative, avizele de clasificare, alte avize privind interpretarea Sistemului armonizat și recomandările care urmăresc să asigure o interpretare și o aplicare uniformă a Sistemului armonizat care au fost redactate în cursul unei sesiuni a CSA sunt considerate aprobate de Consiliul OMV în cazul în care, la sfârșitul celei de-a doua luni de la cea în cursul căreia s-a încheiat sesiunea în care au fost adoptate, niciuna dintre părțile contractante la Convenția SA nu a notificat secretarului general al OMV că solicită reexaminarea de către CSA sau trimiterea spre examinare în fața Consiliului. </w:t>
      </w:r>
    </w:p>
    <w:p w:rsidR="002F2C12" w:rsidRPr="006D329F" w:rsidRDefault="002F2C12" w:rsidP="00D3574A">
      <w:pPr>
        <w:rPr>
          <w:noProof/>
        </w:rPr>
      </w:pPr>
      <w:r w:rsidRPr="006D329F">
        <w:rPr>
          <w:noProof/>
        </w:rPr>
        <w:t>În temeiul articolului </w:t>
      </w:r>
      <w:r w:rsidRPr="00874920">
        <w:rPr>
          <w:noProof/>
        </w:rPr>
        <w:t>8</w:t>
      </w:r>
      <w:r w:rsidRPr="006D329F">
        <w:rPr>
          <w:noProof/>
        </w:rPr>
        <w:t xml:space="preserve"> alineatul (</w:t>
      </w:r>
      <w:r w:rsidRPr="00874920">
        <w:rPr>
          <w:noProof/>
        </w:rPr>
        <w:t>4</w:t>
      </w:r>
      <w:r w:rsidRPr="006D329F">
        <w:rPr>
          <w:noProof/>
        </w:rPr>
        <w:t>) din Convenția SA, odată sesizat Consiliul OMV cu privire la o chestiune în conformitate cu alineatul (</w:t>
      </w:r>
      <w:r w:rsidRPr="00874920">
        <w:rPr>
          <w:noProof/>
        </w:rPr>
        <w:t>2</w:t>
      </w:r>
      <w:r w:rsidRPr="006D329F">
        <w:rPr>
          <w:noProof/>
        </w:rPr>
        <w:t xml:space="preserve">) de la articolul respectiv, Consiliul OMV aprobă respectivele note explicative, avize de clasificare, alte avize și recomandări, cu excepția cazului în care un membru al Consiliului OMV, care este parte contractantă la </w:t>
      </w:r>
      <w:r w:rsidRPr="006D329F">
        <w:rPr>
          <w:noProof/>
        </w:rPr>
        <w:lastRenderedPageBreak/>
        <w:t xml:space="preserve">convenția menționată, solicită ca toate sau o parte dintre acestea să fie transmise CSA spre reexaminare. </w:t>
      </w:r>
    </w:p>
    <w:p w:rsidR="00FF7A64" w:rsidRPr="006D329F" w:rsidRDefault="00FF7A64" w:rsidP="002A7080">
      <w:pPr>
        <w:pStyle w:val="ManualHeading2"/>
        <w:rPr>
          <w:b w:val="0"/>
          <w:noProof/>
          <w:szCs w:val="24"/>
        </w:rPr>
      </w:pPr>
      <w:r>
        <w:rPr>
          <w:noProof/>
        </w:rPr>
        <w:t>2.3.</w:t>
      </w:r>
      <w:r>
        <w:rPr>
          <w:noProof/>
        </w:rPr>
        <w:tab/>
      </w:r>
      <w:r w:rsidRPr="006D329F">
        <w:rPr>
          <w:noProof/>
        </w:rPr>
        <w:t xml:space="preserve">Actele avute în vedere </w:t>
      </w:r>
    </w:p>
    <w:p w:rsidR="002F2C12" w:rsidRPr="006D329F" w:rsidRDefault="002F2C12" w:rsidP="00791F65">
      <w:pPr>
        <w:rPr>
          <w:noProof/>
          <w:szCs w:val="24"/>
        </w:rPr>
      </w:pPr>
      <w:r w:rsidRPr="006D329F">
        <w:rPr>
          <w:noProof/>
        </w:rPr>
        <w:t xml:space="preserve">Decizia-cadru propusă se referă la următoarele acte, menționate la articolul </w:t>
      </w:r>
      <w:r w:rsidRPr="00874920">
        <w:rPr>
          <w:noProof/>
        </w:rPr>
        <w:t>7</w:t>
      </w:r>
      <w:r w:rsidRPr="006D329F">
        <w:rPr>
          <w:noProof/>
        </w:rPr>
        <w:t xml:space="preserve"> alineatul (</w:t>
      </w:r>
      <w:r w:rsidRPr="00874920">
        <w:rPr>
          <w:noProof/>
        </w:rPr>
        <w:t>1</w:t>
      </w:r>
      <w:r w:rsidRPr="006D329F">
        <w:rPr>
          <w:noProof/>
        </w:rPr>
        <w:t>) literele (a), (b) și (c) din Convenția SA, care sunt luate în considerare și adoptate provizoriu de CSA, sub rezerva aprobării de către Consiliul OMV printr-o „procedură tacită”:</w:t>
      </w:r>
    </w:p>
    <w:p w:rsidR="002F2C12" w:rsidRPr="006D329F" w:rsidRDefault="002F2C12" w:rsidP="002A7080">
      <w:pPr>
        <w:pStyle w:val="Bullet1"/>
        <w:numPr>
          <w:ilvl w:val="0"/>
          <w:numId w:val="14"/>
        </w:numPr>
        <w:rPr>
          <w:noProof/>
        </w:rPr>
      </w:pPr>
      <w:r w:rsidRPr="006D329F">
        <w:rPr>
          <w:noProof/>
        </w:rPr>
        <w:t>notele explicative, care clarifică interpretarea notelor, a pozițiilor și a subpozițiilor din Nomenclatura SA,</w:t>
      </w:r>
    </w:p>
    <w:p w:rsidR="002F2C12" w:rsidRPr="006D329F" w:rsidRDefault="002F2C12" w:rsidP="002A7080">
      <w:pPr>
        <w:pStyle w:val="Bullet1"/>
        <w:spacing w:after="0"/>
        <w:ind w:left="1418"/>
        <w:rPr>
          <w:noProof/>
        </w:rPr>
      </w:pPr>
      <w:r w:rsidRPr="006D329F">
        <w:rPr>
          <w:noProof/>
        </w:rPr>
        <w:t>avizele de clasificare, care reflectă deciziile luate de CSA în ceea ce privește clasificarea unor produse specifice,</w:t>
      </w:r>
    </w:p>
    <w:p w:rsidR="002E306A" w:rsidRPr="006D329F" w:rsidRDefault="00C4481B" w:rsidP="008736D0">
      <w:pPr>
        <w:pStyle w:val="Bullet1"/>
        <w:rPr>
          <w:noProof/>
        </w:rPr>
      </w:pPr>
      <w:r w:rsidRPr="006D329F">
        <w:rPr>
          <w:noProof/>
        </w:rPr>
        <w:t>alte avize și recomandări privind clasificarea mărfurilor în Nomenclatura SA, cum ar fi deciziile de clasificare sau alte orientări adoptate de CSA.</w:t>
      </w:r>
    </w:p>
    <w:p w:rsidR="005F214B" w:rsidRPr="006D329F" w:rsidRDefault="002E306A" w:rsidP="006A19AA">
      <w:pPr>
        <w:spacing w:after="160" w:line="259" w:lineRule="auto"/>
        <w:rPr>
          <w:noProof/>
          <w:szCs w:val="24"/>
        </w:rPr>
      </w:pPr>
      <w:r w:rsidRPr="006D329F">
        <w:rPr>
          <w:noProof/>
        </w:rPr>
        <w:t>Cadrul propus introduce, de asemenea, o nouă categorie de acte, și anume o recomandare adresată părților contractante de modificare a Nomenclaturii SA, care este prezentate în anexă la convenție în temeiul articolului </w:t>
      </w:r>
      <w:r w:rsidRPr="00874920">
        <w:rPr>
          <w:noProof/>
        </w:rPr>
        <w:t>2</w:t>
      </w:r>
      <w:r w:rsidRPr="006D329F">
        <w:rPr>
          <w:noProof/>
        </w:rPr>
        <w:t xml:space="preserve"> din Convenția SA, în conformitate cu articolul </w:t>
      </w:r>
      <w:r w:rsidRPr="00874920">
        <w:rPr>
          <w:noProof/>
        </w:rPr>
        <w:t>8</w:t>
      </w:r>
      <w:r w:rsidRPr="006D329F">
        <w:rPr>
          <w:noProof/>
        </w:rPr>
        <w:t xml:space="preserve"> alineatul (</w:t>
      </w:r>
      <w:r w:rsidRPr="00874920">
        <w:rPr>
          <w:noProof/>
        </w:rPr>
        <w:t>1</w:t>
      </w:r>
      <w:r w:rsidRPr="006D329F">
        <w:rPr>
          <w:noProof/>
        </w:rPr>
        <w:t>) și cu procedura stabilită la articolul </w:t>
      </w:r>
      <w:r w:rsidRPr="00874920">
        <w:rPr>
          <w:noProof/>
        </w:rPr>
        <w:t>16</w:t>
      </w:r>
      <w:r w:rsidRPr="006D329F">
        <w:rPr>
          <w:noProof/>
        </w:rPr>
        <w:t xml:space="preserve"> din aceasta. O astfel de recomandare este pregătită în cadrul CSA și transmisă Consiliului OMV spre adoptare. În temeiul articolului </w:t>
      </w:r>
      <w:r w:rsidRPr="00874920">
        <w:rPr>
          <w:noProof/>
        </w:rPr>
        <w:t>16</w:t>
      </w:r>
      <w:r w:rsidRPr="006D329F">
        <w:rPr>
          <w:noProof/>
        </w:rPr>
        <w:t xml:space="preserve"> din Convenția SA, Consiliul OMV recomandă periodic această modificare a Nomenclaturii SA, care devine obligatorie după acceptarea de către părțile contractante. Deși, în practică, astfel de modificări au urmat un ciclu aproximativ de cinci ani, această periodicitate nu este prevăzută în Convenția SA. Având în vedere natura sa tehnică, marja sa de apreciere limitată în materie de politici și necesitatea de a asigura alinierea uniformă și în timp util a nomenclaturii tarifare a Uniunii la obligațiile sale internaționale, aceasta ar putea beneficia de pe urma aplicării prezentei decizii omnibus.</w:t>
      </w:r>
    </w:p>
    <w:p w:rsidR="002E306A" w:rsidRPr="006D329F" w:rsidRDefault="004523BB" w:rsidP="006A19AA">
      <w:pPr>
        <w:spacing w:after="160" w:line="259" w:lineRule="auto"/>
        <w:rPr>
          <w:noProof/>
        </w:rPr>
      </w:pPr>
      <w:r w:rsidRPr="006D329F">
        <w:rPr>
          <w:noProof/>
        </w:rPr>
        <w:t>Cu toate acestea, cadrul propus nu acoperă modificările aduse textului Convenției SA, cu excepția anexei la Nomenclatura SA, astfel cum s-a menționat mai sus.</w:t>
      </w:r>
    </w:p>
    <w:p w:rsidR="002F2C12" w:rsidRPr="006D329F" w:rsidRDefault="00627BD8" w:rsidP="002F2C12">
      <w:pPr>
        <w:rPr>
          <w:noProof/>
          <w:szCs w:val="24"/>
        </w:rPr>
      </w:pPr>
      <w:r w:rsidRPr="006D329F">
        <w:rPr>
          <w:noProof/>
        </w:rPr>
        <w:t>În conformitate cu articolul </w:t>
      </w:r>
      <w:r w:rsidRPr="00874920">
        <w:rPr>
          <w:noProof/>
        </w:rPr>
        <w:t>34</w:t>
      </w:r>
      <w:r w:rsidRPr="006D329F">
        <w:rPr>
          <w:noProof/>
        </w:rPr>
        <w:t xml:space="preserve"> alineatul (</w:t>
      </w:r>
      <w:r w:rsidRPr="00874920">
        <w:rPr>
          <w:noProof/>
        </w:rPr>
        <w:t>7</w:t>
      </w:r>
      <w:r w:rsidRPr="006D329F">
        <w:rPr>
          <w:noProof/>
        </w:rPr>
        <w:t>) litera (a) punctul (iii) din Regulamentul (UE) nr. </w:t>
      </w:r>
      <w:r w:rsidRPr="00874920">
        <w:rPr>
          <w:noProof/>
        </w:rPr>
        <w:t>952</w:t>
      </w:r>
      <w:r w:rsidRPr="006D329F">
        <w:rPr>
          <w:noProof/>
        </w:rPr>
        <w:t>/</w:t>
      </w:r>
      <w:r w:rsidRPr="00874920">
        <w:rPr>
          <w:noProof/>
        </w:rPr>
        <w:t>2013</w:t>
      </w:r>
      <w:r w:rsidRPr="006D329F">
        <w:rPr>
          <w:noProof/>
        </w:rPr>
        <w:t xml:space="preserve"> al Parlamentului European și al Consiliului din </w:t>
      </w:r>
      <w:r w:rsidRPr="00874920">
        <w:rPr>
          <w:noProof/>
        </w:rPr>
        <w:t>9</w:t>
      </w:r>
      <w:r w:rsidRPr="006D329F">
        <w:rPr>
          <w:noProof/>
        </w:rPr>
        <w:t> octombrie </w:t>
      </w:r>
      <w:r w:rsidRPr="00874920">
        <w:rPr>
          <w:noProof/>
        </w:rPr>
        <w:t>2013</w:t>
      </w:r>
      <w:r w:rsidRPr="006D329F">
        <w:rPr>
          <w:noProof/>
        </w:rPr>
        <w:t xml:space="preserve"> de stabilire a Codului vamal al Uniunii</w:t>
      </w:r>
      <w:r w:rsidRPr="006D329F">
        <w:rPr>
          <w:rStyle w:val="FootnoteReference"/>
          <w:noProof/>
          <w:szCs w:val="24"/>
        </w:rPr>
        <w:footnoteReference w:id="5"/>
      </w:r>
      <w:r w:rsidRPr="006D329F">
        <w:rPr>
          <w:noProof/>
        </w:rPr>
        <w:t xml:space="preserve">, autoritățile vamale ale statelor membre își revocă deciziile de clasificare în cazul în care nu mai sunt compatibile cu interpretarea Nomenclaturii SA decurgând din deciziile de clasificare, avizele de clasificare sau modificări ale notelor explicative ale Nomenclaturii Sistemului armonizat, începând cu data publicării comunicării Comisiei în seria „C” a </w:t>
      </w:r>
      <w:r w:rsidRPr="006D329F">
        <w:rPr>
          <w:rStyle w:val="italic"/>
          <w:noProof/>
        </w:rPr>
        <w:t>Jurnalului Oficial al Uniunii Europene</w:t>
      </w:r>
      <w:r w:rsidRPr="006D329F">
        <w:rPr>
          <w:noProof/>
        </w:rPr>
        <w:t>.</w:t>
      </w:r>
    </w:p>
    <w:p w:rsidR="00FF7A64" w:rsidRPr="006D329F" w:rsidRDefault="00FF7A64" w:rsidP="002A7080">
      <w:pPr>
        <w:pStyle w:val="ManualHeading1"/>
        <w:rPr>
          <w:noProof/>
        </w:rPr>
      </w:pPr>
      <w:r>
        <w:rPr>
          <w:noProof/>
        </w:rPr>
        <w:t>3.</w:t>
      </w:r>
      <w:r>
        <w:rPr>
          <w:noProof/>
        </w:rPr>
        <w:tab/>
      </w:r>
      <w:r w:rsidRPr="006D329F">
        <w:rPr>
          <w:noProof/>
        </w:rPr>
        <w:t xml:space="preserve">Poziția care trebuie adoptată în numele Uniunii Europene </w:t>
      </w:r>
    </w:p>
    <w:p w:rsidR="00FF7A64" w:rsidRPr="006D329F" w:rsidRDefault="000E7996" w:rsidP="002A7080">
      <w:pPr>
        <w:pStyle w:val="ManualHeading2"/>
        <w:rPr>
          <w:noProof/>
        </w:rPr>
      </w:pPr>
      <w:r>
        <w:rPr>
          <w:noProof/>
        </w:rPr>
        <w:t>3.1.</w:t>
      </w:r>
      <w:r>
        <w:rPr>
          <w:noProof/>
        </w:rPr>
        <w:tab/>
      </w:r>
      <w:bookmarkStart w:id="1" w:name="_Hlk119666975"/>
      <w:r w:rsidRPr="006D329F">
        <w:rPr>
          <w:noProof/>
        </w:rPr>
        <w:t>Constrângeri de natură practică legate de elaborarea și adoptarea pozițiilor UE</w:t>
      </w:r>
      <w:bookmarkEnd w:id="1"/>
      <w:r w:rsidRPr="006D329F">
        <w:rPr>
          <w:noProof/>
        </w:rPr>
        <w:t xml:space="preserve"> </w:t>
      </w:r>
    </w:p>
    <w:p w:rsidR="000421D2" w:rsidRPr="006D329F" w:rsidRDefault="00D058F9" w:rsidP="00D058F9">
      <w:pPr>
        <w:rPr>
          <w:noProof/>
          <w:szCs w:val="24"/>
        </w:rPr>
      </w:pPr>
      <w:r w:rsidRPr="006D329F">
        <w:rPr>
          <w:noProof/>
        </w:rPr>
        <w:t xml:space="preserve">Participarea efectivă a Uniunii la CSA necesită o cooperare intensificată și eficientă între instituții din cauza constrângerilor practice în pregătirea și adoptarea pozițiilor UE. </w:t>
      </w:r>
    </w:p>
    <w:p w:rsidR="002F2C12" w:rsidRPr="006D329F" w:rsidRDefault="00E7539E" w:rsidP="002F2C12">
      <w:pPr>
        <w:rPr>
          <w:noProof/>
          <w:szCs w:val="24"/>
        </w:rPr>
      </w:pPr>
      <w:r w:rsidRPr="006D329F">
        <w:rPr>
          <w:noProof/>
        </w:rPr>
        <w:t xml:space="preserve">În primul rând, în fiecare dintre cele două reuniuni ale sale, CSA tratează un număr considerabil de probleme extrem de tehnice. Tabelul </w:t>
      </w:r>
      <w:r w:rsidRPr="00874920">
        <w:rPr>
          <w:noProof/>
        </w:rPr>
        <w:t>1</w:t>
      </w:r>
      <w:r w:rsidRPr="006D329F">
        <w:rPr>
          <w:noProof/>
        </w:rPr>
        <w:t xml:space="preserve"> arată că, pentru ultimele cinci reuniuni (</w:t>
      </w:r>
      <w:r w:rsidRPr="00874920">
        <w:rPr>
          <w:noProof/>
        </w:rPr>
        <w:t>2023</w:t>
      </w:r>
      <w:r w:rsidRPr="006D329F">
        <w:rPr>
          <w:noProof/>
        </w:rPr>
        <w:t>-</w:t>
      </w:r>
      <w:r w:rsidRPr="00874920">
        <w:rPr>
          <w:noProof/>
        </w:rPr>
        <w:t>2025</w:t>
      </w:r>
      <w:r w:rsidRPr="006D329F">
        <w:rPr>
          <w:noProof/>
        </w:rPr>
        <w:t>), volumul punctelor tehnice de pe ordinea de zi examinate de CSA a rămas foarte ridicat, precum și numărul de decizii cu efect juridic care urmează să fie luate.</w:t>
      </w:r>
    </w:p>
    <w:p w:rsidR="002F2C12" w:rsidRPr="006D329F" w:rsidRDefault="002F2C12" w:rsidP="002F2C12">
      <w:pPr>
        <w:spacing w:before="0" w:after="200" w:line="276" w:lineRule="auto"/>
        <w:jc w:val="center"/>
        <w:rPr>
          <w:b/>
          <w:noProof/>
          <w:szCs w:val="24"/>
        </w:rPr>
      </w:pPr>
      <w:r w:rsidRPr="006D329F">
        <w:rPr>
          <w:b/>
          <w:noProof/>
        </w:rPr>
        <w:lastRenderedPageBreak/>
        <w:t>Tabelul </w:t>
      </w:r>
      <w:r w:rsidRPr="00874920">
        <w:rPr>
          <w:b/>
          <w:noProof/>
        </w:rPr>
        <w:t>1</w:t>
      </w:r>
      <w:r w:rsidRPr="006D329F">
        <w:rPr>
          <w:b/>
          <w:noProof/>
        </w:rPr>
        <w:t xml:space="preserve"> Decizii CSA în funcție de tip </w:t>
      </w:r>
    </w:p>
    <w:tbl>
      <w:tblPr>
        <w:tblStyle w:val="TableGrid2"/>
        <w:tblW w:w="10526" w:type="dxa"/>
        <w:jc w:val="center"/>
        <w:tblLayout w:type="fixed"/>
        <w:tblLook w:val="04A0" w:firstRow="1" w:lastRow="0" w:firstColumn="1" w:lastColumn="0" w:noHBand="0" w:noVBand="1"/>
      </w:tblPr>
      <w:tblGrid>
        <w:gridCol w:w="500"/>
        <w:gridCol w:w="2161"/>
        <w:gridCol w:w="1559"/>
        <w:gridCol w:w="1592"/>
        <w:gridCol w:w="1676"/>
        <w:gridCol w:w="1519"/>
        <w:gridCol w:w="1519"/>
      </w:tblGrid>
      <w:tr w:rsidR="004420C7" w:rsidRPr="006D329F" w:rsidTr="004420C7">
        <w:trPr>
          <w:jc w:val="center"/>
        </w:trPr>
        <w:tc>
          <w:tcPr>
            <w:tcW w:w="500" w:type="dxa"/>
          </w:tcPr>
          <w:p w:rsidR="004420C7" w:rsidRPr="006D329F" w:rsidRDefault="004420C7" w:rsidP="00A07CD4">
            <w:pPr>
              <w:spacing w:before="0" w:after="0"/>
              <w:jc w:val="center"/>
              <w:rPr>
                <w:b/>
                <w:noProof/>
                <w:szCs w:val="24"/>
              </w:rPr>
            </w:pPr>
            <w:r w:rsidRPr="00874920">
              <w:rPr>
                <w:b/>
                <w:noProof/>
              </w:rPr>
              <w:t>1</w:t>
            </w:r>
          </w:p>
        </w:tc>
        <w:tc>
          <w:tcPr>
            <w:tcW w:w="2161" w:type="dxa"/>
          </w:tcPr>
          <w:p w:rsidR="004420C7" w:rsidRPr="006D329F" w:rsidRDefault="004420C7">
            <w:pPr>
              <w:spacing w:before="0" w:after="0"/>
              <w:jc w:val="center"/>
              <w:rPr>
                <w:b/>
                <w:noProof/>
                <w:szCs w:val="24"/>
              </w:rPr>
            </w:pPr>
            <w:r w:rsidRPr="006D329F">
              <w:rPr>
                <w:b/>
                <w:noProof/>
              </w:rPr>
              <w:t>Reuniunea</w:t>
            </w:r>
          </w:p>
        </w:tc>
        <w:tc>
          <w:tcPr>
            <w:tcW w:w="1559" w:type="dxa"/>
          </w:tcPr>
          <w:p w:rsidR="004420C7" w:rsidRPr="006D329F" w:rsidRDefault="004420C7" w:rsidP="00F137E9">
            <w:pPr>
              <w:spacing w:before="0" w:after="0"/>
              <w:ind w:right="107"/>
              <w:jc w:val="center"/>
              <w:rPr>
                <w:b/>
                <w:noProof/>
                <w:szCs w:val="24"/>
              </w:rPr>
            </w:pPr>
            <w:r w:rsidRPr="006D329F">
              <w:rPr>
                <w:b/>
                <w:noProof/>
              </w:rPr>
              <w:t>CSA/</w:t>
            </w:r>
            <w:r w:rsidRPr="00874920">
              <w:rPr>
                <w:b/>
                <w:noProof/>
              </w:rPr>
              <w:t>72</w:t>
            </w:r>
          </w:p>
        </w:tc>
        <w:tc>
          <w:tcPr>
            <w:tcW w:w="1592" w:type="dxa"/>
          </w:tcPr>
          <w:p w:rsidR="004420C7" w:rsidRPr="006D329F" w:rsidRDefault="004420C7" w:rsidP="00B70091">
            <w:pPr>
              <w:spacing w:before="0" w:after="0"/>
              <w:jc w:val="center"/>
              <w:rPr>
                <w:b/>
                <w:noProof/>
                <w:szCs w:val="24"/>
              </w:rPr>
            </w:pPr>
            <w:r w:rsidRPr="006D329F">
              <w:rPr>
                <w:b/>
                <w:noProof/>
              </w:rPr>
              <w:t>CSA/</w:t>
            </w:r>
            <w:r w:rsidRPr="00874920">
              <w:rPr>
                <w:b/>
                <w:noProof/>
              </w:rPr>
              <w:t>73</w:t>
            </w:r>
          </w:p>
        </w:tc>
        <w:tc>
          <w:tcPr>
            <w:tcW w:w="1676" w:type="dxa"/>
          </w:tcPr>
          <w:p w:rsidR="004420C7" w:rsidRPr="006D329F" w:rsidRDefault="004420C7" w:rsidP="00B70091">
            <w:pPr>
              <w:spacing w:before="0" w:after="0"/>
              <w:jc w:val="center"/>
              <w:rPr>
                <w:b/>
                <w:noProof/>
                <w:szCs w:val="24"/>
              </w:rPr>
            </w:pPr>
            <w:r w:rsidRPr="006D329F">
              <w:rPr>
                <w:b/>
                <w:noProof/>
              </w:rPr>
              <w:t>CSA/</w:t>
            </w:r>
            <w:r w:rsidRPr="00874920">
              <w:rPr>
                <w:b/>
                <w:noProof/>
              </w:rPr>
              <w:t>74</w:t>
            </w:r>
          </w:p>
        </w:tc>
        <w:tc>
          <w:tcPr>
            <w:tcW w:w="1519" w:type="dxa"/>
          </w:tcPr>
          <w:p w:rsidR="004420C7" w:rsidRPr="006D329F" w:rsidRDefault="004420C7" w:rsidP="00B70091">
            <w:pPr>
              <w:spacing w:before="0" w:after="0"/>
              <w:jc w:val="center"/>
              <w:rPr>
                <w:b/>
                <w:noProof/>
                <w:szCs w:val="24"/>
              </w:rPr>
            </w:pPr>
            <w:r w:rsidRPr="006D329F">
              <w:rPr>
                <w:b/>
                <w:noProof/>
              </w:rPr>
              <w:t>CSA/</w:t>
            </w:r>
            <w:r w:rsidRPr="00874920">
              <w:rPr>
                <w:b/>
                <w:noProof/>
              </w:rPr>
              <w:t>75</w:t>
            </w:r>
          </w:p>
        </w:tc>
        <w:tc>
          <w:tcPr>
            <w:tcW w:w="1519" w:type="dxa"/>
          </w:tcPr>
          <w:p w:rsidR="004420C7" w:rsidRPr="006D329F" w:rsidRDefault="004420C7" w:rsidP="00B70091">
            <w:pPr>
              <w:spacing w:before="0" w:after="0"/>
              <w:jc w:val="center"/>
              <w:rPr>
                <w:b/>
                <w:noProof/>
                <w:szCs w:val="24"/>
              </w:rPr>
            </w:pPr>
            <w:r w:rsidRPr="006D329F">
              <w:rPr>
                <w:b/>
                <w:noProof/>
              </w:rPr>
              <w:t>CSA/</w:t>
            </w:r>
            <w:r w:rsidRPr="00874920">
              <w:rPr>
                <w:b/>
                <w:noProof/>
              </w:rPr>
              <w:t>76</w:t>
            </w:r>
          </w:p>
        </w:tc>
      </w:tr>
      <w:tr w:rsidR="004420C7" w:rsidRPr="006D329F" w:rsidTr="004420C7">
        <w:trPr>
          <w:jc w:val="center"/>
        </w:trPr>
        <w:tc>
          <w:tcPr>
            <w:tcW w:w="500" w:type="dxa"/>
          </w:tcPr>
          <w:p w:rsidR="004420C7" w:rsidRPr="006D329F" w:rsidRDefault="004420C7" w:rsidP="00A07CD4">
            <w:pPr>
              <w:spacing w:before="0" w:after="0"/>
              <w:jc w:val="center"/>
              <w:rPr>
                <w:b/>
                <w:noProof/>
                <w:szCs w:val="24"/>
              </w:rPr>
            </w:pPr>
            <w:r w:rsidRPr="00874920">
              <w:rPr>
                <w:b/>
                <w:noProof/>
              </w:rPr>
              <w:t>2</w:t>
            </w:r>
          </w:p>
        </w:tc>
        <w:tc>
          <w:tcPr>
            <w:tcW w:w="2161" w:type="dxa"/>
          </w:tcPr>
          <w:p w:rsidR="004420C7" w:rsidRPr="006D329F" w:rsidRDefault="004420C7" w:rsidP="00B70091">
            <w:pPr>
              <w:spacing w:before="0" w:after="0"/>
              <w:jc w:val="center"/>
              <w:rPr>
                <w:b/>
                <w:noProof/>
                <w:szCs w:val="24"/>
              </w:rPr>
            </w:pPr>
            <w:r w:rsidRPr="006D329F">
              <w:rPr>
                <w:b/>
                <w:noProof/>
              </w:rPr>
              <w:t>Dată</w:t>
            </w:r>
            <w:r w:rsidRPr="006D329F">
              <w:rPr>
                <w:rStyle w:val="FootnoteReference"/>
                <w:b/>
                <w:noProof/>
                <w:szCs w:val="24"/>
              </w:rPr>
              <w:footnoteReference w:id="6"/>
            </w:r>
          </w:p>
        </w:tc>
        <w:tc>
          <w:tcPr>
            <w:tcW w:w="1559" w:type="dxa"/>
          </w:tcPr>
          <w:p w:rsidR="004420C7" w:rsidRPr="006D329F" w:rsidRDefault="004420C7" w:rsidP="00F137E9">
            <w:pPr>
              <w:spacing w:before="0" w:after="0"/>
              <w:ind w:right="107"/>
              <w:jc w:val="center"/>
              <w:rPr>
                <w:noProof/>
                <w:szCs w:val="24"/>
              </w:rPr>
            </w:pPr>
            <w:r w:rsidRPr="00874920">
              <w:rPr>
                <w:noProof/>
              </w:rPr>
              <w:t>14</w:t>
            </w:r>
            <w:r w:rsidRPr="006D329F">
              <w:rPr>
                <w:noProof/>
              </w:rPr>
              <w:t>/</w:t>
            </w:r>
            <w:r w:rsidRPr="00874920">
              <w:rPr>
                <w:noProof/>
              </w:rPr>
              <w:t>18</w:t>
            </w:r>
            <w:r w:rsidRPr="006D329F">
              <w:rPr>
                <w:noProof/>
              </w:rPr>
              <w:t xml:space="preserve"> - </w:t>
            </w:r>
            <w:r w:rsidRPr="00874920">
              <w:rPr>
                <w:noProof/>
              </w:rPr>
              <w:t>29</w:t>
            </w:r>
            <w:r w:rsidRPr="006D329F">
              <w:rPr>
                <w:noProof/>
              </w:rPr>
              <w:t>/</w:t>
            </w:r>
            <w:r w:rsidRPr="00874920">
              <w:rPr>
                <w:noProof/>
              </w:rPr>
              <w:t>9</w:t>
            </w:r>
            <w:r w:rsidRPr="006D329F">
              <w:rPr>
                <w:noProof/>
              </w:rPr>
              <w:t>/</w:t>
            </w:r>
            <w:r w:rsidRPr="00874920">
              <w:rPr>
                <w:noProof/>
              </w:rPr>
              <w:t>2023</w:t>
            </w:r>
          </w:p>
        </w:tc>
        <w:tc>
          <w:tcPr>
            <w:tcW w:w="1592" w:type="dxa"/>
          </w:tcPr>
          <w:p w:rsidR="004420C7" w:rsidRPr="006D329F" w:rsidRDefault="004420C7" w:rsidP="003974D1">
            <w:pPr>
              <w:spacing w:before="0" w:after="0"/>
              <w:jc w:val="center"/>
              <w:rPr>
                <w:noProof/>
                <w:szCs w:val="24"/>
              </w:rPr>
            </w:pPr>
            <w:r w:rsidRPr="00874920">
              <w:rPr>
                <w:noProof/>
              </w:rPr>
              <w:t>4</w:t>
            </w:r>
            <w:r w:rsidRPr="006D329F">
              <w:rPr>
                <w:noProof/>
              </w:rPr>
              <w:t>/</w:t>
            </w:r>
            <w:r w:rsidRPr="00874920">
              <w:rPr>
                <w:noProof/>
              </w:rPr>
              <w:t>6</w:t>
            </w:r>
            <w:r w:rsidRPr="006D329F">
              <w:rPr>
                <w:noProof/>
              </w:rPr>
              <w:t xml:space="preserve"> - </w:t>
            </w:r>
            <w:r w:rsidRPr="00874920">
              <w:rPr>
                <w:noProof/>
              </w:rPr>
              <w:t>15</w:t>
            </w:r>
            <w:r w:rsidRPr="006D329F">
              <w:rPr>
                <w:noProof/>
              </w:rPr>
              <w:t>/</w:t>
            </w:r>
            <w:r w:rsidRPr="00874920">
              <w:rPr>
                <w:noProof/>
              </w:rPr>
              <w:t>3</w:t>
            </w:r>
            <w:r w:rsidRPr="006D329F">
              <w:rPr>
                <w:noProof/>
              </w:rPr>
              <w:t>/</w:t>
            </w:r>
            <w:r w:rsidRPr="00874920">
              <w:rPr>
                <w:noProof/>
              </w:rPr>
              <w:t>2024</w:t>
            </w:r>
          </w:p>
        </w:tc>
        <w:tc>
          <w:tcPr>
            <w:tcW w:w="1676" w:type="dxa"/>
          </w:tcPr>
          <w:p w:rsidR="004420C7" w:rsidRPr="006D329F" w:rsidRDefault="004420C7" w:rsidP="003974D1">
            <w:pPr>
              <w:spacing w:before="0" w:after="0"/>
              <w:jc w:val="center"/>
              <w:rPr>
                <w:noProof/>
                <w:szCs w:val="24"/>
              </w:rPr>
            </w:pPr>
            <w:r w:rsidRPr="00874920">
              <w:rPr>
                <w:noProof/>
              </w:rPr>
              <w:t>11</w:t>
            </w:r>
            <w:r w:rsidRPr="006D329F">
              <w:rPr>
                <w:noProof/>
              </w:rPr>
              <w:t>/</w:t>
            </w:r>
            <w:r w:rsidRPr="00874920">
              <w:rPr>
                <w:noProof/>
              </w:rPr>
              <w:t>16</w:t>
            </w:r>
            <w:r w:rsidRPr="006D329F">
              <w:rPr>
                <w:noProof/>
              </w:rPr>
              <w:t xml:space="preserve"> - </w:t>
            </w:r>
            <w:r w:rsidRPr="00874920">
              <w:rPr>
                <w:noProof/>
              </w:rPr>
              <w:t>27</w:t>
            </w:r>
            <w:r w:rsidRPr="006D329F">
              <w:rPr>
                <w:noProof/>
              </w:rPr>
              <w:t>/</w:t>
            </w:r>
            <w:r w:rsidRPr="00874920">
              <w:rPr>
                <w:noProof/>
              </w:rPr>
              <w:t>9</w:t>
            </w:r>
            <w:r w:rsidRPr="006D329F">
              <w:rPr>
                <w:noProof/>
              </w:rPr>
              <w:t>/</w:t>
            </w:r>
            <w:r w:rsidRPr="00874920">
              <w:rPr>
                <w:noProof/>
              </w:rPr>
              <w:t>2024</w:t>
            </w:r>
          </w:p>
        </w:tc>
        <w:tc>
          <w:tcPr>
            <w:tcW w:w="1519" w:type="dxa"/>
          </w:tcPr>
          <w:p w:rsidR="004420C7" w:rsidRPr="006D329F" w:rsidRDefault="004420C7" w:rsidP="003974D1">
            <w:pPr>
              <w:spacing w:before="0" w:after="0"/>
              <w:jc w:val="center"/>
              <w:rPr>
                <w:noProof/>
                <w:szCs w:val="24"/>
              </w:rPr>
            </w:pPr>
            <w:r w:rsidRPr="00874920">
              <w:rPr>
                <w:noProof/>
              </w:rPr>
              <w:t>5</w:t>
            </w:r>
            <w:r w:rsidRPr="006D329F">
              <w:rPr>
                <w:noProof/>
              </w:rPr>
              <w:t>/</w:t>
            </w:r>
            <w:r w:rsidRPr="00874920">
              <w:rPr>
                <w:noProof/>
              </w:rPr>
              <w:t>10</w:t>
            </w:r>
            <w:r w:rsidRPr="006D329F">
              <w:rPr>
                <w:noProof/>
              </w:rPr>
              <w:t xml:space="preserve"> -</w:t>
            </w:r>
            <w:r w:rsidRPr="00874920">
              <w:rPr>
                <w:noProof/>
              </w:rPr>
              <w:t>21</w:t>
            </w:r>
            <w:r w:rsidRPr="006D329F">
              <w:rPr>
                <w:noProof/>
              </w:rPr>
              <w:t>/</w:t>
            </w:r>
            <w:r w:rsidRPr="00874920">
              <w:rPr>
                <w:noProof/>
              </w:rPr>
              <w:t>3</w:t>
            </w:r>
            <w:r w:rsidRPr="006D329F">
              <w:rPr>
                <w:noProof/>
              </w:rPr>
              <w:t>/</w:t>
            </w:r>
            <w:r w:rsidRPr="00874920">
              <w:rPr>
                <w:noProof/>
              </w:rPr>
              <w:t>2025</w:t>
            </w:r>
          </w:p>
        </w:tc>
        <w:tc>
          <w:tcPr>
            <w:tcW w:w="1519" w:type="dxa"/>
          </w:tcPr>
          <w:p w:rsidR="004420C7" w:rsidRPr="006D329F" w:rsidRDefault="004420C7" w:rsidP="003974D1">
            <w:pPr>
              <w:spacing w:before="0" w:after="0"/>
              <w:jc w:val="center"/>
              <w:rPr>
                <w:noProof/>
                <w:szCs w:val="24"/>
              </w:rPr>
            </w:pPr>
            <w:r w:rsidRPr="00874920">
              <w:rPr>
                <w:noProof/>
              </w:rPr>
              <w:t>15</w:t>
            </w:r>
            <w:r w:rsidRPr="006D329F">
              <w:rPr>
                <w:noProof/>
              </w:rPr>
              <w:t>/</w:t>
            </w:r>
            <w:r w:rsidRPr="00874920">
              <w:rPr>
                <w:noProof/>
              </w:rPr>
              <w:t>17</w:t>
            </w:r>
            <w:r w:rsidRPr="006D329F">
              <w:rPr>
                <w:noProof/>
              </w:rPr>
              <w:t xml:space="preserve"> - </w:t>
            </w:r>
            <w:r w:rsidRPr="00874920">
              <w:rPr>
                <w:noProof/>
              </w:rPr>
              <w:t>26</w:t>
            </w:r>
            <w:r w:rsidRPr="006D329F">
              <w:rPr>
                <w:noProof/>
              </w:rPr>
              <w:t>/</w:t>
            </w:r>
            <w:r w:rsidRPr="00874920">
              <w:rPr>
                <w:noProof/>
              </w:rPr>
              <w:t>9</w:t>
            </w:r>
            <w:r w:rsidRPr="006D329F">
              <w:rPr>
                <w:noProof/>
              </w:rPr>
              <w:t>/</w:t>
            </w:r>
            <w:r w:rsidRPr="00874920">
              <w:rPr>
                <w:noProof/>
              </w:rPr>
              <w:t>2025</w:t>
            </w:r>
          </w:p>
        </w:tc>
      </w:tr>
      <w:tr w:rsidR="004420C7" w:rsidRPr="006D329F" w:rsidTr="004420C7">
        <w:trPr>
          <w:jc w:val="center"/>
        </w:trPr>
        <w:tc>
          <w:tcPr>
            <w:tcW w:w="500" w:type="dxa"/>
          </w:tcPr>
          <w:p w:rsidR="004420C7" w:rsidRPr="006D329F" w:rsidRDefault="004420C7" w:rsidP="00F137E9">
            <w:pPr>
              <w:spacing w:before="0" w:after="0"/>
              <w:ind w:right="28"/>
              <w:jc w:val="center"/>
              <w:rPr>
                <w:b/>
                <w:noProof/>
                <w:szCs w:val="24"/>
              </w:rPr>
            </w:pPr>
            <w:r w:rsidRPr="00874920">
              <w:rPr>
                <w:b/>
                <w:noProof/>
              </w:rPr>
              <w:t>3</w:t>
            </w:r>
          </w:p>
        </w:tc>
        <w:tc>
          <w:tcPr>
            <w:tcW w:w="2161" w:type="dxa"/>
          </w:tcPr>
          <w:p w:rsidR="004420C7" w:rsidRPr="006D329F" w:rsidRDefault="004420C7" w:rsidP="00F27EFB">
            <w:pPr>
              <w:spacing w:before="0" w:after="0"/>
              <w:jc w:val="center"/>
              <w:rPr>
                <w:b/>
                <w:noProof/>
                <w:szCs w:val="24"/>
              </w:rPr>
            </w:pPr>
            <w:r w:rsidRPr="006D329F">
              <w:rPr>
                <w:b/>
                <w:noProof/>
              </w:rPr>
              <w:t>Elemente tehnice</w:t>
            </w:r>
          </w:p>
        </w:tc>
        <w:tc>
          <w:tcPr>
            <w:tcW w:w="1559" w:type="dxa"/>
          </w:tcPr>
          <w:p w:rsidR="004420C7" w:rsidRPr="006D329F" w:rsidDel="00E1317A" w:rsidRDefault="004420C7" w:rsidP="00F137E9">
            <w:pPr>
              <w:spacing w:before="0" w:after="0"/>
              <w:ind w:right="107"/>
              <w:jc w:val="center"/>
              <w:rPr>
                <w:b/>
                <w:bCs/>
                <w:noProof/>
                <w:szCs w:val="24"/>
              </w:rPr>
            </w:pPr>
            <w:r w:rsidRPr="00874920">
              <w:rPr>
                <w:b/>
                <w:noProof/>
              </w:rPr>
              <w:t>66</w:t>
            </w:r>
          </w:p>
        </w:tc>
        <w:tc>
          <w:tcPr>
            <w:tcW w:w="1592" w:type="dxa"/>
          </w:tcPr>
          <w:p w:rsidR="004420C7" w:rsidRPr="006D329F" w:rsidRDefault="004420C7" w:rsidP="00B70091">
            <w:pPr>
              <w:spacing w:before="0" w:after="0"/>
              <w:jc w:val="center"/>
              <w:rPr>
                <w:b/>
                <w:bCs/>
                <w:noProof/>
                <w:szCs w:val="24"/>
              </w:rPr>
            </w:pPr>
            <w:r w:rsidRPr="00874920">
              <w:rPr>
                <w:b/>
                <w:noProof/>
              </w:rPr>
              <w:t>77</w:t>
            </w:r>
          </w:p>
        </w:tc>
        <w:tc>
          <w:tcPr>
            <w:tcW w:w="1676" w:type="dxa"/>
          </w:tcPr>
          <w:p w:rsidR="004420C7" w:rsidRPr="006D329F" w:rsidRDefault="004420C7" w:rsidP="00B70091">
            <w:pPr>
              <w:spacing w:before="0" w:after="0"/>
              <w:jc w:val="center"/>
              <w:rPr>
                <w:b/>
                <w:bCs/>
                <w:noProof/>
                <w:szCs w:val="24"/>
              </w:rPr>
            </w:pPr>
            <w:r w:rsidRPr="00874920">
              <w:rPr>
                <w:b/>
                <w:noProof/>
              </w:rPr>
              <w:t>73</w:t>
            </w:r>
          </w:p>
        </w:tc>
        <w:tc>
          <w:tcPr>
            <w:tcW w:w="1519" w:type="dxa"/>
          </w:tcPr>
          <w:p w:rsidR="004420C7" w:rsidRPr="006D329F" w:rsidRDefault="004420C7" w:rsidP="00B70091">
            <w:pPr>
              <w:spacing w:before="0" w:after="0"/>
              <w:jc w:val="center"/>
              <w:rPr>
                <w:b/>
                <w:bCs/>
                <w:noProof/>
                <w:szCs w:val="24"/>
              </w:rPr>
            </w:pPr>
            <w:r w:rsidRPr="00874920">
              <w:rPr>
                <w:b/>
                <w:noProof/>
              </w:rPr>
              <w:t>70</w:t>
            </w:r>
          </w:p>
        </w:tc>
        <w:tc>
          <w:tcPr>
            <w:tcW w:w="1519" w:type="dxa"/>
          </w:tcPr>
          <w:p w:rsidR="004420C7" w:rsidRPr="006D329F" w:rsidRDefault="004420C7" w:rsidP="00B70091">
            <w:pPr>
              <w:spacing w:before="0" w:after="0"/>
              <w:jc w:val="center"/>
              <w:rPr>
                <w:b/>
                <w:bCs/>
                <w:noProof/>
                <w:szCs w:val="24"/>
              </w:rPr>
            </w:pPr>
            <w:r w:rsidRPr="00874920">
              <w:rPr>
                <w:b/>
                <w:noProof/>
              </w:rPr>
              <w:t>66</w:t>
            </w:r>
          </w:p>
        </w:tc>
      </w:tr>
      <w:tr w:rsidR="004420C7" w:rsidRPr="006D329F" w:rsidTr="004420C7">
        <w:trPr>
          <w:jc w:val="center"/>
        </w:trPr>
        <w:tc>
          <w:tcPr>
            <w:tcW w:w="500" w:type="dxa"/>
          </w:tcPr>
          <w:p w:rsidR="004420C7" w:rsidRPr="006D329F" w:rsidRDefault="004420C7" w:rsidP="00A07CD4">
            <w:pPr>
              <w:spacing w:before="0" w:after="0"/>
              <w:jc w:val="center"/>
              <w:rPr>
                <w:b/>
                <w:noProof/>
                <w:szCs w:val="24"/>
              </w:rPr>
            </w:pPr>
            <w:r w:rsidRPr="00874920">
              <w:rPr>
                <w:b/>
                <w:noProof/>
              </w:rPr>
              <w:t>4</w:t>
            </w:r>
          </w:p>
        </w:tc>
        <w:tc>
          <w:tcPr>
            <w:tcW w:w="2161" w:type="dxa"/>
          </w:tcPr>
          <w:p w:rsidR="004420C7" w:rsidRPr="006D329F" w:rsidRDefault="004420C7" w:rsidP="00F137E9">
            <w:pPr>
              <w:spacing w:before="0" w:after="0"/>
              <w:jc w:val="left"/>
              <w:rPr>
                <w:bCs/>
                <w:noProof/>
                <w:szCs w:val="24"/>
              </w:rPr>
            </w:pPr>
            <w:r w:rsidRPr="006D329F">
              <w:rPr>
                <w:noProof/>
              </w:rPr>
              <w:t>Note explicative</w:t>
            </w:r>
          </w:p>
        </w:tc>
        <w:tc>
          <w:tcPr>
            <w:tcW w:w="1559" w:type="dxa"/>
          </w:tcPr>
          <w:p w:rsidR="004420C7" w:rsidRPr="006D329F" w:rsidRDefault="004420C7" w:rsidP="00F137E9">
            <w:pPr>
              <w:spacing w:before="0" w:after="0"/>
              <w:ind w:right="107"/>
              <w:jc w:val="center"/>
              <w:rPr>
                <w:noProof/>
                <w:szCs w:val="24"/>
              </w:rPr>
            </w:pPr>
            <w:r w:rsidRPr="00874920">
              <w:rPr>
                <w:noProof/>
              </w:rPr>
              <w:t>3</w:t>
            </w:r>
          </w:p>
        </w:tc>
        <w:tc>
          <w:tcPr>
            <w:tcW w:w="1592" w:type="dxa"/>
          </w:tcPr>
          <w:p w:rsidR="004420C7" w:rsidRPr="006D329F" w:rsidRDefault="004420C7" w:rsidP="00B70091">
            <w:pPr>
              <w:spacing w:before="0" w:after="0"/>
              <w:jc w:val="center"/>
              <w:rPr>
                <w:noProof/>
                <w:szCs w:val="24"/>
              </w:rPr>
            </w:pPr>
            <w:r w:rsidRPr="00874920">
              <w:rPr>
                <w:noProof/>
              </w:rPr>
              <w:t>12</w:t>
            </w:r>
          </w:p>
        </w:tc>
        <w:tc>
          <w:tcPr>
            <w:tcW w:w="1676" w:type="dxa"/>
          </w:tcPr>
          <w:p w:rsidR="004420C7" w:rsidRPr="006D329F" w:rsidRDefault="004420C7" w:rsidP="00B70091">
            <w:pPr>
              <w:spacing w:before="0" w:after="0"/>
              <w:jc w:val="center"/>
              <w:rPr>
                <w:noProof/>
                <w:szCs w:val="24"/>
              </w:rPr>
            </w:pPr>
            <w:r w:rsidRPr="00874920">
              <w:rPr>
                <w:noProof/>
              </w:rPr>
              <w:t>7</w:t>
            </w:r>
          </w:p>
        </w:tc>
        <w:tc>
          <w:tcPr>
            <w:tcW w:w="1519" w:type="dxa"/>
          </w:tcPr>
          <w:p w:rsidR="004420C7" w:rsidRPr="006D329F" w:rsidRDefault="004420C7" w:rsidP="00B70091">
            <w:pPr>
              <w:spacing w:before="0" w:after="0"/>
              <w:jc w:val="center"/>
              <w:rPr>
                <w:noProof/>
                <w:szCs w:val="24"/>
              </w:rPr>
            </w:pPr>
            <w:r w:rsidRPr="00874920">
              <w:rPr>
                <w:noProof/>
              </w:rPr>
              <w:t>6</w:t>
            </w:r>
          </w:p>
        </w:tc>
        <w:tc>
          <w:tcPr>
            <w:tcW w:w="1519" w:type="dxa"/>
          </w:tcPr>
          <w:p w:rsidR="004420C7" w:rsidRPr="006D329F" w:rsidRDefault="004420C7" w:rsidP="00B70091">
            <w:pPr>
              <w:spacing w:before="0" w:after="0"/>
              <w:jc w:val="center"/>
              <w:rPr>
                <w:noProof/>
                <w:szCs w:val="24"/>
              </w:rPr>
            </w:pPr>
            <w:r w:rsidRPr="00874920">
              <w:rPr>
                <w:noProof/>
              </w:rPr>
              <w:t>2</w:t>
            </w:r>
          </w:p>
        </w:tc>
      </w:tr>
      <w:tr w:rsidR="004420C7" w:rsidRPr="006D329F" w:rsidTr="004420C7">
        <w:trPr>
          <w:jc w:val="center"/>
        </w:trPr>
        <w:tc>
          <w:tcPr>
            <w:tcW w:w="500" w:type="dxa"/>
          </w:tcPr>
          <w:p w:rsidR="004420C7" w:rsidRPr="006D329F" w:rsidRDefault="004420C7" w:rsidP="00A07CD4">
            <w:pPr>
              <w:spacing w:before="0" w:after="0"/>
              <w:jc w:val="center"/>
              <w:rPr>
                <w:b/>
                <w:noProof/>
                <w:szCs w:val="24"/>
              </w:rPr>
            </w:pPr>
            <w:r w:rsidRPr="00874920">
              <w:rPr>
                <w:b/>
                <w:noProof/>
              </w:rPr>
              <w:t>5</w:t>
            </w:r>
          </w:p>
        </w:tc>
        <w:tc>
          <w:tcPr>
            <w:tcW w:w="2161" w:type="dxa"/>
          </w:tcPr>
          <w:p w:rsidR="004420C7" w:rsidRPr="006D329F" w:rsidRDefault="004420C7" w:rsidP="00F137E9">
            <w:pPr>
              <w:spacing w:before="0" w:after="0"/>
              <w:jc w:val="left"/>
              <w:rPr>
                <w:bCs/>
                <w:noProof/>
                <w:szCs w:val="24"/>
              </w:rPr>
            </w:pPr>
            <w:r w:rsidRPr="006D329F">
              <w:rPr>
                <w:noProof/>
              </w:rPr>
              <w:t>Avize de clasificare</w:t>
            </w:r>
          </w:p>
        </w:tc>
        <w:tc>
          <w:tcPr>
            <w:tcW w:w="1559" w:type="dxa"/>
          </w:tcPr>
          <w:p w:rsidR="004420C7" w:rsidRPr="006D329F" w:rsidRDefault="004420C7" w:rsidP="00F137E9">
            <w:pPr>
              <w:spacing w:before="0" w:after="0"/>
              <w:ind w:right="107"/>
              <w:jc w:val="center"/>
              <w:rPr>
                <w:noProof/>
                <w:szCs w:val="24"/>
              </w:rPr>
            </w:pPr>
            <w:r w:rsidRPr="00874920">
              <w:rPr>
                <w:noProof/>
              </w:rPr>
              <w:t>20</w:t>
            </w:r>
          </w:p>
        </w:tc>
        <w:tc>
          <w:tcPr>
            <w:tcW w:w="1592" w:type="dxa"/>
          </w:tcPr>
          <w:p w:rsidR="004420C7" w:rsidRPr="006D329F" w:rsidRDefault="004420C7" w:rsidP="00B70091">
            <w:pPr>
              <w:spacing w:before="0" w:after="0"/>
              <w:jc w:val="center"/>
              <w:rPr>
                <w:noProof/>
                <w:szCs w:val="24"/>
              </w:rPr>
            </w:pPr>
            <w:r w:rsidRPr="00874920">
              <w:rPr>
                <w:noProof/>
              </w:rPr>
              <w:t>20</w:t>
            </w:r>
          </w:p>
        </w:tc>
        <w:tc>
          <w:tcPr>
            <w:tcW w:w="1676" w:type="dxa"/>
          </w:tcPr>
          <w:p w:rsidR="004420C7" w:rsidRPr="006D329F" w:rsidRDefault="004420C7" w:rsidP="00B70091">
            <w:pPr>
              <w:spacing w:before="0" w:after="0"/>
              <w:jc w:val="center"/>
              <w:rPr>
                <w:noProof/>
                <w:szCs w:val="24"/>
              </w:rPr>
            </w:pPr>
            <w:r w:rsidRPr="00874920">
              <w:rPr>
                <w:noProof/>
              </w:rPr>
              <w:t>15</w:t>
            </w:r>
          </w:p>
        </w:tc>
        <w:tc>
          <w:tcPr>
            <w:tcW w:w="1519" w:type="dxa"/>
          </w:tcPr>
          <w:p w:rsidR="004420C7" w:rsidRPr="006D329F" w:rsidRDefault="004420C7" w:rsidP="00B70091">
            <w:pPr>
              <w:spacing w:before="0" w:after="0"/>
              <w:jc w:val="center"/>
              <w:rPr>
                <w:noProof/>
                <w:szCs w:val="24"/>
              </w:rPr>
            </w:pPr>
            <w:r w:rsidRPr="00874920">
              <w:rPr>
                <w:noProof/>
              </w:rPr>
              <w:t>13</w:t>
            </w:r>
          </w:p>
        </w:tc>
        <w:tc>
          <w:tcPr>
            <w:tcW w:w="1519" w:type="dxa"/>
          </w:tcPr>
          <w:p w:rsidR="004420C7" w:rsidRPr="006D329F" w:rsidRDefault="004420C7" w:rsidP="00B70091">
            <w:pPr>
              <w:spacing w:before="0" w:after="0"/>
              <w:jc w:val="center"/>
              <w:rPr>
                <w:noProof/>
                <w:szCs w:val="24"/>
              </w:rPr>
            </w:pPr>
            <w:r w:rsidRPr="00874920">
              <w:rPr>
                <w:noProof/>
              </w:rPr>
              <w:t>17</w:t>
            </w:r>
          </w:p>
        </w:tc>
      </w:tr>
      <w:tr w:rsidR="004420C7" w:rsidRPr="006D329F" w:rsidTr="004420C7">
        <w:trPr>
          <w:jc w:val="center"/>
        </w:trPr>
        <w:tc>
          <w:tcPr>
            <w:tcW w:w="500" w:type="dxa"/>
          </w:tcPr>
          <w:p w:rsidR="004420C7" w:rsidRPr="006D329F" w:rsidRDefault="004420C7" w:rsidP="00A07CD4">
            <w:pPr>
              <w:spacing w:before="0" w:after="0"/>
              <w:jc w:val="center"/>
              <w:rPr>
                <w:b/>
                <w:noProof/>
                <w:szCs w:val="24"/>
              </w:rPr>
            </w:pPr>
            <w:r w:rsidRPr="00874920">
              <w:rPr>
                <w:b/>
                <w:noProof/>
              </w:rPr>
              <w:t>6</w:t>
            </w:r>
          </w:p>
        </w:tc>
        <w:tc>
          <w:tcPr>
            <w:tcW w:w="2161" w:type="dxa"/>
          </w:tcPr>
          <w:p w:rsidR="004420C7" w:rsidRPr="006D329F" w:rsidRDefault="004420C7" w:rsidP="00F137E9">
            <w:pPr>
              <w:spacing w:before="0" w:after="0"/>
              <w:jc w:val="left"/>
              <w:rPr>
                <w:bCs/>
                <w:noProof/>
                <w:szCs w:val="24"/>
              </w:rPr>
            </w:pPr>
            <w:r w:rsidRPr="006D329F">
              <w:rPr>
                <w:noProof/>
              </w:rPr>
              <w:t>Decizii de clasificare/orientări</w:t>
            </w:r>
          </w:p>
        </w:tc>
        <w:tc>
          <w:tcPr>
            <w:tcW w:w="1559" w:type="dxa"/>
          </w:tcPr>
          <w:p w:rsidR="004420C7" w:rsidRPr="006D329F" w:rsidRDefault="004420C7" w:rsidP="00F137E9">
            <w:pPr>
              <w:spacing w:before="0" w:after="0"/>
              <w:ind w:right="107"/>
              <w:jc w:val="center"/>
              <w:rPr>
                <w:noProof/>
                <w:szCs w:val="24"/>
              </w:rPr>
            </w:pPr>
            <w:r w:rsidRPr="00874920">
              <w:rPr>
                <w:noProof/>
              </w:rPr>
              <w:t>31</w:t>
            </w:r>
          </w:p>
        </w:tc>
        <w:tc>
          <w:tcPr>
            <w:tcW w:w="1592" w:type="dxa"/>
          </w:tcPr>
          <w:p w:rsidR="004420C7" w:rsidRPr="006D329F" w:rsidRDefault="004420C7" w:rsidP="00B70091">
            <w:pPr>
              <w:spacing w:before="0" w:after="0"/>
              <w:jc w:val="center"/>
              <w:rPr>
                <w:noProof/>
                <w:szCs w:val="24"/>
              </w:rPr>
            </w:pPr>
            <w:r w:rsidRPr="00874920">
              <w:rPr>
                <w:noProof/>
              </w:rPr>
              <w:t>33</w:t>
            </w:r>
          </w:p>
        </w:tc>
        <w:tc>
          <w:tcPr>
            <w:tcW w:w="1676" w:type="dxa"/>
          </w:tcPr>
          <w:p w:rsidR="004420C7" w:rsidRPr="006D329F" w:rsidRDefault="004420C7" w:rsidP="00B70091">
            <w:pPr>
              <w:spacing w:before="0" w:after="0"/>
              <w:jc w:val="center"/>
              <w:rPr>
                <w:noProof/>
                <w:szCs w:val="24"/>
              </w:rPr>
            </w:pPr>
            <w:r w:rsidRPr="00874920">
              <w:rPr>
                <w:noProof/>
              </w:rPr>
              <w:t>20</w:t>
            </w:r>
          </w:p>
        </w:tc>
        <w:tc>
          <w:tcPr>
            <w:tcW w:w="1519" w:type="dxa"/>
          </w:tcPr>
          <w:p w:rsidR="004420C7" w:rsidRPr="006D329F" w:rsidRDefault="004420C7" w:rsidP="00B70091">
            <w:pPr>
              <w:spacing w:before="0" w:after="0"/>
              <w:jc w:val="center"/>
              <w:rPr>
                <w:noProof/>
                <w:szCs w:val="24"/>
              </w:rPr>
            </w:pPr>
            <w:r w:rsidRPr="00874920">
              <w:rPr>
                <w:noProof/>
              </w:rPr>
              <w:t>41</w:t>
            </w:r>
          </w:p>
        </w:tc>
        <w:tc>
          <w:tcPr>
            <w:tcW w:w="1519" w:type="dxa"/>
          </w:tcPr>
          <w:p w:rsidR="004420C7" w:rsidRPr="006D329F" w:rsidRDefault="004420C7" w:rsidP="00B70091">
            <w:pPr>
              <w:spacing w:before="0" w:after="0"/>
              <w:jc w:val="center"/>
              <w:rPr>
                <w:noProof/>
                <w:szCs w:val="24"/>
              </w:rPr>
            </w:pPr>
            <w:r w:rsidRPr="00874920">
              <w:rPr>
                <w:noProof/>
              </w:rPr>
              <w:t>29</w:t>
            </w:r>
          </w:p>
        </w:tc>
      </w:tr>
      <w:tr w:rsidR="004420C7" w:rsidRPr="006D329F" w:rsidTr="004420C7">
        <w:trPr>
          <w:jc w:val="center"/>
        </w:trPr>
        <w:tc>
          <w:tcPr>
            <w:tcW w:w="500" w:type="dxa"/>
          </w:tcPr>
          <w:p w:rsidR="004420C7" w:rsidRPr="006D329F" w:rsidRDefault="004420C7" w:rsidP="00F137E9">
            <w:pPr>
              <w:spacing w:before="0" w:after="0"/>
              <w:ind w:left="-56"/>
              <w:jc w:val="center"/>
              <w:rPr>
                <w:b/>
                <w:noProof/>
                <w:szCs w:val="24"/>
              </w:rPr>
            </w:pPr>
            <w:r w:rsidRPr="00874920">
              <w:rPr>
                <w:b/>
                <w:noProof/>
              </w:rPr>
              <w:t>7</w:t>
            </w:r>
          </w:p>
        </w:tc>
        <w:tc>
          <w:tcPr>
            <w:tcW w:w="2161" w:type="dxa"/>
          </w:tcPr>
          <w:p w:rsidR="004420C7" w:rsidRPr="006D329F" w:rsidRDefault="004420C7" w:rsidP="00B70091">
            <w:pPr>
              <w:spacing w:before="0" w:after="0"/>
              <w:jc w:val="center"/>
              <w:rPr>
                <w:b/>
                <w:noProof/>
                <w:szCs w:val="24"/>
              </w:rPr>
            </w:pPr>
            <w:r w:rsidRPr="006D329F">
              <w:rPr>
                <w:b/>
                <w:noProof/>
              </w:rPr>
              <w:t xml:space="preserve">Total </w:t>
            </w:r>
            <w:r w:rsidRPr="00874920">
              <w:rPr>
                <w:b/>
                <w:noProof/>
              </w:rPr>
              <w:t>4</w:t>
            </w:r>
            <w:r w:rsidRPr="006D329F">
              <w:rPr>
                <w:b/>
                <w:noProof/>
              </w:rPr>
              <w:t>+</w:t>
            </w:r>
            <w:r w:rsidRPr="00874920">
              <w:rPr>
                <w:b/>
                <w:noProof/>
              </w:rPr>
              <w:t>5</w:t>
            </w:r>
            <w:r w:rsidRPr="006D329F">
              <w:rPr>
                <w:b/>
                <w:noProof/>
              </w:rPr>
              <w:t>+</w:t>
            </w:r>
            <w:r w:rsidRPr="00874920">
              <w:rPr>
                <w:b/>
                <w:noProof/>
              </w:rPr>
              <w:t>6</w:t>
            </w:r>
          </w:p>
        </w:tc>
        <w:tc>
          <w:tcPr>
            <w:tcW w:w="1559" w:type="dxa"/>
          </w:tcPr>
          <w:p w:rsidR="004420C7" w:rsidRPr="006D329F" w:rsidRDefault="004420C7" w:rsidP="00F137E9">
            <w:pPr>
              <w:spacing w:before="0" w:after="0"/>
              <w:ind w:right="107"/>
              <w:jc w:val="center"/>
              <w:rPr>
                <w:b/>
                <w:noProof/>
                <w:szCs w:val="24"/>
              </w:rPr>
            </w:pPr>
            <w:r w:rsidRPr="00874920">
              <w:rPr>
                <w:b/>
                <w:noProof/>
              </w:rPr>
              <w:t>9</w:t>
            </w:r>
          </w:p>
        </w:tc>
        <w:tc>
          <w:tcPr>
            <w:tcW w:w="1592" w:type="dxa"/>
          </w:tcPr>
          <w:p w:rsidR="004420C7" w:rsidRPr="006D329F" w:rsidRDefault="004420C7" w:rsidP="00B70091">
            <w:pPr>
              <w:spacing w:before="0" w:after="0"/>
              <w:jc w:val="center"/>
              <w:rPr>
                <w:b/>
                <w:noProof/>
                <w:szCs w:val="24"/>
              </w:rPr>
            </w:pPr>
            <w:r w:rsidRPr="00874920">
              <w:rPr>
                <w:b/>
                <w:noProof/>
              </w:rPr>
              <w:t>64</w:t>
            </w:r>
          </w:p>
        </w:tc>
        <w:tc>
          <w:tcPr>
            <w:tcW w:w="1676" w:type="dxa"/>
          </w:tcPr>
          <w:p w:rsidR="004420C7" w:rsidRPr="006D329F" w:rsidRDefault="004420C7" w:rsidP="00B70091">
            <w:pPr>
              <w:spacing w:before="0" w:after="0"/>
              <w:jc w:val="center"/>
              <w:rPr>
                <w:b/>
                <w:noProof/>
                <w:szCs w:val="24"/>
              </w:rPr>
            </w:pPr>
            <w:r w:rsidRPr="00874920">
              <w:rPr>
                <w:b/>
                <w:noProof/>
              </w:rPr>
              <w:t>42</w:t>
            </w:r>
          </w:p>
        </w:tc>
        <w:tc>
          <w:tcPr>
            <w:tcW w:w="1519" w:type="dxa"/>
          </w:tcPr>
          <w:p w:rsidR="004420C7" w:rsidRPr="006D329F" w:rsidRDefault="004420C7" w:rsidP="00B70091">
            <w:pPr>
              <w:spacing w:before="0" w:after="0"/>
              <w:jc w:val="center"/>
              <w:rPr>
                <w:b/>
                <w:noProof/>
                <w:szCs w:val="24"/>
              </w:rPr>
            </w:pPr>
            <w:r w:rsidRPr="00874920">
              <w:rPr>
                <w:b/>
                <w:noProof/>
              </w:rPr>
              <w:t>60</w:t>
            </w:r>
          </w:p>
        </w:tc>
        <w:tc>
          <w:tcPr>
            <w:tcW w:w="1519" w:type="dxa"/>
          </w:tcPr>
          <w:p w:rsidR="004420C7" w:rsidRPr="006D329F" w:rsidRDefault="004420C7" w:rsidP="00B70091">
            <w:pPr>
              <w:spacing w:before="0" w:after="0"/>
              <w:jc w:val="center"/>
              <w:rPr>
                <w:b/>
                <w:noProof/>
                <w:szCs w:val="24"/>
              </w:rPr>
            </w:pPr>
            <w:r w:rsidRPr="00874920">
              <w:rPr>
                <w:b/>
                <w:noProof/>
              </w:rPr>
              <w:t>48</w:t>
            </w:r>
          </w:p>
        </w:tc>
      </w:tr>
    </w:tbl>
    <w:p w:rsidR="002F2C12" w:rsidRPr="006D329F" w:rsidRDefault="002F2C12" w:rsidP="002F2C12">
      <w:pPr>
        <w:spacing w:before="0" w:after="200" w:line="276" w:lineRule="auto"/>
        <w:rPr>
          <w:noProof/>
          <w:szCs w:val="24"/>
        </w:rPr>
      </w:pPr>
    </w:p>
    <w:p w:rsidR="002F2C12" w:rsidRPr="006D329F" w:rsidRDefault="00E7539E" w:rsidP="002F2C12">
      <w:pPr>
        <w:rPr>
          <w:noProof/>
          <w:szCs w:val="24"/>
        </w:rPr>
      </w:pPr>
      <w:r w:rsidRPr="006D329F">
        <w:rPr>
          <w:noProof/>
        </w:rPr>
        <w:t>În al doilea rând, Uniunea continuă să fie unul dintre principalii contribuitori la activitatea CSA, întrucât prezintă un număr mare de propuneri și subiecte (chestiuni legate de clasificare sau litigii cu țări terțe, propuneri de modificări la notele explicative SA) care sunt incluse în mod periodic pe ordinea de zi a CSA. UE a prezentat zece dintre punctele de pe ordinea de zi a HSC/</w:t>
      </w:r>
      <w:r w:rsidRPr="00874920">
        <w:rPr>
          <w:noProof/>
        </w:rPr>
        <w:t>72</w:t>
      </w:r>
      <w:r w:rsidRPr="006D329F">
        <w:rPr>
          <w:noProof/>
        </w:rPr>
        <w:t>, cinci pentru HSC/</w:t>
      </w:r>
      <w:r w:rsidRPr="00874920">
        <w:rPr>
          <w:noProof/>
        </w:rPr>
        <w:t>73</w:t>
      </w:r>
      <w:r w:rsidRPr="006D329F">
        <w:rPr>
          <w:noProof/>
        </w:rPr>
        <w:t>, șapte pentru HSC/</w:t>
      </w:r>
      <w:r w:rsidRPr="00874920">
        <w:rPr>
          <w:noProof/>
        </w:rPr>
        <w:t>74</w:t>
      </w:r>
      <w:r w:rsidRPr="006D329F">
        <w:rPr>
          <w:noProof/>
        </w:rPr>
        <w:t>, patru pentru HSC/</w:t>
      </w:r>
      <w:r w:rsidRPr="00874920">
        <w:rPr>
          <w:noProof/>
        </w:rPr>
        <w:t>75</w:t>
      </w:r>
      <w:r w:rsidRPr="006D329F">
        <w:rPr>
          <w:noProof/>
        </w:rPr>
        <w:t>, șase pentru HSC/</w:t>
      </w:r>
      <w:r w:rsidRPr="00874920">
        <w:rPr>
          <w:noProof/>
        </w:rPr>
        <w:t>76</w:t>
      </w:r>
      <w:r w:rsidRPr="006D329F">
        <w:rPr>
          <w:noProof/>
        </w:rPr>
        <w:t xml:space="preserve"> și șase pentru HSC/</w:t>
      </w:r>
      <w:r w:rsidRPr="00874920">
        <w:rPr>
          <w:noProof/>
        </w:rPr>
        <w:t>77</w:t>
      </w:r>
      <w:r w:rsidRPr="006D329F">
        <w:rPr>
          <w:noProof/>
        </w:rPr>
        <w:t>.</w:t>
      </w:r>
    </w:p>
    <w:p w:rsidR="007B0B8F" w:rsidRPr="006D329F" w:rsidRDefault="0092571E" w:rsidP="00D403F3">
      <w:pPr>
        <w:rPr>
          <w:noProof/>
          <w:szCs w:val="24"/>
        </w:rPr>
      </w:pPr>
      <w:r w:rsidRPr="006D329F">
        <w:rPr>
          <w:noProof/>
        </w:rPr>
        <w:t xml:space="preserve">În al treilea rând, disponibilitatea documentelor de lucru și a anexelor la acestea rămâne un motiv de îngrijorare, deși se poate observa o îmbunătățire generală a situației, Uniunea și alte părți contractante adresând în mod repetat Secretariatului OMV invitații de a soluționa această problemă. Regulamentul de ordine interioară (articolul </w:t>
      </w:r>
      <w:r w:rsidRPr="00874920">
        <w:rPr>
          <w:noProof/>
        </w:rPr>
        <w:t>10</w:t>
      </w:r>
      <w:r w:rsidRPr="006D329F">
        <w:rPr>
          <w:noProof/>
        </w:rPr>
        <w:t xml:space="preserve">) prevede că „în principiu, toate documentele de lucru de bază trebuie trimise membrilor comitetului cu cel puțin </w:t>
      </w:r>
      <w:r w:rsidRPr="00874920">
        <w:rPr>
          <w:noProof/>
        </w:rPr>
        <w:t>30</w:t>
      </w:r>
      <w:r w:rsidRPr="006D329F">
        <w:rPr>
          <w:noProof/>
        </w:rPr>
        <w:t xml:space="preserve"> de zile înainte de data de deschidere a sesiunii.” Practica arată că această normă nu este întotdeauna respectată și că deseori documentele și anexele acestora, precum și documentele suplimentare, sunt puse la dispoziție la o dată ulterioară, aceste documente conținând informații tehnice suplimentare, interpretări juridice sau documente de poziție importante prezentate de părțile contractante sau de alte părți interesate, precum organizațiile internaționale, la inițiativa lor sau la invitația Secretariatului OMV. </w:t>
      </w:r>
    </w:p>
    <w:p w:rsidR="006C4E37" w:rsidRPr="006D329F" w:rsidRDefault="006C4E37" w:rsidP="006C4E37">
      <w:pPr>
        <w:rPr>
          <w:noProof/>
        </w:rPr>
      </w:pPr>
      <w:r w:rsidRPr="006D329F">
        <w:rPr>
          <w:noProof/>
        </w:rPr>
        <w:t>Tabelul </w:t>
      </w:r>
      <w:r w:rsidRPr="00874920">
        <w:rPr>
          <w:noProof/>
        </w:rPr>
        <w:t>2</w:t>
      </w:r>
      <w:r w:rsidRPr="006D329F">
        <w:rPr>
          <w:noProof/>
        </w:rPr>
        <w:t xml:space="preserve"> prezintă situația în ceea ce privește disponibilitatea documentelor de lucru ale CSA și a anexelor acestora în ultimii doi ani.</w:t>
      </w:r>
    </w:p>
    <w:p w:rsidR="00236BFC" w:rsidRPr="006D329F" w:rsidRDefault="00236BFC" w:rsidP="006C4E37">
      <w:pPr>
        <w:rPr>
          <w:noProof/>
        </w:rPr>
      </w:pPr>
    </w:p>
    <w:p w:rsidR="006C4E37" w:rsidRPr="006D329F" w:rsidRDefault="006C4E37" w:rsidP="009F06C0">
      <w:pPr>
        <w:jc w:val="center"/>
        <w:rPr>
          <w:b/>
          <w:noProof/>
          <w:szCs w:val="24"/>
        </w:rPr>
      </w:pPr>
      <w:r w:rsidRPr="006D329F">
        <w:rPr>
          <w:b/>
          <w:noProof/>
        </w:rPr>
        <w:t xml:space="preserve">Tabelul </w:t>
      </w:r>
      <w:r w:rsidRPr="00874920">
        <w:rPr>
          <w:b/>
          <w:noProof/>
        </w:rPr>
        <w:t>2</w:t>
      </w:r>
      <w:r w:rsidRPr="006D329F">
        <w:rPr>
          <w:b/>
          <w:noProof/>
        </w:rPr>
        <w:t xml:space="preserve"> Disponibilitatea documentelor de lucru și a anexelor acestora</w:t>
      </w:r>
    </w:p>
    <w:tbl>
      <w:tblPr>
        <w:tblStyle w:val="TableGrid"/>
        <w:tblW w:w="6475" w:type="dxa"/>
        <w:jc w:val="center"/>
        <w:tblLook w:val="04A0" w:firstRow="1" w:lastRow="0" w:firstColumn="1" w:lastColumn="0" w:noHBand="0" w:noVBand="1"/>
      </w:tblPr>
      <w:tblGrid>
        <w:gridCol w:w="1332"/>
        <w:gridCol w:w="1729"/>
        <w:gridCol w:w="1684"/>
        <w:gridCol w:w="1730"/>
      </w:tblGrid>
      <w:tr w:rsidR="00242B91" w:rsidRPr="006D329F" w:rsidTr="005F214B">
        <w:trPr>
          <w:jc w:val="center"/>
        </w:trPr>
        <w:tc>
          <w:tcPr>
            <w:tcW w:w="1332" w:type="dxa"/>
          </w:tcPr>
          <w:p w:rsidR="006C4E37" w:rsidRPr="006D329F" w:rsidRDefault="006C4E37" w:rsidP="006C4E37">
            <w:pPr>
              <w:spacing w:before="0" w:after="0"/>
              <w:jc w:val="center"/>
              <w:rPr>
                <w:b/>
                <w:noProof/>
                <w:sz w:val="22"/>
              </w:rPr>
            </w:pPr>
          </w:p>
          <w:p w:rsidR="006C4E37" w:rsidRPr="006D329F" w:rsidRDefault="006C4E37" w:rsidP="006C4E37">
            <w:pPr>
              <w:spacing w:before="0" w:after="0"/>
              <w:jc w:val="center"/>
              <w:rPr>
                <w:b/>
                <w:noProof/>
                <w:sz w:val="22"/>
              </w:rPr>
            </w:pPr>
            <w:r w:rsidRPr="006D329F">
              <w:rPr>
                <w:b/>
                <w:noProof/>
                <w:sz w:val="22"/>
              </w:rPr>
              <w:t>Reuniunea</w:t>
            </w:r>
          </w:p>
          <w:p w:rsidR="006C4E37" w:rsidRPr="006D329F" w:rsidRDefault="006C4E37" w:rsidP="006C4E37">
            <w:pPr>
              <w:spacing w:before="0" w:after="0"/>
              <w:jc w:val="center"/>
              <w:rPr>
                <w:b/>
                <w:noProof/>
                <w:sz w:val="22"/>
              </w:rPr>
            </w:pPr>
          </w:p>
        </w:tc>
        <w:tc>
          <w:tcPr>
            <w:tcW w:w="5143" w:type="dxa"/>
            <w:gridSpan w:val="3"/>
          </w:tcPr>
          <w:p w:rsidR="006C4E37" w:rsidRPr="006D329F" w:rsidRDefault="006C4E37" w:rsidP="006C4E37">
            <w:pPr>
              <w:spacing w:before="0" w:after="0"/>
              <w:jc w:val="center"/>
              <w:rPr>
                <w:b/>
                <w:noProof/>
                <w:sz w:val="22"/>
              </w:rPr>
            </w:pPr>
          </w:p>
          <w:p w:rsidR="006C4E37" w:rsidRPr="006D329F" w:rsidRDefault="006C4E37" w:rsidP="006C4E37">
            <w:pPr>
              <w:spacing w:before="0" w:after="0"/>
              <w:jc w:val="center"/>
              <w:rPr>
                <w:b/>
                <w:noProof/>
                <w:sz w:val="22"/>
              </w:rPr>
            </w:pPr>
            <w:r w:rsidRPr="006D329F">
              <w:rPr>
                <w:b/>
                <w:noProof/>
                <w:sz w:val="22"/>
              </w:rPr>
              <w:t>Disponibilitatea documentelor și a anexelor</w:t>
            </w:r>
          </w:p>
        </w:tc>
      </w:tr>
      <w:tr w:rsidR="00242B91" w:rsidRPr="006D329F" w:rsidTr="005F214B">
        <w:trPr>
          <w:jc w:val="center"/>
        </w:trPr>
        <w:tc>
          <w:tcPr>
            <w:tcW w:w="1332" w:type="dxa"/>
          </w:tcPr>
          <w:p w:rsidR="006C4E37" w:rsidRPr="006D329F" w:rsidRDefault="006C4E37" w:rsidP="006C4E37">
            <w:pPr>
              <w:spacing w:before="0" w:after="0"/>
              <w:jc w:val="center"/>
              <w:rPr>
                <w:b/>
                <w:noProof/>
                <w:sz w:val="22"/>
              </w:rPr>
            </w:pPr>
          </w:p>
        </w:tc>
        <w:tc>
          <w:tcPr>
            <w:tcW w:w="1729" w:type="dxa"/>
          </w:tcPr>
          <w:p w:rsidR="006C4E37" w:rsidRPr="006D329F" w:rsidRDefault="006C4E37" w:rsidP="006C4E37">
            <w:pPr>
              <w:spacing w:before="0" w:after="0"/>
              <w:jc w:val="center"/>
              <w:rPr>
                <w:b/>
                <w:noProof/>
                <w:sz w:val="22"/>
              </w:rPr>
            </w:pPr>
          </w:p>
          <w:p w:rsidR="006C4E37" w:rsidRPr="006D329F" w:rsidRDefault="006C4E37" w:rsidP="006C4E37">
            <w:pPr>
              <w:spacing w:before="0" w:after="0"/>
              <w:jc w:val="center"/>
              <w:rPr>
                <w:b/>
                <w:noProof/>
                <w:sz w:val="22"/>
              </w:rPr>
            </w:pPr>
            <w:r w:rsidRPr="006D329F">
              <w:rPr>
                <w:b/>
                <w:noProof/>
                <w:sz w:val="22"/>
              </w:rPr>
              <w:t xml:space="preserve">&gt; </w:t>
            </w:r>
            <w:r w:rsidRPr="00874920">
              <w:rPr>
                <w:b/>
                <w:noProof/>
                <w:sz w:val="22"/>
              </w:rPr>
              <w:t>30</w:t>
            </w:r>
            <w:r w:rsidRPr="006D329F">
              <w:rPr>
                <w:b/>
                <w:noProof/>
                <w:sz w:val="22"/>
              </w:rPr>
              <w:t xml:space="preserve"> z / reuniune</w:t>
            </w:r>
          </w:p>
          <w:p w:rsidR="006C4E37" w:rsidRPr="006D329F" w:rsidRDefault="006C4E37" w:rsidP="006C4E37">
            <w:pPr>
              <w:spacing w:before="0" w:after="0"/>
              <w:jc w:val="center"/>
              <w:rPr>
                <w:b/>
                <w:noProof/>
                <w:sz w:val="22"/>
              </w:rPr>
            </w:pPr>
          </w:p>
        </w:tc>
        <w:tc>
          <w:tcPr>
            <w:tcW w:w="1684" w:type="dxa"/>
          </w:tcPr>
          <w:p w:rsidR="006C4E37" w:rsidRPr="006D329F" w:rsidRDefault="006C4E37" w:rsidP="006C4E37">
            <w:pPr>
              <w:spacing w:before="0" w:after="0"/>
              <w:jc w:val="center"/>
              <w:rPr>
                <w:b/>
                <w:noProof/>
                <w:sz w:val="22"/>
              </w:rPr>
            </w:pPr>
          </w:p>
          <w:p w:rsidR="006C4E37" w:rsidRPr="006D329F" w:rsidRDefault="006C4E37" w:rsidP="006C4E37">
            <w:pPr>
              <w:spacing w:before="0" w:after="0"/>
              <w:jc w:val="center"/>
              <w:rPr>
                <w:b/>
                <w:noProof/>
                <w:sz w:val="22"/>
              </w:rPr>
            </w:pPr>
            <w:r w:rsidRPr="00874920">
              <w:rPr>
                <w:b/>
                <w:noProof/>
                <w:sz w:val="22"/>
              </w:rPr>
              <w:t>30</w:t>
            </w:r>
            <w:r w:rsidRPr="006D329F">
              <w:rPr>
                <w:b/>
                <w:noProof/>
                <w:sz w:val="22"/>
              </w:rPr>
              <w:t xml:space="preserve"> z - </w:t>
            </w:r>
            <w:r w:rsidRPr="00874920">
              <w:rPr>
                <w:b/>
                <w:noProof/>
                <w:sz w:val="22"/>
              </w:rPr>
              <w:t>15</w:t>
            </w:r>
            <w:r w:rsidRPr="006D329F">
              <w:rPr>
                <w:b/>
                <w:noProof/>
                <w:sz w:val="22"/>
              </w:rPr>
              <w:t xml:space="preserve"> z / reuniune</w:t>
            </w:r>
          </w:p>
        </w:tc>
        <w:tc>
          <w:tcPr>
            <w:tcW w:w="1730" w:type="dxa"/>
          </w:tcPr>
          <w:p w:rsidR="006C4E37" w:rsidRPr="006D329F" w:rsidRDefault="006C4E37" w:rsidP="006C4E37">
            <w:pPr>
              <w:spacing w:before="0" w:after="0"/>
              <w:jc w:val="center"/>
              <w:rPr>
                <w:b/>
                <w:noProof/>
                <w:sz w:val="22"/>
              </w:rPr>
            </w:pPr>
          </w:p>
          <w:p w:rsidR="006C4E37" w:rsidRPr="006D329F" w:rsidRDefault="006C4E37" w:rsidP="006C4E37">
            <w:pPr>
              <w:spacing w:before="0" w:after="0"/>
              <w:jc w:val="center"/>
              <w:rPr>
                <w:b/>
                <w:noProof/>
                <w:sz w:val="22"/>
              </w:rPr>
            </w:pPr>
            <w:r w:rsidRPr="006D329F">
              <w:rPr>
                <w:b/>
                <w:noProof/>
                <w:sz w:val="22"/>
              </w:rPr>
              <w:t xml:space="preserve">&lt; </w:t>
            </w:r>
            <w:r w:rsidRPr="00874920">
              <w:rPr>
                <w:b/>
                <w:noProof/>
                <w:sz w:val="22"/>
              </w:rPr>
              <w:t>15</w:t>
            </w:r>
            <w:r w:rsidRPr="006D329F">
              <w:rPr>
                <w:b/>
                <w:noProof/>
                <w:sz w:val="22"/>
              </w:rPr>
              <w:t xml:space="preserve"> z / reuniune</w:t>
            </w:r>
          </w:p>
        </w:tc>
      </w:tr>
      <w:tr w:rsidR="00242B91" w:rsidRPr="006D329F" w:rsidTr="005F214B">
        <w:trPr>
          <w:jc w:val="center"/>
        </w:trPr>
        <w:tc>
          <w:tcPr>
            <w:tcW w:w="1332" w:type="dxa"/>
          </w:tcPr>
          <w:p w:rsidR="006C4E37" w:rsidRPr="006D329F" w:rsidRDefault="006C4E37" w:rsidP="006C4E37">
            <w:pPr>
              <w:spacing w:before="0" w:after="0"/>
              <w:jc w:val="center"/>
              <w:rPr>
                <w:b/>
                <w:noProof/>
                <w:sz w:val="22"/>
              </w:rPr>
            </w:pPr>
            <w:r w:rsidRPr="006D329F">
              <w:rPr>
                <w:b/>
                <w:noProof/>
                <w:sz w:val="22"/>
              </w:rPr>
              <w:t>CSA/</w:t>
            </w:r>
            <w:r w:rsidRPr="00874920">
              <w:rPr>
                <w:b/>
                <w:noProof/>
                <w:sz w:val="22"/>
              </w:rPr>
              <w:t>72</w:t>
            </w:r>
          </w:p>
        </w:tc>
        <w:tc>
          <w:tcPr>
            <w:tcW w:w="1729" w:type="dxa"/>
          </w:tcPr>
          <w:p w:rsidR="006C4E37" w:rsidRPr="006D329F" w:rsidRDefault="00A71339" w:rsidP="006C4E37">
            <w:pPr>
              <w:spacing w:before="0" w:after="0"/>
              <w:jc w:val="center"/>
              <w:rPr>
                <w:noProof/>
                <w:sz w:val="16"/>
                <w:szCs w:val="16"/>
              </w:rPr>
            </w:pPr>
            <w:r w:rsidRPr="00874920">
              <w:rPr>
                <w:noProof/>
                <w:sz w:val="22"/>
              </w:rPr>
              <w:t>78</w:t>
            </w:r>
          </w:p>
        </w:tc>
        <w:tc>
          <w:tcPr>
            <w:tcW w:w="1684" w:type="dxa"/>
          </w:tcPr>
          <w:p w:rsidR="006C4E37" w:rsidRPr="006D329F" w:rsidRDefault="00A71339" w:rsidP="006C4E37">
            <w:pPr>
              <w:spacing w:before="0" w:after="0"/>
              <w:jc w:val="center"/>
              <w:rPr>
                <w:b/>
                <w:i/>
                <w:noProof/>
                <w:sz w:val="16"/>
                <w:szCs w:val="16"/>
              </w:rPr>
            </w:pPr>
            <w:r w:rsidRPr="00874920">
              <w:rPr>
                <w:noProof/>
                <w:sz w:val="22"/>
              </w:rPr>
              <w:t>7</w:t>
            </w:r>
          </w:p>
        </w:tc>
        <w:tc>
          <w:tcPr>
            <w:tcW w:w="1730" w:type="dxa"/>
          </w:tcPr>
          <w:p w:rsidR="006C4E37" w:rsidRPr="006D329F" w:rsidRDefault="00A71339" w:rsidP="006C4E37">
            <w:pPr>
              <w:spacing w:before="0" w:after="0"/>
              <w:jc w:val="center"/>
              <w:rPr>
                <w:i/>
                <w:noProof/>
                <w:sz w:val="16"/>
                <w:szCs w:val="16"/>
              </w:rPr>
            </w:pPr>
            <w:r w:rsidRPr="00874920">
              <w:rPr>
                <w:noProof/>
                <w:sz w:val="22"/>
              </w:rPr>
              <w:t>1</w:t>
            </w:r>
          </w:p>
        </w:tc>
      </w:tr>
      <w:tr w:rsidR="00242B91" w:rsidRPr="006D329F" w:rsidTr="005F214B">
        <w:trPr>
          <w:jc w:val="center"/>
        </w:trPr>
        <w:tc>
          <w:tcPr>
            <w:tcW w:w="1332" w:type="dxa"/>
          </w:tcPr>
          <w:p w:rsidR="006C4E37" w:rsidRPr="006D329F" w:rsidRDefault="006C4E37" w:rsidP="006C4E37">
            <w:pPr>
              <w:spacing w:before="0" w:after="0"/>
              <w:jc w:val="center"/>
              <w:rPr>
                <w:b/>
                <w:noProof/>
                <w:sz w:val="22"/>
              </w:rPr>
            </w:pPr>
            <w:r w:rsidRPr="006D329F">
              <w:rPr>
                <w:b/>
                <w:noProof/>
                <w:sz w:val="22"/>
              </w:rPr>
              <w:t>CSA/</w:t>
            </w:r>
            <w:r w:rsidRPr="00874920">
              <w:rPr>
                <w:b/>
                <w:noProof/>
                <w:sz w:val="22"/>
              </w:rPr>
              <w:t>73</w:t>
            </w:r>
          </w:p>
        </w:tc>
        <w:tc>
          <w:tcPr>
            <w:tcW w:w="1729" w:type="dxa"/>
          </w:tcPr>
          <w:p w:rsidR="006C4E37" w:rsidRPr="006D329F" w:rsidRDefault="00A71339" w:rsidP="006C4E37">
            <w:pPr>
              <w:spacing w:before="0" w:after="0"/>
              <w:jc w:val="center"/>
              <w:rPr>
                <w:noProof/>
                <w:sz w:val="16"/>
                <w:szCs w:val="16"/>
              </w:rPr>
            </w:pPr>
            <w:r w:rsidRPr="00874920">
              <w:rPr>
                <w:noProof/>
                <w:sz w:val="22"/>
              </w:rPr>
              <w:t>61</w:t>
            </w:r>
          </w:p>
        </w:tc>
        <w:tc>
          <w:tcPr>
            <w:tcW w:w="1684" w:type="dxa"/>
          </w:tcPr>
          <w:p w:rsidR="006C4E37" w:rsidRPr="006D329F" w:rsidRDefault="00A71339" w:rsidP="006C4E37">
            <w:pPr>
              <w:spacing w:before="0" w:after="0"/>
              <w:jc w:val="center"/>
              <w:rPr>
                <w:b/>
                <w:i/>
                <w:noProof/>
                <w:sz w:val="16"/>
                <w:szCs w:val="16"/>
              </w:rPr>
            </w:pPr>
            <w:r w:rsidRPr="00874920">
              <w:rPr>
                <w:noProof/>
                <w:sz w:val="22"/>
              </w:rPr>
              <w:t>23</w:t>
            </w:r>
          </w:p>
        </w:tc>
        <w:tc>
          <w:tcPr>
            <w:tcW w:w="1730" w:type="dxa"/>
          </w:tcPr>
          <w:p w:rsidR="006C4E37" w:rsidRPr="006D329F" w:rsidRDefault="00A71339" w:rsidP="006C4E37">
            <w:pPr>
              <w:spacing w:before="0" w:after="0"/>
              <w:jc w:val="center"/>
              <w:rPr>
                <w:i/>
                <w:noProof/>
                <w:sz w:val="16"/>
                <w:szCs w:val="16"/>
              </w:rPr>
            </w:pPr>
            <w:r w:rsidRPr="00874920">
              <w:rPr>
                <w:noProof/>
                <w:sz w:val="22"/>
              </w:rPr>
              <w:t>1</w:t>
            </w:r>
          </w:p>
        </w:tc>
      </w:tr>
      <w:tr w:rsidR="00242B91" w:rsidRPr="006D329F" w:rsidTr="005F214B">
        <w:trPr>
          <w:jc w:val="center"/>
        </w:trPr>
        <w:tc>
          <w:tcPr>
            <w:tcW w:w="1332" w:type="dxa"/>
          </w:tcPr>
          <w:p w:rsidR="006C4E37" w:rsidRPr="006D329F" w:rsidRDefault="006C4E37" w:rsidP="006C4E37">
            <w:pPr>
              <w:spacing w:before="0" w:after="0"/>
              <w:jc w:val="center"/>
              <w:rPr>
                <w:b/>
                <w:noProof/>
                <w:sz w:val="22"/>
              </w:rPr>
            </w:pPr>
            <w:r w:rsidRPr="006D329F">
              <w:rPr>
                <w:b/>
                <w:noProof/>
                <w:sz w:val="22"/>
              </w:rPr>
              <w:t>CSA/</w:t>
            </w:r>
            <w:r w:rsidRPr="00874920">
              <w:rPr>
                <w:b/>
                <w:noProof/>
                <w:sz w:val="22"/>
              </w:rPr>
              <w:t>74</w:t>
            </w:r>
          </w:p>
        </w:tc>
        <w:tc>
          <w:tcPr>
            <w:tcW w:w="1729" w:type="dxa"/>
          </w:tcPr>
          <w:p w:rsidR="006C4E37" w:rsidRPr="006D329F" w:rsidRDefault="0047568F" w:rsidP="006C4E37">
            <w:pPr>
              <w:spacing w:before="0" w:after="0"/>
              <w:jc w:val="center"/>
              <w:rPr>
                <w:i/>
                <w:noProof/>
                <w:sz w:val="18"/>
                <w:szCs w:val="18"/>
              </w:rPr>
            </w:pPr>
            <w:r w:rsidRPr="00874920">
              <w:rPr>
                <w:noProof/>
                <w:sz w:val="22"/>
              </w:rPr>
              <w:t>67</w:t>
            </w:r>
          </w:p>
        </w:tc>
        <w:tc>
          <w:tcPr>
            <w:tcW w:w="1684" w:type="dxa"/>
          </w:tcPr>
          <w:p w:rsidR="006C4E37" w:rsidRPr="006D329F" w:rsidRDefault="0047568F" w:rsidP="006C4E37">
            <w:pPr>
              <w:spacing w:before="0" w:after="0"/>
              <w:jc w:val="center"/>
              <w:rPr>
                <w:b/>
                <w:i/>
                <w:noProof/>
                <w:sz w:val="18"/>
                <w:szCs w:val="18"/>
              </w:rPr>
            </w:pPr>
            <w:r w:rsidRPr="00874920">
              <w:rPr>
                <w:noProof/>
                <w:sz w:val="22"/>
              </w:rPr>
              <w:t>10</w:t>
            </w:r>
          </w:p>
        </w:tc>
        <w:tc>
          <w:tcPr>
            <w:tcW w:w="1730" w:type="dxa"/>
          </w:tcPr>
          <w:p w:rsidR="006C4E37" w:rsidRPr="006D329F" w:rsidRDefault="0047568F" w:rsidP="006C4E37">
            <w:pPr>
              <w:spacing w:before="0" w:after="0"/>
              <w:jc w:val="center"/>
              <w:rPr>
                <w:i/>
                <w:noProof/>
                <w:sz w:val="18"/>
                <w:szCs w:val="18"/>
              </w:rPr>
            </w:pPr>
            <w:r w:rsidRPr="00874920">
              <w:rPr>
                <w:noProof/>
                <w:sz w:val="22"/>
              </w:rPr>
              <w:t>5</w:t>
            </w:r>
          </w:p>
        </w:tc>
      </w:tr>
      <w:tr w:rsidR="00242B91" w:rsidRPr="006D329F" w:rsidTr="005F214B">
        <w:trPr>
          <w:jc w:val="center"/>
        </w:trPr>
        <w:tc>
          <w:tcPr>
            <w:tcW w:w="1332" w:type="dxa"/>
          </w:tcPr>
          <w:p w:rsidR="006C4E37" w:rsidRPr="006D329F" w:rsidRDefault="006C4E37" w:rsidP="006C4E37">
            <w:pPr>
              <w:spacing w:before="0" w:after="0"/>
              <w:jc w:val="center"/>
              <w:rPr>
                <w:b/>
                <w:noProof/>
                <w:sz w:val="22"/>
              </w:rPr>
            </w:pPr>
            <w:r w:rsidRPr="006D329F">
              <w:rPr>
                <w:b/>
                <w:noProof/>
                <w:sz w:val="22"/>
              </w:rPr>
              <w:t>CSA/</w:t>
            </w:r>
            <w:r w:rsidRPr="00874920">
              <w:rPr>
                <w:b/>
                <w:noProof/>
                <w:sz w:val="22"/>
              </w:rPr>
              <w:t>75</w:t>
            </w:r>
          </w:p>
        </w:tc>
        <w:tc>
          <w:tcPr>
            <w:tcW w:w="1729" w:type="dxa"/>
          </w:tcPr>
          <w:p w:rsidR="006C4E37" w:rsidRPr="006D329F" w:rsidRDefault="00A71339" w:rsidP="006C4E37">
            <w:pPr>
              <w:spacing w:before="0" w:after="0"/>
              <w:jc w:val="center"/>
              <w:rPr>
                <w:i/>
                <w:noProof/>
                <w:sz w:val="18"/>
                <w:szCs w:val="18"/>
              </w:rPr>
            </w:pPr>
            <w:r w:rsidRPr="00874920">
              <w:rPr>
                <w:noProof/>
                <w:sz w:val="22"/>
              </w:rPr>
              <w:t>44</w:t>
            </w:r>
          </w:p>
        </w:tc>
        <w:tc>
          <w:tcPr>
            <w:tcW w:w="1684" w:type="dxa"/>
          </w:tcPr>
          <w:p w:rsidR="006C4E37" w:rsidRPr="006D329F" w:rsidRDefault="00A71339" w:rsidP="006C4E37">
            <w:pPr>
              <w:spacing w:before="0" w:after="0"/>
              <w:jc w:val="center"/>
              <w:rPr>
                <w:i/>
                <w:noProof/>
                <w:sz w:val="18"/>
                <w:szCs w:val="18"/>
              </w:rPr>
            </w:pPr>
            <w:r w:rsidRPr="00874920">
              <w:rPr>
                <w:noProof/>
                <w:sz w:val="22"/>
              </w:rPr>
              <w:t>37</w:t>
            </w:r>
          </w:p>
        </w:tc>
        <w:tc>
          <w:tcPr>
            <w:tcW w:w="1730" w:type="dxa"/>
          </w:tcPr>
          <w:p w:rsidR="006C4E37" w:rsidRPr="006D329F" w:rsidRDefault="00A71339" w:rsidP="006C4E37">
            <w:pPr>
              <w:spacing w:before="0" w:after="0"/>
              <w:jc w:val="center"/>
              <w:rPr>
                <w:i/>
                <w:noProof/>
                <w:sz w:val="18"/>
                <w:szCs w:val="18"/>
              </w:rPr>
            </w:pPr>
            <w:r w:rsidRPr="00874920">
              <w:rPr>
                <w:noProof/>
                <w:sz w:val="22"/>
              </w:rPr>
              <w:t>4</w:t>
            </w:r>
          </w:p>
        </w:tc>
      </w:tr>
      <w:tr w:rsidR="00F87AD1" w:rsidRPr="006D329F" w:rsidTr="005F214B">
        <w:trPr>
          <w:jc w:val="center"/>
        </w:trPr>
        <w:tc>
          <w:tcPr>
            <w:tcW w:w="1332" w:type="dxa"/>
          </w:tcPr>
          <w:p w:rsidR="00F87AD1" w:rsidRPr="006D329F" w:rsidRDefault="00F87AD1" w:rsidP="006C4E37">
            <w:pPr>
              <w:spacing w:before="0" w:after="0"/>
              <w:jc w:val="center"/>
              <w:rPr>
                <w:b/>
                <w:noProof/>
                <w:sz w:val="22"/>
              </w:rPr>
            </w:pPr>
            <w:r w:rsidRPr="006D329F">
              <w:rPr>
                <w:b/>
                <w:noProof/>
                <w:sz w:val="22"/>
              </w:rPr>
              <w:t>CSA/</w:t>
            </w:r>
            <w:r w:rsidRPr="00874920">
              <w:rPr>
                <w:b/>
                <w:noProof/>
                <w:sz w:val="22"/>
              </w:rPr>
              <w:t>76</w:t>
            </w:r>
          </w:p>
        </w:tc>
        <w:tc>
          <w:tcPr>
            <w:tcW w:w="1729" w:type="dxa"/>
          </w:tcPr>
          <w:p w:rsidR="00F87AD1" w:rsidRPr="006D329F" w:rsidRDefault="00A71339" w:rsidP="006C4E37">
            <w:pPr>
              <w:spacing w:before="0" w:after="0"/>
              <w:jc w:val="center"/>
              <w:rPr>
                <w:noProof/>
                <w:sz w:val="22"/>
              </w:rPr>
            </w:pPr>
            <w:r w:rsidRPr="00874920">
              <w:rPr>
                <w:noProof/>
                <w:sz w:val="22"/>
              </w:rPr>
              <w:t>71</w:t>
            </w:r>
          </w:p>
        </w:tc>
        <w:tc>
          <w:tcPr>
            <w:tcW w:w="1684" w:type="dxa"/>
          </w:tcPr>
          <w:p w:rsidR="00F87AD1" w:rsidRPr="006D329F" w:rsidRDefault="00A71339" w:rsidP="006C4E37">
            <w:pPr>
              <w:spacing w:before="0" w:after="0"/>
              <w:jc w:val="center"/>
              <w:rPr>
                <w:noProof/>
                <w:sz w:val="22"/>
              </w:rPr>
            </w:pPr>
            <w:r w:rsidRPr="00874920">
              <w:rPr>
                <w:noProof/>
                <w:sz w:val="22"/>
              </w:rPr>
              <w:t>4</w:t>
            </w:r>
          </w:p>
        </w:tc>
        <w:tc>
          <w:tcPr>
            <w:tcW w:w="1730" w:type="dxa"/>
          </w:tcPr>
          <w:p w:rsidR="00F87AD1" w:rsidRPr="006D329F" w:rsidRDefault="00A71339" w:rsidP="006C4E37">
            <w:pPr>
              <w:spacing w:before="0" w:after="0"/>
              <w:jc w:val="center"/>
              <w:rPr>
                <w:noProof/>
                <w:sz w:val="22"/>
              </w:rPr>
            </w:pPr>
            <w:r w:rsidRPr="00874920">
              <w:rPr>
                <w:noProof/>
                <w:sz w:val="22"/>
              </w:rPr>
              <w:t>7</w:t>
            </w:r>
          </w:p>
        </w:tc>
      </w:tr>
      <w:tr w:rsidR="004420C7" w:rsidRPr="006D329F" w:rsidTr="001B6688">
        <w:trPr>
          <w:jc w:val="center"/>
        </w:trPr>
        <w:tc>
          <w:tcPr>
            <w:tcW w:w="1332" w:type="dxa"/>
          </w:tcPr>
          <w:p w:rsidR="004420C7" w:rsidRPr="006D329F" w:rsidRDefault="004420C7" w:rsidP="001B6688">
            <w:pPr>
              <w:spacing w:before="0" w:after="0"/>
              <w:ind w:firstLine="156"/>
              <w:rPr>
                <w:b/>
                <w:noProof/>
                <w:sz w:val="22"/>
              </w:rPr>
            </w:pPr>
            <w:r w:rsidRPr="006D329F">
              <w:rPr>
                <w:b/>
                <w:noProof/>
                <w:sz w:val="22"/>
              </w:rPr>
              <w:t>CSA/</w:t>
            </w:r>
            <w:r w:rsidRPr="00874920">
              <w:rPr>
                <w:b/>
                <w:noProof/>
                <w:sz w:val="22"/>
              </w:rPr>
              <w:t>77</w:t>
            </w:r>
          </w:p>
        </w:tc>
        <w:tc>
          <w:tcPr>
            <w:tcW w:w="1729" w:type="dxa"/>
          </w:tcPr>
          <w:p w:rsidR="004420C7" w:rsidRPr="006D329F" w:rsidRDefault="008F6463" w:rsidP="006C4E37">
            <w:pPr>
              <w:spacing w:before="0" w:after="0"/>
              <w:jc w:val="center"/>
              <w:rPr>
                <w:noProof/>
                <w:sz w:val="22"/>
              </w:rPr>
            </w:pPr>
            <w:r w:rsidRPr="00874920">
              <w:rPr>
                <w:noProof/>
                <w:sz w:val="22"/>
              </w:rPr>
              <w:t>76</w:t>
            </w:r>
          </w:p>
        </w:tc>
        <w:tc>
          <w:tcPr>
            <w:tcW w:w="1684" w:type="dxa"/>
          </w:tcPr>
          <w:p w:rsidR="004420C7" w:rsidRPr="006D329F" w:rsidRDefault="008F6463" w:rsidP="006C4E37">
            <w:pPr>
              <w:spacing w:before="0" w:after="0"/>
              <w:jc w:val="center"/>
              <w:rPr>
                <w:noProof/>
                <w:sz w:val="22"/>
              </w:rPr>
            </w:pPr>
            <w:r w:rsidRPr="00874920">
              <w:rPr>
                <w:noProof/>
                <w:sz w:val="22"/>
              </w:rPr>
              <w:t>11</w:t>
            </w:r>
          </w:p>
        </w:tc>
        <w:tc>
          <w:tcPr>
            <w:tcW w:w="1730" w:type="dxa"/>
          </w:tcPr>
          <w:p w:rsidR="004420C7" w:rsidRPr="006D329F" w:rsidRDefault="008F6463" w:rsidP="006C4E37">
            <w:pPr>
              <w:spacing w:before="0" w:after="0"/>
              <w:jc w:val="center"/>
              <w:rPr>
                <w:noProof/>
                <w:sz w:val="22"/>
              </w:rPr>
            </w:pPr>
            <w:r w:rsidRPr="00874920">
              <w:rPr>
                <w:noProof/>
                <w:sz w:val="22"/>
              </w:rPr>
              <w:t>7</w:t>
            </w:r>
          </w:p>
        </w:tc>
      </w:tr>
    </w:tbl>
    <w:p w:rsidR="00D360E0" w:rsidRPr="006D329F" w:rsidRDefault="00D360E0" w:rsidP="00D403F3">
      <w:pPr>
        <w:rPr>
          <w:noProof/>
          <w:szCs w:val="24"/>
        </w:rPr>
      </w:pPr>
    </w:p>
    <w:p w:rsidR="00822DD7" w:rsidRPr="006D329F" w:rsidRDefault="00822DD7" w:rsidP="00D403F3">
      <w:pPr>
        <w:rPr>
          <w:b/>
          <w:bCs/>
          <w:noProof/>
          <w:szCs w:val="24"/>
        </w:rPr>
      </w:pPr>
    </w:p>
    <w:p w:rsidR="00822DD7" w:rsidRPr="006D329F" w:rsidRDefault="0060584C" w:rsidP="002A7080">
      <w:pPr>
        <w:pStyle w:val="ManualHeading2"/>
        <w:rPr>
          <w:b w:val="0"/>
          <w:noProof/>
          <w:szCs w:val="24"/>
        </w:rPr>
      </w:pPr>
      <w:r>
        <w:rPr>
          <w:noProof/>
        </w:rPr>
        <w:t>3.2.</w:t>
      </w:r>
      <w:r>
        <w:rPr>
          <w:noProof/>
        </w:rPr>
        <w:tab/>
      </w:r>
      <w:r w:rsidRPr="006D329F">
        <w:rPr>
          <w:noProof/>
        </w:rPr>
        <w:t xml:space="preserve">Evaluarea funcționării cadrului reînnoit creat prin Decizia </w:t>
      </w:r>
      <w:r w:rsidRPr="00874920">
        <w:rPr>
          <w:noProof/>
        </w:rPr>
        <w:t>2023</w:t>
      </w:r>
      <w:r w:rsidRPr="006D329F">
        <w:rPr>
          <w:noProof/>
        </w:rPr>
        <w:t>/</w:t>
      </w:r>
      <w:r w:rsidRPr="00874920">
        <w:rPr>
          <w:noProof/>
        </w:rPr>
        <w:t>2898</w:t>
      </w:r>
      <w:r w:rsidRPr="006D329F">
        <w:rPr>
          <w:noProof/>
        </w:rPr>
        <w:t xml:space="preserve"> a Consiliului</w:t>
      </w:r>
    </w:p>
    <w:p w:rsidR="00822DD7" w:rsidRPr="006D329F" w:rsidRDefault="00E7539E" w:rsidP="00A61954">
      <w:pPr>
        <w:spacing w:before="0" w:after="200"/>
        <w:rPr>
          <w:noProof/>
          <w:szCs w:val="24"/>
        </w:rPr>
      </w:pPr>
      <w:r w:rsidRPr="006D329F">
        <w:rPr>
          <w:noProof/>
        </w:rPr>
        <w:t xml:space="preserve">Prin Decizia </w:t>
      </w:r>
      <w:r w:rsidRPr="00874920">
        <w:rPr>
          <w:noProof/>
        </w:rPr>
        <w:t>2020</w:t>
      </w:r>
      <w:r w:rsidRPr="006D329F">
        <w:rPr>
          <w:noProof/>
        </w:rPr>
        <w:t>/</w:t>
      </w:r>
      <w:r w:rsidRPr="00874920">
        <w:rPr>
          <w:noProof/>
        </w:rPr>
        <w:t>1707</w:t>
      </w:r>
      <w:r w:rsidRPr="006D329F">
        <w:rPr>
          <w:noProof/>
        </w:rPr>
        <w:t xml:space="preserve"> a Consiliului, a fost instituit </w:t>
      </w:r>
      <w:bookmarkStart w:id="2" w:name="_Hlk122342411"/>
      <w:r w:rsidRPr="006D329F">
        <w:rPr>
          <w:noProof/>
        </w:rPr>
        <w:t>un cadru flexibil și pragmatic</w:t>
      </w:r>
      <w:bookmarkEnd w:id="2"/>
      <w:r w:rsidRPr="006D329F">
        <w:rPr>
          <w:noProof/>
        </w:rPr>
        <w:t xml:space="preserve"> pentru a se garanta o pregătire și o adoptare eficiente și fără sincope a pozițiilor Uniunii, astfel încât interesele Uniunii în cadrul OMV să poată fi apărate în mod eficace. Acest cadru a fost reînnoit prin Decizia </w:t>
      </w:r>
      <w:r w:rsidRPr="00874920">
        <w:rPr>
          <w:noProof/>
        </w:rPr>
        <w:t>2023</w:t>
      </w:r>
      <w:r w:rsidRPr="006D329F">
        <w:rPr>
          <w:noProof/>
        </w:rPr>
        <w:t>/</w:t>
      </w:r>
      <w:r w:rsidRPr="00874920">
        <w:rPr>
          <w:noProof/>
        </w:rPr>
        <w:t>2898</w:t>
      </w:r>
      <w:r w:rsidRPr="006D329F">
        <w:rPr>
          <w:noProof/>
        </w:rPr>
        <w:t xml:space="preserve"> a Consiliului.</w:t>
      </w:r>
    </w:p>
    <w:p w:rsidR="00E7539E" w:rsidRPr="006D329F" w:rsidRDefault="00E7539E" w:rsidP="00A61954">
      <w:pPr>
        <w:spacing w:before="0" w:after="200"/>
        <w:rPr>
          <w:noProof/>
          <w:szCs w:val="24"/>
        </w:rPr>
      </w:pPr>
      <w:r w:rsidRPr="006D329F">
        <w:rPr>
          <w:noProof/>
        </w:rPr>
        <w:t xml:space="preserve">În primul rând, experții Comisiei în materie de clasificare au analizat în mod sistematic toate punctele de pe ordinea de zi, au revizuit practicile de clasificare ale statelor membre și au elaborat proiecte de poziții, completate, atunci când este necesar, de consultări externe cu asociațiile profesionale europene sau cu alte părți interesate. Aceste proiecte de poziții au fost apoi discutate cu experți din statele membre în cadrul Grupului de experți în domeniul vamal. După adoptarea de către Comisie, proiectele de poziții au fost transmise Consiliului spre dezbatere și adoptate definitivă. </w:t>
      </w:r>
    </w:p>
    <w:p w:rsidR="00822DD7" w:rsidRPr="006D329F" w:rsidRDefault="00E7539E" w:rsidP="00822DD7">
      <w:pPr>
        <w:rPr>
          <w:noProof/>
          <w:szCs w:val="24"/>
        </w:rPr>
      </w:pPr>
      <w:r w:rsidRPr="006D329F">
        <w:rPr>
          <w:noProof/>
        </w:rPr>
        <w:t xml:space="preserve">Grație acestei cooperări intensificate între instituții, în pofida volumului ridicat și a caracterului foarte tehnic al chestiunilor abordate de CSA, precum și a intervalului de timp foarte scurt dintre momentul în care devin disponibile documentele și cel în care au loc efectiv discuțiile în cadrul reuniunilor CSA, pozițiile au fost stabilite fără probleme, în mod eficient și rapid, permițând de fiecare dată Uniunii să își stabilească, să își exprime și să își apere în mod activ pozițiile și interesele în cadrul OMV. </w:t>
      </w:r>
    </w:p>
    <w:p w:rsidR="00872434" w:rsidRPr="006D329F" w:rsidRDefault="00872434" w:rsidP="00822DD7">
      <w:pPr>
        <w:rPr>
          <w:noProof/>
          <w:szCs w:val="24"/>
        </w:rPr>
      </w:pPr>
      <w:r w:rsidRPr="006D329F">
        <w:rPr>
          <w:noProof/>
        </w:rPr>
        <w:t xml:space="preserve">Decizia </w:t>
      </w:r>
      <w:r w:rsidRPr="00874920">
        <w:rPr>
          <w:noProof/>
        </w:rPr>
        <w:t>2023</w:t>
      </w:r>
      <w:r w:rsidRPr="006D329F">
        <w:rPr>
          <w:noProof/>
        </w:rPr>
        <w:t>/</w:t>
      </w:r>
      <w:r w:rsidRPr="00874920">
        <w:rPr>
          <w:noProof/>
        </w:rPr>
        <w:t>2898</w:t>
      </w:r>
      <w:r w:rsidRPr="006D329F">
        <w:rPr>
          <w:noProof/>
        </w:rPr>
        <w:t xml:space="preserve"> a Consiliului expiră la </w:t>
      </w:r>
      <w:r w:rsidRPr="00874920">
        <w:rPr>
          <w:noProof/>
        </w:rPr>
        <w:t>31</w:t>
      </w:r>
      <w:r w:rsidRPr="006D329F">
        <w:rPr>
          <w:noProof/>
        </w:rPr>
        <w:t xml:space="preserve"> decembrie </w:t>
      </w:r>
      <w:r w:rsidRPr="00874920">
        <w:rPr>
          <w:noProof/>
        </w:rPr>
        <w:t>2026</w:t>
      </w:r>
      <w:r w:rsidRPr="006D329F">
        <w:rPr>
          <w:noProof/>
        </w:rPr>
        <w:t>, în conformitate cu articolul </w:t>
      </w:r>
      <w:r w:rsidRPr="00874920">
        <w:rPr>
          <w:noProof/>
        </w:rPr>
        <w:t>3</w:t>
      </w:r>
      <w:r w:rsidRPr="006D329F">
        <w:rPr>
          <w:noProof/>
        </w:rPr>
        <w:t xml:space="preserve"> din aceasta. </w:t>
      </w:r>
    </w:p>
    <w:p w:rsidR="00C92E25" w:rsidRPr="006D329F" w:rsidRDefault="00C92E25" w:rsidP="002A7080">
      <w:pPr>
        <w:pStyle w:val="ManualHeading2"/>
        <w:rPr>
          <w:b w:val="0"/>
          <w:noProof/>
          <w:szCs w:val="24"/>
        </w:rPr>
      </w:pPr>
      <w:r>
        <w:rPr>
          <w:noProof/>
        </w:rPr>
        <w:t>3.3.</w:t>
      </w:r>
      <w:r>
        <w:rPr>
          <w:noProof/>
        </w:rPr>
        <w:tab/>
      </w:r>
      <w:r w:rsidRPr="006D329F">
        <w:rPr>
          <w:noProof/>
        </w:rPr>
        <w:t>Scopul și conținutul propunerii</w:t>
      </w:r>
    </w:p>
    <w:p w:rsidR="00D954D2" w:rsidRPr="006D329F" w:rsidRDefault="00D954D2" w:rsidP="00C80D8D">
      <w:pPr>
        <w:rPr>
          <w:noProof/>
          <w:szCs w:val="24"/>
        </w:rPr>
      </w:pPr>
      <w:r w:rsidRPr="006D329F">
        <w:rPr>
          <w:noProof/>
        </w:rPr>
        <w:t xml:space="preserve">Prezenta propunere vizează înlocuirea Deciziei </w:t>
      </w:r>
      <w:r w:rsidRPr="00874920">
        <w:rPr>
          <w:noProof/>
        </w:rPr>
        <w:t>2023</w:t>
      </w:r>
      <w:r w:rsidRPr="006D329F">
        <w:rPr>
          <w:noProof/>
        </w:rPr>
        <w:t>/</w:t>
      </w:r>
      <w:r w:rsidRPr="00874920">
        <w:rPr>
          <w:noProof/>
        </w:rPr>
        <w:t>2898</w:t>
      </w:r>
      <w:r w:rsidRPr="006D329F">
        <w:rPr>
          <w:noProof/>
        </w:rPr>
        <w:t xml:space="preserve"> a Consiliului cu o decizie a Consiliului aplicabilă pe o durată de șase ani, până la </w:t>
      </w:r>
      <w:r w:rsidRPr="00874920">
        <w:rPr>
          <w:noProof/>
        </w:rPr>
        <w:t>31</w:t>
      </w:r>
      <w:r w:rsidRPr="006D329F">
        <w:rPr>
          <w:noProof/>
        </w:rPr>
        <w:t xml:space="preserve"> decembrie </w:t>
      </w:r>
      <w:r w:rsidRPr="00874920">
        <w:rPr>
          <w:noProof/>
        </w:rPr>
        <w:t>2032</w:t>
      </w:r>
      <w:r w:rsidRPr="006D329F">
        <w:rPr>
          <w:noProof/>
        </w:rPr>
        <w:t>, asigurând astfel continuitatea juridică, inclusiv în ceea ce privește Recomandarea privind modificarea nomenclaturii prezentate în anexă la Convenția privind Sistemul armonizat.</w:t>
      </w:r>
    </w:p>
    <w:p w:rsidR="00C80D8D" w:rsidRPr="006D329F" w:rsidRDefault="00C80D8D" w:rsidP="00C80D8D">
      <w:pPr>
        <w:rPr>
          <w:noProof/>
          <w:szCs w:val="24"/>
        </w:rPr>
      </w:pPr>
      <w:r w:rsidRPr="006D329F">
        <w:rPr>
          <w:noProof/>
        </w:rPr>
        <w:t xml:space="preserve">Se propune înlocuirea Deciziei </w:t>
      </w:r>
      <w:r w:rsidRPr="00874920">
        <w:rPr>
          <w:noProof/>
        </w:rPr>
        <w:t>2023</w:t>
      </w:r>
      <w:r w:rsidRPr="006D329F">
        <w:rPr>
          <w:noProof/>
        </w:rPr>
        <w:t>/</w:t>
      </w:r>
      <w:r w:rsidRPr="00874920">
        <w:rPr>
          <w:noProof/>
        </w:rPr>
        <w:t>2898</w:t>
      </w:r>
      <w:r w:rsidRPr="006D329F">
        <w:rPr>
          <w:noProof/>
        </w:rPr>
        <w:t xml:space="preserve"> a Consiliului fără modificări majore. Singura noutate introdusă de prezentul proiect de decizie se referă la extinderea domeniului său de aplicare pentru a include Recomandarea privind modificarea nomenclaturii prezentate în anexă la Convenția privind Sistemul armonizat. </w:t>
      </w:r>
    </w:p>
    <w:p w:rsidR="003974D1" w:rsidRPr="006D329F" w:rsidRDefault="00E47092" w:rsidP="003974D1">
      <w:pPr>
        <w:rPr>
          <w:noProof/>
          <w:szCs w:val="24"/>
        </w:rPr>
      </w:pPr>
      <w:r w:rsidRPr="006D329F">
        <w:rPr>
          <w:noProof/>
        </w:rPr>
        <w:t xml:space="preserve">Deciziile în cauză elaborate de CSA, precum și propunerea de modificare a nomenclaturii prezentate în anexă la Convenția privind Sistemul armonizat recomandată de Consiliu, pot influența în mod decisiv conținutul legislației Uniunii, și anume a Regulamentului (CEE) nr. </w:t>
      </w:r>
      <w:r w:rsidRPr="00874920">
        <w:rPr>
          <w:noProof/>
        </w:rPr>
        <w:t>2658</w:t>
      </w:r>
      <w:r w:rsidRPr="006D329F">
        <w:rPr>
          <w:noProof/>
        </w:rPr>
        <w:t>/</w:t>
      </w:r>
      <w:r w:rsidRPr="00874920">
        <w:rPr>
          <w:noProof/>
        </w:rPr>
        <w:t>87</w:t>
      </w:r>
      <w:r w:rsidRPr="006D329F">
        <w:rPr>
          <w:noProof/>
        </w:rPr>
        <w:t xml:space="preserve"> al Consiliului privind Nomenclatura tarifară și statistică și Tariful Vamal Comun, și Nomenclatura combinată (NC) anexată la acesta. Deciziile de clasificare, avizele de clasificare sau </w:t>
      </w:r>
      <w:r w:rsidRPr="006D329F">
        <w:rPr>
          <w:noProof/>
          <w:color w:val="000000"/>
        </w:rPr>
        <w:t>modificările notelor explicative la Nomenclatura SA</w:t>
      </w:r>
      <w:r w:rsidRPr="006D329F">
        <w:rPr>
          <w:noProof/>
        </w:rPr>
        <w:t xml:space="preserve"> sunt utilizate în sprijinul clasificării prevăzute în regulamentele de punere în aplicare ale Comisiei privind clasificarea anumitor mărfuri în Nomenclatura combinată, în notele explicative la Nomenclatura combinată și în deciziile de clasificare emise de autoritățile vamale ale statelor membre. Autoritățile vamale ale statelor membre au obligația de a-și revoca deciziile de clasificare atunci când acestea nu mai sunt compatibile cu interpretarea Nomenclaturii SA ce decurge din aceste decizii de clasificare, avize de clasificare </w:t>
      </w:r>
      <w:r w:rsidRPr="006D329F">
        <w:rPr>
          <w:noProof/>
          <w:color w:val="000000"/>
        </w:rPr>
        <w:t>sau modificări ale notelor explicative ale Sistemului armonizat</w:t>
      </w:r>
      <w:r w:rsidRPr="006D329F">
        <w:rPr>
          <w:noProof/>
        </w:rPr>
        <w:t>.</w:t>
      </w:r>
    </w:p>
    <w:p w:rsidR="00E47092" w:rsidRPr="006D329F" w:rsidRDefault="00E47092" w:rsidP="00A61954">
      <w:pPr>
        <w:spacing w:before="0" w:after="200"/>
        <w:rPr>
          <w:noProof/>
          <w:szCs w:val="24"/>
        </w:rPr>
      </w:pPr>
      <w:r w:rsidRPr="006D329F">
        <w:rPr>
          <w:noProof/>
        </w:rPr>
        <w:lastRenderedPageBreak/>
        <w:t>Având în vedere numărul de puncte pentru care i se solicită CSA să ia o decizie la fiecare dintre reuniunile sale, natura extrem de tehnică a acestora și timpul limitat pentru elaborarea poziției Uniunii, ținând cont de termenul scurt în care documentele de lucru sunt puse la dispoziție, se consideră că este necesară o decizie-cadru a Consiliului în temeiul articolului </w:t>
      </w:r>
      <w:r w:rsidRPr="00874920">
        <w:rPr>
          <w:noProof/>
        </w:rPr>
        <w:t>218</w:t>
      </w:r>
      <w:r w:rsidRPr="006D329F">
        <w:rPr>
          <w:noProof/>
        </w:rPr>
        <w:t xml:space="preserve"> alineatul (</w:t>
      </w:r>
      <w:r w:rsidRPr="00874920">
        <w:rPr>
          <w:noProof/>
        </w:rPr>
        <w:t>9</w:t>
      </w:r>
      <w:r w:rsidRPr="006D329F">
        <w:rPr>
          <w:noProof/>
        </w:rPr>
        <w:t xml:space="preserve">) din TFUE, care să stabilească poziția Uniunii bazată pe principii directoare și criterii pentru marea majoritate a punctelor cu privire la care CSA este invitat să adopte o decizie (și anume, note explicative, avize de clasificare și decizii de clasificare, orientări sau alte avize privind interpretarea Sistemului armonizat, precum și propunerea de modificare a nomenclaturii prezentate în anexă la Convenția privind Sistemul armonizat), pentru a înlocui Decizia </w:t>
      </w:r>
      <w:r w:rsidRPr="00874920">
        <w:rPr>
          <w:noProof/>
        </w:rPr>
        <w:t>2023</w:t>
      </w:r>
      <w:r w:rsidRPr="006D329F">
        <w:rPr>
          <w:noProof/>
        </w:rPr>
        <w:t>/</w:t>
      </w:r>
      <w:r w:rsidRPr="00874920">
        <w:rPr>
          <w:noProof/>
        </w:rPr>
        <w:t>2898</w:t>
      </w:r>
      <w:r w:rsidRPr="006D329F">
        <w:rPr>
          <w:noProof/>
        </w:rPr>
        <w:t xml:space="preserve"> a Consiliului, care expiră la </w:t>
      </w:r>
      <w:r w:rsidRPr="00874920">
        <w:rPr>
          <w:noProof/>
        </w:rPr>
        <w:t>31</w:t>
      </w:r>
      <w:r w:rsidRPr="006D329F">
        <w:rPr>
          <w:noProof/>
        </w:rPr>
        <w:t xml:space="preserve"> decembrie </w:t>
      </w:r>
      <w:r w:rsidRPr="00874920">
        <w:rPr>
          <w:noProof/>
        </w:rPr>
        <w:t>2026</w:t>
      </w:r>
      <w:r w:rsidRPr="006D329F">
        <w:rPr>
          <w:noProof/>
        </w:rPr>
        <w:t>, pentru a asigura continuitatea, a spori securitatea juridică și a îmbunătăți eficacitatea, evitând totodată nevoia de a adopta în mod repetat decizii individuale în temeiul articolului </w:t>
      </w:r>
      <w:r w:rsidRPr="00874920">
        <w:rPr>
          <w:noProof/>
        </w:rPr>
        <w:t>218</w:t>
      </w:r>
      <w:r w:rsidRPr="006D329F">
        <w:rPr>
          <w:noProof/>
        </w:rPr>
        <w:t xml:space="preserve"> alineatul (</w:t>
      </w:r>
      <w:r w:rsidRPr="00874920">
        <w:rPr>
          <w:noProof/>
        </w:rPr>
        <w:t>9</w:t>
      </w:r>
      <w:r w:rsidRPr="006D329F">
        <w:rPr>
          <w:noProof/>
        </w:rPr>
        <w:t>) din TFUE. Prin urmare, este adecvat ca poziția care urmează să fie adoptată în numele Uniunii în cadrul OMV pe baza principiilor directoare și a criteriilor, precum și etapele necesare pentru specificarea poziției Uniunii pentru fiecare reuniune, să fie stabilite printr-o nouă decizie a Consiliului adoptată în temeiul articolului </w:t>
      </w:r>
      <w:r w:rsidRPr="00874920">
        <w:rPr>
          <w:noProof/>
        </w:rPr>
        <w:t>218</w:t>
      </w:r>
      <w:r w:rsidRPr="006D329F">
        <w:rPr>
          <w:noProof/>
        </w:rPr>
        <w:t xml:space="preserve"> alineatul (</w:t>
      </w:r>
      <w:r w:rsidRPr="00874920">
        <w:rPr>
          <w:noProof/>
        </w:rPr>
        <w:t>9</w:t>
      </w:r>
      <w:r w:rsidRPr="006D329F">
        <w:rPr>
          <w:noProof/>
        </w:rPr>
        <w:t xml:space="preserve">) din TFUE pe baza unei propuneri a Comisiei. </w:t>
      </w:r>
    </w:p>
    <w:p w:rsidR="00FF7A64" w:rsidRPr="006D329F" w:rsidRDefault="00C92E25" w:rsidP="00A61954">
      <w:pPr>
        <w:spacing w:before="0" w:after="200"/>
        <w:rPr>
          <w:noProof/>
          <w:szCs w:val="24"/>
        </w:rPr>
      </w:pPr>
      <w:r w:rsidRPr="006D329F">
        <w:rPr>
          <w:noProof/>
        </w:rPr>
        <w:t>În acest scop, propunerea stabilește un cadru prin care enumeră principii și criterii conform cărora este stabilită poziția Uniunii. Aceste principii și criterii sunt în concordanță cu politica vamală consacrată și cu jurisprudența Curții de Justiție a Uniunii Europene pentru clasificarea mărfurilor la import în funcție de caracteristicile și proprietățile lor obiective.</w:t>
      </w:r>
    </w:p>
    <w:p w:rsidR="00890607" w:rsidRPr="006D329F" w:rsidRDefault="0030744C" w:rsidP="00A61954">
      <w:pPr>
        <w:spacing w:before="0" w:after="200"/>
        <w:rPr>
          <w:noProof/>
          <w:szCs w:val="24"/>
        </w:rPr>
      </w:pPr>
      <w:r w:rsidRPr="006D329F">
        <w:rPr>
          <w:noProof/>
        </w:rPr>
        <w:t xml:space="preserve">Pozițiile care urmează să fie adoptate în numele Uniunii trebuie să respecte principiile simplificării și facilitării clasificării vamale, ale consecvenței cu normele generale pentru interpretarea SA în interesul securității juridice și ale promovării celor mai bune practici elaborate de către Uniune în acest sens. </w:t>
      </w:r>
    </w:p>
    <w:p w:rsidR="0030744C" w:rsidRPr="006D329F" w:rsidRDefault="0030744C" w:rsidP="00A61954">
      <w:pPr>
        <w:spacing w:before="0" w:after="200"/>
        <w:rPr>
          <w:noProof/>
          <w:szCs w:val="24"/>
        </w:rPr>
      </w:pPr>
      <w:r w:rsidRPr="006D329F">
        <w:rPr>
          <w:noProof/>
        </w:rPr>
        <w:t>Stabilirea unor astfel de poziții trebuie să fie ghidată de criteriile generale definite de Convenția SA (normele generale pentru interpretarea SA) și de caracteristicile și proprietățile obiective ale mărfurilor. De asemenea, trebuie luate în considerare și criterii specifice, după caz, rezultate din jurisprudența Curții de Justiție a Uniunii Europene referitoare la clasificarea mărfurilor, precum și din orice orientare referitoare la clasificarea vamală elaborată de OMV (Nomenclatura SA și interpretarea acesteia furnizată de notele explicative ale SA, avizele de clasificare și deciziile de clasificare adoptate de CSA) sau de Uniune (Nomenclatura combinată și interpretarea acesteia furnizată de notele explicative ale NC, regulamentele sau deciziile de clasificare adoptate de Comisie sau concluziile formulate de Comitetul Codului vamal, Secțiunea „Nomenclatură tarifară și statistică”).</w:t>
      </w:r>
    </w:p>
    <w:p w:rsidR="002F2C12" w:rsidRPr="006D329F" w:rsidRDefault="001717DC" w:rsidP="001717DC">
      <w:pPr>
        <w:spacing w:before="100" w:beforeAutospacing="1" w:after="100" w:afterAutospacing="1"/>
        <w:rPr>
          <w:rFonts w:eastAsia="Times New Roman"/>
          <w:noProof/>
          <w:szCs w:val="24"/>
        </w:rPr>
      </w:pPr>
      <w:r w:rsidRPr="006D329F">
        <w:rPr>
          <w:noProof/>
        </w:rPr>
        <w:t xml:space="preserve">În conformitate cu Decizia </w:t>
      </w:r>
      <w:r w:rsidRPr="00874920">
        <w:rPr>
          <w:noProof/>
        </w:rPr>
        <w:t>2023</w:t>
      </w:r>
      <w:r w:rsidRPr="006D329F">
        <w:rPr>
          <w:noProof/>
        </w:rPr>
        <w:t>/</w:t>
      </w:r>
      <w:r w:rsidRPr="00874920">
        <w:rPr>
          <w:noProof/>
        </w:rPr>
        <w:t>2898</w:t>
      </w:r>
      <w:r w:rsidRPr="006D329F">
        <w:rPr>
          <w:noProof/>
        </w:rPr>
        <w:t xml:space="preserve"> a Consiliului, prezenta propunere de decizie-cadru prevede, de asemenea, următoarele:</w:t>
      </w:r>
    </w:p>
    <w:p w:rsidR="002F2C12" w:rsidRPr="006D329F" w:rsidRDefault="002F2C12" w:rsidP="001717DC">
      <w:pPr>
        <w:spacing w:before="100" w:beforeAutospacing="1" w:after="100" w:afterAutospacing="1"/>
        <w:rPr>
          <w:rFonts w:eastAsia="Times New Roman"/>
          <w:noProof/>
          <w:szCs w:val="24"/>
        </w:rPr>
      </w:pPr>
      <w:r w:rsidRPr="006D329F">
        <w:rPr>
          <w:noProof/>
        </w:rPr>
        <w:t>– Comisia informează Consiliul cu suficient timp în avans cu privire la orice reuniune a organismului OMV în cadrul căreia se poate lua o decizie reglementată de decizia-cadru.</w:t>
      </w:r>
    </w:p>
    <w:p w:rsidR="00E670AC" w:rsidRPr="006D329F" w:rsidRDefault="002F2C12" w:rsidP="00E670AC">
      <w:pPr>
        <w:spacing w:before="0" w:after="200" w:line="276" w:lineRule="auto"/>
        <w:rPr>
          <w:noProof/>
          <w:szCs w:val="24"/>
        </w:rPr>
      </w:pPr>
      <w:r w:rsidRPr="006D329F">
        <w:rPr>
          <w:noProof/>
        </w:rPr>
        <w:t>– Consiliul își poate exprima dezacordul cu privire la poziția propusă pentru una sau mai multe dintre deciziile individuale care urmează să fie adoptate în legătură cu SA.</w:t>
      </w:r>
    </w:p>
    <w:p w:rsidR="002F2C12" w:rsidRPr="006D329F" w:rsidRDefault="002F2C12" w:rsidP="002F2C12">
      <w:pPr>
        <w:rPr>
          <w:noProof/>
          <w:szCs w:val="24"/>
        </w:rPr>
      </w:pPr>
      <w:r w:rsidRPr="006D329F">
        <w:rPr>
          <w:noProof/>
        </w:rPr>
        <w:t>– Pentru a proteja drepturile Uniunii și a evita ca o decizie cu privire la o chestiune asupra căreia Consiliul nu poate emite o poziție înainte de expirarea termenului prevăzut la articolul</w:t>
      </w:r>
      <w:r w:rsidR="006D329F" w:rsidRPr="006D329F">
        <w:rPr>
          <w:noProof/>
        </w:rPr>
        <w:t> </w:t>
      </w:r>
      <w:r w:rsidRPr="00874920">
        <w:rPr>
          <w:noProof/>
        </w:rPr>
        <w:t>8</w:t>
      </w:r>
      <w:r w:rsidRPr="006D329F">
        <w:rPr>
          <w:noProof/>
        </w:rPr>
        <w:t xml:space="preserve"> alineatul (</w:t>
      </w:r>
      <w:r w:rsidRPr="00874920">
        <w:rPr>
          <w:noProof/>
        </w:rPr>
        <w:t>3</w:t>
      </w:r>
      <w:r w:rsidRPr="006D329F">
        <w:rPr>
          <w:noProof/>
        </w:rPr>
        <w:t xml:space="preserve">) din Convenția SA să fie adoptată în cadrul OMV, Comisia poate </w:t>
      </w:r>
      <w:r w:rsidRPr="006D329F">
        <w:rPr>
          <w:noProof/>
        </w:rPr>
        <w:lastRenderedPageBreak/>
        <w:t xml:space="preserve">solicita, în numele Uniunii, ca respectiva chestiune să fie transmisă Consiliului OMV sau CSA în vederea reexaminării. </w:t>
      </w:r>
    </w:p>
    <w:p w:rsidR="004A4B8C" w:rsidRPr="006D329F" w:rsidRDefault="004A4B8C" w:rsidP="002F2C12">
      <w:pPr>
        <w:rPr>
          <w:noProof/>
          <w:szCs w:val="24"/>
        </w:rPr>
      </w:pPr>
      <w:r w:rsidRPr="006D329F">
        <w:rPr>
          <w:noProof/>
        </w:rPr>
        <w:t xml:space="preserve">– În cazurile în care poziția Uniunii cu privire la o chestiune diferă substanțial de decizia adoptată de CSA, Comisia furnizează Consiliului o evaluare în care indică dacă decizia CSA în cauză poate fi acceptată sau dacă respectiva chestiune trebuie să fie transmisă CSA pentru reexaminare, înainte de expirarea termenului prevăzut la articolul </w:t>
      </w:r>
      <w:r w:rsidRPr="00874920">
        <w:rPr>
          <w:noProof/>
        </w:rPr>
        <w:t>8</w:t>
      </w:r>
      <w:r w:rsidRPr="006D329F">
        <w:rPr>
          <w:noProof/>
        </w:rPr>
        <w:t xml:space="preserve"> alineatul (</w:t>
      </w:r>
      <w:r w:rsidRPr="00874920">
        <w:rPr>
          <w:noProof/>
        </w:rPr>
        <w:t>3</w:t>
      </w:r>
      <w:r w:rsidRPr="006D329F">
        <w:rPr>
          <w:noProof/>
        </w:rPr>
        <w:t xml:space="preserve">) din Convenția SA. Consiliul își poate exprima dezacordul cu privire la poziția propusă pentru una sau mai multe dintre deciziile individuale în cauză referitoare la SA. </w:t>
      </w:r>
    </w:p>
    <w:p w:rsidR="0054568C" w:rsidRPr="006D329F" w:rsidRDefault="0054568C" w:rsidP="002F2C12">
      <w:pPr>
        <w:rPr>
          <w:noProof/>
          <w:szCs w:val="24"/>
        </w:rPr>
      </w:pPr>
      <w:r w:rsidRPr="006D329F">
        <w:rPr>
          <w:noProof/>
        </w:rPr>
        <w:t>– În cazurile în care Uniunea consideră că este necesar să notifice o obiecție la Recomandarea Consiliului OMV privind modificarea nomenclaturii prezentate în anexă la Convenția privind Sistemul armonizat, adoptată în temeiul articolului </w:t>
      </w:r>
      <w:r w:rsidRPr="00874920">
        <w:rPr>
          <w:noProof/>
        </w:rPr>
        <w:t>16</w:t>
      </w:r>
      <w:r w:rsidRPr="006D329F">
        <w:rPr>
          <w:noProof/>
        </w:rPr>
        <w:t xml:space="preserve"> din Convenția SA, Comisia prezintă Consiliului evaluarea sa prin care stabilește dacă recomandarea Consiliului OMV în cauză poate fi acceptată sau dacă chestiunea ar trebui notificată secretarului general al OMV.</w:t>
      </w:r>
    </w:p>
    <w:p w:rsidR="002F2C12" w:rsidRPr="006D329F" w:rsidRDefault="002F2C12" w:rsidP="00464A7E">
      <w:pPr>
        <w:spacing w:before="100" w:beforeAutospacing="1" w:after="100" w:afterAutospacing="1"/>
        <w:rPr>
          <w:rFonts w:eastAsia="Times New Roman"/>
          <w:noProof/>
          <w:szCs w:val="24"/>
        </w:rPr>
      </w:pPr>
      <w:r w:rsidRPr="006D329F">
        <w:rPr>
          <w:noProof/>
        </w:rPr>
        <w:t>În conformitate cu articolul </w:t>
      </w:r>
      <w:r w:rsidRPr="00874920">
        <w:rPr>
          <w:noProof/>
        </w:rPr>
        <w:t>218</w:t>
      </w:r>
      <w:r w:rsidRPr="006D329F">
        <w:rPr>
          <w:noProof/>
        </w:rPr>
        <w:t xml:space="preserve"> alineatul (</w:t>
      </w:r>
      <w:r w:rsidRPr="00874920">
        <w:rPr>
          <w:noProof/>
        </w:rPr>
        <w:t>10</w:t>
      </w:r>
      <w:r w:rsidRPr="006D329F">
        <w:rPr>
          <w:noProof/>
        </w:rPr>
        <w:t>) din TFUE, Parlamentul European va fi informat imediat și pe deplin.</w:t>
      </w:r>
    </w:p>
    <w:p w:rsidR="00FF7A64" w:rsidRPr="006D329F" w:rsidRDefault="00FF7A64" w:rsidP="002A7080">
      <w:pPr>
        <w:pStyle w:val="ManualHeading1"/>
        <w:rPr>
          <w:noProof/>
        </w:rPr>
      </w:pPr>
      <w:r>
        <w:rPr>
          <w:noProof/>
        </w:rPr>
        <w:t>4.</w:t>
      </w:r>
      <w:r>
        <w:rPr>
          <w:noProof/>
        </w:rPr>
        <w:tab/>
      </w:r>
      <w:r w:rsidRPr="006D329F">
        <w:rPr>
          <w:noProof/>
        </w:rPr>
        <w:t>Temei juridic</w:t>
      </w:r>
    </w:p>
    <w:p w:rsidR="00FF7A64" w:rsidRPr="006D329F" w:rsidRDefault="00FF7A64" w:rsidP="002A7080">
      <w:pPr>
        <w:pStyle w:val="ManualHeading2"/>
        <w:rPr>
          <w:noProof/>
        </w:rPr>
      </w:pPr>
      <w:r>
        <w:rPr>
          <w:noProof/>
        </w:rPr>
        <w:t>4.1.</w:t>
      </w:r>
      <w:r>
        <w:rPr>
          <w:noProof/>
        </w:rPr>
        <w:tab/>
      </w:r>
      <w:r w:rsidRPr="006D329F">
        <w:rPr>
          <w:noProof/>
        </w:rPr>
        <w:t>Principii</w:t>
      </w:r>
    </w:p>
    <w:p w:rsidR="00FF7A64" w:rsidRPr="006D329F" w:rsidRDefault="00FF7A64" w:rsidP="00FF7A64">
      <w:pPr>
        <w:rPr>
          <w:noProof/>
          <w:szCs w:val="24"/>
        </w:rPr>
      </w:pPr>
      <w:r w:rsidRPr="006D329F">
        <w:rPr>
          <w:noProof/>
        </w:rPr>
        <w:t xml:space="preserve">Articolul </w:t>
      </w:r>
      <w:r w:rsidRPr="00874920">
        <w:rPr>
          <w:noProof/>
        </w:rPr>
        <w:t>218</w:t>
      </w:r>
      <w:r w:rsidRPr="006D329F">
        <w:rPr>
          <w:noProof/>
        </w:rPr>
        <w:t xml:space="preserve"> alineatul (</w:t>
      </w:r>
      <w:r w:rsidRPr="00874920">
        <w:rPr>
          <w:noProof/>
        </w:rPr>
        <w:t>9</w:t>
      </w:r>
      <w:r w:rsidRPr="006D329F">
        <w:rPr>
          <w:noProof/>
        </w:rPr>
        <w:t>)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FF7A64" w:rsidRPr="006D329F" w:rsidRDefault="00FF7A64" w:rsidP="00FF7A64">
      <w:pPr>
        <w:rPr>
          <w:noProof/>
          <w:szCs w:val="24"/>
        </w:rPr>
      </w:pPr>
      <w:r w:rsidRPr="006D329F">
        <w:rPr>
          <w:noProof/>
        </w:rPr>
        <w:t xml:space="preserve">Noțiunea de „acte cu efecte juridice” include actele care au efecte juridice în temeiul normelor de drept internațional aplicabile organismului în cauză. Sunt, de asemenea, incluse instrumente care nu au un caracter obligatoriu în temeiul dreptului internațional, dar care </w:t>
      </w:r>
      <w:r w:rsidRPr="006D329F">
        <w:rPr>
          <w:i/>
          <w:noProof/>
        </w:rPr>
        <w:t>„au vocația de a influența în mod decisiv conținutul reglementării adoptate de legiuitorul Uniunii”</w:t>
      </w:r>
      <w:r w:rsidRPr="006D329F">
        <w:rPr>
          <w:rStyle w:val="FootnoteReference"/>
          <w:noProof/>
          <w:szCs w:val="24"/>
        </w:rPr>
        <w:footnoteReference w:id="7"/>
      </w:r>
      <w:r w:rsidRPr="006D329F">
        <w:rPr>
          <w:noProof/>
        </w:rPr>
        <w:t>.</w:t>
      </w:r>
    </w:p>
    <w:p w:rsidR="00FF7A64" w:rsidRPr="006D329F" w:rsidRDefault="00FF7A64" w:rsidP="00FF7A64">
      <w:pPr>
        <w:rPr>
          <w:noProof/>
          <w:szCs w:val="24"/>
        </w:rPr>
      </w:pPr>
      <w:r w:rsidRPr="006D329F">
        <w:rPr>
          <w:noProof/>
        </w:rPr>
        <w:t xml:space="preserve">Prin urmare, temeiul juridic procedural pentru decizia propusă de stabilire a poziției care urmează să fie adoptată în numele Uniunii în cadrul OMV cu privire la adoptarea de note explicative, avize de clasificare sau alte avize orientative pentru interpretarea SA în temeiul Convenției SA și Recomandarea privind modificarea nomenclaturii prezentate în anexă la Convenția privind Sistemul armonizat este articolul </w:t>
      </w:r>
      <w:r w:rsidRPr="00874920">
        <w:rPr>
          <w:noProof/>
        </w:rPr>
        <w:t>218</w:t>
      </w:r>
      <w:r w:rsidRPr="006D329F">
        <w:rPr>
          <w:noProof/>
        </w:rPr>
        <w:t xml:space="preserve"> alineatul (</w:t>
      </w:r>
      <w:r w:rsidRPr="00874920">
        <w:rPr>
          <w:noProof/>
        </w:rPr>
        <w:t>9</w:t>
      </w:r>
      <w:r w:rsidRPr="006D329F">
        <w:rPr>
          <w:noProof/>
        </w:rPr>
        <w:t>) din TFUE.</w:t>
      </w:r>
    </w:p>
    <w:p w:rsidR="00236BFC" w:rsidRPr="006D329F" w:rsidRDefault="00236BFC" w:rsidP="00FF7A64">
      <w:pPr>
        <w:rPr>
          <w:noProof/>
          <w:szCs w:val="24"/>
        </w:rPr>
      </w:pPr>
    </w:p>
    <w:p w:rsidR="00FF7A64" w:rsidRPr="006D329F" w:rsidRDefault="00FF7A64" w:rsidP="002A7080">
      <w:pPr>
        <w:pStyle w:val="ManualHeading2"/>
        <w:rPr>
          <w:i/>
          <w:noProof/>
          <w:szCs w:val="24"/>
        </w:rPr>
      </w:pPr>
      <w:r>
        <w:rPr>
          <w:noProof/>
        </w:rPr>
        <w:t>4.2.</w:t>
      </w:r>
      <w:r>
        <w:rPr>
          <w:noProof/>
        </w:rPr>
        <w:tab/>
      </w:r>
      <w:r w:rsidRPr="006D329F">
        <w:rPr>
          <w:noProof/>
        </w:rPr>
        <w:t xml:space="preserve">Aplicarea </w:t>
      </w:r>
      <w:r w:rsidRPr="006D329F">
        <w:rPr>
          <w:i/>
          <w:noProof/>
        </w:rPr>
        <w:t>la cazul în discuție</w:t>
      </w:r>
    </w:p>
    <w:p w:rsidR="00C27661" w:rsidRPr="006D329F" w:rsidRDefault="00C27661" w:rsidP="00C27661">
      <w:pPr>
        <w:rPr>
          <w:noProof/>
          <w:szCs w:val="24"/>
        </w:rPr>
      </w:pPr>
      <w:r w:rsidRPr="006D329F">
        <w:rPr>
          <w:noProof/>
        </w:rPr>
        <w:t>Comitetul Sistemului armonizat și Consiliul sunt organisme înființate printr-un acord, și anume Convenția internațională privind Sistemul armonizat de denumire și codificare a mărfurilor.</w:t>
      </w:r>
    </w:p>
    <w:p w:rsidR="00C27661" w:rsidRPr="006D329F" w:rsidRDefault="00C27661" w:rsidP="00C27661">
      <w:pPr>
        <w:rPr>
          <w:noProof/>
          <w:szCs w:val="24"/>
        </w:rPr>
      </w:pPr>
      <w:r w:rsidRPr="006D329F">
        <w:rPr>
          <w:noProof/>
        </w:rPr>
        <w:t xml:space="preserve">Actele pe care trebuie să le redacteze CSA sunt acte cu efecte juridice. Odată aprobate de Consiliu, actele avute în vedere pot influența în mod decisiv conținutul legislației UE, și anume: anexa </w:t>
      </w:r>
      <w:r w:rsidRPr="00874920">
        <w:rPr>
          <w:noProof/>
        </w:rPr>
        <w:t>1</w:t>
      </w:r>
      <w:r w:rsidRPr="006D329F">
        <w:rPr>
          <w:noProof/>
        </w:rPr>
        <w:t xml:space="preserve"> la Regulamentul (CEE) nr. </w:t>
      </w:r>
      <w:r w:rsidRPr="00874920">
        <w:rPr>
          <w:noProof/>
        </w:rPr>
        <w:t>2658</w:t>
      </w:r>
      <w:r w:rsidRPr="006D329F">
        <w:rPr>
          <w:noProof/>
        </w:rPr>
        <w:t>/</w:t>
      </w:r>
      <w:r w:rsidRPr="00874920">
        <w:rPr>
          <w:noProof/>
        </w:rPr>
        <w:t>87</w:t>
      </w:r>
      <w:r w:rsidRPr="006D329F">
        <w:rPr>
          <w:noProof/>
        </w:rPr>
        <w:t xml:space="preserve"> al Consiliului privind Nomenclatura tarifară și statistică și Tariful Vamal Comun. Acest lucru se datorează faptului că articolul </w:t>
      </w:r>
      <w:r w:rsidRPr="00874920">
        <w:rPr>
          <w:noProof/>
        </w:rPr>
        <w:t>34</w:t>
      </w:r>
      <w:r w:rsidRPr="006D329F">
        <w:rPr>
          <w:noProof/>
        </w:rPr>
        <w:t xml:space="preserve"> </w:t>
      </w:r>
      <w:r w:rsidRPr="006D329F">
        <w:rPr>
          <w:noProof/>
        </w:rPr>
        <w:lastRenderedPageBreak/>
        <w:t>alineatul (</w:t>
      </w:r>
      <w:r w:rsidRPr="00874920">
        <w:rPr>
          <w:noProof/>
        </w:rPr>
        <w:t>7</w:t>
      </w:r>
      <w:r w:rsidRPr="006D329F">
        <w:rPr>
          <w:noProof/>
        </w:rPr>
        <w:t>) litera (a) punctul (iii) din Codul vamal al Uniunii</w:t>
      </w:r>
      <w:r w:rsidRPr="006D329F">
        <w:rPr>
          <w:rStyle w:val="FootnoteReference"/>
          <w:noProof/>
          <w:szCs w:val="24"/>
        </w:rPr>
        <w:footnoteReference w:id="8"/>
      </w:r>
      <w:r w:rsidRPr="006D329F">
        <w:rPr>
          <w:noProof/>
        </w:rPr>
        <w:t xml:space="preserve"> prevede că „[a]utoritățile vamale revocă deciziile ITO [...]</w:t>
      </w:r>
      <w:r w:rsidRPr="00DE55D1">
        <w:rPr>
          <w:rStyle w:val="FootnoteReference"/>
          <w:noProof/>
          <w:szCs w:val="24"/>
        </w:rPr>
        <w:footnoteReference w:id="9"/>
      </w:r>
      <w:r w:rsidRPr="006D329F">
        <w:rPr>
          <w:noProof/>
        </w:rPr>
        <w:t xml:space="preserve"> în cazul în care nu mai sunt compatibile cu interpretarea [...] decurgând din […] deciziile de clasificare, avizele de clasificare sau modificări ale notelor explicative ale Nomenclaturii Sistemului armonizat de denumire și codificare a mărfurilor” adoptate de Comitetul SA. În plus, aceste decizii redactate de CSA (decizii de clasificare, avize de clasificare sau modificări ale notelor explicative ale Nomenclaturii SA) sunt utilizate în sprijinul clasificării prevăzute în regulamentele de punere în aplicare ale Comisiei privind clasificarea anumitor mărfuri în Nomenclatura combinată (NC), în notele explicative la NC și în deciziile de clasificare emise de autoritățile vamale ale statelor membre.</w:t>
      </w:r>
    </w:p>
    <w:p w:rsidR="00871ECC" w:rsidRPr="006D329F" w:rsidRDefault="00151177" w:rsidP="00151177">
      <w:pPr>
        <w:rPr>
          <w:noProof/>
        </w:rPr>
      </w:pPr>
      <w:r w:rsidRPr="006D329F">
        <w:rPr>
          <w:noProof/>
        </w:rPr>
        <w:t>În ceea ce privește Recomandarea privind modificarea nomenclaturii prezentate în anexă la Convenția privind Sistemul armonizat adoptată în temeiul articolului </w:t>
      </w:r>
      <w:r w:rsidRPr="00874920">
        <w:rPr>
          <w:noProof/>
        </w:rPr>
        <w:t>16</w:t>
      </w:r>
      <w:r w:rsidRPr="006D329F">
        <w:rPr>
          <w:noProof/>
        </w:rPr>
        <w:t xml:space="preserve"> din Convenția SA, Consiliul OMV urmează să recomande părților contractante la SA modificări ale anexei la Convenția SA (Nomenclatura Sistemului armonizat) o dată la cinci ani, în cadrul sesiunii sale din iunie. Aceste modificări sunt considerate acceptate în termen de șase luni, cu excepția cazului în care o parte contractantă formulează obiecții. Odată intrate în vigoare, modificările acceptate sunt obligatorii în temeiul dreptului internațional pentru toate părțile contractante, care sunt obligate să își alinieze nomenclaturile tarifare și statistice la Sistemul armonizat modificat. </w:t>
      </w:r>
    </w:p>
    <w:p w:rsidR="00151177" w:rsidRPr="006D329F" w:rsidRDefault="00977354" w:rsidP="00151177">
      <w:pPr>
        <w:rPr>
          <w:noProof/>
        </w:rPr>
      </w:pPr>
      <w:r w:rsidRPr="006D329F">
        <w:rPr>
          <w:noProof/>
        </w:rPr>
        <w:t xml:space="preserve">În consecință, odată acceptată, recomandarea va fi încorporată în legislația Uniunii, și anume în anexa </w:t>
      </w:r>
      <w:r w:rsidRPr="00874920">
        <w:rPr>
          <w:noProof/>
        </w:rPr>
        <w:t>1</w:t>
      </w:r>
      <w:r w:rsidRPr="006D329F">
        <w:rPr>
          <w:noProof/>
        </w:rPr>
        <w:t xml:space="preserve"> la Regulamentul (CEE) nr. </w:t>
      </w:r>
      <w:r w:rsidRPr="00874920">
        <w:rPr>
          <w:noProof/>
        </w:rPr>
        <w:t>2658</w:t>
      </w:r>
      <w:r w:rsidRPr="006D329F">
        <w:rPr>
          <w:noProof/>
        </w:rPr>
        <w:t>/</w:t>
      </w:r>
      <w:r w:rsidRPr="00874920">
        <w:rPr>
          <w:noProof/>
        </w:rPr>
        <w:t>87</w:t>
      </w:r>
      <w:r w:rsidRPr="006D329F">
        <w:rPr>
          <w:noProof/>
        </w:rPr>
        <w:t xml:space="preserve"> al Consiliului privind Nomenclatura tarifară și statistică și Tariful vamal comun, întrucât articolul </w:t>
      </w:r>
      <w:r w:rsidRPr="00874920">
        <w:rPr>
          <w:noProof/>
        </w:rPr>
        <w:t>1</w:t>
      </w:r>
      <w:r w:rsidRPr="006D329F">
        <w:rPr>
          <w:noProof/>
        </w:rPr>
        <w:t xml:space="preserve"> alineatul (</w:t>
      </w:r>
      <w:r w:rsidRPr="00874920">
        <w:rPr>
          <w:noProof/>
        </w:rPr>
        <w:t>2</w:t>
      </w:r>
      <w:r w:rsidRPr="006D329F">
        <w:rPr>
          <w:noProof/>
        </w:rPr>
        <w:t>) litera (a) din regulamentul respectiv prevede că „Nomenclatura combinată cuprinde:</w:t>
      </w:r>
      <w:r w:rsidRPr="006D329F">
        <w:rPr>
          <w:i/>
          <w:noProof/>
        </w:rPr>
        <w:t xml:space="preserve"> (a) nomenclatura Sistemului armonizat;”</w:t>
      </w:r>
      <w:r w:rsidRPr="006D329F">
        <w:rPr>
          <w:noProof/>
        </w:rPr>
        <w:t xml:space="preserve"> </w:t>
      </w:r>
    </w:p>
    <w:p w:rsidR="00C27661" w:rsidRPr="006D329F" w:rsidRDefault="00C27661" w:rsidP="00C27661">
      <w:pPr>
        <w:rPr>
          <w:noProof/>
          <w:szCs w:val="24"/>
        </w:rPr>
      </w:pPr>
      <w:r w:rsidRPr="006D329F">
        <w:rPr>
          <w:noProof/>
        </w:rPr>
        <w:t>Actul avut în vedere nu aduce modificări sau completări cadrului instituțional al acordului.</w:t>
      </w:r>
    </w:p>
    <w:p w:rsidR="00C27661" w:rsidRPr="006D329F" w:rsidRDefault="00C27661" w:rsidP="00C27661">
      <w:pPr>
        <w:rPr>
          <w:noProof/>
          <w:szCs w:val="24"/>
        </w:rPr>
      </w:pPr>
      <w:r w:rsidRPr="006D329F">
        <w:rPr>
          <w:noProof/>
        </w:rPr>
        <w:t xml:space="preserve">Prin urmare, temeiul juridic procedural al deciziei propuse este articolul </w:t>
      </w:r>
      <w:r w:rsidRPr="00874920">
        <w:rPr>
          <w:noProof/>
        </w:rPr>
        <w:t>218</w:t>
      </w:r>
      <w:r w:rsidRPr="006D329F">
        <w:rPr>
          <w:noProof/>
        </w:rPr>
        <w:t xml:space="preserve"> alineatul (</w:t>
      </w:r>
      <w:r w:rsidRPr="00874920">
        <w:rPr>
          <w:noProof/>
        </w:rPr>
        <w:t>9</w:t>
      </w:r>
      <w:r w:rsidRPr="006D329F">
        <w:rPr>
          <w:noProof/>
        </w:rPr>
        <w:t>) din TFUE.</w:t>
      </w:r>
    </w:p>
    <w:p w:rsidR="00FF7A64" w:rsidRPr="006D329F" w:rsidRDefault="00FF7A64" w:rsidP="002A7080">
      <w:pPr>
        <w:pStyle w:val="ManualHeading2"/>
        <w:rPr>
          <w:b w:val="0"/>
          <w:noProof/>
          <w:szCs w:val="24"/>
        </w:rPr>
      </w:pPr>
      <w:r>
        <w:rPr>
          <w:noProof/>
        </w:rPr>
        <w:t>4.3.</w:t>
      </w:r>
      <w:r>
        <w:rPr>
          <w:noProof/>
        </w:rPr>
        <w:tab/>
      </w:r>
      <w:r w:rsidRPr="006D329F">
        <w:rPr>
          <w:noProof/>
        </w:rPr>
        <w:t>Temeiul juridic material</w:t>
      </w:r>
    </w:p>
    <w:p w:rsidR="00FF7A64" w:rsidRPr="006D329F" w:rsidRDefault="00FF7A64" w:rsidP="002A7080">
      <w:pPr>
        <w:pStyle w:val="ManualHeading3"/>
        <w:rPr>
          <w:noProof/>
        </w:rPr>
      </w:pPr>
      <w:r>
        <w:rPr>
          <w:noProof/>
        </w:rPr>
        <w:t>4.3.1.</w:t>
      </w:r>
      <w:r>
        <w:rPr>
          <w:noProof/>
        </w:rPr>
        <w:tab/>
      </w:r>
      <w:r w:rsidRPr="006D329F">
        <w:rPr>
          <w:noProof/>
        </w:rPr>
        <w:t>Principii</w:t>
      </w:r>
    </w:p>
    <w:p w:rsidR="00FF7A64" w:rsidRPr="006D329F" w:rsidRDefault="00FF7A64" w:rsidP="00FF7A64">
      <w:pPr>
        <w:rPr>
          <w:noProof/>
          <w:szCs w:val="24"/>
        </w:rPr>
      </w:pPr>
      <w:r w:rsidRPr="006D329F">
        <w:rPr>
          <w:noProof/>
        </w:rPr>
        <w:t xml:space="preserve">Temeiul juridic material al unei decizii adoptate în temeiul articolului </w:t>
      </w:r>
      <w:r w:rsidRPr="00874920">
        <w:rPr>
          <w:noProof/>
        </w:rPr>
        <w:t>218</w:t>
      </w:r>
      <w:r w:rsidRPr="006D329F">
        <w:rPr>
          <w:noProof/>
        </w:rPr>
        <w:t xml:space="preserve"> alineatul (</w:t>
      </w:r>
      <w:r w:rsidRPr="00874920">
        <w:rPr>
          <w:noProof/>
        </w:rPr>
        <w:t>9</w:t>
      </w:r>
      <w:r w:rsidRPr="006D329F">
        <w:rPr>
          <w:noProof/>
        </w:rPr>
        <w:t xml:space="preserve">)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w:t>
      </w:r>
      <w:r w:rsidRPr="00874920">
        <w:rPr>
          <w:noProof/>
        </w:rPr>
        <w:t>218</w:t>
      </w:r>
      <w:r w:rsidRPr="006D329F">
        <w:rPr>
          <w:noProof/>
        </w:rPr>
        <w:t xml:space="preserve"> alineatul (</w:t>
      </w:r>
      <w:r w:rsidRPr="00874920">
        <w:rPr>
          <w:noProof/>
        </w:rPr>
        <w:t>9</w:t>
      </w:r>
      <w:r w:rsidRPr="006D329F">
        <w:rPr>
          <w:noProof/>
        </w:rPr>
        <w:t>) din TFUE trebuie să se întemeieze pe un singur temei juridic material, respectiv cel impus de obiectivul sau de elementul principal sau predominant.</w:t>
      </w:r>
    </w:p>
    <w:p w:rsidR="00FF7A64" w:rsidRPr="006D329F" w:rsidRDefault="00FF7A64" w:rsidP="002A7080">
      <w:pPr>
        <w:pStyle w:val="ManualHeading3"/>
        <w:rPr>
          <w:i w:val="0"/>
          <w:noProof/>
          <w:szCs w:val="24"/>
        </w:rPr>
      </w:pPr>
      <w:r>
        <w:rPr>
          <w:noProof/>
        </w:rPr>
        <w:t>4.3.2.</w:t>
      </w:r>
      <w:r>
        <w:rPr>
          <w:noProof/>
        </w:rPr>
        <w:tab/>
      </w:r>
      <w:r w:rsidRPr="006D329F">
        <w:rPr>
          <w:noProof/>
        </w:rPr>
        <w:t>Aplicarea la cazul în discuție</w:t>
      </w:r>
    </w:p>
    <w:p w:rsidR="00FF7A64" w:rsidRPr="006D329F" w:rsidRDefault="00FF7A64" w:rsidP="00FF7A64">
      <w:pPr>
        <w:rPr>
          <w:noProof/>
          <w:szCs w:val="24"/>
        </w:rPr>
      </w:pPr>
      <w:r w:rsidRPr="006D329F">
        <w:rPr>
          <w:noProof/>
        </w:rPr>
        <w:t xml:space="preserve">Întrucât obiectivul principal și conținutul actului avut în vedere se referă la interpretarea tarifului și la încheierea unui acord internațional în politica comercială comună și punerea în aplicare a Nomenclaturii SA și a Nomenclaturii combinate a UE, temeiul juridic material al </w:t>
      </w:r>
      <w:r w:rsidRPr="006D329F">
        <w:rPr>
          <w:noProof/>
        </w:rPr>
        <w:lastRenderedPageBreak/>
        <w:t>deciziei propuse este reprezentat de articolul </w:t>
      </w:r>
      <w:r w:rsidRPr="00874920">
        <w:rPr>
          <w:noProof/>
        </w:rPr>
        <w:t>31</w:t>
      </w:r>
      <w:r w:rsidRPr="006D329F">
        <w:rPr>
          <w:noProof/>
        </w:rPr>
        <w:t>, articolul </w:t>
      </w:r>
      <w:r w:rsidRPr="00874920">
        <w:rPr>
          <w:noProof/>
        </w:rPr>
        <w:t>43</w:t>
      </w:r>
      <w:r w:rsidRPr="006D329F">
        <w:rPr>
          <w:noProof/>
        </w:rPr>
        <w:t xml:space="preserve"> alineatul (</w:t>
      </w:r>
      <w:r w:rsidRPr="00874920">
        <w:rPr>
          <w:noProof/>
        </w:rPr>
        <w:t>2</w:t>
      </w:r>
      <w:r w:rsidRPr="006D329F">
        <w:rPr>
          <w:noProof/>
        </w:rPr>
        <w:t>) și articolul </w:t>
      </w:r>
      <w:r w:rsidRPr="00874920">
        <w:rPr>
          <w:noProof/>
        </w:rPr>
        <w:t>207</w:t>
      </w:r>
      <w:r w:rsidRPr="006D329F">
        <w:rPr>
          <w:noProof/>
        </w:rPr>
        <w:t xml:space="preserve"> alineatul (</w:t>
      </w:r>
      <w:r w:rsidRPr="00874920">
        <w:rPr>
          <w:noProof/>
        </w:rPr>
        <w:t>4</w:t>
      </w:r>
      <w:r w:rsidRPr="006D329F">
        <w:rPr>
          <w:noProof/>
        </w:rPr>
        <w:t>) primul paragraf din TFUE.</w:t>
      </w:r>
    </w:p>
    <w:p w:rsidR="00FF7A64" w:rsidRPr="006D329F" w:rsidRDefault="00FF7A64" w:rsidP="002A7080">
      <w:pPr>
        <w:pStyle w:val="ManualHeading2"/>
        <w:rPr>
          <w:b w:val="0"/>
          <w:noProof/>
          <w:szCs w:val="24"/>
        </w:rPr>
      </w:pPr>
      <w:r>
        <w:rPr>
          <w:noProof/>
        </w:rPr>
        <w:t>4.4.</w:t>
      </w:r>
      <w:r>
        <w:rPr>
          <w:noProof/>
        </w:rPr>
        <w:tab/>
      </w:r>
      <w:r w:rsidRPr="006D329F">
        <w:rPr>
          <w:noProof/>
        </w:rPr>
        <w:t>Concluzie</w:t>
      </w:r>
    </w:p>
    <w:p w:rsidR="00FF7A64" w:rsidRPr="006D329F" w:rsidRDefault="00FF7A64" w:rsidP="00FF7A64">
      <w:pPr>
        <w:rPr>
          <w:noProof/>
          <w:szCs w:val="24"/>
        </w:rPr>
      </w:pPr>
      <w:r w:rsidRPr="006D329F">
        <w:rPr>
          <w:noProof/>
        </w:rPr>
        <w:t xml:space="preserve">Temeiul juridic al deciziei propuse ar trebui să fie articolul </w:t>
      </w:r>
      <w:r w:rsidRPr="00874920">
        <w:rPr>
          <w:noProof/>
        </w:rPr>
        <w:t>31</w:t>
      </w:r>
      <w:r w:rsidRPr="006D329F">
        <w:rPr>
          <w:noProof/>
        </w:rPr>
        <w:t xml:space="preserve">, articolul </w:t>
      </w:r>
      <w:r w:rsidRPr="00874920">
        <w:rPr>
          <w:noProof/>
        </w:rPr>
        <w:t>43</w:t>
      </w:r>
      <w:r w:rsidRPr="006D329F">
        <w:rPr>
          <w:noProof/>
        </w:rPr>
        <w:t xml:space="preserve"> alineatul (</w:t>
      </w:r>
      <w:r w:rsidRPr="00874920">
        <w:rPr>
          <w:noProof/>
        </w:rPr>
        <w:t>2</w:t>
      </w:r>
      <w:r w:rsidRPr="006D329F">
        <w:rPr>
          <w:noProof/>
        </w:rPr>
        <w:t xml:space="preserve">) și articolul </w:t>
      </w:r>
      <w:r w:rsidRPr="00874920">
        <w:rPr>
          <w:noProof/>
        </w:rPr>
        <w:t>207</w:t>
      </w:r>
      <w:r w:rsidRPr="006D329F">
        <w:rPr>
          <w:noProof/>
        </w:rPr>
        <w:t xml:space="preserve"> alineatul (</w:t>
      </w:r>
      <w:r w:rsidRPr="00874920">
        <w:rPr>
          <w:noProof/>
        </w:rPr>
        <w:t>4</w:t>
      </w:r>
      <w:r w:rsidRPr="006D329F">
        <w:rPr>
          <w:noProof/>
        </w:rPr>
        <w:t xml:space="preserve">) primul paragraf din TFUE, coroborate cu articolul </w:t>
      </w:r>
      <w:r w:rsidRPr="00874920">
        <w:rPr>
          <w:noProof/>
        </w:rPr>
        <w:t>218</w:t>
      </w:r>
      <w:r w:rsidRPr="006D329F">
        <w:rPr>
          <w:noProof/>
        </w:rPr>
        <w:t xml:space="preserve"> alineatul (</w:t>
      </w:r>
      <w:r w:rsidRPr="00874920">
        <w:rPr>
          <w:noProof/>
        </w:rPr>
        <w:t>9</w:t>
      </w:r>
      <w:r w:rsidRPr="006D329F">
        <w:rPr>
          <w:noProof/>
        </w:rPr>
        <w:t>) din TFUE.</w:t>
      </w:r>
    </w:p>
    <w:p w:rsidR="00FF7A64" w:rsidRPr="006D329F" w:rsidRDefault="00FF7A64" w:rsidP="002A7080">
      <w:pPr>
        <w:pStyle w:val="ManualHeading1"/>
        <w:rPr>
          <w:noProof/>
        </w:rPr>
      </w:pPr>
      <w:r>
        <w:rPr>
          <w:noProof/>
        </w:rPr>
        <w:t>5.</w:t>
      </w:r>
      <w:r>
        <w:rPr>
          <w:noProof/>
        </w:rPr>
        <w:tab/>
      </w:r>
      <w:r w:rsidRPr="006D329F">
        <w:rPr>
          <w:noProof/>
        </w:rPr>
        <w:t xml:space="preserve">Implicații bugetare </w:t>
      </w:r>
    </w:p>
    <w:p w:rsidR="00FF7A64" w:rsidRPr="006D329F" w:rsidRDefault="00FF7A64" w:rsidP="00FF7A64">
      <w:pPr>
        <w:rPr>
          <w:noProof/>
          <w:szCs w:val="24"/>
        </w:rPr>
      </w:pPr>
      <w:r w:rsidRPr="006D329F">
        <w:rPr>
          <w:noProof/>
        </w:rPr>
        <w:t xml:space="preserve">Propunerea nu are implicații asupra bugetului Uniunii Europene. </w:t>
      </w:r>
    </w:p>
    <w:p w:rsidR="00FF7A64" w:rsidRPr="006D329F" w:rsidRDefault="00FF7A64" w:rsidP="002A7080">
      <w:pPr>
        <w:pStyle w:val="ManualHeading1"/>
        <w:rPr>
          <w:smallCaps w:val="0"/>
          <w:noProof/>
          <w:szCs w:val="24"/>
        </w:rPr>
      </w:pPr>
      <w:r>
        <w:rPr>
          <w:noProof/>
        </w:rPr>
        <w:t>6.</w:t>
      </w:r>
      <w:r>
        <w:rPr>
          <w:noProof/>
        </w:rPr>
        <w:tab/>
      </w:r>
      <w:r w:rsidRPr="006D329F">
        <w:rPr>
          <w:noProof/>
        </w:rPr>
        <w:t>Publicarea actului avut în vedere</w:t>
      </w:r>
    </w:p>
    <w:p w:rsidR="00C04944" w:rsidRPr="006D329F" w:rsidRDefault="00464458" w:rsidP="004F59A5">
      <w:pPr>
        <w:rPr>
          <w:noProof/>
          <w:szCs w:val="24"/>
        </w:rPr>
      </w:pPr>
      <w:r w:rsidRPr="006D329F">
        <w:rPr>
          <w:noProof/>
        </w:rPr>
        <w:t>Da</w:t>
      </w:r>
    </w:p>
    <w:p w:rsidR="00F0697B" w:rsidRPr="006D329F" w:rsidRDefault="00F0697B" w:rsidP="00F0697B">
      <w:pPr>
        <w:rPr>
          <w:noProof/>
          <w:szCs w:val="24"/>
        </w:rPr>
        <w:sectPr w:rsidR="00F0697B" w:rsidRPr="006D329F" w:rsidSect="00B4270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rsidR="005F4837" w:rsidRDefault="002415D3">
      <w:pPr>
        <w:pStyle w:val="Rfrenceinterinstitutionnelle"/>
        <w:rPr>
          <w:noProof/>
        </w:rPr>
      </w:pPr>
      <w:r>
        <w:rPr>
          <w:noProof/>
        </w:rPr>
        <w:lastRenderedPageBreak/>
        <w:t>2026/0143 (NLE)</w:t>
      </w:r>
    </w:p>
    <w:p w:rsidR="000C32A8" w:rsidRPr="006D329F" w:rsidRDefault="00AF54C7" w:rsidP="00AF54C7">
      <w:pPr>
        <w:pStyle w:val="Statut"/>
        <w:rPr>
          <w:noProof/>
        </w:rPr>
      </w:pPr>
      <w:r w:rsidRPr="006D329F">
        <w:rPr>
          <w:noProof/>
        </w:rPr>
        <w:t>Propunere de</w:t>
      </w:r>
    </w:p>
    <w:p w:rsidR="000C32A8" w:rsidRPr="006D329F" w:rsidRDefault="00AF54C7" w:rsidP="00AF54C7">
      <w:pPr>
        <w:pStyle w:val="Typedudocument"/>
        <w:rPr>
          <w:noProof/>
        </w:rPr>
      </w:pPr>
      <w:r w:rsidRPr="006D329F">
        <w:rPr>
          <w:noProof/>
        </w:rPr>
        <w:t>DECIZIE A CONSILIULUI</w:t>
      </w:r>
    </w:p>
    <w:p w:rsidR="000C32A8" w:rsidRPr="006D329F" w:rsidRDefault="00AF54C7" w:rsidP="00AF54C7">
      <w:pPr>
        <w:pStyle w:val="Titreobjet"/>
        <w:rPr>
          <w:noProof/>
        </w:rPr>
      </w:pPr>
      <w:r w:rsidRPr="006D329F">
        <w:rPr>
          <w:noProof/>
        </w:rPr>
        <w:t>privind poziția care urmează să fie adoptată în numele Uniunii Europene în cadrul Organizației Mondiale a Vămilor (OMV) cu privire la adoptarea de note explicative, avize de clasificare și alte avize privind interpretarea Sistemului armonizat și recomandări pentru a asigura o interpretare uniformă a Sistemului armonizat în temeiul Convenției privind Sistemul armonizat și Recomandarea privind modificarea nomenclaturii prezentate în anexă la Convenția privind Sistemul armonizat</w:t>
      </w:r>
    </w:p>
    <w:p w:rsidR="000C32A8" w:rsidRPr="006D329F" w:rsidRDefault="000C32A8" w:rsidP="000C32A8">
      <w:pPr>
        <w:pStyle w:val="Institutionquiagit"/>
        <w:rPr>
          <w:b/>
          <w:noProof/>
          <w:szCs w:val="24"/>
        </w:rPr>
      </w:pPr>
      <w:r w:rsidRPr="006D329F">
        <w:rPr>
          <w:b/>
          <w:noProof/>
        </w:rPr>
        <w:t>CONSILIUL UNIUNII EUROPENE,</w:t>
      </w:r>
    </w:p>
    <w:p w:rsidR="000C32A8" w:rsidRPr="006D329F" w:rsidRDefault="000C32A8" w:rsidP="000C32A8">
      <w:pPr>
        <w:rPr>
          <w:noProof/>
          <w:szCs w:val="24"/>
        </w:rPr>
      </w:pPr>
      <w:r w:rsidRPr="006D329F">
        <w:rPr>
          <w:noProof/>
        </w:rPr>
        <w:t>având în vedere Tratatul privind funcționarea Uniunii Europene, în special articolul </w:t>
      </w:r>
      <w:r w:rsidRPr="00874920">
        <w:rPr>
          <w:noProof/>
        </w:rPr>
        <w:t>31</w:t>
      </w:r>
      <w:r w:rsidRPr="006D329F">
        <w:rPr>
          <w:noProof/>
        </w:rPr>
        <w:t>, articolul </w:t>
      </w:r>
      <w:r w:rsidRPr="00874920">
        <w:rPr>
          <w:noProof/>
        </w:rPr>
        <w:t>43</w:t>
      </w:r>
      <w:r w:rsidRPr="006D329F">
        <w:rPr>
          <w:noProof/>
        </w:rPr>
        <w:t xml:space="preserve"> alineatul (</w:t>
      </w:r>
      <w:r w:rsidRPr="00874920">
        <w:rPr>
          <w:noProof/>
        </w:rPr>
        <w:t>2</w:t>
      </w:r>
      <w:r w:rsidRPr="006D329F">
        <w:rPr>
          <w:noProof/>
        </w:rPr>
        <w:t>) și articolul </w:t>
      </w:r>
      <w:r w:rsidRPr="00874920">
        <w:rPr>
          <w:noProof/>
        </w:rPr>
        <w:t>207</w:t>
      </w:r>
      <w:r w:rsidRPr="006D329F">
        <w:rPr>
          <w:noProof/>
        </w:rPr>
        <w:t xml:space="preserve"> alineatul (</w:t>
      </w:r>
      <w:r w:rsidRPr="00874920">
        <w:rPr>
          <w:noProof/>
        </w:rPr>
        <w:t>4</w:t>
      </w:r>
      <w:r w:rsidRPr="006D329F">
        <w:rPr>
          <w:noProof/>
        </w:rPr>
        <w:t>) primul paragraf, coroborate cu articolul </w:t>
      </w:r>
      <w:r w:rsidRPr="00874920">
        <w:rPr>
          <w:noProof/>
        </w:rPr>
        <w:t>218</w:t>
      </w:r>
      <w:r w:rsidRPr="006D329F">
        <w:rPr>
          <w:noProof/>
        </w:rPr>
        <w:t xml:space="preserve"> alineatul (</w:t>
      </w:r>
      <w:r w:rsidRPr="00874920">
        <w:rPr>
          <w:noProof/>
        </w:rPr>
        <w:t>9</w:t>
      </w:r>
      <w:r w:rsidRPr="006D329F">
        <w:rPr>
          <w:noProof/>
        </w:rPr>
        <w:t>),</w:t>
      </w:r>
    </w:p>
    <w:p w:rsidR="000C32A8" w:rsidRPr="006D329F" w:rsidRDefault="000C32A8" w:rsidP="000C32A8">
      <w:pPr>
        <w:rPr>
          <w:noProof/>
          <w:szCs w:val="24"/>
        </w:rPr>
      </w:pPr>
      <w:r w:rsidRPr="006D329F">
        <w:rPr>
          <w:noProof/>
        </w:rPr>
        <w:t>având în vedere propunerea Comisiei Europene,</w:t>
      </w:r>
    </w:p>
    <w:p w:rsidR="000C32A8" w:rsidRPr="006D329F" w:rsidRDefault="000C32A8" w:rsidP="000C32A8">
      <w:pPr>
        <w:rPr>
          <w:noProof/>
          <w:szCs w:val="24"/>
        </w:rPr>
      </w:pPr>
      <w:r w:rsidRPr="006D329F">
        <w:rPr>
          <w:noProof/>
        </w:rPr>
        <w:t>întrucât:</w:t>
      </w:r>
    </w:p>
    <w:p w:rsidR="000C32A8" w:rsidRPr="006D329F" w:rsidRDefault="000C32A8" w:rsidP="006642ED">
      <w:pPr>
        <w:pStyle w:val="ManualConsidrant"/>
        <w:rPr>
          <w:noProof/>
        </w:rPr>
      </w:pPr>
      <w:r>
        <w:rPr>
          <w:noProof/>
        </w:rPr>
        <w:t>(1)</w:t>
      </w:r>
      <w:r>
        <w:rPr>
          <w:noProof/>
        </w:rPr>
        <w:tab/>
      </w:r>
      <w:r w:rsidRPr="006D329F">
        <w:rPr>
          <w:noProof/>
        </w:rPr>
        <w:t xml:space="preserve">Prin Decizia </w:t>
      </w:r>
      <w:r w:rsidRPr="00874920">
        <w:rPr>
          <w:noProof/>
        </w:rPr>
        <w:t>87</w:t>
      </w:r>
      <w:r w:rsidRPr="006D329F">
        <w:rPr>
          <w:noProof/>
        </w:rPr>
        <w:t>/</w:t>
      </w:r>
      <w:r w:rsidRPr="00874920">
        <w:rPr>
          <w:noProof/>
        </w:rPr>
        <w:t>369</w:t>
      </w:r>
      <w:r w:rsidRPr="006D329F">
        <w:rPr>
          <w:noProof/>
        </w:rPr>
        <w:t>/CEE a Consiliului</w:t>
      </w:r>
      <w:r w:rsidRPr="006D329F">
        <w:rPr>
          <w:rStyle w:val="FootnoteReference"/>
          <w:noProof/>
          <w:szCs w:val="24"/>
        </w:rPr>
        <w:footnoteReference w:id="10"/>
      </w:r>
      <w:r w:rsidRPr="006D329F">
        <w:rPr>
          <w:noProof/>
        </w:rPr>
        <w:t>, Uniunea a aprobat Convenția internațională privind Sistemul armonizat de denumire și codificare a mărfurilor</w:t>
      </w:r>
      <w:r w:rsidRPr="006D329F">
        <w:rPr>
          <w:rStyle w:val="FootnoteReference"/>
          <w:noProof/>
        </w:rPr>
        <w:footnoteReference w:id="11"/>
      </w:r>
      <w:r w:rsidRPr="006D329F">
        <w:rPr>
          <w:noProof/>
        </w:rPr>
        <w:t xml:space="preserve"> și protocolul de modificare a acesteia</w:t>
      </w:r>
      <w:r w:rsidRPr="006D329F">
        <w:rPr>
          <w:rStyle w:val="FootnoteReference"/>
          <w:noProof/>
          <w:szCs w:val="24"/>
        </w:rPr>
        <w:footnoteReference w:id="12"/>
      </w:r>
      <w:r w:rsidRPr="006D329F">
        <w:rPr>
          <w:noProof/>
        </w:rPr>
        <w:t xml:space="preserve"> (Convenția SA), prin care, printre altele, a fost instituit Comitetul Sistemului armonizat (CSA). </w:t>
      </w:r>
    </w:p>
    <w:p w:rsidR="000C32A8" w:rsidRPr="006D329F" w:rsidRDefault="000C32A8" w:rsidP="006642ED">
      <w:pPr>
        <w:pStyle w:val="ManualConsidrant"/>
        <w:rPr>
          <w:noProof/>
        </w:rPr>
      </w:pPr>
      <w:r>
        <w:rPr>
          <w:noProof/>
        </w:rPr>
        <w:t>(2)</w:t>
      </w:r>
      <w:r>
        <w:rPr>
          <w:noProof/>
        </w:rPr>
        <w:tab/>
      </w:r>
      <w:r w:rsidRPr="006D329F">
        <w:rPr>
          <w:noProof/>
        </w:rPr>
        <w:t>În temeiul articolului </w:t>
      </w:r>
      <w:r w:rsidRPr="00874920">
        <w:rPr>
          <w:noProof/>
        </w:rPr>
        <w:t>7</w:t>
      </w:r>
      <w:r w:rsidRPr="006D329F">
        <w:rPr>
          <w:noProof/>
        </w:rPr>
        <w:t xml:space="preserve"> alineatul (</w:t>
      </w:r>
      <w:r w:rsidRPr="00874920">
        <w:rPr>
          <w:noProof/>
        </w:rPr>
        <w:t>1</w:t>
      </w:r>
      <w:r w:rsidRPr="006D329F">
        <w:rPr>
          <w:noProof/>
        </w:rPr>
        <w:t>) literele (a), (b) și (c) din Convenția SA, CSA este responsabil de elaborarea de note explicative, avize de clasificare și alte avize ca ghiduri de interpretare a Sistemului armonizat, de elaborarea de recomandări pentru a asigura o interpretare și o aplicare uniformă a Sistemului armonizat și de a propune modificări ale acestei convenții care ar putea fi considerate oportune, având în vedere, în special, nevoile utilizatorilor și schimbările tehnologice sau ale configurației comerțului internațional.</w:t>
      </w:r>
    </w:p>
    <w:p w:rsidR="00ED2372" w:rsidRPr="006D329F" w:rsidRDefault="00ED2372" w:rsidP="00ED2372">
      <w:pPr>
        <w:pStyle w:val="ManualConsidrant"/>
        <w:rPr>
          <w:noProof/>
        </w:rPr>
      </w:pPr>
      <w:r>
        <w:rPr>
          <w:noProof/>
        </w:rPr>
        <w:t>(3)</w:t>
      </w:r>
      <w:r>
        <w:rPr>
          <w:noProof/>
        </w:rPr>
        <w:tab/>
      </w:r>
      <w:r w:rsidRPr="006D329F">
        <w:rPr>
          <w:noProof/>
        </w:rPr>
        <w:t xml:space="preserve">Potrivit articolului </w:t>
      </w:r>
      <w:r w:rsidRPr="00874920">
        <w:rPr>
          <w:noProof/>
        </w:rPr>
        <w:t>8</w:t>
      </w:r>
      <w:r w:rsidRPr="006D329F">
        <w:rPr>
          <w:noProof/>
        </w:rPr>
        <w:t xml:space="preserve"> alineatul (</w:t>
      </w:r>
      <w:r w:rsidRPr="00874920">
        <w:rPr>
          <w:noProof/>
        </w:rPr>
        <w:t>1</w:t>
      </w:r>
      <w:r w:rsidRPr="006D329F">
        <w:rPr>
          <w:noProof/>
        </w:rPr>
        <w:t xml:space="preserve">) din Convenția SA, Consiliul OMV examinează propunerile de modificare a convenției, elaborate de Comitetul Sistemului armonizat și le recomandă părților contractante, în conformitate cu procedura de la articolul </w:t>
      </w:r>
      <w:r w:rsidRPr="00874920">
        <w:rPr>
          <w:noProof/>
        </w:rPr>
        <w:t>16</w:t>
      </w:r>
      <w:r w:rsidRPr="006D329F">
        <w:rPr>
          <w:noProof/>
        </w:rPr>
        <w:t>, cu excepția cazului în care un stat membru al Consiliului care este parte contractantă la prezenta convenției cere ca toate sau o parte din propunerile în cauză să fie trimise Comitetului pentru o nouă examinare. În temeiul articolului </w:t>
      </w:r>
      <w:r w:rsidRPr="00874920">
        <w:rPr>
          <w:noProof/>
        </w:rPr>
        <w:t>16</w:t>
      </w:r>
      <w:r w:rsidRPr="006D329F">
        <w:rPr>
          <w:noProof/>
        </w:rPr>
        <w:t xml:space="preserve"> din Convenția SA, Consiliul OMV adoptă, ca regulă generală, din cinci în cinci ani, o recomandare privind modificarea nomenclaturii prezentate în anexă la Convenția privind Sistemul armonizat. Prin urmare, este necesar să se stabilească poziția care urmează să fie adoptată în numele Uniunii, întrucât, odată acceptată în conformitate cu articolul </w:t>
      </w:r>
      <w:r w:rsidRPr="00874920">
        <w:rPr>
          <w:noProof/>
        </w:rPr>
        <w:t>16</w:t>
      </w:r>
      <w:r w:rsidRPr="006D329F">
        <w:rPr>
          <w:noProof/>
        </w:rPr>
        <w:t xml:space="preserve"> </w:t>
      </w:r>
      <w:r w:rsidRPr="006D329F">
        <w:rPr>
          <w:noProof/>
        </w:rPr>
        <w:lastRenderedPageBreak/>
        <w:t>din Convenția SA, recomandarea va fi obligatorie pentru Uniune în temeiul dreptului internațional și va putea să influențeze în mod decisiv conținutul dreptului Uniunii, în special anexa I la Regulamentul (CEE) nr. </w:t>
      </w:r>
      <w:r w:rsidRPr="00874920">
        <w:rPr>
          <w:noProof/>
        </w:rPr>
        <w:t>2658</w:t>
      </w:r>
      <w:r w:rsidRPr="006D329F">
        <w:rPr>
          <w:noProof/>
        </w:rPr>
        <w:t>/</w:t>
      </w:r>
      <w:r w:rsidRPr="00874920">
        <w:rPr>
          <w:noProof/>
        </w:rPr>
        <w:t>87</w:t>
      </w:r>
      <w:r w:rsidRPr="006D329F">
        <w:rPr>
          <w:noProof/>
        </w:rPr>
        <w:t xml:space="preserve"> al Consiliului.</w:t>
      </w:r>
    </w:p>
    <w:p w:rsidR="000C32A8" w:rsidRPr="006D329F" w:rsidRDefault="000C32A8" w:rsidP="006642ED">
      <w:pPr>
        <w:pStyle w:val="ManualConsidrant"/>
        <w:rPr>
          <w:noProof/>
          <w:szCs w:val="24"/>
        </w:rPr>
      </w:pPr>
      <w:r>
        <w:rPr>
          <w:noProof/>
        </w:rPr>
        <w:t>(4)</w:t>
      </w:r>
      <w:r>
        <w:rPr>
          <w:noProof/>
        </w:rPr>
        <w:tab/>
      </w:r>
      <w:r w:rsidRPr="006D329F">
        <w:rPr>
          <w:noProof/>
        </w:rPr>
        <w:t xml:space="preserve">În temeiul articolului </w:t>
      </w:r>
      <w:r w:rsidRPr="00874920">
        <w:rPr>
          <w:noProof/>
        </w:rPr>
        <w:t>8</w:t>
      </w:r>
      <w:r w:rsidRPr="006D329F">
        <w:rPr>
          <w:noProof/>
        </w:rPr>
        <w:t xml:space="preserve"> alineatul (</w:t>
      </w:r>
      <w:r w:rsidRPr="00874920">
        <w:rPr>
          <w:noProof/>
        </w:rPr>
        <w:t>3</w:t>
      </w:r>
      <w:r w:rsidRPr="006D329F">
        <w:rPr>
          <w:noProof/>
        </w:rPr>
        <w:t>) din Convenția SA, notele explicative, avizele de clasificare, alte avize privind interpretarea Sistemului armonizat și recomandările care urmăresc să asigure o interpretare și o aplicare uniformă a Sistemului armonizat care au fost redactate în cursul unei sesiuni a CSA (denumite în continuare „deciziile CSA”) trebuie considerate aprobate de Consiliul Organizației Mondiale a Vămilor (OMV) în cazul în care, la sfârșitul celei de-a doua luni de la cea în cursul căreia s-a încheiat sesiunea în care au fost adoptate, niciuna dintre părțile contractante la Convenția SA nu a notificat secretarului general al OMV că solicită reexaminarea de către CSA sau trimiterea spre examinare în fața Consiliului OMV.</w:t>
      </w:r>
    </w:p>
    <w:p w:rsidR="000C32A8" w:rsidRPr="006D329F" w:rsidRDefault="000C32A8" w:rsidP="006642ED">
      <w:pPr>
        <w:pStyle w:val="ManualConsidrant"/>
        <w:rPr>
          <w:noProof/>
        </w:rPr>
      </w:pPr>
      <w:r>
        <w:rPr>
          <w:noProof/>
        </w:rPr>
        <w:t>(5)</w:t>
      </w:r>
      <w:r>
        <w:rPr>
          <w:noProof/>
        </w:rPr>
        <w:tab/>
      </w:r>
      <w:r w:rsidRPr="006D329F">
        <w:rPr>
          <w:noProof/>
        </w:rPr>
        <w:t>În temeiul articolului </w:t>
      </w:r>
      <w:r w:rsidRPr="00874920">
        <w:rPr>
          <w:noProof/>
        </w:rPr>
        <w:t>8</w:t>
      </w:r>
      <w:r w:rsidRPr="006D329F">
        <w:rPr>
          <w:noProof/>
        </w:rPr>
        <w:t xml:space="preserve"> alineatul (</w:t>
      </w:r>
      <w:r w:rsidRPr="00874920">
        <w:rPr>
          <w:noProof/>
        </w:rPr>
        <w:t>4</w:t>
      </w:r>
      <w:r w:rsidRPr="006D329F">
        <w:rPr>
          <w:noProof/>
        </w:rPr>
        <w:t>) din Convenția SA, odată sesizat Consiliul cu privire la o chestiune în conformitate cu dispozițiile alineatului (</w:t>
      </w:r>
      <w:r w:rsidRPr="00874920">
        <w:rPr>
          <w:noProof/>
        </w:rPr>
        <w:t>2</w:t>
      </w:r>
      <w:r w:rsidRPr="006D329F">
        <w:rPr>
          <w:noProof/>
        </w:rPr>
        <w:t>) de la prezentul articol, acesta aprobă respectivele note explicative, avize de clasificare, alte avize și recomandări, cu excepția cazului în care un membru al Consiliului, care este parte contractantă la prezenta convenție, solicită ca toate sau o parte dintre acestea să fie transmise CSA pentru reexaminare.</w:t>
      </w:r>
    </w:p>
    <w:p w:rsidR="000C32A8" w:rsidRPr="006D329F" w:rsidRDefault="000C32A8" w:rsidP="006642ED">
      <w:pPr>
        <w:pStyle w:val="ManualConsidrant"/>
        <w:rPr>
          <w:noProof/>
          <w:szCs w:val="24"/>
        </w:rPr>
      </w:pPr>
      <w:r>
        <w:rPr>
          <w:noProof/>
        </w:rPr>
        <w:t>(6)</w:t>
      </w:r>
      <w:r>
        <w:rPr>
          <w:noProof/>
        </w:rPr>
        <w:tab/>
      </w:r>
      <w:r w:rsidRPr="006D329F">
        <w:rPr>
          <w:noProof/>
        </w:rPr>
        <w:t>Este adecvat să se stabilească poziția care urmează să fie adoptată în numele Uniunii în cadrul OMV cu privire la adoptarea unor note explicative, avize de clasificare sau a altor avize privind interpretarea Sistemului armonizat și recomandări pentru a se asigura o interpretare uniformă a Convenției SA, precum și Recomandarea privind modificarea nomenclaturii prezentate în anexă la Convenția privind Sistemul armonizat, deoarece deciziile în cauză elaborate de CSA vor putea influența în mod decisiv conținutul dreptului Uniunii, și anume Regulamentul (CEE) nr. </w:t>
      </w:r>
      <w:r w:rsidRPr="00874920">
        <w:rPr>
          <w:noProof/>
        </w:rPr>
        <w:t>2658</w:t>
      </w:r>
      <w:r w:rsidRPr="006D329F">
        <w:rPr>
          <w:noProof/>
        </w:rPr>
        <w:t>/</w:t>
      </w:r>
      <w:r w:rsidRPr="00874920">
        <w:rPr>
          <w:noProof/>
        </w:rPr>
        <w:t>87</w:t>
      </w:r>
      <w:r w:rsidRPr="006D329F">
        <w:rPr>
          <w:noProof/>
        </w:rPr>
        <w:t xml:space="preserve"> al Consiliului</w:t>
      </w:r>
      <w:r w:rsidRPr="006D329F">
        <w:rPr>
          <w:rStyle w:val="FootnoteReference"/>
          <w:noProof/>
          <w:szCs w:val="24"/>
        </w:rPr>
        <w:footnoteReference w:id="13"/>
      </w:r>
      <w:r w:rsidRPr="006D329F">
        <w:rPr>
          <w:noProof/>
        </w:rPr>
        <w:t>.</w:t>
      </w:r>
    </w:p>
    <w:p w:rsidR="000C32A8" w:rsidRPr="006D329F" w:rsidRDefault="000C32A8" w:rsidP="006642ED">
      <w:pPr>
        <w:pStyle w:val="ManualConsidrant"/>
        <w:rPr>
          <w:noProof/>
          <w:szCs w:val="24"/>
        </w:rPr>
      </w:pPr>
      <w:r>
        <w:rPr>
          <w:noProof/>
        </w:rPr>
        <w:t>(7)</w:t>
      </w:r>
      <w:r>
        <w:rPr>
          <w:noProof/>
        </w:rPr>
        <w:tab/>
      </w:r>
      <w:r w:rsidRPr="006D329F">
        <w:rPr>
          <w:noProof/>
        </w:rPr>
        <w:t>Este în interesul Uniunii ca pozițiile exprimate de Uniune în cadrul CSA să fie stabilite în funcție de principii, criterii și orientări care reglementează clasificarea tarifară a mărfurilor. De asemenea, este în interesul Uniunii ca astfel de poziții să fie stabilite prompt, pentru a permite Uniunii să își exercite drepturile în cadrul CSA.</w:t>
      </w:r>
    </w:p>
    <w:p w:rsidR="000C32A8" w:rsidRPr="006D329F" w:rsidRDefault="000C32A8" w:rsidP="006642ED">
      <w:pPr>
        <w:pStyle w:val="ManualConsidrant"/>
        <w:rPr>
          <w:noProof/>
          <w:szCs w:val="24"/>
        </w:rPr>
      </w:pPr>
      <w:r>
        <w:rPr>
          <w:noProof/>
        </w:rPr>
        <w:t>(8)</w:t>
      </w:r>
      <w:r>
        <w:rPr>
          <w:noProof/>
        </w:rPr>
        <w:tab/>
      </w:r>
      <w:r w:rsidRPr="006D329F">
        <w:rPr>
          <w:noProof/>
        </w:rPr>
        <w:t xml:space="preserve">Pentru a proteja drepturile Uniunii, Comisia ar trebui, de asemenea, să poată solicita în numele Uniunii ca o chestiune să fie transmisă Consiliului OMV sau CSA pentru reexaminare în temeiul articolului </w:t>
      </w:r>
      <w:r w:rsidRPr="00874920">
        <w:rPr>
          <w:noProof/>
        </w:rPr>
        <w:t>8</w:t>
      </w:r>
      <w:r w:rsidRPr="006D329F">
        <w:rPr>
          <w:noProof/>
        </w:rPr>
        <w:t xml:space="preserve"> alineatul (</w:t>
      </w:r>
      <w:r w:rsidRPr="00874920">
        <w:rPr>
          <w:noProof/>
        </w:rPr>
        <w:t>2</w:t>
      </w:r>
      <w:r w:rsidRPr="006D329F">
        <w:rPr>
          <w:noProof/>
        </w:rPr>
        <w:t xml:space="preserve">) din Convenția SA, pentru a se evita ca o decizie să fie adoptată cu privire la o chestiune asupra căreia Consiliul nu este în măsură să ajungă la o poziție înainte de expirarea termenului prevăzut la articolul </w:t>
      </w:r>
      <w:r w:rsidRPr="00874920">
        <w:rPr>
          <w:noProof/>
        </w:rPr>
        <w:t>8</w:t>
      </w:r>
      <w:r w:rsidRPr="006D329F">
        <w:rPr>
          <w:noProof/>
        </w:rPr>
        <w:t xml:space="preserve"> alineatul (</w:t>
      </w:r>
      <w:r w:rsidRPr="00874920">
        <w:rPr>
          <w:noProof/>
        </w:rPr>
        <w:t>3</w:t>
      </w:r>
      <w:r w:rsidRPr="006D329F">
        <w:rPr>
          <w:noProof/>
        </w:rPr>
        <w:t>) din Convenția SA, sau a ajuns la o poziție care diferă substanțial de decizia care a fost adoptată de CSA.</w:t>
      </w:r>
    </w:p>
    <w:p w:rsidR="000C32A8" w:rsidRPr="006D329F" w:rsidRDefault="000C32A8" w:rsidP="006642ED">
      <w:pPr>
        <w:pStyle w:val="ManualConsidrant"/>
        <w:rPr>
          <w:noProof/>
          <w:szCs w:val="24"/>
        </w:rPr>
      </w:pPr>
      <w:r>
        <w:rPr>
          <w:noProof/>
        </w:rPr>
        <w:t>(9)</w:t>
      </w:r>
      <w:r>
        <w:rPr>
          <w:noProof/>
        </w:rPr>
        <w:tab/>
      </w:r>
      <w:r w:rsidRPr="006D329F">
        <w:rPr>
          <w:noProof/>
        </w:rPr>
        <w:t xml:space="preserve">Având în vedere natura evolutivă și extrem de tehnică a clasificării mărfurilor în temeiul Convenției SA, volumul ridicat de chestiuni tratate în cadrul celor două reuniuni ale CSA care se desfășoară anual și perioada scurtă de timp disponibilă pentru a analiza documentele emise de Secretariatul OMV și de părțile contractante în pregătirea reuniunilor CSA, precum și necesitatea implicită ca poziția Uniunii să ia în considerare și să utilizeze în mod eficace noile informații prezentate înainte sau în timpul acestor reuniuni, ar trebui să se stabilească pașii necesari, în conformitate cu principiul cooperării loiale între instituțiile Uniunii consacrat la articolul </w:t>
      </w:r>
      <w:r w:rsidRPr="00874920">
        <w:rPr>
          <w:noProof/>
        </w:rPr>
        <w:t>13</w:t>
      </w:r>
      <w:r w:rsidRPr="006D329F">
        <w:rPr>
          <w:noProof/>
        </w:rPr>
        <w:t xml:space="preserve"> </w:t>
      </w:r>
      <w:r w:rsidRPr="006D329F">
        <w:rPr>
          <w:noProof/>
        </w:rPr>
        <w:lastRenderedPageBreak/>
        <w:t>alineatul</w:t>
      </w:r>
      <w:r w:rsidR="006D329F" w:rsidRPr="006D329F">
        <w:rPr>
          <w:noProof/>
        </w:rPr>
        <w:t> </w:t>
      </w:r>
      <w:r w:rsidRPr="006D329F">
        <w:rPr>
          <w:noProof/>
        </w:rPr>
        <w:t>(</w:t>
      </w:r>
      <w:r w:rsidRPr="00874920">
        <w:rPr>
          <w:noProof/>
        </w:rPr>
        <w:t>2</w:t>
      </w:r>
      <w:r w:rsidRPr="006D329F">
        <w:rPr>
          <w:noProof/>
        </w:rPr>
        <w:t>) din Tratatul privind Uniunea Europeană (TUE), pentru precizarea poziției Uniunii.</w:t>
      </w:r>
    </w:p>
    <w:p w:rsidR="000F0DD3" w:rsidRPr="006D329F" w:rsidRDefault="000F0DD3" w:rsidP="006642ED">
      <w:pPr>
        <w:pStyle w:val="ManualConsidrant"/>
        <w:rPr>
          <w:noProof/>
          <w:szCs w:val="24"/>
        </w:rPr>
      </w:pPr>
      <w:r>
        <w:rPr>
          <w:noProof/>
        </w:rPr>
        <w:t>(10)</w:t>
      </w:r>
      <w:r>
        <w:rPr>
          <w:noProof/>
        </w:rPr>
        <w:tab/>
      </w:r>
      <w:r w:rsidRPr="006D329F">
        <w:rPr>
          <w:noProof/>
        </w:rPr>
        <w:t xml:space="preserve">Decizia (UE) </w:t>
      </w:r>
      <w:r w:rsidRPr="00874920">
        <w:rPr>
          <w:noProof/>
        </w:rPr>
        <w:t>2023</w:t>
      </w:r>
      <w:r w:rsidRPr="006D329F">
        <w:rPr>
          <w:noProof/>
        </w:rPr>
        <w:t>/</w:t>
      </w:r>
      <w:r w:rsidRPr="00874920">
        <w:rPr>
          <w:noProof/>
        </w:rPr>
        <w:t>2898</w:t>
      </w:r>
      <w:r w:rsidRPr="006D329F">
        <w:rPr>
          <w:noProof/>
        </w:rPr>
        <w:t xml:space="preserve"> a Consiliului</w:t>
      </w:r>
      <w:r w:rsidRPr="006D329F">
        <w:rPr>
          <w:rStyle w:val="FootnoteReference"/>
          <w:noProof/>
          <w:szCs w:val="24"/>
        </w:rPr>
        <w:footnoteReference w:id="14"/>
      </w:r>
      <w:r w:rsidRPr="006D329F">
        <w:rPr>
          <w:noProof/>
        </w:rPr>
        <w:t xml:space="preserve"> a instituit o procedură eficientă și rapidă pentru stabilirea poziției care urmează să fie adoptată în numele Uniunii cu privire la aprobarea de note explicative, avize de clasificare sau alte avize privind interpretarea Sistemului armonizat și recomandări pentru a asigura o interpretare uniformă a Sistemului armonizat în temeiul Convenției privind Sistemul armonizat și privind redactarea acestor acte în cadrul Organizației Mondiale a Vămilor. Întrucât aceasta expiră la </w:t>
      </w:r>
      <w:r w:rsidRPr="00874920">
        <w:rPr>
          <w:noProof/>
        </w:rPr>
        <w:t>31</w:t>
      </w:r>
      <w:r w:rsidRPr="006D329F">
        <w:rPr>
          <w:noProof/>
        </w:rPr>
        <w:t xml:space="preserve"> decembrie </w:t>
      </w:r>
      <w:r w:rsidRPr="00874920">
        <w:rPr>
          <w:noProof/>
        </w:rPr>
        <w:t>2026</w:t>
      </w:r>
      <w:r w:rsidRPr="006D329F">
        <w:rPr>
          <w:noProof/>
        </w:rPr>
        <w:t>, este oportun ca ea să fie înlocuită cu o nouă decizie pentru a se asigura continuitatea, a se spori securitatea juridică și a se îmbunătăți eficiența.</w:t>
      </w:r>
    </w:p>
    <w:p w:rsidR="002D7208" w:rsidRPr="006D329F" w:rsidRDefault="002D7208" w:rsidP="006642ED">
      <w:pPr>
        <w:pStyle w:val="ManualConsidrant"/>
        <w:rPr>
          <w:noProof/>
          <w:szCs w:val="24"/>
        </w:rPr>
      </w:pPr>
      <w:r>
        <w:rPr>
          <w:noProof/>
        </w:rPr>
        <w:t>(11)</w:t>
      </w:r>
      <w:r>
        <w:rPr>
          <w:noProof/>
        </w:rPr>
        <w:tab/>
      </w:r>
      <w:r w:rsidRPr="006D329F">
        <w:rPr>
          <w:noProof/>
        </w:rPr>
        <w:t xml:space="preserve">Având în vedere problema recurentă privind disponibilitatea tardivă a documentelor de lucru înaintea reuniunilor CSA și pentru a apăra drepturile și interesele Uniunii în cadrul OMV, Comisia ar trebui să depună eforturi pentru a solicita secretariatului OMV să asigure disponibilitatea documentelor de lucru în conformitate cu normele de procedură ale CSA, astfel încât aceste documente să fie expediate cu cel puțin </w:t>
      </w:r>
      <w:r w:rsidRPr="00874920">
        <w:rPr>
          <w:noProof/>
        </w:rPr>
        <w:t>30</w:t>
      </w:r>
      <w:r w:rsidRPr="006D329F">
        <w:rPr>
          <w:noProof/>
        </w:rPr>
        <w:t xml:space="preserve"> de zile înainte de deschiderea sesiunii relevante.</w:t>
      </w:r>
    </w:p>
    <w:p w:rsidR="00A24F00" w:rsidRPr="006D329F" w:rsidRDefault="00A24F00" w:rsidP="006642ED">
      <w:pPr>
        <w:pStyle w:val="ManualConsidrant"/>
        <w:rPr>
          <w:noProof/>
          <w:szCs w:val="24"/>
        </w:rPr>
      </w:pPr>
      <w:r>
        <w:rPr>
          <w:noProof/>
        </w:rPr>
        <w:t>(12)</w:t>
      </w:r>
      <w:r>
        <w:rPr>
          <w:noProof/>
        </w:rPr>
        <w:tab/>
      </w:r>
      <w:r w:rsidRPr="006D329F">
        <w:rPr>
          <w:noProof/>
        </w:rPr>
        <w:t>Pentru a se asigura capacitatea Consiliului de a evalua și, după caz, de a revizui periodic politica din cadrul prezentei decizii și în spiritul cooperării loiale dintre instituțiile Uniunii, consacrată la articolul </w:t>
      </w:r>
      <w:r w:rsidRPr="00874920">
        <w:rPr>
          <w:noProof/>
        </w:rPr>
        <w:t>13</w:t>
      </w:r>
      <w:r w:rsidRPr="006D329F">
        <w:rPr>
          <w:noProof/>
        </w:rPr>
        <w:t xml:space="preserve"> alineatul (</w:t>
      </w:r>
      <w:r w:rsidRPr="00874920">
        <w:rPr>
          <w:noProof/>
        </w:rPr>
        <w:t>2</w:t>
      </w:r>
      <w:r w:rsidRPr="006D329F">
        <w:rPr>
          <w:noProof/>
        </w:rPr>
        <w:t xml:space="preserve">) din TUE, </w:t>
      </w:r>
      <w:r w:rsidRPr="006D329F">
        <w:rPr>
          <w:noProof/>
          <w:color w:val="333333"/>
          <w:shd w:val="clear" w:color="auto" w:fill="FFFFFF"/>
        </w:rPr>
        <w:t>valabilitatea prezentei decizii ar trebui să fie limitată în timp.</w:t>
      </w:r>
    </w:p>
    <w:p w:rsidR="00685A59" w:rsidRPr="006D329F" w:rsidRDefault="00685A59" w:rsidP="00685A59">
      <w:pPr>
        <w:pStyle w:val="ManualConsidrant"/>
        <w:rPr>
          <w:noProof/>
          <w:szCs w:val="24"/>
        </w:rPr>
      </w:pPr>
      <w:r>
        <w:rPr>
          <w:noProof/>
        </w:rPr>
        <w:t>(13)</w:t>
      </w:r>
      <w:r>
        <w:rPr>
          <w:noProof/>
        </w:rPr>
        <w:tab/>
      </w:r>
      <w:r w:rsidRPr="006D329F">
        <w:rPr>
          <w:noProof/>
        </w:rPr>
        <w:t>Pentru a menține o poziție a Uniunii cu privire la aprobarea notelor explicative, a avizelor de clasificare sau a altor avize privind interpretarea Sistemului armonizat și a recomandărilor pentru a se asigura interpretarea uniformă a Sistemului armonizat în temeiul Convenției SA, precum și cu privire la pregătirea unor astfel de acte în cadrul OMV după expirarea Deciziei (UE) </w:t>
      </w:r>
      <w:r w:rsidRPr="00874920">
        <w:rPr>
          <w:noProof/>
        </w:rPr>
        <w:t>2023</w:t>
      </w:r>
      <w:r w:rsidRPr="006D329F">
        <w:rPr>
          <w:noProof/>
        </w:rPr>
        <w:t>/</w:t>
      </w:r>
      <w:r w:rsidRPr="00874920">
        <w:rPr>
          <w:noProof/>
        </w:rPr>
        <w:t>2898</w:t>
      </w:r>
      <w:r w:rsidRPr="006D329F">
        <w:rPr>
          <w:noProof/>
        </w:rPr>
        <w:t xml:space="preserve"> la </w:t>
      </w:r>
      <w:r w:rsidRPr="00874920">
        <w:rPr>
          <w:noProof/>
        </w:rPr>
        <w:t>31</w:t>
      </w:r>
      <w:r w:rsidRPr="006D329F">
        <w:rPr>
          <w:noProof/>
        </w:rPr>
        <w:t xml:space="preserve"> decembrie </w:t>
      </w:r>
      <w:r w:rsidRPr="00874920">
        <w:rPr>
          <w:noProof/>
        </w:rPr>
        <w:t>2026</w:t>
      </w:r>
      <w:r w:rsidRPr="006D329F">
        <w:rPr>
          <w:noProof/>
        </w:rPr>
        <w:t>, și cu privire la Recomandarea Consiliului OMV privind modificarea nomenclaturii prezentate în anexă la Convenția privind Sistemul armonizat adoptată în temeiul articolului </w:t>
      </w:r>
      <w:r w:rsidRPr="00874920">
        <w:rPr>
          <w:noProof/>
        </w:rPr>
        <w:t>16</w:t>
      </w:r>
      <w:r w:rsidRPr="006D329F">
        <w:rPr>
          <w:noProof/>
        </w:rPr>
        <w:t xml:space="preserve"> din Convenția SA, prezenta decizie ar trebui să se aplice de la </w:t>
      </w:r>
      <w:r w:rsidRPr="00874920">
        <w:rPr>
          <w:noProof/>
        </w:rPr>
        <w:t>1</w:t>
      </w:r>
      <w:r w:rsidRPr="006D329F">
        <w:rPr>
          <w:noProof/>
        </w:rPr>
        <w:t xml:space="preserve"> ianuarie </w:t>
      </w:r>
      <w:r w:rsidRPr="00874920">
        <w:rPr>
          <w:noProof/>
        </w:rPr>
        <w:t>2027</w:t>
      </w:r>
      <w:r w:rsidRPr="006D329F">
        <w:rPr>
          <w:noProof/>
        </w:rPr>
        <w:t xml:space="preserve"> și, prin urmare, ar trebui să intre în vigoare în regim de urgență,</w:t>
      </w:r>
    </w:p>
    <w:p w:rsidR="000C32A8" w:rsidRPr="006D329F" w:rsidRDefault="000C32A8" w:rsidP="000C32A8">
      <w:pPr>
        <w:pStyle w:val="Formuledadoption"/>
        <w:rPr>
          <w:noProof/>
          <w:szCs w:val="24"/>
        </w:rPr>
      </w:pPr>
      <w:r w:rsidRPr="006D329F">
        <w:rPr>
          <w:noProof/>
        </w:rPr>
        <w:t>ADOPTĂ PREZENTA DECIZIE:</w:t>
      </w:r>
    </w:p>
    <w:p w:rsidR="000C32A8" w:rsidRPr="006D329F" w:rsidRDefault="000C32A8" w:rsidP="000C32A8">
      <w:pPr>
        <w:pStyle w:val="Titrearticle"/>
        <w:rPr>
          <w:noProof/>
          <w:szCs w:val="24"/>
        </w:rPr>
      </w:pPr>
      <w:r w:rsidRPr="006D329F">
        <w:rPr>
          <w:noProof/>
        </w:rPr>
        <w:t xml:space="preserve">Articolul </w:t>
      </w:r>
      <w:r w:rsidRPr="00874920">
        <w:rPr>
          <w:noProof/>
        </w:rPr>
        <w:t>1</w:t>
      </w:r>
    </w:p>
    <w:p w:rsidR="000C32A8" w:rsidRPr="006D329F" w:rsidRDefault="000C32A8" w:rsidP="00B4040F">
      <w:pPr>
        <w:rPr>
          <w:i/>
          <w:noProof/>
          <w:szCs w:val="24"/>
        </w:rPr>
      </w:pPr>
      <w:r w:rsidRPr="006D329F">
        <w:rPr>
          <w:noProof/>
        </w:rPr>
        <w:t>Poziția care urmează să fie adoptată în numele Uniunii cu privire la aprobarea de note explicative, avize de clasificare sau alte avize privind interpretarea Sistemului armonizat și recomandări pentru a asigura o interpretare uniformă a Sistemului armonizat în temeiul Convenției privind Sistemul armonizat și privind Recomandarea Consiliului OMV privind modificarea nomenclaturii prezentate în anexă la Convenția privind Sistemul armonizat adoptată în temeiul articolului </w:t>
      </w:r>
      <w:r w:rsidRPr="00874920">
        <w:rPr>
          <w:noProof/>
        </w:rPr>
        <w:t>16</w:t>
      </w:r>
      <w:r w:rsidRPr="006D329F">
        <w:rPr>
          <w:noProof/>
        </w:rPr>
        <w:t xml:space="preserve"> din Convenția SA, precum și redactarea acestor acte în cadrul Organizației Mondiale a Vămilor, este stabilită în conformitate cu principiile, criteriile și orientările prevăzute în secțiunea I din anexa la prezenta decizie.</w:t>
      </w:r>
    </w:p>
    <w:p w:rsidR="000C32A8" w:rsidRPr="006D329F" w:rsidRDefault="000C32A8" w:rsidP="000C32A8">
      <w:pPr>
        <w:pStyle w:val="Titrearticle"/>
        <w:rPr>
          <w:noProof/>
          <w:szCs w:val="24"/>
        </w:rPr>
      </w:pPr>
      <w:r w:rsidRPr="006D329F">
        <w:rPr>
          <w:noProof/>
        </w:rPr>
        <w:lastRenderedPageBreak/>
        <w:t xml:space="preserve">Articolul </w:t>
      </w:r>
      <w:r w:rsidRPr="00874920">
        <w:rPr>
          <w:noProof/>
        </w:rPr>
        <w:t>2</w:t>
      </w:r>
    </w:p>
    <w:p w:rsidR="000C32A8" w:rsidRPr="006D329F" w:rsidRDefault="000C32A8" w:rsidP="000C32A8">
      <w:pPr>
        <w:rPr>
          <w:noProof/>
          <w:szCs w:val="24"/>
        </w:rPr>
      </w:pPr>
      <w:r w:rsidRPr="006D329F">
        <w:rPr>
          <w:noProof/>
        </w:rPr>
        <w:t>Precizarea poziției Uniunii care urmează să fie adoptată în temeiul articolului </w:t>
      </w:r>
      <w:r w:rsidRPr="00874920">
        <w:rPr>
          <w:noProof/>
        </w:rPr>
        <w:t>1</w:t>
      </w:r>
      <w:r w:rsidRPr="006D329F">
        <w:rPr>
          <w:noProof/>
        </w:rPr>
        <w:t xml:space="preserve"> are loc în conformitate cu prevederile din secțiunea II din anexă.</w:t>
      </w:r>
    </w:p>
    <w:p w:rsidR="0049119A" w:rsidRPr="006D329F" w:rsidRDefault="0049119A" w:rsidP="0049119A">
      <w:pPr>
        <w:pStyle w:val="Titrearticle"/>
        <w:rPr>
          <w:noProof/>
          <w:szCs w:val="24"/>
          <w:highlight w:val="yellow"/>
        </w:rPr>
      </w:pPr>
      <w:r w:rsidRPr="006D329F">
        <w:rPr>
          <w:noProof/>
        </w:rPr>
        <w:t xml:space="preserve">Articolul </w:t>
      </w:r>
      <w:r w:rsidRPr="00874920">
        <w:rPr>
          <w:noProof/>
        </w:rPr>
        <w:t>3</w:t>
      </w:r>
    </w:p>
    <w:p w:rsidR="0049119A" w:rsidRPr="006D329F" w:rsidRDefault="0049119A" w:rsidP="000C32A8">
      <w:pPr>
        <w:rPr>
          <w:noProof/>
          <w:szCs w:val="24"/>
        </w:rPr>
      </w:pPr>
      <w:r w:rsidRPr="006D329F">
        <w:rPr>
          <w:noProof/>
        </w:rPr>
        <w:t>Prezenta decizie intră în vigoare la data adoptării.</w:t>
      </w:r>
    </w:p>
    <w:p w:rsidR="00DC7586" w:rsidRPr="006D329F" w:rsidRDefault="00126CE7" w:rsidP="00616734">
      <w:pPr>
        <w:rPr>
          <w:i/>
          <w:noProof/>
        </w:rPr>
      </w:pPr>
      <w:r w:rsidRPr="006D329F">
        <w:rPr>
          <w:noProof/>
        </w:rPr>
        <w:t xml:space="preserve">Decizia expiră la </w:t>
      </w:r>
      <w:r w:rsidRPr="00874920">
        <w:rPr>
          <w:noProof/>
        </w:rPr>
        <w:t>31</w:t>
      </w:r>
      <w:r w:rsidRPr="006D329F">
        <w:rPr>
          <w:noProof/>
        </w:rPr>
        <w:t xml:space="preserve"> decembrie </w:t>
      </w:r>
      <w:r w:rsidRPr="00874920">
        <w:rPr>
          <w:noProof/>
        </w:rPr>
        <w:t>2032</w:t>
      </w:r>
      <w:r w:rsidRPr="006D329F">
        <w:rPr>
          <w:noProof/>
        </w:rPr>
        <w:t>.</w:t>
      </w:r>
    </w:p>
    <w:p w:rsidR="000C32A8" w:rsidRPr="006D329F" w:rsidRDefault="00AF54C7" w:rsidP="00F00A8F">
      <w:pPr>
        <w:pStyle w:val="Fait"/>
        <w:rPr>
          <w:noProof/>
        </w:rPr>
      </w:pPr>
      <w:r>
        <w:rPr>
          <w:noProof/>
        </w:rPr>
        <w:t>Adoptată la Bruxelles,</w:t>
      </w:r>
    </w:p>
    <w:p w:rsidR="000C32A8" w:rsidRPr="006D329F" w:rsidRDefault="000C32A8" w:rsidP="00F00A8F">
      <w:pPr>
        <w:pStyle w:val="Institutionquisigne"/>
        <w:rPr>
          <w:noProof/>
          <w:szCs w:val="24"/>
        </w:rPr>
      </w:pPr>
      <w:r w:rsidRPr="006D329F">
        <w:rPr>
          <w:noProof/>
        </w:rPr>
        <w:tab/>
        <w:t>Pentru Consiliu,</w:t>
      </w:r>
    </w:p>
    <w:p w:rsidR="0096104B" w:rsidRPr="006D329F" w:rsidRDefault="000C32A8" w:rsidP="00F0697B">
      <w:pPr>
        <w:pStyle w:val="Personnequisigne"/>
        <w:rPr>
          <w:noProof/>
          <w:szCs w:val="24"/>
        </w:rPr>
      </w:pPr>
      <w:r w:rsidRPr="006D329F">
        <w:rPr>
          <w:noProof/>
        </w:rPr>
        <w:tab/>
        <w:t>Președintele</w:t>
      </w:r>
    </w:p>
    <w:sectPr w:rsidR="0096104B" w:rsidRPr="006D329F" w:rsidSect="00B42706">
      <w:endnotePr>
        <w:numFmt w:val="decimal"/>
        <w:numStart w:val="3"/>
      </w:end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29C" w:rsidRDefault="0095329C" w:rsidP="002D2A76">
      <w:pPr>
        <w:spacing w:before="0" w:after="0"/>
      </w:pPr>
      <w:r>
        <w:separator/>
      </w:r>
    </w:p>
  </w:endnote>
  <w:endnote w:type="continuationSeparator" w:id="0">
    <w:p w:rsidR="0095329C" w:rsidRDefault="0095329C" w:rsidP="002D2A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Pr="00B42706" w:rsidRDefault="00B42706" w:rsidP="00B42706">
    <w:pPr>
      <w:pStyle w:val="Footer"/>
      <w:rPr>
        <w:rFonts w:ascii="Arial" w:hAnsi="Arial" w:cs="Arial"/>
        <w:b/>
        <w:sz w:val="48"/>
      </w:rPr>
    </w:pPr>
    <w:r w:rsidRPr="00B42706">
      <w:rPr>
        <w:rFonts w:ascii="Arial" w:hAnsi="Arial" w:cs="Arial"/>
        <w:b/>
        <w:sz w:val="48"/>
      </w:rPr>
      <w:t>RO</w:t>
    </w:r>
    <w:r w:rsidRPr="00B42706">
      <w:rPr>
        <w:rFonts w:ascii="Arial" w:hAnsi="Arial" w:cs="Arial"/>
        <w:b/>
        <w:sz w:val="48"/>
      </w:rPr>
      <w:tab/>
    </w:r>
    <w:r w:rsidRPr="00B42706">
      <w:rPr>
        <w:rFonts w:ascii="Arial" w:hAnsi="Arial" w:cs="Arial"/>
        <w:b/>
        <w:sz w:val="48"/>
      </w:rPr>
      <w:tab/>
    </w:r>
    <w:r w:rsidRPr="00B42706">
      <w:tab/>
    </w:r>
    <w:r w:rsidRPr="00B4270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Pr="00B42706" w:rsidRDefault="00B42706" w:rsidP="00B42706">
    <w:pPr>
      <w:pStyle w:val="Footer"/>
      <w:rPr>
        <w:rFonts w:ascii="Arial" w:hAnsi="Arial" w:cs="Arial"/>
        <w:b/>
        <w:sz w:val="48"/>
      </w:rPr>
    </w:pPr>
    <w:r w:rsidRPr="00B42706">
      <w:rPr>
        <w:rFonts w:ascii="Arial" w:hAnsi="Arial" w:cs="Arial"/>
        <w:b/>
        <w:sz w:val="48"/>
      </w:rPr>
      <w:t>RO</w:t>
    </w:r>
    <w:r w:rsidRPr="00B42706">
      <w:rPr>
        <w:rFonts w:ascii="Arial" w:hAnsi="Arial" w:cs="Arial"/>
        <w:b/>
        <w:sz w:val="48"/>
      </w:rPr>
      <w:tab/>
    </w:r>
    <w:r w:rsidRPr="00B42706">
      <w:rPr>
        <w:rFonts w:ascii="Arial" w:hAnsi="Arial" w:cs="Arial"/>
        <w:b/>
        <w:sz w:val="48"/>
      </w:rPr>
      <w:tab/>
    </w:r>
    <w:r w:rsidRPr="00B42706">
      <w:tab/>
    </w:r>
    <w:r w:rsidRPr="00B4270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Default="00B427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Pr="00B42706" w:rsidRDefault="00B42706" w:rsidP="00B42706">
    <w:pPr>
      <w:pStyle w:val="Footer"/>
      <w:rPr>
        <w:rFonts w:ascii="Arial" w:hAnsi="Arial" w:cs="Arial"/>
        <w:b/>
        <w:sz w:val="48"/>
      </w:rPr>
    </w:pPr>
    <w:r w:rsidRPr="00B42706">
      <w:rPr>
        <w:rFonts w:ascii="Arial" w:hAnsi="Arial" w:cs="Arial"/>
        <w:b/>
        <w:sz w:val="48"/>
      </w:rPr>
      <w:t>RO</w:t>
    </w:r>
    <w:r w:rsidRPr="00B42706">
      <w:rPr>
        <w:rFonts w:ascii="Arial" w:hAnsi="Arial" w:cs="Arial"/>
        <w:b/>
        <w:sz w:val="48"/>
      </w:rPr>
      <w:tab/>
    </w:r>
    <w:r>
      <w:fldChar w:fldCharType="begin"/>
    </w:r>
    <w:r>
      <w:instrText xml:space="preserve"> PAGE  \* MERGEFORMAT </w:instrText>
    </w:r>
    <w:r>
      <w:fldChar w:fldCharType="separate"/>
    </w:r>
    <w:r w:rsidR="00F00A8F">
      <w:rPr>
        <w:noProof/>
      </w:rPr>
      <w:t>12</w:t>
    </w:r>
    <w:r>
      <w:fldChar w:fldCharType="end"/>
    </w:r>
    <w:r>
      <w:tab/>
    </w:r>
    <w:r w:rsidRPr="00B42706">
      <w:tab/>
    </w:r>
    <w:r w:rsidRPr="00B4270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Default="00B42706" w:rsidP="00B42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29C" w:rsidRDefault="0095329C" w:rsidP="002D2A76">
      <w:pPr>
        <w:spacing w:before="0" w:after="0"/>
      </w:pPr>
      <w:r>
        <w:separator/>
      </w:r>
    </w:p>
  </w:footnote>
  <w:footnote w:type="continuationSeparator" w:id="0">
    <w:p w:rsidR="0095329C" w:rsidRDefault="0095329C" w:rsidP="002D2A76">
      <w:pPr>
        <w:spacing w:before="0" w:after="0"/>
      </w:pPr>
      <w:r>
        <w:continuationSeparator/>
      </w:r>
    </w:p>
  </w:footnote>
  <w:footnote w:id="1">
    <w:p w:rsidR="007C7692" w:rsidRPr="00C52DFF" w:rsidRDefault="007C7692" w:rsidP="005F214B">
      <w:pPr>
        <w:pStyle w:val="FootnoteText"/>
        <w:ind w:left="284" w:hanging="284"/>
      </w:pPr>
      <w:r>
        <w:rPr>
          <w:rStyle w:val="FootnoteReference"/>
        </w:rPr>
        <w:footnoteRef/>
      </w:r>
      <w:r>
        <w:tab/>
        <w:t xml:space="preserve">Decizia (UE) </w:t>
      </w:r>
      <w:r w:rsidRPr="00874920">
        <w:t>2023</w:t>
      </w:r>
      <w:r>
        <w:t>/</w:t>
      </w:r>
      <w:r w:rsidRPr="00874920">
        <w:t>2898</w:t>
      </w:r>
      <w:r>
        <w:t xml:space="preserve"> a Consiliului din </w:t>
      </w:r>
      <w:r w:rsidRPr="00874920">
        <w:t>19</w:t>
      </w:r>
      <w:r>
        <w:t xml:space="preserve"> decembrie </w:t>
      </w:r>
      <w:r w:rsidRPr="00874920">
        <w:t>2023</w:t>
      </w:r>
      <w:r>
        <w:t xml:space="preserve"> privind poziția care urmează să fie adoptată în numele Uniunii Europene în cadrul Organizației Mondiale a Vămilor (OMV) cu privire la adoptarea unor note explicative, avize de clasificare și a altor avize privind interpretarea Sistemului armonizat și a unor recomandări pentru a se asigura interpretarea în mod uniform a Sistemului armonizat în temeiul Convenției SA (JO L </w:t>
      </w:r>
      <w:r w:rsidRPr="00874920">
        <w:t>22</w:t>
      </w:r>
      <w:r>
        <w:t>.</w:t>
      </w:r>
      <w:r w:rsidRPr="00874920">
        <w:t>12</w:t>
      </w:r>
      <w:r>
        <w:t>.</w:t>
      </w:r>
      <w:r w:rsidRPr="00874920">
        <w:t>2023</w:t>
      </w:r>
      <w:r>
        <w:t>).</w:t>
      </w:r>
    </w:p>
  </w:footnote>
  <w:footnote w:id="2">
    <w:p w:rsidR="008212A6" w:rsidRPr="001B1C35" w:rsidRDefault="008212A6" w:rsidP="005F214B">
      <w:pPr>
        <w:pStyle w:val="FootnoteText"/>
        <w:ind w:left="284" w:hanging="284"/>
      </w:pPr>
      <w:r>
        <w:rPr>
          <w:rStyle w:val="FootnoteReference"/>
        </w:rPr>
        <w:footnoteRef/>
      </w:r>
      <w:r>
        <w:tab/>
        <w:t xml:space="preserve">Decizia (UE) </w:t>
      </w:r>
      <w:r w:rsidRPr="00874920">
        <w:t>2025</w:t>
      </w:r>
      <w:r>
        <w:t>/</w:t>
      </w:r>
      <w:r w:rsidRPr="00874920">
        <w:t>1308</w:t>
      </w:r>
      <w:r>
        <w:t xml:space="preserve"> a Consiliului din </w:t>
      </w:r>
      <w:r w:rsidRPr="00874920">
        <w:t>23</w:t>
      </w:r>
      <w:r>
        <w:t xml:space="preserve"> iunie </w:t>
      </w:r>
      <w:r w:rsidRPr="00874920">
        <w:t>2025</w:t>
      </w:r>
      <w:r>
        <w:t xml:space="preserve"> de stabilire a poziției care urmează să fie adoptată în numele Uniunii Europene în cadrul Consiliului Organizației Mondiale a Vămilor (OMV) cu privire la o recomandare a OMV în temeiul articolului </w:t>
      </w:r>
      <w:r w:rsidRPr="00874920">
        <w:t>16</w:t>
      </w:r>
      <w:r>
        <w:t xml:space="preserve"> de modificare a Sistemului armonizat (JO L </w:t>
      </w:r>
      <w:r w:rsidRPr="00874920">
        <w:t>2</w:t>
      </w:r>
      <w:r>
        <w:t>.</w:t>
      </w:r>
      <w:r w:rsidRPr="00874920">
        <w:t>7</w:t>
      </w:r>
      <w:r>
        <w:t>.</w:t>
      </w:r>
      <w:r w:rsidRPr="00874920">
        <w:t>2025</w:t>
      </w:r>
      <w:r>
        <w:t>).</w:t>
      </w:r>
    </w:p>
  </w:footnote>
  <w:footnote w:id="3">
    <w:p w:rsidR="00FF7A64" w:rsidRPr="00AF54C7" w:rsidRDefault="00FF7A64" w:rsidP="005F214B">
      <w:pPr>
        <w:pStyle w:val="FootnoteText"/>
        <w:ind w:left="284" w:hanging="284"/>
        <w:rPr>
          <w:lang w:val="fr-FR"/>
        </w:rPr>
      </w:pPr>
      <w:r>
        <w:rPr>
          <w:rStyle w:val="FootnoteReference"/>
        </w:rPr>
        <w:footnoteRef/>
      </w:r>
      <w:r w:rsidRPr="00AF54C7">
        <w:rPr>
          <w:lang w:val="fr-FR"/>
        </w:rPr>
        <w:tab/>
        <w:t xml:space="preserve">De când a fost introdusă, în </w:t>
      </w:r>
      <w:r w:rsidRPr="00874920">
        <w:rPr>
          <w:lang w:val="fr-FR"/>
        </w:rPr>
        <w:t>1988</w:t>
      </w:r>
      <w:r w:rsidRPr="00AF54C7">
        <w:rPr>
          <w:lang w:val="fr-FR"/>
        </w:rPr>
        <w:t xml:space="preserve">, Nomenclatura SA a fost revizuită de șapte ori. Aceste revizuiri au intrat în vigoare în </w:t>
      </w:r>
      <w:r w:rsidRPr="00874920">
        <w:rPr>
          <w:lang w:val="fr-FR"/>
        </w:rPr>
        <w:t>1996</w:t>
      </w:r>
      <w:r w:rsidRPr="00AF54C7">
        <w:rPr>
          <w:lang w:val="fr-FR"/>
        </w:rPr>
        <w:t xml:space="preserve">, </w:t>
      </w:r>
      <w:r w:rsidRPr="00874920">
        <w:rPr>
          <w:lang w:val="fr-FR"/>
        </w:rPr>
        <w:t>2002</w:t>
      </w:r>
      <w:r w:rsidRPr="00AF54C7">
        <w:rPr>
          <w:lang w:val="fr-FR"/>
        </w:rPr>
        <w:t xml:space="preserve">, </w:t>
      </w:r>
      <w:r w:rsidRPr="00874920">
        <w:rPr>
          <w:lang w:val="fr-FR"/>
        </w:rPr>
        <w:t>2007</w:t>
      </w:r>
      <w:r w:rsidRPr="00AF54C7">
        <w:rPr>
          <w:lang w:val="fr-FR"/>
        </w:rPr>
        <w:t xml:space="preserve">, </w:t>
      </w:r>
      <w:r w:rsidRPr="00874920">
        <w:rPr>
          <w:lang w:val="fr-FR"/>
        </w:rPr>
        <w:t>2012</w:t>
      </w:r>
      <w:r w:rsidRPr="00AF54C7">
        <w:rPr>
          <w:lang w:val="fr-FR"/>
        </w:rPr>
        <w:t xml:space="preserve">, </w:t>
      </w:r>
      <w:r w:rsidRPr="00874920">
        <w:rPr>
          <w:lang w:val="fr-FR"/>
        </w:rPr>
        <w:t>2017</w:t>
      </w:r>
      <w:r w:rsidRPr="00AF54C7">
        <w:rPr>
          <w:lang w:val="fr-FR"/>
        </w:rPr>
        <w:t xml:space="preserve">, </w:t>
      </w:r>
      <w:r w:rsidRPr="00874920">
        <w:rPr>
          <w:lang w:val="fr-FR"/>
        </w:rPr>
        <w:t>2022</w:t>
      </w:r>
      <w:r w:rsidRPr="00AF54C7">
        <w:rPr>
          <w:lang w:val="fr-FR"/>
        </w:rPr>
        <w:t xml:space="preserve"> și </w:t>
      </w:r>
      <w:r w:rsidRPr="00874920">
        <w:rPr>
          <w:lang w:val="fr-FR"/>
        </w:rPr>
        <w:t>2028</w:t>
      </w:r>
      <w:r w:rsidRPr="00AF54C7">
        <w:rPr>
          <w:lang w:val="fr-FR"/>
        </w:rPr>
        <w:t>.</w:t>
      </w:r>
    </w:p>
  </w:footnote>
  <w:footnote w:id="4">
    <w:p w:rsidR="00FF7A64" w:rsidRPr="00AF54C7" w:rsidRDefault="00FF7A64" w:rsidP="005F214B">
      <w:pPr>
        <w:pStyle w:val="FootnoteText"/>
        <w:ind w:left="284" w:hanging="284"/>
        <w:rPr>
          <w:lang w:val="fr-FR"/>
        </w:rPr>
      </w:pPr>
      <w:r>
        <w:rPr>
          <w:rStyle w:val="FootnoteReference"/>
        </w:rPr>
        <w:footnoteRef/>
      </w:r>
      <w:r w:rsidRPr="00AF54C7">
        <w:rPr>
          <w:lang w:val="fr-FR"/>
        </w:rPr>
        <w:tab/>
        <w:t xml:space="preserve">Decizia </w:t>
      </w:r>
      <w:r w:rsidRPr="00874920">
        <w:rPr>
          <w:lang w:val="fr-FR"/>
        </w:rPr>
        <w:t>87</w:t>
      </w:r>
      <w:r w:rsidRPr="00AF54C7">
        <w:rPr>
          <w:lang w:val="fr-FR"/>
        </w:rPr>
        <w:t>/</w:t>
      </w:r>
      <w:r w:rsidRPr="00874920">
        <w:rPr>
          <w:lang w:val="fr-FR"/>
        </w:rPr>
        <w:t>369</w:t>
      </w:r>
      <w:r w:rsidRPr="00AF54C7">
        <w:rPr>
          <w:lang w:val="fr-FR"/>
        </w:rPr>
        <w:t xml:space="preserve">/CEE a Consiliului din </w:t>
      </w:r>
      <w:r w:rsidRPr="00874920">
        <w:rPr>
          <w:lang w:val="fr-FR"/>
        </w:rPr>
        <w:t>7</w:t>
      </w:r>
      <w:r w:rsidRPr="00AF54C7">
        <w:rPr>
          <w:lang w:val="fr-FR"/>
        </w:rPr>
        <w:t xml:space="preserve"> aprilie </w:t>
      </w:r>
      <w:r w:rsidRPr="00874920">
        <w:rPr>
          <w:lang w:val="fr-FR"/>
        </w:rPr>
        <w:t>1987</w:t>
      </w:r>
      <w:r w:rsidRPr="00AF54C7">
        <w:rPr>
          <w:lang w:val="fr-FR"/>
        </w:rPr>
        <w:t xml:space="preserve"> privind încheierea Convenției internaționale privind Sistemul armonizat de denumire și codificare a mărfurilor, precum și a protocolului de modificare a acesteia (JO L </w:t>
      </w:r>
      <w:r w:rsidRPr="00874920">
        <w:rPr>
          <w:lang w:val="fr-FR"/>
        </w:rPr>
        <w:t>198</w:t>
      </w:r>
      <w:r w:rsidRPr="00AF54C7">
        <w:rPr>
          <w:lang w:val="fr-FR"/>
        </w:rPr>
        <w:t xml:space="preserve">, </w:t>
      </w:r>
      <w:r w:rsidRPr="00874920">
        <w:rPr>
          <w:lang w:val="fr-FR"/>
        </w:rPr>
        <w:t>20</w:t>
      </w:r>
      <w:r w:rsidRPr="00AF54C7">
        <w:rPr>
          <w:lang w:val="fr-FR"/>
        </w:rPr>
        <w:t>.</w:t>
      </w:r>
      <w:r w:rsidRPr="00874920">
        <w:rPr>
          <w:lang w:val="fr-FR"/>
        </w:rPr>
        <w:t>7</w:t>
      </w:r>
      <w:r w:rsidRPr="00AF54C7">
        <w:rPr>
          <w:lang w:val="fr-FR"/>
        </w:rPr>
        <w:t>.</w:t>
      </w:r>
      <w:r w:rsidRPr="00874920">
        <w:rPr>
          <w:lang w:val="fr-FR"/>
        </w:rPr>
        <w:t>1987</w:t>
      </w:r>
      <w:r w:rsidRPr="00AF54C7">
        <w:rPr>
          <w:lang w:val="fr-FR"/>
        </w:rPr>
        <w:t xml:space="preserve">, p. </w:t>
      </w:r>
      <w:r w:rsidRPr="00874920">
        <w:rPr>
          <w:lang w:val="fr-FR"/>
        </w:rPr>
        <w:t>1</w:t>
      </w:r>
      <w:r w:rsidRPr="00AF54C7">
        <w:rPr>
          <w:lang w:val="fr-FR"/>
        </w:rPr>
        <w:t>).</w:t>
      </w:r>
    </w:p>
  </w:footnote>
  <w:footnote w:id="5">
    <w:p w:rsidR="003974D1" w:rsidRPr="00AF54C7" w:rsidRDefault="003974D1">
      <w:pPr>
        <w:pStyle w:val="FootnoteText"/>
        <w:rPr>
          <w:lang w:val="fr-FR"/>
        </w:rPr>
      </w:pPr>
      <w:r>
        <w:rPr>
          <w:rStyle w:val="FootnoteReference"/>
        </w:rPr>
        <w:footnoteRef/>
      </w:r>
      <w:r w:rsidRPr="00AF54C7">
        <w:rPr>
          <w:lang w:val="fr-FR"/>
        </w:rPr>
        <w:tab/>
        <w:t xml:space="preserve">JO L </w:t>
      </w:r>
      <w:r w:rsidRPr="00874920">
        <w:rPr>
          <w:lang w:val="fr-FR"/>
        </w:rPr>
        <w:t>269</w:t>
      </w:r>
      <w:r w:rsidRPr="00AF54C7">
        <w:rPr>
          <w:lang w:val="fr-FR"/>
        </w:rPr>
        <w:t xml:space="preserve">, </w:t>
      </w:r>
      <w:r w:rsidRPr="00874920">
        <w:rPr>
          <w:lang w:val="fr-FR"/>
        </w:rPr>
        <w:t>10</w:t>
      </w:r>
      <w:r w:rsidRPr="00AF54C7">
        <w:rPr>
          <w:lang w:val="fr-FR"/>
        </w:rPr>
        <w:t>.</w:t>
      </w:r>
      <w:r w:rsidRPr="00874920">
        <w:rPr>
          <w:lang w:val="fr-FR"/>
        </w:rPr>
        <w:t>10</w:t>
      </w:r>
      <w:r w:rsidRPr="00AF54C7">
        <w:rPr>
          <w:lang w:val="fr-FR"/>
        </w:rPr>
        <w:t>.</w:t>
      </w:r>
      <w:r w:rsidRPr="00874920">
        <w:rPr>
          <w:lang w:val="fr-FR"/>
        </w:rPr>
        <w:t>2013</w:t>
      </w:r>
      <w:r w:rsidRPr="00AF54C7">
        <w:rPr>
          <w:lang w:val="fr-FR"/>
        </w:rPr>
        <w:t xml:space="preserve">, p. </w:t>
      </w:r>
      <w:r w:rsidRPr="00874920">
        <w:rPr>
          <w:lang w:val="fr-FR"/>
        </w:rPr>
        <w:t>1</w:t>
      </w:r>
      <w:r w:rsidRPr="00AF54C7">
        <w:rPr>
          <w:lang w:val="fr-FR"/>
        </w:rPr>
        <w:t>.</w:t>
      </w:r>
    </w:p>
  </w:footnote>
  <w:footnote w:id="6">
    <w:p w:rsidR="004420C7" w:rsidRPr="00AF54C7" w:rsidRDefault="004420C7">
      <w:pPr>
        <w:pStyle w:val="FootnoteText"/>
        <w:rPr>
          <w:lang w:val="fr-FR"/>
        </w:rPr>
      </w:pPr>
      <w:r>
        <w:rPr>
          <w:rStyle w:val="FootnoteReference"/>
        </w:rPr>
        <w:footnoteRef/>
      </w:r>
      <w:r w:rsidRPr="00AF54C7">
        <w:rPr>
          <w:lang w:val="fr-FR"/>
        </w:rPr>
        <w:tab/>
        <w:t>Inclusiv grupul de lucru de presesiune al CSA</w:t>
      </w:r>
      <w:r w:rsidR="006D329F">
        <w:rPr>
          <w:lang w:val="fr-FR"/>
        </w:rPr>
        <w:t>.</w:t>
      </w:r>
    </w:p>
  </w:footnote>
  <w:footnote w:id="7">
    <w:p w:rsidR="00FF7A64" w:rsidRPr="00AF54C7" w:rsidRDefault="00FF7A64" w:rsidP="00FF7A64">
      <w:pPr>
        <w:pStyle w:val="FootnoteText"/>
        <w:rPr>
          <w:lang w:val="fr-FR"/>
        </w:rPr>
      </w:pPr>
      <w:r>
        <w:rPr>
          <w:rStyle w:val="FootnoteReference"/>
        </w:rPr>
        <w:footnoteRef/>
      </w:r>
      <w:r w:rsidRPr="00AF54C7">
        <w:rPr>
          <w:lang w:val="fr-FR"/>
        </w:rPr>
        <w:tab/>
        <w:t xml:space="preserve">Hotărârea Curții de Justiție din </w:t>
      </w:r>
      <w:r w:rsidRPr="00874920">
        <w:rPr>
          <w:lang w:val="fr-FR"/>
        </w:rPr>
        <w:t>7</w:t>
      </w:r>
      <w:r w:rsidRPr="00AF54C7">
        <w:rPr>
          <w:lang w:val="fr-FR"/>
        </w:rPr>
        <w:t xml:space="preserve"> octombrie </w:t>
      </w:r>
      <w:r w:rsidRPr="00874920">
        <w:rPr>
          <w:lang w:val="fr-FR"/>
        </w:rPr>
        <w:t>2014</w:t>
      </w:r>
      <w:r w:rsidRPr="00AF54C7">
        <w:rPr>
          <w:lang w:val="fr-FR"/>
        </w:rPr>
        <w:t>, Germania/Consiliul, Cauza C-</w:t>
      </w:r>
      <w:r w:rsidRPr="00874920">
        <w:rPr>
          <w:lang w:val="fr-FR"/>
        </w:rPr>
        <w:t>399</w:t>
      </w:r>
      <w:r w:rsidRPr="00AF54C7">
        <w:rPr>
          <w:lang w:val="fr-FR"/>
        </w:rPr>
        <w:t>/</w:t>
      </w:r>
      <w:r w:rsidRPr="00874920">
        <w:rPr>
          <w:lang w:val="fr-FR"/>
        </w:rPr>
        <w:t>12</w:t>
      </w:r>
      <w:r w:rsidRPr="00AF54C7">
        <w:rPr>
          <w:lang w:val="fr-FR"/>
        </w:rPr>
        <w:t>, ECLI:EU:C:</w:t>
      </w:r>
      <w:r w:rsidRPr="00874920">
        <w:rPr>
          <w:lang w:val="fr-FR"/>
        </w:rPr>
        <w:t>2014</w:t>
      </w:r>
      <w:r w:rsidRPr="00AF54C7">
        <w:rPr>
          <w:lang w:val="fr-FR"/>
        </w:rPr>
        <w:t>:</w:t>
      </w:r>
      <w:r w:rsidRPr="00874920">
        <w:rPr>
          <w:lang w:val="fr-FR"/>
        </w:rPr>
        <w:t>2258</w:t>
      </w:r>
      <w:r w:rsidRPr="00AF54C7">
        <w:rPr>
          <w:lang w:val="fr-FR"/>
        </w:rPr>
        <w:t xml:space="preserve">, punctele </w:t>
      </w:r>
      <w:r w:rsidRPr="00874920">
        <w:rPr>
          <w:lang w:val="fr-FR"/>
        </w:rPr>
        <w:t>61</w:t>
      </w:r>
      <w:r w:rsidRPr="00AF54C7">
        <w:rPr>
          <w:lang w:val="fr-FR"/>
        </w:rPr>
        <w:t>-</w:t>
      </w:r>
      <w:r w:rsidRPr="00874920">
        <w:rPr>
          <w:lang w:val="fr-FR"/>
        </w:rPr>
        <w:t>64</w:t>
      </w:r>
      <w:r w:rsidRPr="00AF54C7">
        <w:rPr>
          <w:lang w:val="fr-FR"/>
        </w:rPr>
        <w:t xml:space="preserve">. </w:t>
      </w:r>
    </w:p>
  </w:footnote>
  <w:footnote w:id="8">
    <w:p w:rsidR="00C27661" w:rsidRPr="00AF54C7" w:rsidRDefault="00C27661" w:rsidP="00C27661">
      <w:pPr>
        <w:pStyle w:val="FootnoteText"/>
        <w:rPr>
          <w:lang w:val="fr-FR"/>
        </w:rPr>
      </w:pPr>
      <w:r>
        <w:rPr>
          <w:rStyle w:val="FootnoteReference"/>
        </w:rPr>
        <w:footnoteRef/>
      </w:r>
      <w:r w:rsidRPr="00AF54C7">
        <w:rPr>
          <w:lang w:val="fr-FR"/>
        </w:rPr>
        <w:tab/>
        <w:t xml:space="preserve">Regulamentul (UE) nr. </w:t>
      </w:r>
      <w:r w:rsidRPr="00874920">
        <w:rPr>
          <w:lang w:val="fr-FR"/>
        </w:rPr>
        <w:t>952</w:t>
      </w:r>
      <w:r w:rsidRPr="00AF54C7">
        <w:rPr>
          <w:lang w:val="fr-FR"/>
        </w:rPr>
        <w:t>/</w:t>
      </w:r>
      <w:r w:rsidRPr="00874920">
        <w:rPr>
          <w:lang w:val="fr-FR"/>
        </w:rPr>
        <w:t>2013</w:t>
      </w:r>
      <w:r w:rsidRPr="00AF54C7">
        <w:rPr>
          <w:lang w:val="fr-FR"/>
        </w:rPr>
        <w:t xml:space="preserve"> al Parlamentului European și al Consiliului din </w:t>
      </w:r>
      <w:r w:rsidRPr="00874920">
        <w:rPr>
          <w:lang w:val="fr-FR"/>
        </w:rPr>
        <w:t>9</w:t>
      </w:r>
      <w:r w:rsidRPr="00AF54C7">
        <w:rPr>
          <w:lang w:val="fr-FR"/>
        </w:rPr>
        <w:t xml:space="preserve"> octombrie </w:t>
      </w:r>
      <w:r w:rsidRPr="00874920">
        <w:rPr>
          <w:lang w:val="fr-FR"/>
        </w:rPr>
        <w:t>2013</w:t>
      </w:r>
      <w:r w:rsidRPr="00AF54C7">
        <w:rPr>
          <w:lang w:val="fr-FR"/>
        </w:rPr>
        <w:t xml:space="preserve"> de stabilire a Codului vamal al Uniunii, JOUE L </w:t>
      </w:r>
      <w:r w:rsidRPr="00874920">
        <w:rPr>
          <w:lang w:val="fr-FR"/>
        </w:rPr>
        <w:t>269</w:t>
      </w:r>
      <w:r w:rsidRPr="00AF54C7">
        <w:rPr>
          <w:lang w:val="fr-FR"/>
        </w:rPr>
        <w:t xml:space="preserve"> din </w:t>
      </w:r>
      <w:r w:rsidRPr="00874920">
        <w:rPr>
          <w:lang w:val="fr-FR"/>
        </w:rPr>
        <w:t>10</w:t>
      </w:r>
      <w:r w:rsidRPr="00AF54C7">
        <w:rPr>
          <w:lang w:val="fr-FR"/>
        </w:rPr>
        <w:t>.</w:t>
      </w:r>
      <w:r w:rsidRPr="00874920">
        <w:rPr>
          <w:lang w:val="fr-FR"/>
        </w:rPr>
        <w:t>10</w:t>
      </w:r>
      <w:r w:rsidRPr="00AF54C7">
        <w:rPr>
          <w:lang w:val="fr-FR"/>
        </w:rPr>
        <w:t>.</w:t>
      </w:r>
      <w:r w:rsidRPr="00874920">
        <w:rPr>
          <w:lang w:val="fr-FR"/>
        </w:rPr>
        <w:t>2013</w:t>
      </w:r>
      <w:r w:rsidRPr="00AF54C7">
        <w:rPr>
          <w:lang w:val="fr-FR"/>
        </w:rPr>
        <w:t xml:space="preserve">, p. </w:t>
      </w:r>
      <w:r w:rsidRPr="00874920">
        <w:rPr>
          <w:lang w:val="fr-FR"/>
        </w:rPr>
        <w:t>1</w:t>
      </w:r>
      <w:r w:rsidRPr="00AF54C7">
        <w:rPr>
          <w:lang w:val="fr-FR"/>
        </w:rPr>
        <w:t>.</w:t>
      </w:r>
    </w:p>
  </w:footnote>
  <w:footnote w:id="9">
    <w:p w:rsidR="00C27661" w:rsidRPr="00AF54C7" w:rsidRDefault="00C27661" w:rsidP="00C27661">
      <w:pPr>
        <w:pStyle w:val="FootnoteText"/>
        <w:rPr>
          <w:lang w:val="fr-FR"/>
        </w:rPr>
      </w:pPr>
      <w:r>
        <w:rPr>
          <w:rStyle w:val="FootnoteReference"/>
        </w:rPr>
        <w:footnoteRef/>
      </w:r>
      <w:r w:rsidRPr="00AF54C7">
        <w:rPr>
          <w:lang w:val="fr-FR"/>
        </w:rPr>
        <w:tab/>
        <w:t>Informații tarifare obligatorii: decizii de clasificare adresate în prealabil de administrațiile vamale operatorilor economici, pentru a asigura securitatea juridică cu privire la clasificarea și la tratamentul tarifar aplicabil mărfurilor importate sau exportate.</w:t>
      </w:r>
      <w:r w:rsidRPr="00AF54C7">
        <w:rPr>
          <w:i/>
          <w:lang w:val="fr-FR"/>
        </w:rPr>
        <w:t xml:space="preserve"> </w:t>
      </w:r>
    </w:p>
  </w:footnote>
  <w:footnote w:id="10">
    <w:p w:rsidR="000C32A8" w:rsidRPr="00AF54C7" w:rsidRDefault="000C32A8" w:rsidP="002E102B">
      <w:pPr>
        <w:pStyle w:val="FootnoteText"/>
        <w:rPr>
          <w:lang w:val="fr-FR"/>
        </w:rPr>
      </w:pPr>
      <w:r>
        <w:rPr>
          <w:rStyle w:val="FootnoteReference"/>
        </w:rPr>
        <w:footnoteRef/>
      </w:r>
      <w:r w:rsidRPr="00AF54C7">
        <w:rPr>
          <w:lang w:val="fr-FR"/>
        </w:rPr>
        <w:tab/>
        <w:t xml:space="preserve">Decizia </w:t>
      </w:r>
      <w:r w:rsidRPr="00874920">
        <w:rPr>
          <w:lang w:val="fr-FR"/>
        </w:rPr>
        <w:t>87</w:t>
      </w:r>
      <w:r w:rsidRPr="00AF54C7">
        <w:rPr>
          <w:lang w:val="fr-FR"/>
        </w:rPr>
        <w:t>/</w:t>
      </w:r>
      <w:r w:rsidRPr="00874920">
        <w:rPr>
          <w:lang w:val="fr-FR"/>
        </w:rPr>
        <w:t>369</w:t>
      </w:r>
      <w:r w:rsidRPr="00AF54C7">
        <w:rPr>
          <w:lang w:val="fr-FR"/>
        </w:rPr>
        <w:t xml:space="preserve">/CEE a Consiliului din </w:t>
      </w:r>
      <w:r w:rsidRPr="00874920">
        <w:rPr>
          <w:lang w:val="fr-FR"/>
        </w:rPr>
        <w:t>7</w:t>
      </w:r>
      <w:r w:rsidRPr="00AF54C7">
        <w:rPr>
          <w:lang w:val="fr-FR"/>
        </w:rPr>
        <w:t xml:space="preserve"> aprilie </w:t>
      </w:r>
      <w:r w:rsidRPr="00874920">
        <w:rPr>
          <w:lang w:val="fr-FR"/>
        </w:rPr>
        <w:t>1987</w:t>
      </w:r>
      <w:r w:rsidRPr="00AF54C7">
        <w:rPr>
          <w:lang w:val="fr-FR"/>
        </w:rPr>
        <w:t xml:space="preserve"> privind încheierea Convenției internaționale privind Sistemul armonizat de denumire și codificare a mărfurilor, precum și a protocolului de modificare a acesteia (</w:t>
      </w:r>
      <w:hyperlink r:id="rId1" w:history="1">
        <w:r w:rsidRPr="00AF54C7">
          <w:rPr>
            <w:lang w:val="fr-FR"/>
          </w:rPr>
          <w:t>JO L </w:t>
        </w:r>
        <w:r w:rsidRPr="00874920">
          <w:rPr>
            <w:lang w:val="fr-FR"/>
          </w:rPr>
          <w:t>198</w:t>
        </w:r>
        <w:r w:rsidRPr="00AF54C7">
          <w:rPr>
            <w:lang w:val="fr-FR"/>
          </w:rPr>
          <w:t xml:space="preserve">, </w:t>
        </w:r>
        <w:r w:rsidRPr="00874920">
          <w:rPr>
            <w:lang w:val="fr-FR"/>
          </w:rPr>
          <w:t>20</w:t>
        </w:r>
        <w:r w:rsidRPr="00AF54C7">
          <w:rPr>
            <w:lang w:val="fr-FR"/>
          </w:rPr>
          <w:t>.</w:t>
        </w:r>
        <w:r w:rsidRPr="00874920">
          <w:rPr>
            <w:lang w:val="fr-FR"/>
          </w:rPr>
          <w:t>7</w:t>
        </w:r>
        <w:r w:rsidRPr="00AF54C7">
          <w:rPr>
            <w:lang w:val="fr-FR"/>
          </w:rPr>
          <w:t>.</w:t>
        </w:r>
        <w:r w:rsidRPr="00874920">
          <w:rPr>
            <w:lang w:val="fr-FR"/>
          </w:rPr>
          <w:t>1987</w:t>
        </w:r>
        <w:r w:rsidRPr="00AF54C7">
          <w:rPr>
            <w:lang w:val="fr-FR"/>
          </w:rPr>
          <w:t>, p. </w:t>
        </w:r>
        <w:r w:rsidRPr="00874920">
          <w:rPr>
            <w:lang w:val="fr-FR"/>
          </w:rPr>
          <w:t>1</w:t>
        </w:r>
      </w:hyperlink>
      <w:r w:rsidRPr="00AF54C7">
        <w:rPr>
          <w:lang w:val="fr-FR"/>
        </w:rPr>
        <w:t>).</w:t>
      </w:r>
    </w:p>
  </w:footnote>
  <w:footnote w:id="11">
    <w:p w:rsidR="00244781" w:rsidRPr="00AF54C7" w:rsidRDefault="00244781">
      <w:pPr>
        <w:pStyle w:val="FootnoteText"/>
        <w:rPr>
          <w:lang w:val="fr-FR"/>
        </w:rPr>
      </w:pPr>
      <w:r>
        <w:rPr>
          <w:rStyle w:val="FootnoteReference"/>
        </w:rPr>
        <w:footnoteRef/>
      </w:r>
      <w:r w:rsidRPr="00AF54C7">
        <w:rPr>
          <w:lang w:val="fr-FR"/>
        </w:rPr>
        <w:tab/>
        <w:t xml:space="preserve">JO L </w:t>
      </w:r>
      <w:r w:rsidRPr="00874920">
        <w:rPr>
          <w:lang w:val="fr-FR"/>
        </w:rPr>
        <w:t>198</w:t>
      </w:r>
      <w:r w:rsidRPr="00AF54C7">
        <w:rPr>
          <w:lang w:val="fr-FR"/>
        </w:rPr>
        <w:t xml:space="preserve">, </w:t>
      </w:r>
      <w:r w:rsidRPr="00874920">
        <w:rPr>
          <w:lang w:val="fr-FR"/>
        </w:rPr>
        <w:t>20</w:t>
      </w:r>
      <w:r w:rsidRPr="00AF54C7">
        <w:rPr>
          <w:lang w:val="fr-FR"/>
        </w:rPr>
        <w:t>.</w:t>
      </w:r>
      <w:r w:rsidRPr="00874920">
        <w:rPr>
          <w:lang w:val="fr-FR"/>
        </w:rPr>
        <w:t>7</w:t>
      </w:r>
      <w:r w:rsidRPr="00AF54C7">
        <w:rPr>
          <w:lang w:val="fr-FR"/>
        </w:rPr>
        <w:t>.</w:t>
      </w:r>
      <w:r w:rsidRPr="00874920">
        <w:rPr>
          <w:lang w:val="fr-FR"/>
        </w:rPr>
        <w:t>1987</w:t>
      </w:r>
      <w:r w:rsidRPr="00AF54C7">
        <w:rPr>
          <w:lang w:val="fr-FR"/>
        </w:rPr>
        <w:t>, p. </w:t>
      </w:r>
      <w:r w:rsidRPr="00874920">
        <w:rPr>
          <w:lang w:val="fr-FR"/>
        </w:rPr>
        <w:t>3</w:t>
      </w:r>
      <w:r w:rsidRPr="00AF54C7">
        <w:rPr>
          <w:lang w:val="fr-FR"/>
        </w:rPr>
        <w:t>.</w:t>
      </w:r>
    </w:p>
  </w:footnote>
  <w:footnote w:id="12">
    <w:p w:rsidR="000C32A8" w:rsidRPr="00AF54C7" w:rsidRDefault="000C32A8" w:rsidP="000C32A8">
      <w:pPr>
        <w:pStyle w:val="FootnoteText"/>
        <w:rPr>
          <w:rFonts w:eastAsia="Times New Roman"/>
          <w:lang w:val="fr-FR"/>
        </w:rPr>
      </w:pPr>
      <w:r>
        <w:rPr>
          <w:rStyle w:val="FootnoteReference"/>
        </w:rPr>
        <w:footnoteRef/>
      </w:r>
      <w:r w:rsidRPr="00AF54C7">
        <w:rPr>
          <w:lang w:val="fr-FR"/>
        </w:rPr>
        <w:tab/>
        <w:t>JO L </w:t>
      </w:r>
      <w:r w:rsidRPr="00874920">
        <w:rPr>
          <w:lang w:val="fr-FR"/>
        </w:rPr>
        <w:t>198</w:t>
      </w:r>
      <w:r w:rsidRPr="00AF54C7">
        <w:rPr>
          <w:lang w:val="fr-FR"/>
        </w:rPr>
        <w:t xml:space="preserve">, </w:t>
      </w:r>
      <w:r w:rsidRPr="00874920">
        <w:rPr>
          <w:lang w:val="fr-FR"/>
        </w:rPr>
        <w:t>20</w:t>
      </w:r>
      <w:r w:rsidRPr="00AF54C7">
        <w:rPr>
          <w:lang w:val="fr-FR"/>
        </w:rPr>
        <w:t>.</w:t>
      </w:r>
      <w:r w:rsidRPr="00874920">
        <w:rPr>
          <w:lang w:val="fr-FR"/>
        </w:rPr>
        <w:t>7</w:t>
      </w:r>
      <w:r w:rsidRPr="00AF54C7">
        <w:rPr>
          <w:lang w:val="fr-FR"/>
        </w:rPr>
        <w:t>.</w:t>
      </w:r>
      <w:r w:rsidRPr="00874920">
        <w:rPr>
          <w:lang w:val="fr-FR"/>
        </w:rPr>
        <w:t>1987</w:t>
      </w:r>
      <w:r w:rsidRPr="00AF54C7">
        <w:rPr>
          <w:lang w:val="fr-FR"/>
        </w:rPr>
        <w:t>, p. </w:t>
      </w:r>
      <w:r w:rsidRPr="00874920">
        <w:rPr>
          <w:lang w:val="fr-FR"/>
        </w:rPr>
        <w:t>11</w:t>
      </w:r>
      <w:r w:rsidRPr="00AF54C7">
        <w:rPr>
          <w:lang w:val="fr-FR"/>
        </w:rPr>
        <w:t>.</w:t>
      </w:r>
    </w:p>
    <w:p w:rsidR="000C32A8" w:rsidRPr="00AF54C7" w:rsidRDefault="000C32A8" w:rsidP="000C32A8">
      <w:pPr>
        <w:pStyle w:val="FootnoteText"/>
        <w:rPr>
          <w:lang w:val="fr-FR"/>
        </w:rPr>
      </w:pPr>
    </w:p>
  </w:footnote>
  <w:footnote w:id="13">
    <w:p w:rsidR="00015A2D" w:rsidRPr="00AF54C7" w:rsidRDefault="00015A2D">
      <w:pPr>
        <w:pStyle w:val="FootnoteText"/>
        <w:rPr>
          <w:lang w:val="fr-FR"/>
        </w:rPr>
      </w:pPr>
      <w:r>
        <w:rPr>
          <w:rStyle w:val="FootnoteReference"/>
        </w:rPr>
        <w:footnoteRef/>
      </w:r>
      <w:r w:rsidRPr="00AF54C7">
        <w:rPr>
          <w:lang w:val="fr-FR"/>
        </w:rPr>
        <w:tab/>
        <w:t>Regulamentul (CEE) nr. </w:t>
      </w:r>
      <w:r w:rsidRPr="00874920">
        <w:rPr>
          <w:lang w:val="fr-FR"/>
        </w:rPr>
        <w:t>2658</w:t>
      </w:r>
      <w:r w:rsidRPr="00AF54C7">
        <w:rPr>
          <w:lang w:val="fr-FR"/>
        </w:rPr>
        <w:t>/</w:t>
      </w:r>
      <w:r w:rsidRPr="00874920">
        <w:rPr>
          <w:lang w:val="fr-FR"/>
        </w:rPr>
        <w:t>87</w:t>
      </w:r>
      <w:r w:rsidRPr="00AF54C7">
        <w:rPr>
          <w:lang w:val="fr-FR"/>
        </w:rPr>
        <w:t xml:space="preserve"> din </w:t>
      </w:r>
      <w:r w:rsidRPr="00874920">
        <w:rPr>
          <w:lang w:val="fr-FR"/>
        </w:rPr>
        <w:t>23</w:t>
      </w:r>
      <w:r w:rsidRPr="00AF54C7">
        <w:rPr>
          <w:lang w:val="fr-FR"/>
        </w:rPr>
        <w:t xml:space="preserve"> iulie </w:t>
      </w:r>
      <w:r w:rsidRPr="00874920">
        <w:rPr>
          <w:lang w:val="fr-FR"/>
        </w:rPr>
        <w:t>1987</w:t>
      </w:r>
      <w:r w:rsidRPr="00AF54C7">
        <w:rPr>
          <w:lang w:val="fr-FR"/>
        </w:rPr>
        <w:t xml:space="preserve"> al Consiliului privind Nomenclatura tarifară și statistică și Tariful Vamal Comun (JO L </w:t>
      </w:r>
      <w:r w:rsidRPr="00874920">
        <w:rPr>
          <w:lang w:val="fr-FR"/>
        </w:rPr>
        <w:t>256</w:t>
      </w:r>
      <w:r w:rsidRPr="00AF54C7">
        <w:rPr>
          <w:lang w:val="fr-FR"/>
        </w:rPr>
        <w:t xml:space="preserve">, </w:t>
      </w:r>
      <w:r w:rsidRPr="00874920">
        <w:rPr>
          <w:lang w:val="fr-FR"/>
        </w:rPr>
        <w:t>7</w:t>
      </w:r>
      <w:r w:rsidRPr="00AF54C7">
        <w:rPr>
          <w:lang w:val="fr-FR"/>
        </w:rPr>
        <w:t>.</w:t>
      </w:r>
      <w:r w:rsidRPr="00874920">
        <w:rPr>
          <w:lang w:val="fr-FR"/>
        </w:rPr>
        <w:t>9</w:t>
      </w:r>
      <w:r w:rsidRPr="00AF54C7">
        <w:rPr>
          <w:lang w:val="fr-FR"/>
        </w:rPr>
        <w:t>.</w:t>
      </w:r>
      <w:r w:rsidRPr="00874920">
        <w:rPr>
          <w:lang w:val="fr-FR"/>
        </w:rPr>
        <w:t>1987</w:t>
      </w:r>
      <w:r w:rsidRPr="00AF54C7">
        <w:rPr>
          <w:lang w:val="fr-FR"/>
        </w:rPr>
        <w:t>, p. </w:t>
      </w:r>
      <w:r w:rsidRPr="00874920">
        <w:rPr>
          <w:lang w:val="fr-FR"/>
        </w:rPr>
        <w:t>1</w:t>
      </w:r>
      <w:r w:rsidRPr="00AF54C7">
        <w:rPr>
          <w:lang w:val="fr-FR"/>
        </w:rPr>
        <w:t>).</w:t>
      </w:r>
    </w:p>
  </w:footnote>
  <w:footnote w:id="14">
    <w:p w:rsidR="00684762" w:rsidRPr="00AF54C7" w:rsidRDefault="00684762">
      <w:pPr>
        <w:pStyle w:val="FootnoteText"/>
        <w:rPr>
          <w:lang w:val="fr-FR"/>
        </w:rPr>
      </w:pPr>
      <w:r>
        <w:rPr>
          <w:rStyle w:val="FootnoteReference"/>
        </w:rPr>
        <w:footnoteRef/>
      </w:r>
      <w:r w:rsidRPr="00AF54C7">
        <w:rPr>
          <w:lang w:val="fr-FR"/>
        </w:rPr>
        <w:tab/>
        <w:t xml:space="preserve">Decizia (UE) </w:t>
      </w:r>
      <w:r w:rsidRPr="00874920">
        <w:rPr>
          <w:lang w:val="fr-FR"/>
        </w:rPr>
        <w:t>2023</w:t>
      </w:r>
      <w:r w:rsidRPr="00AF54C7">
        <w:rPr>
          <w:lang w:val="fr-FR"/>
        </w:rPr>
        <w:t>/</w:t>
      </w:r>
      <w:r w:rsidRPr="00874920">
        <w:rPr>
          <w:lang w:val="fr-FR"/>
        </w:rPr>
        <w:t>2898</w:t>
      </w:r>
      <w:r w:rsidRPr="00AF54C7">
        <w:rPr>
          <w:lang w:val="fr-FR"/>
        </w:rPr>
        <w:t xml:space="preserve"> a Consiliului din </w:t>
      </w:r>
      <w:r w:rsidRPr="00874920">
        <w:rPr>
          <w:lang w:val="fr-FR"/>
        </w:rPr>
        <w:t>19</w:t>
      </w:r>
      <w:r w:rsidRPr="00AF54C7">
        <w:rPr>
          <w:lang w:val="fr-FR"/>
        </w:rPr>
        <w:t xml:space="preserve"> decembrie </w:t>
      </w:r>
      <w:r w:rsidRPr="00874920">
        <w:rPr>
          <w:lang w:val="fr-FR"/>
        </w:rPr>
        <w:t>2023</w:t>
      </w:r>
      <w:r w:rsidRPr="00AF54C7">
        <w:rPr>
          <w:lang w:val="fr-FR"/>
        </w:rPr>
        <w:t xml:space="preserve"> privind poziția care urmează să fie adoptată în numele Uniunii Europene în cadrul Organizației Mondiale a Vămilor (OMV) cu privire la adoptarea unor note explicative, avize de clasificare și a altor avize privind interpretarea Sistemului armonizat și a unor recomandări pentru a se asigura interpretarea în mod uniform a Sistemului armonizat în temeiul Convenției SA (JO L </w:t>
      </w:r>
      <w:r w:rsidRPr="00874920">
        <w:rPr>
          <w:lang w:val="fr-FR"/>
        </w:rPr>
        <w:t>22</w:t>
      </w:r>
      <w:r w:rsidRPr="00AF54C7">
        <w:rPr>
          <w:lang w:val="fr-FR"/>
        </w:rPr>
        <w:t>.</w:t>
      </w:r>
      <w:r w:rsidRPr="00874920">
        <w:rPr>
          <w:lang w:val="fr-FR"/>
        </w:rPr>
        <w:t>12</w:t>
      </w:r>
      <w:r w:rsidRPr="00AF54C7">
        <w:rPr>
          <w:lang w:val="fr-FR"/>
        </w:rPr>
        <w:t>.</w:t>
      </w:r>
      <w:r w:rsidRPr="00874920">
        <w:rPr>
          <w:lang w:val="fr-FR"/>
        </w:rPr>
        <w:t>2023</w:t>
      </w:r>
      <w:r w:rsidRPr="00AF54C7">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Default="00B42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06" w:rsidRDefault="00B42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47A72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22ED5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DCC2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49C1B5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7AA2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E08CEFD2"/>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9F61EB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6"/>
  </w:num>
  <w:num w:numId="3">
    <w:abstractNumId w:val="4"/>
  </w:num>
  <w:num w:numId="4">
    <w:abstractNumId w:val="3"/>
  </w:num>
  <w:num w:numId="5">
    <w:abstractNumId w:val="5"/>
  </w:num>
  <w:num w:numId="6">
    <w:abstractNumId w:val="2"/>
  </w:num>
  <w:num w:numId="7">
    <w:abstractNumId w:val="1"/>
  </w:num>
  <w:num w:numId="8">
    <w:abstractNumId w:val="0"/>
  </w:num>
  <w:num w:numId="9">
    <w:abstractNumId w:val="15"/>
    <w:lvlOverride w:ilvl="0">
      <w:startOverride w:val="1"/>
    </w:lvlOverride>
  </w:num>
  <w:num w:numId="10">
    <w:abstractNumId w:val="11"/>
  </w:num>
  <w:num w:numId="11">
    <w:abstractNumId w:val="23"/>
  </w:num>
  <w:num w:numId="12">
    <w:abstractNumId w:val="23"/>
    <w:lvlOverride w:ilvl="0">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num>
  <w:num w:numId="15">
    <w:abstractNumId w:val="19"/>
  </w:num>
  <w:num w:numId="16">
    <w:abstractNumId w:val="12"/>
  </w:num>
  <w:num w:numId="17">
    <w:abstractNumId w:val="21"/>
  </w:num>
  <w:num w:numId="18">
    <w:abstractNumId w:val="10"/>
  </w:num>
  <w:num w:numId="19">
    <w:abstractNumId w:val="13"/>
  </w:num>
  <w:num w:numId="20">
    <w:abstractNumId w:val="14"/>
  </w:num>
  <w:num w:numId="21">
    <w:abstractNumId w:val="8"/>
  </w:num>
  <w:num w:numId="22">
    <w:abstractNumId w:val="20"/>
  </w:num>
  <w:num w:numId="23">
    <w:abstractNumId w:val="7"/>
  </w:num>
  <w:num w:numId="24">
    <w:abstractNumId w:val="15"/>
  </w:num>
  <w:num w:numId="25">
    <w:abstractNumId w:val="17"/>
  </w:num>
  <w:num w:numId="26">
    <w:abstractNumId w:val="18"/>
  </w:num>
  <w:num w:numId="27">
    <w:abstractNumId w:val="9"/>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9 17:17: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8BD0CF1-12E8-4040-9963-67C5549F5725"/>
    <w:docVar w:name="LW_COVERPAGE_TYPE" w:val="1"/>
    <w:docVar w:name="LW_CROSSREFERENCE" w:val="&lt;UNUSED&gt;"/>
    <w:docVar w:name="LW_DocType" w:val="COM"/>
    <w:docVar w:name="LW_EMISSION" w:val="12.6.2026"/>
    <w:docVar w:name="LW_EMISSION_ISODATE" w:val="2026-06-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3"/>
    <w:docVar w:name="LW_REF.II.NEW.CP_YEAR" w:val="2026"/>
    <w:docVar w:name="LW_REF.INST.NEW" w:val="COM"/>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Organiza\u539?iei Mondiale a V\u259?milor (OMV) cu privire la adoptarea de note explicative, avize de clasificare \u537?i alte avize privind interpretarea Sistemului armonizat \u537?i recomand\u259?ri pentru a asigura o interpretare uniform\u259? a Sistemului armonizat în temeiul Conven\u539?iei privind Sistemul armonizat \u537?i Recomandarea privind modificarea nomenclaturii prezentate în anex\u259? la Conven\u539?ia privind Sistemul armonizat"/>
    <w:docVar w:name="LW_TYPE.DOC.CP" w:val="DECIZIE A CONSILIULUI"/>
    <w:docVar w:name="LwApiVersions" w:val="LW4CoDe 1.24.5.0; LW 9.2, Build 20251112"/>
  </w:docVars>
  <w:rsids>
    <w:rsidRoot w:val="002D2A76"/>
    <w:rsid w:val="0000017A"/>
    <w:rsid w:val="0000218E"/>
    <w:rsid w:val="00007B47"/>
    <w:rsid w:val="00007C97"/>
    <w:rsid w:val="0001007E"/>
    <w:rsid w:val="00011A31"/>
    <w:rsid w:val="00012B22"/>
    <w:rsid w:val="000133DD"/>
    <w:rsid w:val="0001561D"/>
    <w:rsid w:val="00015A2D"/>
    <w:rsid w:val="0001654D"/>
    <w:rsid w:val="0002046C"/>
    <w:rsid w:val="00026B25"/>
    <w:rsid w:val="000329C4"/>
    <w:rsid w:val="00033753"/>
    <w:rsid w:val="00034DBC"/>
    <w:rsid w:val="00036A84"/>
    <w:rsid w:val="00037C67"/>
    <w:rsid w:val="00041BF6"/>
    <w:rsid w:val="00041F9F"/>
    <w:rsid w:val="000421D2"/>
    <w:rsid w:val="0004310C"/>
    <w:rsid w:val="00043629"/>
    <w:rsid w:val="00043C62"/>
    <w:rsid w:val="0004655D"/>
    <w:rsid w:val="0004747E"/>
    <w:rsid w:val="00051B6E"/>
    <w:rsid w:val="000549B3"/>
    <w:rsid w:val="000615DE"/>
    <w:rsid w:val="00061BE7"/>
    <w:rsid w:val="00062B97"/>
    <w:rsid w:val="00066FA2"/>
    <w:rsid w:val="0007233E"/>
    <w:rsid w:val="00080596"/>
    <w:rsid w:val="00083BAE"/>
    <w:rsid w:val="00084C93"/>
    <w:rsid w:val="00094784"/>
    <w:rsid w:val="000949E0"/>
    <w:rsid w:val="0009562F"/>
    <w:rsid w:val="000A2F2B"/>
    <w:rsid w:val="000A40E2"/>
    <w:rsid w:val="000C1096"/>
    <w:rsid w:val="000C1F10"/>
    <w:rsid w:val="000C32A8"/>
    <w:rsid w:val="000C3704"/>
    <w:rsid w:val="000C41AA"/>
    <w:rsid w:val="000C578C"/>
    <w:rsid w:val="000D0D72"/>
    <w:rsid w:val="000D190C"/>
    <w:rsid w:val="000D5B90"/>
    <w:rsid w:val="000D737A"/>
    <w:rsid w:val="000D77F2"/>
    <w:rsid w:val="000E1898"/>
    <w:rsid w:val="000E1A9D"/>
    <w:rsid w:val="000E7130"/>
    <w:rsid w:val="000E7996"/>
    <w:rsid w:val="000F0DD3"/>
    <w:rsid w:val="000F28B1"/>
    <w:rsid w:val="000F6115"/>
    <w:rsid w:val="000F6D6B"/>
    <w:rsid w:val="00102452"/>
    <w:rsid w:val="00104BD6"/>
    <w:rsid w:val="00106673"/>
    <w:rsid w:val="001112F0"/>
    <w:rsid w:val="0011231E"/>
    <w:rsid w:val="00113880"/>
    <w:rsid w:val="0011389E"/>
    <w:rsid w:val="001159F9"/>
    <w:rsid w:val="00115D26"/>
    <w:rsid w:val="00117E12"/>
    <w:rsid w:val="00123203"/>
    <w:rsid w:val="00126CE7"/>
    <w:rsid w:val="0013303D"/>
    <w:rsid w:val="00134BC1"/>
    <w:rsid w:val="00134C99"/>
    <w:rsid w:val="00135853"/>
    <w:rsid w:val="001407E9"/>
    <w:rsid w:val="00143928"/>
    <w:rsid w:val="00144D1A"/>
    <w:rsid w:val="00151177"/>
    <w:rsid w:val="00152B11"/>
    <w:rsid w:val="001536A6"/>
    <w:rsid w:val="00154A2C"/>
    <w:rsid w:val="00157077"/>
    <w:rsid w:val="001661D8"/>
    <w:rsid w:val="00170F4E"/>
    <w:rsid w:val="001717DC"/>
    <w:rsid w:val="00173A2D"/>
    <w:rsid w:val="00173FAF"/>
    <w:rsid w:val="00177AAC"/>
    <w:rsid w:val="00186F77"/>
    <w:rsid w:val="00190C08"/>
    <w:rsid w:val="00191721"/>
    <w:rsid w:val="00191CD7"/>
    <w:rsid w:val="00192035"/>
    <w:rsid w:val="001979F5"/>
    <w:rsid w:val="00197CA4"/>
    <w:rsid w:val="001A533E"/>
    <w:rsid w:val="001A6157"/>
    <w:rsid w:val="001A669C"/>
    <w:rsid w:val="001A75FC"/>
    <w:rsid w:val="001A767C"/>
    <w:rsid w:val="001B1C35"/>
    <w:rsid w:val="001B224A"/>
    <w:rsid w:val="001B24AA"/>
    <w:rsid w:val="001B59DE"/>
    <w:rsid w:val="001B6688"/>
    <w:rsid w:val="001B6EC7"/>
    <w:rsid w:val="001C07E6"/>
    <w:rsid w:val="001C360B"/>
    <w:rsid w:val="001D1C88"/>
    <w:rsid w:val="001D2CDF"/>
    <w:rsid w:val="001D3389"/>
    <w:rsid w:val="001D6701"/>
    <w:rsid w:val="001D77DD"/>
    <w:rsid w:val="001E2CDB"/>
    <w:rsid w:val="001E37A7"/>
    <w:rsid w:val="001F1136"/>
    <w:rsid w:val="001F20C8"/>
    <w:rsid w:val="001F5153"/>
    <w:rsid w:val="001F58BB"/>
    <w:rsid w:val="0020117C"/>
    <w:rsid w:val="00206341"/>
    <w:rsid w:val="002071BB"/>
    <w:rsid w:val="00211B6F"/>
    <w:rsid w:val="00211FBF"/>
    <w:rsid w:val="00213394"/>
    <w:rsid w:val="002166E2"/>
    <w:rsid w:val="00217BF2"/>
    <w:rsid w:val="002245F5"/>
    <w:rsid w:val="00226435"/>
    <w:rsid w:val="002274F1"/>
    <w:rsid w:val="0023630E"/>
    <w:rsid w:val="00236BFC"/>
    <w:rsid w:val="00237E07"/>
    <w:rsid w:val="00240E98"/>
    <w:rsid w:val="00241ED4"/>
    <w:rsid w:val="0024249E"/>
    <w:rsid w:val="00242B91"/>
    <w:rsid w:val="00243750"/>
    <w:rsid w:val="00244781"/>
    <w:rsid w:val="00245D9A"/>
    <w:rsid w:val="0024681C"/>
    <w:rsid w:val="00253412"/>
    <w:rsid w:val="00253504"/>
    <w:rsid w:val="00253AC0"/>
    <w:rsid w:val="00260358"/>
    <w:rsid w:val="00262327"/>
    <w:rsid w:val="00262A87"/>
    <w:rsid w:val="00266C25"/>
    <w:rsid w:val="00284148"/>
    <w:rsid w:val="00286876"/>
    <w:rsid w:val="00286AED"/>
    <w:rsid w:val="0029181A"/>
    <w:rsid w:val="002925CF"/>
    <w:rsid w:val="00297392"/>
    <w:rsid w:val="00297A2B"/>
    <w:rsid w:val="002A22D3"/>
    <w:rsid w:val="002A7080"/>
    <w:rsid w:val="002A7668"/>
    <w:rsid w:val="002B0B79"/>
    <w:rsid w:val="002C0859"/>
    <w:rsid w:val="002C0C3E"/>
    <w:rsid w:val="002C23FF"/>
    <w:rsid w:val="002C50FE"/>
    <w:rsid w:val="002C67B4"/>
    <w:rsid w:val="002D2A76"/>
    <w:rsid w:val="002D3D08"/>
    <w:rsid w:val="002D4B4D"/>
    <w:rsid w:val="002D6ABE"/>
    <w:rsid w:val="002D7208"/>
    <w:rsid w:val="002E102B"/>
    <w:rsid w:val="002E23A7"/>
    <w:rsid w:val="002E2C04"/>
    <w:rsid w:val="002E306A"/>
    <w:rsid w:val="002E472B"/>
    <w:rsid w:val="002E476B"/>
    <w:rsid w:val="002E4CE6"/>
    <w:rsid w:val="002E5576"/>
    <w:rsid w:val="002E6C86"/>
    <w:rsid w:val="002E7480"/>
    <w:rsid w:val="002F2C12"/>
    <w:rsid w:val="002F6563"/>
    <w:rsid w:val="0030350F"/>
    <w:rsid w:val="0030744C"/>
    <w:rsid w:val="00310E7C"/>
    <w:rsid w:val="003115BB"/>
    <w:rsid w:val="00311DD6"/>
    <w:rsid w:val="0031390C"/>
    <w:rsid w:val="00314577"/>
    <w:rsid w:val="00315075"/>
    <w:rsid w:val="0031565E"/>
    <w:rsid w:val="00316B95"/>
    <w:rsid w:val="00316E74"/>
    <w:rsid w:val="003176B9"/>
    <w:rsid w:val="00324430"/>
    <w:rsid w:val="00325D71"/>
    <w:rsid w:val="00333FD6"/>
    <w:rsid w:val="00340FF5"/>
    <w:rsid w:val="00352181"/>
    <w:rsid w:val="00352527"/>
    <w:rsid w:val="003534B1"/>
    <w:rsid w:val="00353FB8"/>
    <w:rsid w:val="003566D1"/>
    <w:rsid w:val="003601AA"/>
    <w:rsid w:val="003615EC"/>
    <w:rsid w:val="00361718"/>
    <w:rsid w:val="0036329C"/>
    <w:rsid w:val="003845DB"/>
    <w:rsid w:val="00385271"/>
    <w:rsid w:val="003855EF"/>
    <w:rsid w:val="003935E7"/>
    <w:rsid w:val="00395966"/>
    <w:rsid w:val="00396ED3"/>
    <w:rsid w:val="003974D1"/>
    <w:rsid w:val="003979C6"/>
    <w:rsid w:val="003A3406"/>
    <w:rsid w:val="003B6D17"/>
    <w:rsid w:val="003C1DEE"/>
    <w:rsid w:val="003C3CAB"/>
    <w:rsid w:val="003C60AD"/>
    <w:rsid w:val="003C6AB1"/>
    <w:rsid w:val="003C750A"/>
    <w:rsid w:val="003C793C"/>
    <w:rsid w:val="003D3FB5"/>
    <w:rsid w:val="003D7726"/>
    <w:rsid w:val="003E1FC3"/>
    <w:rsid w:val="003F024C"/>
    <w:rsid w:val="003F3508"/>
    <w:rsid w:val="003F475B"/>
    <w:rsid w:val="003F5B8C"/>
    <w:rsid w:val="003F79A3"/>
    <w:rsid w:val="003F7C6F"/>
    <w:rsid w:val="00400661"/>
    <w:rsid w:val="00404A10"/>
    <w:rsid w:val="00404E9D"/>
    <w:rsid w:val="00413C64"/>
    <w:rsid w:val="0041642B"/>
    <w:rsid w:val="004241C1"/>
    <w:rsid w:val="0042459D"/>
    <w:rsid w:val="0042508D"/>
    <w:rsid w:val="004262FB"/>
    <w:rsid w:val="004263D4"/>
    <w:rsid w:val="00426832"/>
    <w:rsid w:val="0042693C"/>
    <w:rsid w:val="00426B41"/>
    <w:rsid w:val="00431092"/>
    <w:rsid w:val="00433271"/>
    <w:rsid w:val="00433487"/>
    <w:rsid w:val="00436C8B"/>
    <w:rsid w:val="00436EC5"/>
    <w:rsid w:val="004420C7"/>
    <w:rsid w:val="00442F94"/>
    <w:rsid w:val="004447A2"/>
    <w:rsid w:val="00451203"/>
    <w:rsid w:val="004523BB"/>
    <w:rsid w:val="0045345C"/>
    <w:rsid w:val="004535D2"/>
    <w:rsid w:val="004555A7"/>
    <w:rsid w:val="004565BB"/>
    <w:rsid w:val="00457102"/>
    <w:rsid w:val="00461F53"/>
    <w:rsid w:val="00462910"/>
    <w:rsid w:val="00464458"/>
    <w:rsid w:val="00464A7E"/>
    <w:rsid w:val="00470A15"/>
    <w:rsid w:val="0047568F"/>
    <w:rsid w:val="00480A2D"/>
    <w:rsid w:val="004813E7"/>
    <w:rsid w:val="0049119A"/>
    <w:rsid w:val="00491BC4"/>
    <w:rsid w:val="004A4B8C"/>
    <w:rsid w:val="004A6833"/>
    <w:rsid w:val="004B5D80"/>
    <w:rsid w:val="004C376A"/>
    <w:rsid w:val="004C541C"/>
    <w:rsid w:val="004E30CE"/>
    <w:rsid w:val="004E34D5"/>
    <w:rsid w:val="004E35ED"/>
    <w:rsid w:val="004E3A51"/>
    <w:rsid w:val="004E45EF"/>
    <w:rsid w:val="004E6568"/>
    <w:rsid w:val="004F3488"/>
    <w:rsid w:val="004F3544"/>
    <w:rsid w:val="004F3B36"/>
    <w:rsid w:val="004F562C"/>
    <w:rsid w:val="004F56F2"/>
    <w:rsid w:val="004F59A5"/>
    <w:rsid w:val="005051F2"/>
    <w:rsid w:val="005060AC"/>
    <w:rsid w:val="00507669"/>
    <w:rsid w:val="00512E5B"/>
    <w:rsid w:val="005235B5"/>
    <w:rsid w:val="00523EC4"/>
    <w:rsid w:val="00524857"/>
    <w:rsid w:val="00525FA9"/>
    <w:rsid w:val="0052708E"/>
    <w:rsid w:val="0053278B"/>
    <w:rsid w:val="005334C9"/>
    <w:rsid w:val="00535C23"/>
    <w:rsid w:val="00544237"/>
    <w:rsid w:val="0054568C"/>
    <w:rsid w:val="0055039A"/>
    <w:rsid w:val="00551459"/>
    <w:rsid w:val="00551ED4"/>
    <w:rsid w:val="00554C31"/>
    <w:rsid w:val="005557AE"/>
    <w:rsid w:val="00562D83"/>
    <w:rsid w:val="0056679F"/>
    <w:rsid w:val="0056753E"/>
    <w:rsid w:val="00571A55"/>
    <w:rsid w:val="00573FAB"/>
    <w:rsid w:val="00575060"/>
    <w:rsid w:val="00577AE1"/>
    <w:rsid w:val="00581657"/>
    <w:rsid w:val="00582426"/>
    <w:rsid w:val="00583093"/>
    <w:rsid w:val="005875B2"/>
    <w:rsid w:val="00592A57"/>
    <w:rsid w:val="00594C0E"/>
    <w:rsid w:val="00597E6E"/>
    <w:rsid w:val="005A7DC8"/>
    <w:rsid w:val="005B1DC1"/>
    <w:rsid w:val="005B27B5"/>
    <w:rsid w:val="005C6818"/>
    <w:rsid w:val="005D108D"/>
    <w:rsid w:val="005D2D6B"/>
    <w:rsid w:val="005D5C5C"/>
    <w:rsid w:val="005D5F69"/>
    <w:rsid w:val="005D61F3"/>
    <w:rsid w:val="005D62A3"/>
    <w:rsid w:val="005E00F0"/>
    <w:rsid w:val="005E1906"/>
    <w:rsid w:val="005E3EEC"/>
    <w:rsid w:val="005E48F5"/>
    <w:rsid w:val="005E4AD8"/>
    <w:rsid w:val="005E566D"/>
    <w:rsid w:val="005E657F"/>
    <w:rsid w:val="005F214B"/>
    <w:rsid w:val="005F4837"/>
    <w:rsid w:val="0060152C"/>
    <w:rsid w:val="00602A87"/>
    <w:rsid w:val="00603625"/>
    <w:rsid w:val="0060584C"/>
    <w:rsid w:val="00612398"/>
    <w:rsid w:val="006157FA"/>
    <w:rsid w:val="00616734"/>
    <w:rsid w:val="00617327"/>
    <w:rsid w:val="00617400"/>
    <w:rsid w:val="00620539"/>
    <w:rsid w:val="0062258D"/>
    <w:rsid w:val="006227BD"/>
    <w:rsid w:val="0062325E"/>
    <w:rsid w:val="0062355D"/>
    <w:rsid w:val="00625506"/>
    <w:rsid w:val="006262C2"/>
    <w:rsid w:val="00627BD8"/>
    <w:rsid w:val="00635273"/>
    <w:rsid w:val="006375C3"/>
    <w:rsid w:val="00643004"/>
    <w:rsid w:val="00643C15"/>
    <w:rsid w:val="00650359"/>
    <w:rsid w:val="00651096"/>
    <w:rsid w:val="006557CF"/>
    <w:rsid w:val="00662052"/>
    <w:rsid w:val="006642ED"/>
    <w:rsid w:val="00667CB2"/>
    <w:rsid w:val="0067535D"/>
    <w:rsid w:val="00676213"/>
    <w:rsid w:val="006827D5"/>
    <w:rsid w:val="00684762"/>
    <w:rsid w:val="00685A59"/>
    <w:rsid w:val="006860F1"/>
    <w:rsid w:val="00690902"/>
    <w:rsid w:val="00692A12"/>
    <w:rsid w:val="00692E87"/>
    <w:rsid w:val="00694C00"/>
    <w:rsid w:val="006A12DE"/>
    <w:rsid w:val="006A19AA"/>
    <w:rsid w:val="006A38D8"/>
    <w:rsid w:val="006A6139"/>
    <w:rsid w:val="006C1FEE"/>
    <w:rsid w:val="006C3EE5"/>
    <w:rsid w:val="006C4E37"/>
    <w:rsid w:val="006C5348"/>
    <w:rsid w:val="006C563B"/>
    <w:rsid w:val="006C5826"/>
    <w:rsid w:val="006C660F"/>
    <w:rsid w:val="006C6CB0"/>
    <w:rsid w:val="006D329F"/>
    <w:rsid w:val="006D40CA"/>
    <w:rsid w:val="006D4731"/>
    <w:rsid w:val="006E39E4"/>
    <w:rsid w:val="006E3E10"/>
    <w:rsid w:val="006E69E3"/>
    <w:rsid w:val="006F4E22"/>
    <w:rsid w:val="0070525A"/>
    <w:rsid w:val="0070598F"/>
    <w:rsid w:val="00706715"/>
    <w:rsid w:val="00707B18"/>
    <w:rsid w:val="007120DE"/>
    <w:rsid w:val="00712B3D"/>
    <w:rsid w:val="00715CDF"/>
    <w:rsid w:val="00715CFD"/>
    <w:rsid w:val="007311FC"/>
    <w:rsid w:val="00733225"/>
    <w:rsid w:val="00735303"/>
    <w:rsid w:val="00736032"/>
    <w:rsid w:val="00740073"/>
    <w:rsid w:val="00740B30"/>
    <w:rsid w:val="00744134"/>
    <w:rsid w:val="00756B21"/>
    <w:rsid w:val="00762E9E"/>
    <w:rsid w:val="0076553B"/>
    <w:rsid w:val="00771CB2"/>
    <w:rsid w:val="007756FE"/>
    <w:rsid w:val="007765E6"/>
    <w:rsid w:val="007808A8"/>
    <w:rsid w:val="007856C2"/>
    <w:rsid w:val="00786B35"/>
    <w:rsid w:val="00791F65"/>
    <w:rsid w:val="007A019B"/>
    <w:rsid w:val="007A265C"/>
    <w:rsid w:val="007A3C28"/>
    <w:rsid w:val="007A7F88"/>
    <w:rsid w:val="007B0A9E"/>
    <w:rsid w:val="007B0B8F"/>
    <w:rsid w:val="007B4EEF"/>
    <w:rsid w:val="007B765B"/>
    <w:rsid w:val="007C437E"/>
    <w:rsid w:val="007C55CD"/>
    <w:rsid w:val="007C6B67"/>
    <w:rsid w:val="007C7692"/>
    <w:rsid w:val="007D178B"/>
    <w:rsid w:val="007D40EF"/>
    <w:rsid w:val="007D7B38"/>
    <w:rsid w:val="007E2143"/>
    <w:rsid w:val="007E2C01"/>
    <w:rsid w:val="007F0A55"/>
    <w:rsid w:val="007F2457"/>
    <w:rsid w:val="00801266"/>
    <w:rsid w:val="008048F9"/>
    <w:rsid w:val="00810AE6"/>
    <w:rsid w:val="0081319B"/>
    <w:rsid w:val="008135D2"/>
    <w:rsid w:val="00814BA1"/>
    <w:rsid w:val="008212A6"/>
    <w:rsid w:val="00822DD7"/>
    <w:rsid w:val="00822DE2"/>
    <w:rsid w:val="008277F3"/>
    <w:rsid w:val="00831A41"/>
    <w:rsid w:val="00856A5A"/>
    <w:rsid w:val="00860563"/>
    <w:rsid w:val="008644D8"/>
    <w:rsid w:val="008655EA"/>
    <w:rsid w:val="00865727"/>
    <w:rsid w:val="0086676A"/>
    <w:rsid w:val="00867F33"/>
    <w:rsid w:val="00871ECC"/>
    <w:rsid w:val="00872434"/>
    <w:rsid w:val="00874920"/>
    <w:rsid w:val="00874E28"/>
    <w:rsid w:val="0087693B"/>
    <w:rsid w:val="00877878"/>
    <w:rsid w:val="00882186"/>
    <w:rsid w:val="00882CE0"/>
    <w:rsid w:val="00883BE6"/>
    <w:rsid w:val="00886F23"/>
    <w:rsid w:val="00890607"/>
    <w:rsid w:val="00894798"/>
    <w:rsid w:val="00896854"/>
    <w:rsid w:val="008A0355"/>
    <w:rsid w:val="008A0A76"/>
    <w:rsid w:val="008A48CA"/>
    <w:rsid w:val="008A57AB"/>
    <w:rsid w:val="008B7458"/>
    <w:rsid w:val="008C1512"/>
    <w:rsid w:val="008C6582"/>
    <w:rsid w:val="008C6D23"/>
    <w:rsid w:val="008D27D0"/>
    <w:rsid w:val="008D44A8"/>
    <w:rsid w:val="008D6E1D"/>
    <w:rsid w:val="008E1CBC"/>
    <w:rsid w:val="008E1D7A"/>
    <w:rsid w:val="008E1ED5"/>
    <w:rsid w:val="008E1F9E"/>
    <w:rsid w:val="008E21F9"/>
    <w:rsid w:val="008E284A"/>
    <w:rsid w:val="008E2DCD"/>
    <w:rsid w:val="008E5EBC"/>
    <w:rsid w:val="008E69C8"/>
    <w:rsid w:val="008F0CAA"/>
    <w:rsid w:val="008F6463"/>
    <w:rsid w:val="008F738A"/>
    <w:rsid w:val="009027E3"/>
    <w:rsid w:val="00902CC4"/>
    <w:rsid w:val="00920B31"/>
    <w:rsid w:val="0092571E"/>
    <w:rsid w:val="009322D2"/>
    <w:rsid w:val="0093745E"/>
    <w:rsid w:val="0093748D"/>
    <w:rsid w:val="00940C4F"/>
    <w:rsid w:val="009525F1"/>
    <w:rsid w:val="00952CAF"/>
    <w:rsid w:val="0095329C"/>
    <w:rsid w:val="00956DCF"/>
    <w:rsid w:val="0096104B"/>
    <w:rsid w:val="009618BE"/>
    <w:rsid w:val="00961C13"/>
    <w:rsid w:val="00962F24"/>
    <w:rsid w:val="0097044D"/>
    <w:rsid w:val="00971B4C"/>
    <w:rsid w:val="009729EF"/>
    <w:rsid w:val="00976251"/>
    <w:rsid w:val="00976F64"/>
    <w:rsid w:val="00977354"/>
    <w:rsid w:val="00977B4D"/>
    <w:rsid w:val="00981031"/>
    <w:rsid w:val="00990CBF"/>
    <w:rsid w:val="00991307"/>
    <w:rsid w:val="00991E32"/>
    <w:rsid w:val="00993951"/>
    <w:rsid w:val="0099567F"/>
    <w:rsid w:val="00996126"/>
    <w:rsid w:val="0099732D"/>
    <w:rsid w:val="009A1AC2"/>
    <w:rsid w:val="009A71D7"/>
    <w:rsid w:val="009B1771"/>
    <w:rsid w:val="009B762D"/>
    <w:rsid w:val="009C427C"/>
    <w:rsid w:val="009C74E6"/>
    <w:rsid w:val="009C766A"/>
    <w:rsid w:val="009C7E1C"/>
    <w:rsid w:val="009D5561"/>
    <w:rsid w:val="009D7351"/>
    <w:rsid w:val="009E2A0F"/>
    <w:rsid w:val="009E3DFC"/>
    <w:rsid w:val="009E4B9A"/>
    <w:rsid w:val="009F06C0"/>
    <w:rsid w:val="009F7D3E"/>
    <w:rsid w:val="00A05BB9"/>
    <w:rsid w:val="00A07CD4"/>
    <w:rsid w:val="00A1288B"/>
    <w:rsid w:val="00A1640E"/>
    <w:rsid w:val="00A24F00"/>
    <w:rsid w:val="00A26FC7"/>
    <w:rsid w:val="00A3712A"/>
    <w:rsid w:val="00A372C1"/>
    <w:rsid w:val="00A40794"/>
    <w:rsid w:val="00A42B27"/>
    <w:rsid w:val="00A47A6C"/>
    <w:rsid w:val="00A61954"/>
    <w:rsid w:val="00A71339"/>
    <w:rsid w:val="00A72580"/>
    <w:rsid w:val="00A73262"/>
    <w:rsid w:val="00A7402D"/>
    <w:rsid w:val="00A7778A"/>
    <w:rsid w:val="00A77F63"/>
    <w:rsid w:val="00A8727D"/>
    <w:rsid w:val="00A90648"/>
    <w:rsid w:val="00A9207A"/>
    <w:rsid w:val="00A92657"/>
    <w:rsid w:val="00AA4740"/>
    <w:rsid w:val="00AA51A1"/>
    <w:rsid w:val="00AA683A"/>
    <w:rsid w:val="00AB1F91"/>
    <w:rsid w:val="00AB75FB"/>
    <w:rsid w:val="00AC5817"/>
    <w:rsid w:val="00AC7A27"/>
    <w:rsid w:val="00AD3025"/>
    <w:rsid w:val="00AD4491"/>
    <w:rsid w:val="00AD6644"/>
    <w:rsid w:val="00AD6950"/>
    <w:rsid w:val="00AF02C9"/>
    <w:rsid w:val="00AF1FFF"/>
    <w:rsid w:val="00AF54C7"/>
    <w:rsid w:val="00B0052F"/>
    <w:rsid w:val="00B01AED"/>
    <w:rsid w:val="00B03703"/>
    <w:rsid w:val="00B1489B"/>
    <w:rsid w:val="00B14DA6"/>
    <w:rsid w:val="00B1798E"/>
    <w:rsid w:val="00B27197"/>
    <w:rsid w:val="00B27C5A"/>
    <w:rsid w:val="00B31B6A"/>
    <w:rsid w:val="00B33F22"/>
    <w:rsid w:val="00B35E47"/>
    <w:rsid w:val="00B4040F"/>
    <w:rsid w:val="00B42706"/>
    <w:rsid w:val="00B44E71"/>
    <w:rsid w:val="00B47F8E"/>
    <w:rsid w:val="00B54094"/>
    <w:rsid w:val="00B54234"/>
    <w:rsid w:val="00B557D3"/>
    <w:rsid w:val="00B60494"/>
    <w:rsid w:val="00B65B03"/>
    <w:rsid w:val="00B701DC"/>
    <w:rsid w:val="00B72A81"/>
    <w:rsid w:val="00B74952"/>
    <w:rsid w:val="00B77F4D"/>
    <w:rsid w:val="00B97CDD"/>
    <w:rsid w:val="00BA000B"/>
    <w:rsid w:val="00BA5571"/>
    <w:rsid w:val="00BB37D0"/>
    <w:rsid w:val="00BB55B2"/>
    <w:rsid w:val="00BB713E"/>
    <w:rsid w:val="00BC2032"/>
    <w:rsid w:val="00BC2EF5"/>
    <w:rsid w:val="00BC4443"/>
    <w:rsid w:val="00BC5F4A"/>
    <w:rsid w:val="00BD2DCD"/>
    <w:rsid w:val="00BD2F1C"/>
    <w:rsid w:val="00BD30F5"/>
    <w:rsid w:val="00BD4894"/>
    <w:rsid w:val="00BD7BC0"/>
    <w:rsid w:val="00BE0548"/>
    <w:rsid w:val="00BE3127"/>
    <w:rsid w:val="00BE4A90"/>
    <w:rsid w:val="00BE7640"/>
    <w:rsid w:val="00BF48BD"/>
    <w:rsid w:val="00C02DBD"/>
    <w:rsid w:val="00C04944"/>
    <w:rsid w:val="00C0622B"/>
    <w:rsid w:val="00C1623C"/>
    <w:rsid w:val="00C16C4A"/>
    <w:rsid w:val="00C17605"/>
    <w:rsid w:val="00C17A11"/>
    <w:rsid w:val="00C21E13"/>
    <w:rsid w:val="00C22781"/>
    <w:rsid w:val="00C27219"/>
    <w:rsid w:val="00C27661"/>
    <w:rsid w:val="00C30823"/>
    <w:rsid w:val="00C31482"/>
    <w:rsid w:val="00C31D89"/>
    <w:rsid w:val="00C34E10"/>
    <w:rsid w:val="00C36400"/>
    <w:rsid w:val="00C36E0D"/>
    <w:rsid w:val="00C36E84"/>
    <w:rsid w:val="00C4077E"/>
    <w:rsid w:val="00C40B3A"/>
    <w:rsid w:val="00C415ED"/>
    <w:rsid w:val="00C4481B"/>
    <w:rsid w:val="00C44AC7"/>
    <w:rsid w:val="00C44E5C"/>
    <w:rsid w:val="00C51E6E"/>
    <w:rsid w:val="00C51FDD"/>
    <w:rsid w:val="00C52B01"/>
    <w:rsid w:val="00C52DFF"/>
    <w:rsid w:val="00C53C38"/>
    <w:rsid w:val="00C557F5"/>
    <w:rsid w:val="00C637AC"/>
    <w:rsid w:val="00C75895"/>
    <w:rsid w:val="00C80D8D"/>
    <w:rsid w:val="00C85989"/>
    <w:rsid w:val="00C92E25"/>
    <w:rsid w:val="00C96E9F"/>
    <w:rsid w:val="00C97088"/>
    <w:rsid w:val="00C97EC2"/>
    <w:rsid w:val="00CB42C4"/>
    <w:rsid w:val="00CB6187"/>
    <w:rsid w:val="00CB77DC"/>
    <w:rsid w:val="00CC5EE2"/>
    <w:rsid w:val="00CC767F"/>
    <w:rsid w:val="00CC7E18"/>
    <w:rsid w:val="00CE57B0"/>
    <w:rsid w:val="00CE6524"/>
    <w:rsid w:val="00CE6CDD"/>
    <w:rsid w:val="00CF00BF"/>
    <w:rsid w:val="00CF13AD"/>
    <w:rsid w:val="00CF19E9"/>
    <w:rsid w:val="00CF26A2"/>
    <w:rsid w:val="00CF2E79"/>
    <w:rsid w:val="00CF44B7"/>
    <w:rsid w:val="00CF5C21"/>
    <w:rsid w:val="00CF6DB8"/>
    <w:rsid w:val="00D04D9A"/>
    <w:rsid w:val="00D058F9"/>
    <w:rsid w:val="00D11212"/>
    <w:rsid w:val="00D213D9"/>
    <w:rsid w:val="00D22739"/>
    <w:rsid w:val="00D23A6A"/>
    <w:rsid w:val="00D3131C"/>
    <w:rsid w:val="00D326E5"/>
    <w:rsid w:val="00D34AD6"/>
    <w:rsid w:val="00D3574A"/>
    <w:rsid w:val="00D360E0"/>
    <w:rsid w:val="00D403F3"/>
    <w:rsid w:val="00D41422"/>
    <w:rsid w:val="00D523AB"/>
    <w:rsid w:val="00D53126"/>
    <w:rsid w:val="00D53DF7"/>
    <w:rsid w:val="00D57C68"/>
    <w:rsid w:val="00D60F6F"/>
    <w:rsid w:val="00D628AC"/>
    <w:rsid w:val="00D703E6"/>
    <w:rsid w:val="00D72616"/>
    <w:rsid w:val="00D762BB"/>
    <w:rsid w:val="00D82999"/>
    <w:rsid w:val="00D82C40"/>
    <w:rsid w:val="00D91F4A"/>
    <w:rsid w:val="00D947B0"/>
    <w:rsid w:val="00D95493"/>
    <w:rsid w:val="00D954D2"/>
    <w:rsid w:val="00DA22AF"/>
    <w:rsid w:val="00DA36D4"/>
    <w:rsid w:val="00DA52E4"/>
    <w:rsid w:val="00DB0679"/>
    <w:rsid w:val="00DB481F"/>
    <w:rsid w:val="00DB4FFB"/>
    <w:rsid w:val="00DC7586"/>
    <w:rsid w:val="00DD3362"/>
    <w:rsid w:val="00DD6DF8"/>
    <w:rsid w:val="00DE55D1"/>
    <w:rsid w:val="00DE69EC"/>
    <w:rsid w:val="00DF7956"/>
    <w:rsid w:val="00E0035C"/>
    <w:rsid w:val="00E010A1"/>
    <w:rsid w:val="00E05A65"/>
    <w:rsid w:val="00E1317A"/>
    <w:rsid w:val="00E149C1"/>
    <w:rsid w:val="00E26D91"/>
    <w:rsid w:val="00E31513"/>
    <w:rsid w:val="00E32129"/>
    <w:rsid w:val="00E32766"/>
    <w:rsid w:val="00E32A2B"/>
    <w:rsid w:val="00E33AC6"/>
    <w:rsid w:val="00E40AAD"/>
    <w:rsid w:val="00E47092"/>
    <w:rsid w:val="00E53B47"/>
    <w:rsid w:val="00E57484"/>
    <w:rsid w:val="00E619EB"/>
    <w:rsid w:val="00E64541"/>
    <w:rsid w:val="00E64C14"/>
    <w:rsid w:val="00E656BB"/>
    <w:rsid w:val="00E66477"/>
    <w:rsid w:val="00E670AC"/>
    <w:rsid w:val="00E7503E"/>
    <w:rsid w:val="00E7539E"/>
    <w:rsid w:val="00E77242"/>
    <w:rsid w:val="00E91598"/>
    <w:rsid w:val="00E92295"/>
    <w:rsid w:val="00E94D39"/>
    <w:rsid w:val="00EA01F2"/>
    <w:rsid w:val="00EA2845"/>
    <w:rsid w:val="00EA285D"/>
    <w:rsid w:val="00EA69B0"/>
    <w:rsid w:val="00EA75A1"/>
    <w:rsid w:val="00EB1A16"/>
    <w:rsid w:val="00EB21E4"/>
    <w:rsid w:val="00EB4CA6"/>
    <w:rsid w:val="00EC179D"/>
    <w:rsid w:val="00EC217D"/>
    <w:rsid w:val="00EC4216"/>
    <w:rsid w:val="00ED2330"/>
    <w:rsid w:val="00ED2372"/>
    <w:rsid w:val="00EE29B8"/>
    <w:rsid w:val="00EE5742"/>
    <w:rsid w:val="00EE684C"/>
    <w:rsid w:val="00EE7140"/>
    <w:rsid w:val="00EE7972"/>
    <w:rsid w:val="00EE7FC7"/>
    <w:rsid w:val="00EF0202"/>
    <w:rsid w:val="00EF1F76"/>
    <w:rsid w:val="00EF2EA8"/>
    <w:rsid w:val="00EF6B3C"/>
    <w:rsid w:val="00F00018"/>
    <w:rsid w:val="00F0037C"/>
    <w:rsid w:val="00F00538"/>
    <w:rsid w:val="00F00A8F"/>
    <w:rsid w:val="00F0224E"/>
    <w:rsid w:val="00F02D27"/>
    <w:rsid w:val="00F064BF"/>
    <w:rsid w:val="00F0697B"/>
    <w:rsid w:val="00F0729F"/>
    <w:rsid w:val="00F137E9"/>
    <w:rsid w:val="00F13F67"/>
    <w:rsid w:val="00F17497"/>
    <w:rsid w:val="00F22135"/>
    <w:rsid w:val="00F27EFB"/>
    <w:rsid w:val="00F30077"/>
    <w:rsid w:val="00F31A09"/>
    <w:rsid w:val="00F34657"/>
    <w:rsid w:val="00F429B8"/>
    <w:rsid w:val="00F50AE8"/>
    <w:rsid w:val="00F51CF0"/>
    <w:rsid w:val="00F54A40"/>
    <w:rsid w:val="00F559BF"/>
    <w:rsid w:val="00F621AF"/>
    <w:rsid w:val="00F63B89"/>
    <w:rsid w:val="00F66359"/>
    <w:rsid w:val="00F70AED"/>
    <w:rsid w:val="00F70C0E"/>
    <w:rsid w:val="00F720F3"/>
    <w:rsid w:val="00F8147A"/>
    <w:rsid w:val="00F86171"/>
    <w:rsid w:val="00F87AD1"/>
    <w:rsid w:val="00F87BDC"/>
    <w:rsid w:val="00F914E4"/>
    <w:rsid w:val="00F92543"/>
    <w:rsid w:val="00F940EE"/>
    <w:rsid w:val="00F94BAE"/>
    <w:rsid w:val="00FA0539"/>
    <w:rsid w:val="00FA05CD"/>
    <w:rsid w:val="00FA1573"/>
    <w:rsid w:val="00FA4288"/>
    <w:rsid w:val="00FA77A7"/>
    <w:rsid w:val="00FB436A"/>
    <w:rsid w:val="00FC3C47"/>
    <w:rsid w:val="00FC7DFB"/>
    <w:rsid w:val="00FD14B6"/>
    <w:rsid w:val="00FD237F"/>
    <w:rsid w:val="00FD3B68"/>
    <w:rsid w:val="00FE52C4"/>
    <w:rsid w:val="00FF47BA"/>
    <w:rsid w:val="00FF551B"/>
    <w:rsid w:val="00FF7A64"/>
    <w:rsid w:val="00FF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CB05DC-7A1E-4E4F-B1E5-E53FF7E2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uiPriority w:val="99"/>
    <w:rsid w:val="00FF7A64"/>
    <w:pPr>
      <w:numPr>
        <w:numId w:val="1"/>
      </w:numPr>
    </w:pPr>
    <w:rPr>
      <w:rFonts w:eastAsia="Times New Roman"/>
      <w:lang w:eastAsia="en-GB"/>
    </w:rPr>
  </w:style>
  <w:style w:type="paragraph" w:styleId="ListBullet">
    <w:name w:val="List Bullet"/>
    <w:basedOn w:val="Normal"/>
    <w:uiPriority w:val="99"/>
    <w:semiHidden/>
    <w:unhideWhenUsed/>
    <w:rsid w:val="00FE52C4"/>
    <w:pPr>
      <w:numPr>
        <w:numId w:val="2"/>
      </w:numPr>
      <w:contextualSpacing/>
    </w:pPr>
  </w:style>
  <w:style w:type="paragraph" w:styleId="ListBullet3">
    <w:name w:val="List Bullet 3"/>
    <w:basedOn w:val="Normal"/>
    <w:uiPriority w:val="99"/>
    <w:semiHidden/>
    <w:unhideWhenUsed/>
    <w:rsid w:val="00FE52C4"/>
    <w:pPr>
      <w:numPr>
        <w:numId w:val="3"/>
      </w:numPr>
      <w:contextualSpacing/>
    </w:pPr>
  </w:style>
  <w:style w:type="paragraph" w:styleId="ListBullet4">
    <w:name w:val="List Bullet 4"/>
    <w:basedOn w:val="Normal"/>
    <w:uiPriority w:val="99"/>
    <w:semiHidden/>
    <w:unhideWhenUsed/>
    <w:rsid w:val="00FE52C4"/>
    <w:pPr>
      <w:numPr>
        <w:numId w:val="4"/>
      </w:numPr>
      <w:contextualSpacing/>
    </w:pPr>
  </w:style>
  <w:style w:type="paragraph" w:styleId="Caption">
    <w:name w:val="caption"/>
    <w:basedOn w:val="Normal"/>
    <w:next w:val="Normal"/>
    <w:uiPriority w:val="35"/>
    <w:semiHidden/>
    <w:unhideWhenUsed/>
    <w:qFormat/>
    <w:rsid w:val="003601A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601AA"/>
    <w:pPr>
      <w:spacing w:after="0"/>
    </w:pPr>
  </w:style>
  <w:style w:type="paragraph" w:styleId="ListNumber">
    <w:name w:val="List Number"/>
    <w:basedOn w:val="Normal"/>
    <w:uiPriority w:val="99"/>
    <w:semiHidden/>
    <w:unhideWhenUsed/>
    <w:rsid w:val="003601AA"/>
    <w:pPr>
      <w:numPr>
        <w:numId w:val="5"/>
      </w:numPr>
      <w:contextualSpacing/>
    </w:pPr>
  </w:style>
  <w:style w:type="paragraph" w:styleId="ListNumber2">
    <w:name w:val="List Number 2"/>
    <w:basedOn w:val="Normal"/>
    <w:uiPriority w:val="99"/>
    <w:semiHidden/>
    <w:unhideWhenUsed/>
    <w:rsid w:val="003601AA"/>
    <w:pPr>
      <w:numPr>
        <w:numId w:val="6"/>
      </w:numPr>
      <w:contextualSpacing/>
    </w:pPr>
  </w:style>
  <w:style w:type="paragraph" w:styleId="ListNumber3">
    <w:name w:val="List Number 3"/>
    <w:basedOn w:val="Normal"/>
    <w:uiPriority w:val="99"/>
    <w:semiHidden/>
    <w:unhideWhenUsed/>
    <w:rsid w:val="003601AA"/>
    <w:pPr>
      <w:numPr>
        <w:numId w:val="7"/>
      </w:numPr>
      <w:contextualSpacing/>
    </w:pPr>
  </w:style>
  <w:style w:type="paragraph" w:styleId="ListNumber4">
    <w:name w:val="List Number 4"/>
    <w:basedOn w:val="Normal"/>
    <w:uiPriority w:val="99"/>
    <w:semiHidden/>
    <w:unhideWhenUsed/>
    <w:rsid w:val="003601AA"/>
    <w:pPr>
      <w:numPr>
        <w:numId w:val="8"/>
      </w:numPr>
      <w:contextualSpacing/>
    </w:pPr>
  </w:style>
  <w:style w:type="character" w:styleId="CommentReference">
    <w:name w:val="annotation reference"/>
    <w:basedOn w:val="DefaultParagraphFont"/>
    <w:uiPriority w:val="99"/>
    <w:semiHidden/>
    <w:unhideWhenUsed/>
    <w:rsid w:val="002D4B4D"/>
    <w:rPr>
      <w:sz w:val="16"/>
      <w:szCs w:val="16"/>
    </w:rPr>
  </w:style>
  <w:style w:type="paragraph" w:styleId="CommentText">
    <w:name w:val="annotation text"/>
    <w:basedOn w:val="Normal"/>
    <w:link w:val="CommentTextChar"/>
    <w:uiPriority w:val="99"/>
    <w:unhideWhenUsed/>
    <w:rsid w:val="002D4B4D"/>
    <w:rPr>
      <w:sz w:val="20"/>
      <w:szCs w:val="20"/>
    </w:rPr>
  </w:style>
  <w:style w:type="character" w:customStyle="1" w:styleId="CommentTextChar">
    <w:name w:val="Comment Text Char"/>
    <w:basedOn w:val="DefaultParagraphFont"/>
    <w:link w:val="CommentText"/>
    <w:uiPriority w:val="99"/>
    <w:rsid w:val="002D4B4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D4B4D"/>
    <w:rPr>
      <w:b/>
      <w:bCs/>
    </w:rPr>
  </w:style>
  <w:style w:type="character" w:customStyle="1" w:styleId="CommentSubjectChar">
    <w:name w:val="Comment Subject Char"/>
    <w:basedOn w:val="CommentTextChar"/>
    <w:link w:val="CommentSubject"/>
    <w:uiPriority w:val="99"/>
    <w:semiHidden/>
    <w:rsid w:val="002D4B4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2D4B4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4D"/>
    <w:rPr>
      <w:rFonts w:ascii="Segoe UI" w:hAnsi="Segoe UI" w:cs="Segoe UI"/>
      <w:sz w:val="18"/>
      <w:szCs w:val="18"/>
      <w:lang w:val="ro-RO"/>
    </w:rPr>
  </w:style>
  <w:style w:type="character" w:styleId="Hyperlink">
    <w:name w:val="Hyperlink"/>
    <w:basedOn w:val="DefaultParagraphFont"/>
    <w:uiPriority w:val="99"/>
    <w:unhideWhenUsed/>
    <w:rsid w:val="002D4B4D"/>
    <w:rPr>
      <w:color w:val="0000FF" w:themeColor="hyperlink"/>
      <w:u w:val="single"/>
    </w:rPr>
  </w:style>
  <w:style w:type="paragraph" w:styleId="ListParagraph">
    <w:name w:val="List Paragraph"/>
    <w:basedOn w:val="Normal"/>
    <w:uiPriority w:val="34"/>
    <w:qFormat/>
    <w:rsid w:val="004813E7"/>
    <w:pPr>
      <w:ind w:left="720"/>
      <w:contextualSpacing/>
    </w:pPr>
  </w:style>
  <w:style w:type="paragraph" w:customStyle="1" w:styleId="LegalNumPar">
    <w:name w:val="LegalNumPar"/>
    <w:basedOn w:val="Normal"/>
    <w:rsid w:val="00603625"/>
    <w:pPr>
      <w:numPr>
        <w:numId w:val="10"/>
      </w:numPr>
      <w:spacing w:line="360" w:lineRule="auto"/>
    </w:pPr>
  </w:style>
  <w:style w:type="paragraph" w:customStyle="1" w:styleId="LegalNumPar2">
    <w:name w:val="LegalNumPar2"/>
    <w:basedOn w:val="Normal"/>
    <w:rsid w:val="00603625"/>
    <w:pPr>
      <w:numPr>
        <w:ilvl w:val="1"/>
        <w:numId w:val="10"/>
      </w:numPr>
      <w:spacing w:line="360" w:lineRule="auto"/>
    </w:pPr>
  </w:style>
  <w:style w:type="paragraph" w:customStyle="1" w:styleId="LegalNumPar3">
    <w:name w:val="LegalNumPar3"/>
    <w:basedOn w:val="Normal"/>
    <w:rsid w:val="00603625"/>
    <w:pPr>
      <w:numPr>
        <w:ilvl w:val="2"/>
        <w:numId w:val="10"/>
      </w:numPr>
      <w:spacing w:line="360" w:lineRule="auto"/>
    </w:pPr>
  </w:style>
  <w:style w:type="paragraph" w:styleId="EndnoteText">
    <w:name w:val="endnote text"/>
    <w:basedOn w:val="Normal"/>
    <w:link w:val="EndnoteTextChar"/>
    <w:uiPriority w:val="99"/>
    <w:semiHidden/>
    <w:unhideWhenUsed/>
    <w:rsid w:val="00535C23"/>
    <w:pPr>
      <w:spacing w:before="0" w:after="0"/>
    </w:pPr>
    <w:rPr>
      <w:sz w:val="20"/>
      <w:szCs w:val="20"/>
    </w:rPr>
  </w:style>
  <w:style w:type="character" w:customStyle="1" w:styleId="EndnoteTextChar">
    <w:name w:val="Endnote Text Char"/>
    <w:basedOn w:val="DefaultParagraphFont"/>
    <w:link w:val="EndnoteText"/>
    <w:uiPriority w:val="99"/>
    <w:semiHidden/>
    <w:rsid w:val="00535C23"/>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535C23"/>
    <w:rPr>
      <w:vertAlign w:val="superscript"/>
    </w:rPr>
  </w:style>
  <w:style w:type="table" w:styleId="TableGrid">
    <w:name w:val="Table Grid"/>
    <w:basedOn w:val="TableNormal"/>
    <w:uiPriority w:val="59"/>
    <w:rsid w:val="0079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9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4458"/>
    <w:rPr>
      <w:szCs w:val="24"/>
    </w:rPr>
  </w:style>
  <w:style w:type="paragraph" w:styleId="Revision">
    <w:name w:val="Revision"/>
    <w:hidden/>
    <w:uiPriority w:val="99"/>
    <w:semiHidden/>
    <w:rsid w:val="00627BD8"/>
    <w:pPr>
      <w:spacing w:after="0" w:line="240" w:lineRule="auto"/>
    </w:pPr>
    <w:rPr>
      <w:rFonts w:ascii="Times New Roman" w:hAnsi="Times New Roman" w:cs="Times New Roman"/>
      <w:sz w:val="24"/>
    </w:rPr>
  </w:style>
  <w:style w:type="character" w:customStyle="1" w:styleId="italic">
    <w:name w:val="italic"/>
    <w:basedOn w:val="DefaultParagraphFont"/>
    <w:rsid w:val="003974D1"/>
    <w:rPr>
      <w:i/>
      <w:iCs/>
    </w:rPr>
  </w:style>
  <w:style w:type="character" w:customStyle="1" w:styleId="UnresolvedMention">
    <w:name w:val="Unresolved Mention"/>
    <w:basedOn w:val="DefaultParagraphFont"/>
    <w:uiPriority w:val="99"/>
    <w:semiHidden/>
    <w:unhideWhenUsed/>
    <w:rsid w:val="00F720F3"/>
    <w:rPr>
      <w:color w:val="605E5C"/>
      <w:shd w:val="clear" w:color="auto" w:fill="E1DFDD"/>
    </w:rPr>
  </w:style>
  <w:style w:type="character" w:customStyle="1" w:styleId="HeaderChar">
    <w:name w:val="Header Char"/>
    <w:basedOn w:val="DefaultParagraphFont"/>
    <w:link w:val="Header"/>
    <w:uiPriority w:val="99"/>
    <w:rsid w:val="00B42706"/>
    <w:rPr>
      <w:rFonts w:ascii="Times New Roman" w:hAnsi="Times New Roman" w:cs="Times New Roman"/>
      <w:sz w:val="24"/>
      <w:lang w:val="ro-RO"/>
    </w:rPr>
  </w:style>
  <w:style w:type="character" w:customStyle="1" w:styleId="FooterChar">
    <w:name w:val="Footer Char"/>
    <w:basedOn w:val="DefaultParagraphFont"/>
    <w:link w:val="Footer"/>
    <w:uiPriority w:val="99"/>
    <w:rsid w:val="00B4270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4270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42706"/>
    <w:pPr>
      <w:spacing w:before="0"/>
      <w:jc w:val="right"/>
    </w:pPr>
    <w:rPr>
      <w:sz w:val="28"/>
    </w:rPr>
  </w:style>
  <w:style w:type="paragraph" w:customStyle="1" w:styleId="FooterSensitivity">
    <w:name w:val="Footer Sensitivity"/>
    <w:basedOn w:val="Normal"/>
    <w:rsid w:val="00B427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42706"/>
    <w:pPr>
      <w:tabs>
        <w:tab w:val="center" w:pos="4535"/>
        <w:tab w:val="right" w:pos="9071"/>
      </w:tabs>
      <w:spacing w:before="0"/>
    </w:pPr>
  </w:style>
  <w:style w:type="paragraph" w:customStyle="1" w:styleId="HeaderLandscape">
    <w:name w:val="HeaderLandscape"/>
    <w:basedOn w:val="Normal"/>
    <w:rsid w:val="00B42706"/>
    <w:pPr>
      <w:tabs>
        <w:tab w:val="center" w:pos="7285"/>
        <w:tab w:val="right" w:pos="14003"/>
      </w:tabs>
      <w:spacing w:before="0"/>
    </w:pPr>
  </w:style>
  <w:style w:type="paragraph" w:styleId="Footer">
    <w:name w:val="footer"/>
    <w:basedOn w:val="Normal"/>
    <w:link w:val="FooterChar"/>
    <w:uiPriority w:val="99"/>
    <w:unhideWhenUsed/>
    <w:rsid w:val="00B4270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4270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48843">
      <w:bodyDiv w:val="1"/>
      <w:marLeft w:val="0"/>
      <w:marRight w:val="0"/>
      <w:marTop w:val="0"/>
      <w:marBottom w:val="0"/>
      <w:divBdr>
        <w:top w:val="none" w:sz="0" w:space="0" w:color="auto"/>
        <w:left w:val="none" w:sz="0" w:space="0" w:color="auto"/>
        <w:bottom w:val="none" w:sz="0" w:space="0" w:color="auto"/>
        <w:right w:val="none" w:sz="0" w:space="0" w:color="auto"/>
      </w:divBdr>
    </w:div>
    <w:div w:id="126631656">
      <w:bodyDiv w:val="1"/>
      <w:marLeft w:val="0"/>
      <w:marRight w:val="0"/>
      <w:marTop w:val="0"/>
      <w:marBottom w:val="0"/>
      <w:divBdr>
        <w:top w:val="none" w:sz="0" w:space="0" w:color="auto"/>
        <w:left w:val="none" w:sz="0" w:space="0" w:color="auto"/>
        <w:bottom w:val="none" w:sz="0" w:space="0" w:color="auto"/>
        <w:right w:val="none" w:sz="0" w:space="0" w:color="auto"/>
      </w:divBdr>
      <w:divsChild>
        <w:div w:id="1581325626">
          <w:marLeft w:val="0"/>
          <w:marRight w:val="0"/>
          <w:marTop w:val="0"/>
          <w:marBottom w:val="0"/>
          <w:divBdr>
            <w:top w:val="none" w:sz="0" w:space="0" w:color="auto"/>
            <w:left w:val="none" w:sz="0" w:space="0" w:color="auto"/>
            <w:bottom w:val="none" w:sz="0" w:space="0" w:color="auto"/>
            <w:right w:val="none" w:sz="0" w:space="0" w:color="auto"/>
          </w:divBdr>
        </w:div>
        <w:div w:id="1447892907">
          <w:marLeft w:val="0"/>
          <w:marRight w:val="0"/>
          <w:marTop w:val="0"/>
          <w:marBottom w:val="0"/>
          <w:divBdr>
            <w:top w:val="none" w:sz="0" w:space="0" w:color="auto"/>
            <w:left w:val="none" w:sz="0" w:space="0" w:color="auto"/>
            <w:bottom w:val="none" w:sz="0" w:space="0" w:color="auto"/>
            <w:right w:val="none" w:sz="0" w:space="0" w:color="auto"/>
          </w:divBdr>
        </w:div>
      </w:divsChild>
    </w:div>
    <w:div w:id="351344322">
      <w:bodyDiv w:val="1"/>
      <w:marLeft w:val="0"/>
      <w:marRight w:val="0"/>
      <w:marTop w:val="0"/>
      <w:marBottom w:val="0"/>
      <w:divBdr>
        <w:top w:val="none" w:sz="0" w:space="0" w:color="auto"/>
        <w:left w:val="none" w:sz="0" w:space="0" w:color="auto"/>
        <w:bottom w:val="none" w:sz="0" w:space="0" w:color="auto"/>
        <w:right w:val="none" w:sz="0" w:space="0" w:color="auto"/>
      </w:divBdr>
    </w:div>
    <w:div w:id="648749548">
      <w:bodyDiv w:val="1"/>
      <w:marLeft w:val="0"/>
      <w:marRight w:val="0"/>
      <w:marTop w:val="0"/>
      <w:marBottom w:val="0"/>
      <w:divBdr>
        <w:top w:val="none" w:sz="0" w:space="0" w:color="auto"/>
        <w:left w:val="none" w:sz="0" w:space="0" w:color="auto"/>
        <w:bottom w:val="none" w:sz="0" w:space="0" w:color="auto"/>
        <w:right w:val="none" w:sz="0" w:space="0" w:color="auto"/>
      </w:divBdr>
    </w:div>
    <w:div w:id="721291991">
      <w:bodyDiv w:val="1"/>
      <w:marLeft w:val="0"/>
      <w:marRight w:val="0"/>
      <w:marTop w:val="0"/>
      <w:marBottom w:val="0"/>
      <w:divBdr>
        <w:top w:val="none" w:sz="0" w:space="0" w:color="auto"/>
        <w:left w:val="none" w:sz="0" w:space="0" w:color="auto"/>
        <w:bottom w:val="none" w:sz="0" w:space="0" w:color="auto"/>
        <w:right w:val="none" w:sz="0" w:space="0" w:color="auto"/>
      </w:divBdr>
    </w:div>
    <w:div w:id="1103258190">
      <w:bodyDiv w:val="1"/>
      <w:marLeft w:val="0"/>
      <w:marRight w:val="0"/>
      <w:marTop w:val="0"/>
      <w:marBottom w:val="0"/>
      <w:divBdr>
        <w:top w:val="none" w:sz="0" w:space="0" w:color="auto"/>
        <w:left w:val="none" w:sz="0" w:space="0" w:color="auto"/>
        <w:bottom w:val="none" w:sz="0" w:space="0" w:color="auto"/>
        <w:right w:val="none" w:sz="0" w:space="0" w:color="auto"/>
      </w:divBdr>
    </w:div>
    <w:div w:id="1211305809">
      <w:bodyDiv w:val="1"/>
      <w:marLeft w:val="0"/>
      <w:marRight w:val="0"/>
      <w:marTop w:val="0"/>
      <w:marBottom w:val="0"/>
      <w:divBdr>
        <w:top w:val="none" w:sz="0" w:space="0" w:color="auto"/>
        <w:left w:val="none" w:sz="0" w:space="0" w:color="auto"/>
        <w:bottom w:val="none" w:sz="0" w:space="0" w:color="auto"/>
        <w:right w:val="none" w:sz="0" w:space="0" w:color="auto"/>
      </w:divBdr>
      <w:divsChild>
        <w:div w:id="1765494187">
          <w:marLeft w:val="0"/>
          <w:marRight w:val="0"/>
          <w:marTop w:val="0"/>
          <w:marBottom w:val="0"/>
          <w:divBdr>
            <w:top w:val="none" w:sz="0" w:space="0" w:color="auto"/>
            <w:left w:val="none" w:sz="0" w:space="0" w:color="auto"/>
            <w:bottom w:val="none" w:sz="0" w:space="0" w:color="auto"/>
            <w:right w:val="none" w:sz="0" w:space="0" w:color="auto"/>
          </w:divBdr>
        </w:div>
        <w:div w:id="1173301576">
          <w:marLeft w:val="0"/>
          <w:marRight w:val="0"/>
          <w:marTop w:val="0"/>
          <w:marBottom w:val="0"/>
          <w:divBdr>
            <w:top w:val="none" w:sz="0" w:space="0" w:color="auto"/>
            <w:left w:val="none" w:sz="0" w:space="0" w:color="auto"/>
            <w:bottom w:val="none" w:sz="0" w:space="0" w:color="auto"/>
            <w:right w:val="none" w:sz="0" w:space="0" w:color="auto"/>
          </w:divBdr>
        </w:div>
        <w:div w:id="1415012100">
          <w:marLeft w:val="0"/>
          <w:marRight w:val="0"/>
          <w:marTop w:val="0"/>
          <w:marBottom w:val="0"/>
          <w:divBdr>
            <w:top w:val="none" w:sz="0" w:space="0" w:color="auto"/>
            <w:left w:val="none" w:sz="0" w:space="0" w:color="auto"/>
            <w:bottom w:val="none" w:sz="0" w:space="0" w:color="auto"/>
            <w:right w:val="none" w:sz="0" w:space="0" w:color="auto"/>
          </w:divBdr>
        </w:div>
      </w:divsChild>
    </w:div>
    <w:div w:id="1296329896">
      <w:bodyDiv w:val="1"/>
      <w:marLeft w:val="0"/>
      <w:marRight w:val="0"/>
      <w:marTop w:val="0"/>
      <w:marBottom w:val="0"/>
      <w:divBdr>
        <w:top w:val="none" w:sz="0" w:space="0" w:color="auto"/>
        <w:left w:val="none" w:sz="0" w:space="0" w:color="auto"/>
        <w:bottom w:val="none" w:sz="0" w:space="0" w:color="auto"/>
        <w:right w:val="none" w:sz="0" w:space="0" w:color="auto"/>
      </w:divBdr>
    </w:div>
    <w:div w:id="1369910112">
      <w:bodyDiv w:val="1"/>
      <w:marLeft w:val="0"/>
      <w:marRight w:val="0"/>
      <w:marTop w:val="0"/>
      <w:marBottom w:val="0"/>
      <w:divBdr>
        <w:top w:val="none" w:sz="0" w:space="0" w:color="auto"/>
        <w:left w:val="none" w:sz="0" w:space="0" w:color="auto"/>
        <w:bottom w:val="none" w:sz="0" w:space="0" w:color="auto"/>
        <w:right w:val="none" w:sz="0" w:space="0" w:color="auto"/>
      </w:divBdr>
    </w:div>
    <w:div w:id="1564607662">
      <w:bodyDiv w:val="1"/>
      <w:marLeft w:val="0"/>
      <w:marRight w:val="0"/>
      <w:marTop w:val="0"/>
      <w:marBottom w:val="0"/>
      <w:divBdr>
        <w:top w:val="none" w:sz="0" w:space="0" w:color="auto"/>
        <w:left w:val="none" w:sz="0" w:space="0" w:color="auto"/>
        <w:bottom w:val="none" w:sz="0" w:space="0" w:color="auto"/>
        <w:right w:val="none" w:sz="0" w:space="0" w:color="auto"/>
      </w:divBdr>
    </w:div>
    <w:div w:id="1801651571">
      <w:bodyDiv w:val="1"/>
      <w:marLeft w:val="0"/>
      <w:marRight w:val="0"/>
      <w:marTop w:val="0"/>
      <w:marBottom w:val="0"/>
      <w:divBdr>
        <w:top w:val="none" w:sz="0" w:space="0" w:color="auto"/>
        <w:left w:val="none" w:sz="0" w:space="0" w:color="auto"/>
        <w:bottom w:val="none" w:sz="0" w:space="0" w:color="auto"/>
        <w:right w:val="none" w:sz="0" w:space="0" w:color="auto"/>
      </w:divBdr>
    </w:div>
    <w:div w:id="1810898029">
      <w:bodyDiv w:val="1"/>
      <w:marLeft w:val="0"/>
      <w:marRight w:val="0"/>
      <w:marTop w:val="0"/>
      <w:marBottom w:val="0"/>
      <w:divBdr>
        <w:top w:val="none" w:sz="0" w:space="0" w:color="auto"/>
        <w:left w:val="none" w:sz="0" w:space="0" w:color="auto"/>
        <w:bottom w:val="none" w:sz="0" w:space="0" w:color="auto"/>
        <w:right w:val="none" w:sz="0" w:space="0" w:color="auto"/>
      </w:divBdr>
    </w:div>
    <w:div w:id="1929732680">
      <w:bodyDiv w:val="1"/>
      <w:marLeft w:val="0"/>
      <w:marRight w:val="0"/>
      <w:marTop w:val="0"/>
      <w:marBottom w:val="0"/>
      <w:divBdr>
        <w:top w:val="none" w:sz="0" w:space="0" w:color="auto"/>
        <w:left w:val="none" w:sz="0" w:space="0" w:color="auto"/>
        <w:bottom w:val="none" w:sz="0" w:space="0" w:color="auto"/>
        <w:right w:val="none" w:sz="0" w:space="0" w:color="auto"/>
      </w:divBdr>
    </w:div>
    <w:div w:id="1949777057">
      <w:bodyDiv w:val="1"/>
      <w:marLeft w:val="0"/>
      <w:marRight w:val="0"/>
      <w:marTop w:val="0"/>
      <w:marBottom w:val="0"/>
      <w:divBdr>
        <w:top w:val="none" w:sz="0" w:space="0" w:color="auto"/>
        <w:left w:val="none" w:sz="0" w:space="0" w:color="auto"/>
        <w:bottom w:val="none" w:sz="0" w:space="0" w:color="auto"/>
        <w:right w:val="none" w:sz="0" w:space="0" w:color="auto"/>
      </w:divBdr>
    </w:div>
    <w:div w:id="2043048399">
      <w:bodyDiv w:val="1"/>
      <w:marLeft w:val="0"/>
      <w:marRight w:val="0"/>
      <w:marTop w:val="0"/>
      <w:marBottom w:val="0"/>
      <w:divBdr>
        <w:top w:val="none" w:sz="0" w:space="0" w:color="auto"/>
        <w:left w:val="none" w:sz="0" w:space="0" w:color="auto"/>
        <w:bottom w:val="none" w:sz="0" w:space="0" w:color="auto"/>
        <w:right w:val="none" w:sz="0" w:space="0" w:color="auto"/>
      </w:divBdr>
      <w:divsChild>
        <w:div w:id="173081647">
          <w:marLeft w:val="0"/>
          <w:marRight w:val="0"/>
          <w:marTop w:val="0"/>
          <w:marBottom w:val="0"/>
          <w:divBdr>
            <w:top w:val="none" w:sz="0" w:space="0" w:color="auto"/>
            <w:left w:val="none" w:sz="0" w:space="0" w:color="auto"/>
            <w:bottom w:val="none" w:sz="0" w:space="0" w:color="auto"/>
            <w:right w:val="none" w:sz="0" w:space="0" w:color="auto"/>
          </w:divBdr>
        </w:div>
        <w:div w:id="293950752">
          <w:marLeft w:val="0"/>
          <w:marRight w:val="0"/>
          <w:marTop w:val="0"/>
          <w:marBottom w:val="0"/>
          <w:divBdr>
            <w:top w:val="none" w:sz="0" w:space="0" w:color="auto"/>
            <w:left w:val="none" w:sz="0" w:space="0" w:color="auto"/>
            <w:bottom w:val="none" w:sz="0" w:space="0" w:color="auto"/>
            <w:right w:val="none" w:sz="0" w:space="0" w:color="auto"/>
          </w:divBdr>
        </w:div>
        <w:div w:id="1103844438">
          <w:marLeft w:val="0"/>
          <w:marRight w:val="0"/>
          <w:marTop w:val="0"/>
          <w:marBottom w:val="0"/>
          <w:divBdr>
            <w:top w:val="none" w:sz="0" w:space="0" w:color="auto"/>
            <w:left w:val="none" w:sz="0" w:space="0" w:color="auto"/>
            <w:bottom w:val="none" w:sz="0" w:space="0" w:color="auto"/>
            <w:right w:val="none" w:sz="0" w:space="0" w:color="auto"/>
          </w:divBdr>
        </w:div>
      </w:divsChild>
    </w:div>
    <w:div w:id="2076972413">
      <w:bodyDiv w:val="1"/>
      <w:marLeft w:val="0"/>
      <w:marRight w:val="0"/>
      <w:marTop w:val="0"/>
      <w:marBottom w:val="0"/>
      <w:divBdr>
        <w:top w:val="none" w:sz="0" w:space="0" w:color="auto"/>
        <w:left w:val="none" w:sz="0" w:space="0" w:color="auto"/>
        <w:bottom w:val="none" w:sz="0" w:space="0" w:color="auto"/>
        <w:right w:val="none" w:sz="0" w:space="0" w:color="auto"/>
      </w:divBdr>
      <w:divsChild>
        <w:div w:id="785738253">
          <w:marLeft w:val="0"/>
          <w:marRight w:val="0"/>
          <w:marTop w:val="0"/>
          <w:marBottom w:val="0"/>
          <w:divBdr>
            <w:top w:val="none" w:sz="0" w:space="0" w:color="auto"/>
            <w:left w:val="none" w:sz="0" w:space="0" w:color="auto"/>
            <w:bottom w:val="none" w:sz="0" w:space="0" w:color="auto"/>
            <w:right w:val="none" w:sz="0" w:space="0" w:color="auto"/>
          </w:divBdr>
        </w:div>
        <w:div w:id="634289064">
          <w:marLeft w:val="0"/>
          <w:marRight w:val="0"/>
          <w:marTop w:val="0"/>
          <w:marBottom w:val="0"/>
          <w:divBdr>
            <w:top w:val="none" w:sz="0" w:space="0" w:color="auto"/>
            <w:left w:val="none" w:sz="0" w:space="0" w:color="auto"/>
            <w:bottom w:val="none" w:sz="0" w:space="0" w:color="auto"/>
            <w:right w:val="none" w:sz="0" w:space="0" w:color="auto"/>
          </w:divBdr>
        </w:div>
        <w:div w:id="249237468">
          <w:marLeft w:val="0"/>
          <w:marRight w:val="0"/>
          <w:marTop w:val="0"/>
          <w:marBottom w:val="0"/>
          <w:divBdr>
            <w:top w:val="none" w:sz="0" w:space="0" w:color="auto"/>
            <w:left w:val="none" w:sz="0" w:space="0" w:color="auto"/>
            <w:bottom w:val="none" w:sz="0" w:space="0" w:color="auto"/>
            <w:right w:val="none" w:sz="0" w:space="0" w:color="auto"/>
          </w:divBdr>
        </w:div>
      </w:divsChild>
    </w:div>
    <w:div w:id="208129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uri=OJ%3AL%3A1986%3A162%3A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B74A091-956A-4713-9097-C1996952E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58</TotalTime>
  <Pages>14</Pages>
  <Words>5260</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43</cp:revision>
  <dcterms:created xsi:type="dcterms:W3CDTF">2026-05-11T10:47:00Z</dcterms:created>
  <dcterms:modified xsi:type="dcterms:W3CDTF">2026-06-09T15:17:00Z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2026-02-24T18:24:41Z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70fe96ae-a8e1-4cd3-813f-db68c97cf64f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