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AE60" w14:textId="05DFF7B0" w:rsidR="000634AE" w:rsidRPr="007F1B8B" w:rsidRDefault="00421A7E" w:rsidP="00421A7E">
      <w:pPr>
        <w:pStyle w:val="Pagedecouverture"/>
        <w:rPr>
          <w:noProof/>
        </w:rPr>
      </w:pPr>
      <w:r>
        <w:rPr>
          <w:noProof/>
        </w:rPr>
        <w:pict w14:anchorId="1528B5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755B8D3-4EA5-46BB-BAF3-E0F50462CB20" style="width:455.25pt;height:409.5pt">
            <v:imagedata r:id="rId7" o:title=""/>
          </v:shape>
        </w:pict>
      </w:r>
    </w:p>
    <w:p w14:paraId="097F586B" w14:textId="77777777" w:rsidR="000634AE" w:rsidRPr="007F1B8B" w:rsidRDefault="000634AE" w:rsidP="007D489D">
      <w:pPr>
        <w:rPr>
          <w:noProof/>
        </w:rPr>
        <w:sectPr w:rsidR="000634AE" w:rsidRPr="007F1B8B" w:rsidSect="00421A7E">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CD73095" w14:textId="77777777" w:rsidR="00A674A3" w:rsidRPr="007F1B8B" w:rsidRDefault="00A674A3" w:rsidP="00A674A3">
      <w:pPr>
        <w:pStyle w:val="Annexetitre"/>
        <w:rPr>
          <w:noProof/>
        </w:rPr>
      </w:pPr>
      <w:bookmarkStart w:id="0" w:name="_GoBack"/>
      <w:bookmarkEnd w:id="0"/>
      <w:r w:rsidRPr="007F1B8B">
        <w:rPr>
          <w:noProof/>
        </w:rPr>
        <w:lastRenderedPageBreak/>
        <w:t xml:space="preserve">ANEXĂ </w:t>
      </w:r>
    </w:p>
    <w:p w14:paraId="7C72F1C0" w14:textId="77777777" w:rsidR="007D489D" w:rsidRPr="007F1B8B" w:rsidRDefault="007D489D" w:rsidP="007D489D">
      <w:pPr>
        <w:rPr>
          <w:noProof/>
        </w:rPr>
      </w:pPr>
    </w:p>
    <w:p w14:paraId="2E6C4F65" w14:textId="096A5260" w:rsidR="00A674A3" w:rsidRPr="007F1B8B" w:rsidRDefault="00A674A3" w:rsidP="00A674A3">
      <w:pPr>
        <w:ind w:left="284" w:hanging="284"/>
        <w:rPr>
          <w:b/>
          <w:noProof/>
          <w:szCs w:val="24"/>
        </w:rPr>
      </w:pPr>
      <w:r w:rsidRPr="007F1B8B">
        <w:rPr>
          <w:noProof/>
        </w:rPr>
        <w:t xml:space="preserve">I. Poziția care urmează să fie adoptată în numele Uniunii Europene în cadrul Organizației Mondiale a Vămilor (OMV) cu privire la </w:t>
      </w:r>
      <w:bookmarkStart w:id="1" w:name="_Hlk119921448"/>
      <w:r w:rsidRPr="007F1B8B">
        <w:rPr>
          <w:noProof/>
        </w:rPr>
        <w:t>adoptarea de note explicative, avize de clasificare și alte avize privind interpretarea Sistemului armonizat, recomandări pentru a asigura o interpretare uniformă a Sistemului armonizat în temeiul Convenției privind Sistemul armonizat</w:t>
      </w:r>
      <w:bookmarkEnd w:id="1"/>
      <w:r w:rsidRPr="007F1B8B">
        <w:rPr>
          <w:noProof/>
        </w:rPr>
        <w:t xml:space="preserve"> și Recomandarea privind modificarea nomenclaturii prezentate în anexă la Convenția privind Sistemul armonizat, care, în temeiul articolului </w:t>
      </w:r>
      <w:r w:rsidRPr="00013F34">
        <w:rPr>
          <w:noProof/>
        </w:rPr>
        <w:t>2</w:t>
      </w:r>
      <w:r w:rsidRPr="007F1B8B">
        <w:rPr>
          <w:noProof/>
        </w:rPr>
        <w:t xml:space="preserve"> din convenția menționată, face parte integrantă din aceasta.</w:t>
      </w:r>
    </w:p>
    <w:p w14:paraId="0C2EA21F" w14:textId="20EA230B" w:rsidR="00A674A3" w:rsidRPr="007F1B8B" w:rsidRDefault="00A674A3" w:rsidP="00A674A3">
      <w:pPr>
        <w:rPr>
          <w:noProof/>
          <w:szCs w:val="24"/>
        </w:rPr>
      </w:pPr>
      <w:r w:rsidRPr="00013F34">
        <w:rPr>
          <w:noProof/>
        </w:rPr>
        <w:t>1</w:t>
      </w:r>
      <w:r w:rsidRPr="007F1B8B">
        <w:rPr>
          <w:noProof/>
        </w:rPr>
        <w:t>.</w:t>
      </w:r>
      <w:r w:rsidR="00013F34">
        <w:rPr>
          <w:noProof/>
        </w:rPr>
        <w:t xml:space="preserve"> </w:t>
      </w:r>
      <w:r w:rsidRPr="007F1B8B">
        <w:rPr>
          <w:noProof/>
        </w:rPr>
        <w:t>PRINCIPII</w:t>
      </w:r>
    </w:p>
    <w:p w14:paraId="740E3D39" w14:textId="77777777" w:rsidR="00A674A3" w:rsidRPr="007F1B8B" w:rsidRDefault="00A674A3" w:rsidP="00A674A3">
      <w:pPr>
        <w:rPr>
          <w:noProof/>
          <w:szCs w:val="24"/>
        </w:rPr>
      </w:pPr>
      <w:r w:rsidRPr="007F1B8B">
        <w:rPr>
          <w:noProof/>
        </w:rPr>
        <w:t>În cadrul Organizației Mondiale a Vămilor (OMV), Uniunea:</w:t>
      </w:r>
    </w:p>
    <w:p w14:paraId="614FBC3A" w14:textId="77777777" w:rsidR="00A674A3" w:rsidRPr="007F1B8B" w:rsidRDefault="00A674A3" w:rsidP="00A674A3">
      <w:pPr>
        <w:ind w:left="720" w:hanging="720"/>
        <w:rPr>
          <w:noProof/>
          <w:szCs w:val="24"/>
        </w:rPr>
      </w:pPr>
      <w:r w:rsidRPr="007F1B8B">
        <w:rPr>
          <w:noProof/>
        </w:rPr>
        <w:t>(a)</w:t>
      </w:r>
      <w:r w:rsidRPr="007F1B8B">
        <w:rPr>
          <w:noProof/>
        </w:rPr>
        <w:tab/>
        <w:t>promovează, contribuie la și facilitează clasificarea vamală a mărfurilor și interpretarea și aplicarea uniformă a Sistemului armonizat (SA), precum și reducerea numărului de cazuri și litigii referitoare la interpretările divergente ale SA;</w:t>
      </w:r>
    </w:p>
    <w:p w14:paraId="4AF4D51C" w14:textId="77777777" w:rsidR="00A674A3" w:rsidRPr="007F1B8B" w:rsidRDefault="00A674A3" w:rsidP="00A674A3">
      <w:pPr>
        <w:ind w:left="720" w:hanging="720"/>
        <w:rPr>
          <w:noProof/>
          <w:szCs w:val="24"/>
        </w:rPr>
      </w:pPr>
      <w:r w:rsidRPr="007F1B8B">
        <w:rPr>
          <w:noProof/>
        </w:rPr>
        <w:t>(b)</w:t>
      </w:r>
      <w:r w:rsidRPr="007F1B8B">
        <w:rPr>
          <w:noProof/>
        </w:rPr>
        <w:tab/>
        <w:t>depune eforturi pentru implicarea adecvată a părților interesate în faza de pregătire a deciziilor Comitetului Sistemului armonizat (CSA) și se asigură că deciziile adoptate în cadrul OMV sunt în concordanță cu Convenția internațională privind Sistemul armonizat de denumire și codificare a mărfurilor (Convenția SA)</w:t>
      </w:r>
      <w:r w:rsidRPr="007F1B8B">
        <w:rPr>
          <w:rStyle w:val="FootnoteReference"/>
          <w:noProof/>
          <w:szCs w:val="24"/>
        </w:rPr>
        <w:footnoteReference w:id="1"/>
      </w:r>
      <w:r w:rsidRPr="007F1B8B">
        <w:rPr>
          <w:noProof/>
        </w:rPr>
        <w:t>;</w:t>
      </w:r>
    </w:p>
    <w:p w14:paraId="2DA07D6C" w14:textId="77777777" w:rsidR="00A674A3" w:rsidRPr="007F1B8B" w:rsidRDefault="00A674A3" w:rsidP="00A674A3">
      <w:pPr>
        <w:ind w:left="720" w:hanging="720"/>
        <w:rPr>
          <w:noProof/>
          <w:szCs w:val="24"/>
        </w:rPr>
      </w:pPr>
      <w:r w:rsidRPr="007F1B8B">
        <w:rPr>
          <w:noProof/>
        </w:rPr>
        <w:t>(c)</w:t>
      </w:r>
      <w:r w:rsidRPr="007F1B8B">
        <w:rPr>
          <w:noProof/>
        </w:rPr>
        <w:tab/>
        <w:t>se asigură că măsurile adoptate în cadrul OMV sunt în concordanță cu normele generale pentru interpretarea SA;</w:t>
      </w:r>
    </w:p>
    <w:p w14:paraId="00F86172" w14:textId="08CC443D" w:rsidR="00A674A3" w:rsidRPr="007F1B8B" w:rsidRDefault="00A674A3" w:rsidP="00A674A3">
      <w:pPr>
        <w:ind w:left="720" w:hanging="720"/>
        <w:rPr>
          <w:noProof/>
          <w:szCs w:val="24"/>
        </w:rPr>
      </w:pPr>
      <w:r w:rsidRPr="007F1B8B">
        <w:rPr>
          <w:noProof/>
        </w:rPr>
        <w:t>(d)</w:t>
      </w:r>
      <w:r w:rsidRPr="007F1B8B">
        <w:rPr>
          <w:noProof/>
        </w:rPr>
        <w:tab/>
        <w:t>promovează poziții în concordanță cu bunele practici elaborate de Uniune în domeniul în cauză;</w:t>
      </w:r>
    </w:p>
    <w:p w14:paraId="53BEF149" w14:textId="77777777" w:rsidR="00A674A3" w:rsidRPr="007F1B8B" w:rsidRDefault="00A674A3" w:rsidP="00A674A3">
      <w:pPr>
        <w:ind w:left="720" w:hanging="720"/>
        <w:rPr>
          <w:noProof/>
          <w:szCs w:val="24"/>
        </w:rPr>
      </w:pPr>
      <w:r w:rsidRPr="007F1B8B">
        <w:rPr>
          <w:noProof/>
        </w:rPr>
        <w:t xml:space="preserve">(e) </w:t>
      </w:r>
      <w:r w:rsidRPr="007F1B8B">
        <w:rPr>
          <w:noProof/>
        </w:rPr>
        <w:tab/>
        <w:t>promovează simplificarea și modernizarea Nomenclaturii SA în funcție de evoluția nevoilor utilizatorilor și dezvoltarea de noi tehnologii;</w:t>
      </w:r>
    </w:p>
    <w:p w14:paraId="5F3B5110" w14:textId="75231370" w:rsidR="00A674A3" w:rsidRPr="007F1B8B" w:rsidRDefault="00A674A3" w:rsidP="00A674A3">
      <w:pPr>
        <w:ind w:left="720" w:hanging="720"/>
        <w:rPr>
          <w:noProof/>
          <w:szCs w:val="24"/>
        </w:rPr>
      </w:pPr>
      <w:r w:rsidRPr="007F1B8B">
        <w:rPr>
          <w:noProof/>
        </w:rPr>
        <w:t>(f)</w:t>
      </w:r>
      <w:r w:rsidRPr="007F1B8B">
        <w:rPr>
          <w:noProof/>
        </w:rPr>
        <w:tab/>
        <w:t>asigură coerența cu celelalte politici ale sale, inclusiv cu obiectivul de a proteja interesele financiare ale UE, și cu angajamentele sale internaționale, în măsura în care este necesar având în vedere caracterul specific al clasificării vamale.</w:t>
      </w:r>
    </w:p>
    <w:p w14:paraId="01A1CC6D" w14:textId="77777777" w:rsidR="00A674A3" w:rsidRPr="007F1B8B" w:rsidRDefault="00A674A3" w:rsidP="00A674A3">
      <w:pPr>
        <w:rPr>
          <w:noProof/>
          <w:szCs w:val="24"/>
        </w:rPr>
      </w:pPr>
      <w:r w:rsidRPr="00013F34">
        <w:rPr>
          <w:noProof/>
        </w:rPr>
        <w:t>2</w:t>
      </w:r>
      <w:r w:rsidRPr="007F1B8B">
        <w:rPr>
          <w:noProof/>
        </w:rPr>
        <w:t>. CRITERII</w:t>
      </w:r>
    </w:p>
    <w:p w14:paraId="372C1D82" w14:textId="77777777" w:rsidR="00A674A3" w:rsidRPr="007F1B8B" w:rsidRDefault="00A674A3" w:rsidP="00A674A3">
      <w:pPr>
        <w:rPr>
          <w:noProof/>
          <w:szCs w:val="24"/>
        </w:rPr>
      </w:pPr>
      <w:r w:rsidRPr="007F1B8B">
        <w:rPr>
          <w:noProof/>
        </w:rPr>
        <w:t>Pozițiile care urmează să fie adoptate în numele Uniunii în cadrul OMV:</w:t>
      </w:r>
      <w:r w:rsidRPr="007F1B8B">
        <w:rPr>
          <w:b/>
          <w:noProof/>
        </w:rPr>
        <w:t xml:space="preserve"> </w:t>
      </w:r>
    </w:p>
    <w:p w14:paraId="3274C8A3" w14:textId="77777777" w:rsidR="00A674A3" w:rsidRPr="007F1B8B" w:rsidRDefault="00A674A3" w:rsidP="0088428A">
      <w:pPr>
        <w:pStyle w:val="Point0letter"/>
        <w:numPr>
          <w:ilvl w:val="1"/>
          <w:numId w:val="2"/>
        </w:numPr>
        <w:rPr>
          <w:noProof/>
          <w:szCs w:val="24"/>
        </w:rPr>
      </w:pPr>
      <w:r w:rsidRPr="007F1B8B">
        <w:rPr>
          <w:noProof/>
        </w:rPr>
        <w:t>se stabilesc în conformitate cu următoarele criterii generale:</w:t>
      </w:r>
    </w:p>
    <w:p w14:paraId="4541F44D" w14:textId="77777777" w:rsidR="00A674A3" w:rsidRPr="007F1B8B" w:rsidRDefault="00A674A3" w:rsidP="0088428A">
      <w:pPr>
        <w:pStyle w:val="Tiret0"/>
        <w:numPr>
          <w:ilvl w:val="0"/>
          <w:numId w:val="1"/>
        </w:numPr>
        <w:rPr>
          <w:noProof/>
          <w:szCs w:val="24"/>
        </w:rPr>
      </w:pPr>
      <w:r w:rsidRPr="007F1B8B">
        <w:rPr>
          <w:noProof/>
        </w:rPr>
        <w:t>principiul potrivit căruia, în interesul securității juridice și al facilitării verificării, criteriul decisiv pentru clasificarea mărfurilor în scopuri vamale este în general căutat în caracteristicile și proprietățile obiective ale acestora, astfel cum sunt definite în formularea pozițiilor relevante ale SA și în notele de secțiuni sau de capitole, și</w:t>
      </w:r>
    </w:p>
    <w:p w14:paraId="0E45F4B5" w14:textId="77777777" w:rsidR="00A674A3" w:rsidRPr="007F1B8B" w:rsidRDefault="00A674A3" w:rsidP="0088428A">
      <w:pPr>
        <w:pStyle w:val="Tiret0"/>
        <w:numPr>
          <w:ilvl w:val="0"/>
          <w:numId w:val="1"/>
        </w:numPr>
        <w:rPr>
          <w:noProof/>
          <w:szCs w:val="24"/>
        </w:rPr>
      </w:pPr>
      <w:r w:rsidRPr="007F1B8B">
        <w:rPr>
          <w:noProof/>
        </w:rPr>
        <w:t>în normele generale pentru interpretarea SA, astfel cum sunt prevăzute în anexa la Convenția SA.</w:t>
      </w:r>
    </w:p>
    <w:p w14:paraId="2CC98937" w14:textId="5ACDE01C" w:rsidR="00A674A3" w:rsidRPr="007F1B8B" w:rsidRDefault="00A674A3" w:rsidP="0088428A">
      <w:pPr>
        <w:pStyle w:val="Point0letter"/>
        <w:numPr>
          <w:ilvl w:val="1"/>
          <w:numId w:val="2"/>
        </w:numPr>
        <w:rPr>
          <w:noProof/>
          <w:szCs w:val="24"/>
        </w:rPr>
      </w:pPr>
      <w:r w:rsidRPr="007F1B8B">
        <w:rPr>
          <w:noProof/>
        </w:rPr>
        <w:t>după caz și cu excepția recomandării adresate părților contractante cu privire la modificarea nomenclaturii prezentate în anexă la Convenția privind Sistemul armonizat, țin seama de următoarele criterii specifice:</w:t>
      </w:r>
    </w:p>
    <w:p w14:paraId="4AA1C511" w14:textId="77777777" w:rsidR="00A674A3" w:rsidRPr="007F1B8B" w:rsidRDefault="00A674A3" w:rsidP="00A674A3">
      <w:pPr>
        <w:tabs>
          <w:tab w:val="left" w:pos="709"/>
        </w:tabs>
        <w:ind w:left="709" w:hanging="709"/>
        <w:rPr>
          <w:noProof/>
          <w:szCs w:val="24"/>
        </w:rPr>
      </w:pPr>
      <w:r w:rsidRPr="007F1B8B">
        <w:rPr>
          <w:noProof/>
        </w:rPr>
        <w:t>-</w:t>
      </w:r>
      <w:r w:rsidRPr="007F1B8B">
        <w:rPr>
          <w:noProof/>
        </w:rPr>
        <w:tab/>
        <w:t xml:space="preserve">jurisprudența Curții de Justiție a Uniunii Europene referitoare la clasificarea vamală a mărfurilor, </w:t>
      </w:r>
    </w:p>
    <w:p w14:paraId="3B11FEF5" w14:textId="77777777" w:rsidR="00A674A3" w:rsidRPr="007F1B8B" w:rsidRDefault="00A674A3" w:rsidP="00A674A3">
      <w:pPr>
        <w:ind w:left="720" w:hanging="720"/>
        <w:rPr>
          <w:noProof/>
          <w:szCs w:val="24"/>
        </w:rPr>
      </w:pPr>
      <w:r w:rsidRPr="007F1B8B">
        <w:rPr>
          <w:noProof/>
        </w:rPr>
        <w:t>-</w:t>
      </w:r>
      <w:r w:rsidRPr="007F1B8B">
        <w:rPr>
          <w:noProof/>
        </w:rPr>
        <w:tab/>
        <w:t>Nomenclatura SA și notele explicative ale SA, avizele de clasificare și deciziile adoptate de CSA,</w:t>
      </w:r>
    </w:p>
    <w:p w14:paraId="3C6ED86B" w14:textId="77777777" w:rsidR="00A674A3" w:rsidRPr="007F1B8B" w:rsidRDefault="00A674A3" w:rsidP="00A674A3">
      <w:pPr>
        <w:rPr>
          <w:noProof/>
          <w:szCs w:val="24"/>
        </w:rPr>
      </w:pPr>
      <w:r w:rsidRPr="007F1B8B">
        <w:rPr>
          <w:noProof/>
        </w:rPr>
        <w:t>-</w:t>
      </w:r>
      <w:r w:rsidRPr="007F1B8B">
        <w:rPr>
          <w:noProof/>
        </w:rPr>
        <w:tab/>
        <w:t>Nomenclatura combinată (NC)</w:t>
      </w:r>
      <w:r w:rsidRPr="007F1B8B">
        <w:rPr>
          <w:rStyle w:val="FootnoteReference"/>
          <w:noProof/>
          <w:szCs w:val="24"/>
        </w:rPr>
        <w:footnoteReference w:id="2"/>
      </w:r>
      <w:r w:rsidRPr="007F1B8B">
        <w:rPr>
          <w:noProof/>
        </w:rPr>
        <w:t xml:space="preserve">, subpozițiile și notele explicative ale NC, </w:t>
      </w:r>
    </w:p>
    <w:p w14:paraId="03714B6E" w14:textId="77777777" w:rsidR="00A674A3" w:rsidRPr="007F1B8B" w:rsidRDefault="00A674A3" w:rsidP="00A674A3">
      <w:pPr>
        <w:rPr>
          <w:noProof/>
          <w:szCs w:val="24"/>
        </w:rPr>
      </w:pPr>
      <w:r w:rsidRPr="007F1B8B">
        <w:rPr>
          <w:noProof/>
        </w:rPr>
        <w:t>-</w:t>
      </w:r>
      <w:r w:rsidRPr="007F1B8B">
        <w:rPr>
          <w:noProof/>
        </w:rPr>
        <w:tab/>
        <w:t xml:space="preserve">regulamentele și deciziile de clasificare adoptate de Comisie, </w:t>
      </w:r>
    </w:p>
    <w:p w14:paraId="2C67642C" w14:textId="77777777" w:rsidR="00A674A3" w:rsidRPr="007F1B8B" w:rsidRDefault="00A674A3" w:rsidP="00A674A3">
      <w:pPr>
        <w:ind w:left="720" w:hanging="720"/>
        <w:rPr>
          <w:noProof/>
          <w:szCs w:val="24"/>
        </w:rPr>
      </w:pPr>
      <w:r w:rsidRPr="007F1B8B">
        <w:rPr>
          <w:noProof/>
        </w:rPr>
        <w:t>-</w:t>
      </w:r>
      <w:r w:rsidRPr="007F1B8B">
        <w:rPr>
          <w:noProof/>
        </w:rPr>
        <w:tab/>
        <w:t>concluziile Comitetului Codului Vamal, Secțiunea Nomenclatură Tarifară și Statistică, și</w:t>
      </w:r>
    </w:p>
    <w:p w14:paraId="157AC214" w14:textId="77777777" w:rsidR="00A674A3" w:rsidRPr="007F1B8B" w:rsidRDefault="00A674A3" w:rsidP="00A674A3">
      <w:pPr>
        <w:ind w:left="720" w:hanging="720"/>
        <w:rPr>
          <w:noProof/>
          <w:szCs w:val="24"/>
        </w:rPr>
      </w:pPr>
      <w:r w:rsidRPr="007F1B8B">
        <w:rPr>
          <w:noProof/>
        </w:rPr>
        <w:t>-</w:t>
      </w:r>
      <w:r w:rsidRPr="007F1B8B">
        <w:rPr>
          <w:noProof/>
        </w:rPr>
        <w:tab/>
        <w:t xml:space="preserve">orice alte acte juridice sau orientări referitoare la clasificarea vamală a mărfurilor elaborate de Consiliu sau de Comisie. </w:t>
      </w:r>
    </w:p>
    <w:p w14:paraId="217447CB" w14:textId="77777777" w:rsidR="00A674A3" w:rsidRPr="007F1B8B" w:rsidRDefault="00A674A3" w:rsidP="00A674A3">
      <w:pPr>
        <w:rPr>
          <w:noProof/>
          <w:szCs w:val="24"/>
        </w:rPr>
      </w:pPr>
      <w:r w:rsidRPr="00013F34">
        <w:rPr>
          <w:noProof/>
        </w:rPr>
        <w:t>3</w:t>
      </w:r>
      <w:r w:rsidRPr="007F1B8B">
        <w:rPr>
          <w:noProof/>
        </w:rPr>
        <w:t>. ORIENTĂRI</w:t>
      </w:r>
    </w:p>
    <w:p w14:paraId="04F2F803" w14:textId="77777777" w:rsidR="00A674A3" w:rsidRPr="007F1B8B" w:rsidRDefault="00A674A3" w:rsidP="00A674A3">
      <w:pPr>
        <w:ind w:hanging="11"/>
        <w:rPr>
          <w:noProof/>
          <w:szCs w:val="24"/>
        </w:rPr>
      </w:pPr>
      <w:r w:rsidRPr="007F1B8B">
        <w:rPr>
          <w:noProof/>
        </w:rPr>
        <w:t xml:space="preserve">Dacă este cazul, Uniunea depune eforturi pentru a sprijini adoptarea următoarelor decizii în cadrul OMV, în conformitate cu principiile și criteriile menționate la punctele </w:t>
      </w:r>
      <w:r w:rsidRPr="00013F34">
        <w:rPr>
          <w:noProof/>
        </w:rPr>
        <w:t>1</w:t>
      </w:r>
      <w:r w:rsidRPr="007F1B8B">
        <w:rPr>
          <w:noProof/>
        </w:rPr>
        <w:t xml:space="preserve"> și </w:t>
      </w:r>
      <w:r w:rsidRPr="00013F34">
        <w:rPr>
          <w:noProof/>
        </w:rPr>
        <w:t>2</w:t>
      </w:r>
      <w:r w:rsidRPr="007F1B8B">
        <w:rPr>
          <w:noProof/>
        </w:rPr>
        <w:t>:</w:t>
      </w:r>
    </w:p>
    <w:p w14:paraId="78214694" w14:textId="77777777" w:rsidR="00A674A3" w:rsidRPr="007F1B8B" w:rsidRDefault="00A674A3" w:rsidP="00A674A3">
      <w:pPr>
        <w:ind w:left="720" w:hanging="720"/>
        <w:rPr>
          <w:noProof/>
          <w:szCs w:val="24"/>
        </w:rPr>
      </w:pPr>
      <w:r w:rsidRPr="007F1B8B">
        <w:rPr>
          <w:noProof/>
        </w:rPr>
        <w:t>(a)</w:t>
      </w:r>
      <w:r w:rsidRPr="007F1B8B">
        <w:rPr>
          <w:noProof/>
        </w:rPr>
        <w:tab/>
        <w:t>propunerea și redactarea de note explicative, avize de clasificare și alte avize pentru interpretarea SA;</w:t>
      </w:r>
    </w:p>
    <w:p w14:paraId="2F9DA483" w14:textId="514F1664" w:rsidR="00A674A3" w:rsidRPr="007F1B8B" w:rsidRDefault="00A674A3" w:rsidP="00A674A3">
      <w:pPr>
        <w:ind w:left="720" w:hanging="720"/>
        <w:rPr>
          <w:noProof/>
          <w:szCs w:val="24"/>
        </w:rPr>
      </w:pPr>
      <w:r w:rsidRPr="007F1B8B">
        <w:rPr>
          <w:noProof/>
        </w:rPr>
        <w:t>(b)</w:t>
      </w:r>
      <w:r w:rsidRPr="007F1B8B">
        <w:rPr>
          <w:noProof/>
        </w:rPr>
        <w:tab/>
        <w:t>formularea de recomandări pentru a asigura o interpretare și o aplicare uniformă a SA;</w:t>
      </w:r>
    </w:p>
    <w:p w14:paraId="4A0294E7" w14:textId="271B7647" w:rsidR="00446270" w:rsidRPr="007F1B8B" w:rsidRDefault="00446270" w:rsidP="00A674A3">
      <w:pPr>
        <w:ind w:left="720" w:hanging="720"/>
        <w:rPr>
          <w:noProof/>
          <w:szCs w:val="24"/>
        </w:rPr>
      </w:pPr>
      <w:r w:rsidRPr="007F1B8B">
        <w:rPr>
          <w:noProof/>
        </w:rPr>
        <w:t>(c)</w:t>
      </w:r>
      <w:r w:rsidRPr="007F1B8B">
        <w:rPr>
          <w:noProof/>
        </w:rPr>
        <w:tab/>
        <w:t>recomandarea adresată părților contractante cu privire la modificarea nomenclaturii prezentate în anexă la Convenția privind Sistemul armonizat, adoptată de Consiliu în temeiul articolului </w:t>
      </w:r>
      <w:r w:rsidRPr="00013F34">
        <w:rPr>
          <w:noProof/>
        </w:rPr>
        <w:t>8</w:t>
      </w:r>
      <w:r w:rsidRPr="007F1B8B">
        <w:rPr>
          <w:noProof/>
        </w:rPr>
        <w:t xml:space="preserve"> alineatul (</w:t>
      </w:r>
      <w:r w:rsidRPr="00013F34">
        <w:rPr>
          <w:noProof/>
        </w:rPr>
        <w:t>1</w:t>
      </w:r>
      <w:r w:rsidRPr="007F1B8B">
        <w:rPr>
          <w:noProof/>
        </w:rPr>
        <w:t>) și al articolului </w:t>
      </w:r>
      <w:r w:rsidRPr="00013F34">
        <w:rPr>
          <w:noProof/>
        </w:rPr>
        <w:t>16</w:t>
      </w:r>
      <w:r w:rsidRPr="007F1B8B">
        <w:rPr>
          <w:noProof/>
        </w:rPr>
        <w:t xml:space="preserve"> din aceasta;</w:t>
      </w:r>
    </w:p>
    <w:p w14:paraId="4DBCFC19" w14:textId="77777777" w:rsidR="00A674A3" w:rsidRPr="007F1B8B" w:rsidRDefault="00A674A3" w:rsidP="00A674A3">
      <w:pPr>
        <w:ind w:left="284" w:hanging="284"/>
        <w:rPr>
          <w:b/>
          <w:bCs/>
          <w:noProof/>
          <w:szCs w:val="24"/>
        </w:rPr>
      </w:pPr>
      <w:r w:rsidRPr="007F1B8B">
        <w:rPr>
          <w:noProof/>
        </w:rPr>
        <w:t>II. Precizarea poziției care urmează să fie luată în numele Uniunii în cadrul Organizației Mondiale a Vămilor cu privire la adoptarea de note explicative, avize de clasificare și alte avize privind interpretarea Sistemului armonizat și recomandări pentru a asigura o interpretare uniformă a Sistemului armonizat în temeiul Convenției SA</w:t>
      </w:r>
    </w:p>
    <w:p w14:paraId="662021FF" w14:textId="77777777" w:rsidR="00A674A3" w:rsidRPr="007F1B8B" w:rsidRDefault="00A674A3" w:rsidP="00A674A3">
      <w:pPr>
        <w:rPr>
          <w:noProof/>
          <w:szCs w:val="24"/>
        </w:rPr>
      </w:pPr>
      <w:r w:rsidRPr="007F1B8B">
        <w:rPr>
          <w:noProof/>
        </w:rPr>
        <w:t>Înainte de fiecare reuniune a CSA, când organismului respectiv i se solicită să adopte decizii care au efecte juridice asupra Uniunii, se iau măsurile necesare pentru ca poziția care urmează să fie exprimată în numele Uniunii să țină seama de cele mai recente informații tehnice și de alte informații relevante transmise Comisiei, în conformitate cu principiile, criteriile și orientările stabilite în secțiunea I. Pentru a proteja drepturile și interesele Uniunii în cadrul OMV, Comisia acordă o atenție deosebită disponibilității documentelor de lucru prezentate în conformitate cu regulamentul de ordine interioară al CSA.</w:t>
      </w:r>
    </w:p>
    <w:p w14:paraId="79C52872" w14:textId="77777777" w:rsidR="00A674A3" w:rsidRPr="007F1B8B" w:rsidRDefault="00A674A3" w:rsidP="00A674A3">
      <w:pPr>
        <w:rPr>
          <w:noProof/>
          <w:szCs w:val="24"/>
        </w:rPr>
      </w:pPr>
      <w:r w:rsidRPr="007F1B8B">
        <w:rPr>
          <w:noProof/>
        </w:rPr>
        <w:t xml:space="preserve">În acest sens și pe baza informațiilor menționate, Comisia transmite Consiliului, cu suficient timp înainte de fiecare reuniune a CSA menționată la punctul </w:t>
      </w:r>
      <w:r w:rsidRPr="00013F34">
        <w:rPr>
          <w:noProof/>
        </w:rPr>
        <w:t>1</w:t>
      </w:r>
      <w:r w:rsidRPr="007F1B8B">
        <w:rPr>
          <w:noProof/>
        </w:rPr>
        <w:t>, un document scris care prezintă în detaliu propunerea de precizare a poziției Uniunii, în vederea dezbaterii și a aprobării detaliilor referitoare la poziția care urmează să fie exprimată în numele Uniunii. Consiliul examinează documentele Comisiei în cel mai scurt timp posibil.</w:t>
      </w:r>
    </w:p>
    <w:p w14:paraId="1BADA470" w14:textId="77777777" w:rsidR="00A674A3" w:rsidRPr="007F1B8B" w:rsidRDefault="00A674A3" w:rsidP="00A674A3">
      <w:pPr>
        <w:rPr>
          <w:noProof/>
          <w:szCs w:val="24"/>
        </w:rPr>
      </w:pPr>
      <w:r w:rsidRPr="007F1B8B">
        <w:rPr>
          <w:noProof/>
        </w:rPr>
        <w:t>În cazul în care Consiliul nu aprobă o anumită parte a propunerii, Comisia nu va prezenta o poziție a Uniunii cu privire la partea respectivă în cadrul CSA.</w:t>
      </w:r>
    </w:p>
    <w:p w14:paraId="6F8A1C73" w14:textId="77777777" w:rsidR="00A674A3" w:rsidRPr="007F1B8B" w:rsidRDefault="00A674A3" w:rsidP="00A674A3">
      <w:pPr>
        <w:rPr>
          <w:noProof/>
          <w:szCs w:val="24"/>
        </w:rPr>
      </w:pPr>
      <w:r w:rsidRPr="007F1B8B">
        <w:rPr>
          <w:noProof/>
        </w:rPr>
        <w:t>În cazurile în care poziția Uniunii diferă substanțial de decizia adoptată de CSA, Comisia transmite Consiliului, cu suficient timp înainte de expirarea termenului prevăzut la articolul </w:t>
      </w:r>
      <w:r w:rsidRPr="00013F34">
        <w:rPr>
          <w:noProof/>
        </w:rPr>
        <w:t>8</w:t>
      </w:r>
      <w:r w:rsidRPr="007F1B8B">
        <w:rPr>
          <w:noProof/>
        </w:rPr>
        <w:t xml:space="preserve"> alineatul (</w:t>
      </w:r>
      <w:r w:rsidRPr="00013F34">
        <w:rPr>
          <w:noProof/>
        </w:rPr>
        <w:t>3</w:t>
      </w:r>
      <w:r w:rsidRPr="007F1B8B">
        <w:rPr>
          <w:noProof/>
        </w:rPr>
        <w:t>) din Convenția SA, spre dezbatere și aprobare, un document scris care stabilește dacă decizia (deciziile) în cauză poate (pot) fi acceptată (acceptate) sau dacă chestiunea trebuie să fie transmisă Consiliului OMV sau CSA pentru reexaminare în temeiul articolului </w:t>
      </w:r>
      <w:r w:rsidRPr="00013F34">
        <w:rPr>
          <w:noProof/>
        </w:rPr>
        <w:t>8</w:t>
      </w:r>
      <w:r w:rsidRPr="007F1B8B">
        <w:rPr>
          <w:noProof/>
        </w:rPr>
        <w:t xml:space="preserve"> alineatul (</w:t>
      </w:r>
      <w:r w:rsidRPr="00013F34">
        <w:rPr>
          <w:noProof/>
        </w:rPr>
        <w:t>2</w:t>
      </w:r>
      <w:r w:rsidRPr="007F1B8B">
        <w:rPr>
          <w:noProof/>
        </w:rPr>
        <w:t>) din Convenția SA.</w:t>
      </w:r>
    </w:p>
    <w:p w14:paraId="066F89D1" w14:textId="4D039B22" w:rsidR="00905D22" w:rsidRPr="007F1B8B" w:rsidRDefault="00A674A3" w:rsidP="00A674A3">
      <w:pPr>
        <w:rPr>
          <w:noProof/>
          <w:szCs w:val="24"/>
        </w:rPr>
      </w:pPr>
      <w:r w:rsidRPr="007F1B8B">
        <w:rPr>
          <w:noProof/>
        </w:rPr>
        <w:t>Pentru a proteja drepturile Uniunii și a evita ca o decizie cu privire la o chestiune asupra căreia Consiliul nu poate emite o poziție înainte de termenul prevăzut la articolul </w:t>
      </w:r>
      <w:r w:rsidRPr="00013F34">
        <w:rPr>
          <w:noProof/>
        </w:rPr>
        <w:t>8</w:t>
      </w:r>
      <w:r w:rsidRPr="007F1B8B">
        <w:rPr>
          <w:noProof/>
        </w:rPr>
        <w:t xml:space="preserve"> alineatul (</w:t>
      </w:r>
      <w:r w:rsidRPr="00013F34">
        <w:rPr>
          <w:noProof/>
        </w:rPr>
        <w:t>3</w:t>
      </w:r>
      <w:r w:rsidRPr="007F1B8B">
        <w:rPr>
          <w:noProof/>
        </w:rPr>
        <w:t>) din Convenția SA să fie adoptată în cadrul OMV, Comisia solicită, în numele Uniunii, ca respectiva chestiune să fie transmisă Consiliului OMV sau CSA pentru reexaminare, în temeiul articolului </w:t>
      </w:r>
      <w:r w:rsidRPr="00013F34">
        <w:rPr>
          <w:noProof/>
        </w:rPr>
        <w:t>8</w:t>
      </w:r>
      <w:r w:rsidRPr="007F1B8B">
        <w:rPr>
          <w:noProof/>
        </w:rPr>
        <w:t xml:space="preserve"> alineatul (</w:t>
      </w:r>
      <w:r w:rsidRPr="00013F34">
        <w:rPr>
          <w:noProof/>
        </w:rPr>
        <w:t>2</w:t>
      </w:r>
      <w:r w:rsidRPr="007F1B8B">
        <w:rPr>
          <w:noProof/>
        </w:rPr>
        <w:t>) din Convenția SA.</w:t>
      </w:r>
    </w:p>
    <w:sectPr w:rsidR="00905D22" w:rsidRPr="007F1B8B" w:rsidSect="00421A7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343C8" w14:textId="77777777" w:rsidR="00A674A3" w:rsidRDefault="00A674A3" w:rsidP="00A674A3">
      <w:pPr>
        <w:spacing w:before="0" w:after="0"/>
      </w:pPr>
      <w:r>
        <w:separator/>
      </w:r>
    </w:p>
  </w:endnote>
  <w:endnote w:type="continuationSeparator" w:id="0">
    <w:p w14:paraId="2C3389E0" w14:textId="77777777" w:rsidR="00A674A3" w:rsidRDefault="00A674A3" w:rsidP="00A674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2CAD5" w14:textId="1FF4480A" w:rsidR="00421A7E" w:rsidRPr="00421A7E" w:rsidRDefault="00421A7E" w:rsidP="00421A7E">
    <w:pPr>
      <w:pStyle w:val="Footer"/>
      <w:rPr>
        <w:rFonts w:ascii="Arial" w:hAnsi="Arial" w:cs="Arial"/>
        <w:b/>
        <w:sz w:val="48"/>
      </w:rPr>
    </w:pPr>
    <w:r w:rsidRPr="00421A7E">
      <w:rPr>
        <w:rFonts w:ascii="Arial" w:hAnsi="Arial" w:cs="Arial"/>
        <w:b/>
        <w:sz w:val="48"/>
      </w:rPr>
      <w:t>RO</w:t>
    </w:r>
    <w:r w:rsidRPr="00421A7E">
      <w:rPr>
        <w:rFonts w:ascii="Arial" w:hAnsi="Arial" w:cs="Arial"/>
        <w:b/>
        <w:sz w:val="48"/>
      </w:rPr>
      <w:tab/>
    </w:r>
    <w:r w:rsidRPr="00421A7E">
      <w:rPr>
        <w:rFonts w:ascii="Arial" w:hAnsi="Arial" w:cs="Arial"/>
        <w:b/>
        <w:sz w:val="48"/>
      </w:rPr>
      <w:tab/>
    </w:r>
    <w:r w:rsidRPr="00421A7E">
      <w:tab/>
    </w:r>
    <w:r w:rsidRPr="00421A7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0708A" w14:textId="6CA529E8" w:rsidR="00421A7E" w:rsidRPr="00421A7E" w:rsidRDefault="00421A7E" w:rsidP="00421A7E">
    <w:pPr>
      <w:pStyle w:val="Footer"/>
      <w:rPr>
        <w:rFonts w:ascii="Arial" w:hAnsi="Arial" w:cs="Arial"/>
        <w:b/>
        <w:sz w:val="48"/>
      </w:rPr>
    </w:pPr>
    <w:r w:rsidRPr="00421A7E">
      <w:rPr>
        <w:rFonts w:ascii="Arial" w:hAnsi="Arial" w:cs="Arial"/>
        <w:b/>
        <w:sz w:val="48"/>
      </w:rPr>
      <w:t>RO</w:t>
    </w:r>
    <w:r w:rsidRPr="00421A7E">
      <w:rPr>
        <w:rFonts w:ascii="Arial" w:hAnsi="Arial" w:cs="Arial"/>
        <w:b/>
        <w:sz w:val="48"/>
      </w:rPr>
      <w:tab/>
    </w:r>
    <w:r w:rsidRPr="00421A7E">
      <w:rPr>
        <w:rFonts w:ascii="Arial" w:hAnsi="Arial" w:cs="Arial"/>
        <w:b/>
        <w:sz w:val="48"/>
      </w:rPr>
      <w:tab/>
    </w:r>
    <w:r w:rsidRPr="00421A7E">
      <w:tab/>
    </w:r>
    <w:r w:rsidRPr="00421A7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2A77C" w14:textId="77777777" w:rsidR="00421A7E" w:rsidRPr="00421A7E" w:rsidRDefault="00421A7E" w:rsidP="00421A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48AD5" w14:textId="77777777" w:rsidR="00421A7E" w:rsidRDefault="00421A7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91107" w14:textId="6339D5D2" w:rsidR="00421A7E" w:rsidRPr="00421A7E" w:rsidRDefault="00421A7E" w:rsidP="00421A7E">
    <w:pPr>
      <w:pStyle w:val="Footer"/>
      <w:rPr>
        <w:rFonts w:ascii="Arial" w:hAnsi="Arial" w:cs="Arial"/>
        <w:b/>
        <w:sz w:val="48"/>
      </w:rPr>
    </w:pPr>
    <w:r w:rsidRPr="00421A7E">
      <w:rPr>
        <w:rFonts w:ascii="Arial" w:hAnsi="Arial" w:cs="Arial"/>
        <w:b/>
        <w:sz w:val="48"/>
      </w:rPr>
      <w:t>RO</w:t>
    </w:r>
    <w:r w:rsidRPr="00421A7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1A7E">
      <w:tab/>
    </w:r>
    <w:r w:rsidRPr="00421A7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F7F1E" w14:textId="77777777" w:rsidR="00421A7E" w:rsidRDefault="00421A7E" w:rsidP="00421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2A79D" w14:textId="77777777" w:rsidR="00A674A3" w:rsidRDefault="00A674A3" w:rsidP="00A674A3">
      <w:pPr>
        <w:spacing w:before="0" w:after="0"/>
      </w:pPr>
      <w:r>
        <w:separator/>
      </w:r>
    </w:p>
  </w:footnote>
  <w:footnote w:type="continuationSeparator" w:id="0">
    <w:p w14:paraId="0D19F773" w14:textId="77777777" w:rsidR="00A674A3" w:rsidRDefault="00A674A3" w:rsidP="00A674A3">
      <w:pPr>
        <w:spacing w:before="0" w:after="0"/>
      </w:pPr>
      <w:r>
        <w:continuationSeparator/>
      </w:r>
    </w:p>
  </w:footnote>
  <w:footnote w:id="1">
    <w:p w14:paraId="12B340F4" w14:textId="77777777" w:rsidR="00A674A3" w:rsidRPr="002C50FE" w:rsidRDefault="00A674A3" w:rsidP="00A674A3">
      <w:pPr>
        <w:pStyle w:val="FootnoteText"/>
      </w:pPr>
      <w:r>
        <w:rPr>
          <w:rStyle w:val="FootnoteReference"/>
        </w:rPr>
        <w:footnoteRef/>
      </w:r>
      <w:r>
        <w:tab/>
        <w:t xml:space="preserve">JO L </w:t>
      </w:r>
      <w:r w:rsidRPr="00013F34">
        <w:t>198</w:t>
      </w:r>
      <w:r>
        <w:t xml:space="preserve">, </w:t>
      </w:r>
      <w:r w:rsidRPr="00013F34">
        <w:t>20</w:t>
      </w:r>
      <w:r>
        <w:t>.</w:t>
      </w:r>
      <w:r w:rsidRPr="00013F34">
        <w:t>7</w:t>
      </w:r>
      <w:r>
        <w:t>.</w:t>
      </w:r>
      <w:r w:rsidRPr="00013F34">
        <w:t>1987</w:t>
      </w:r>
      <w:r>
        <w:t>, p. </w:t>
      </w:r>
      <w:r w:rsidRPr="00013F34">
        <w:t>3</w:t>
      </w:r>
      <w:r>
        <w:t>.</w:t>
      </w:r>
    </w:p>
  </w:footnote>
  <w:footnote w:id="2">
    <w:p w14:paraId="01CF846C" w14:textId="50380002" w:rsidR="00A674A3" w:rsidRPr="002E267B" w:rsidRDefault="00A674A3" w:rsidP="00A674A3">
      <w:pPr>
        <w:pStyle w:val="FootnoteText"/>
      </w:pPr>
      <w:r>
        <w:rPr>
          <w:rStyle w:val="FootnoteReference"/>
        </w:rPr>
        <w:footnoteRef/>
      </w:r>
      <w:r>
        <w:tab/>
        <w:t>Regulamentul (CEE) nr. </w:t>
      </w:r>
      <w:r w:rsidRPr="00013F34">
        <w:t>2658</w:t>
      </w:r>
      <w:r>
        <w:t>/</w:t>
      </w:r>
      <w:r w:rsidRPr="00013F34">
        <w:t>87</w:t>
      </w:r>
      <w:r>
        <w:t xml:space="preserve"> din </w:t>
      </w:r>
      <w:r w:rsidRPr="00013F34">
        <w:t>23</w:t>
      </w:r>
      <w:r>
        <w:t xml:space="preserve"> iulie </w:t>
      </w:r>
      <w:r w:rsidRPr="00013F34">
        <w:t>1987</w:t>
      </w:r>
      <w:r>
        <w:t xml:space="preserve"> al Consiliului privind Nomenclatura tarifară și statistică și Tariful Vamal Comun, JO L </w:t>
      </w:r>
      <w:r w:rsidRPr="00013F34">
        <w:t>256</w:t>
      </w:r>
      <w:r>
        <w:t xml:space="preserve">, </w:t>
      </w:r>
      <w:r w:rsidRPr="00013F34">
        <w:t>7</w:t>
      </w:r>
      <w:r>
        <w:t>.</w:t>
      </w:r>
      <w:r w:rsidRPr="00013F34">
        <w:t>9</w:t>
      </w:r>
      <w:r>
        <w:t>.</w:t>
      </w:r>
      <w:r w:rsidRPr="00013F34">
        <w:t>1987</w:t>
      </w:r>
      <w:r>
        <w:t>, p. </w:t>
      </w:r>
      <w:r w:rsidRPr="00013F34">
        <w:t>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7051" w14:textId="77777777" w:rsidR="00421A7E" w:rsidRPr="00421A7E" w:rsidRDefault="00421A7E" w:rsidP="00421A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77BF7" w14:textId="77777777" w:rsidR="00421A7E" w:rsidRPr="00421A7E" w:rsidRDefault="00421A7E" w:rsidP="00421A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E71A" w14:textId="77777777" w:rsidR="00421A7E" w:rsidRPr="00421A7E" w:rsidRDefault="00421A7E" w:rsidP="00421A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E23EF" w14:textId="77777777" w:rsidR="00421A7E" w:rsidRDefault="00421A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3B772" w14:textId="77777777" w:rsidR="00421A7E" w:rsidRDefault="00421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A5059B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916D4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58EC15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4705F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5DECCB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540F1E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8D0BA3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1A8ED7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9 17:18: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9755B8D3-4EA5-46BB-BAF3-E0F50462CB20"/>
    <w:docVar w:name="LW_COVERPAGE_TYPE" w:val="1"/>
    <w:docVar w:name="LW_CROSSREFERENCE" w:val="&lt;UNUSED&gt;"/>
    <w:docVar w:name="LW_DocType" w:val="ANNEX"/>
    <w:docVar w:name="LW_EMISSION" w:val="12.6.2026"/>
    <w:docVar w:name="LW_EMISSION_ISODATE" w:val="2026-06-1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Organiza\u539?iei Mondiale a V\u259?milor (OMV) cu privire la adoptarea de note explicative, avize de clasificare \u537?i alte avize privind interpretarea Sistemului armonizat \u537?i recomand\u259?ri pentru a asigura o interpretare uniform\u259? a Sistemului armonizat în temeiul Conven\u539?iei privind Sistemul armonizat \u537?i Recomandarea privind modificarea nomenclaturii prezentate în anex\u259? la Conven\u539?ia privind Sistemul armonizat"/>
    <w:docVar w:name="LW_OBJETACTEPRINCIPAL.CP" w:val="privind pozi\u539?ia care urmeaz\u259? s\u259? fie adoptat\u259? în numele Uniunii Europene în cadrul Organiza\u539?iei Mondiale a V\u259?milor (OMV) cu privire la adoptarea de note explicative, avize de clasificare \u537?i alte avize privind interpretarea Sistemului armonizat \u537?i recomand\u259?ri pentru a asigura o interpretare uniform\u259? a Sistemului armonizat în temeiul Conven\u539?iei privind Sistemul armonizat \u537?i Recomandarea privind modificarea nomenclaturii prezentate în anex\u259? la Conven\u539?ia privind Sistemul armonizat"/>
    <w:docVar w:name="LW_PART_NBR" w:val="1"/>
    <w:docVar w:name="LW_PART_NBR_TOTAL" w:val="1"/>
    <w:docVar w:name="LW_REF.INST.NEW" w:val="COM"/>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osal for a Council Decision"/>
    <w:docVar w:name="LW_TYPEACTEPRINCIPAL.CP" w:val="Proposal for a Council Decision"/>
    <w:docVar w:name="LwApiVersions" w:val="LW4CoDe 1.24.5.0; LW 9.2, Build 20251112"/>
  </w:docVars>
  <w:rsids>
    <w:rsidRoot w:val="00A674A3"/>
    <w:rsid w:val="00001FE4"/>
    <w:rsid w:val="00013F34"/>
    <w:rsid w:val="00023805"/>
    <w:rsid w:val="000634AE"/>
    <w:rsid w:val="000B68D9"/>
    <w:rsid w:val="000B6C7C"/>
    <w:rsid w:val="000C43E5"/>
    <w:rsid w:val="00137163"/>
    <w:rsid w:val="00165C4F"/>
    <w:rsid w:val="00174D16"/>
    <w:rsid w:val="001C53C1"/>
    <w:rsid w:val="001E79AF"/>
    <w:rsid w:val="001F343E"/>
    <w:rsid w:val="00240DA6"/>
    <w:rsid w:val="00275960"/>
    <w:rsid w:val="002B39EA"/>
    <w:rsid w:val="002D4875"/>
    <w:rsid w:val="00373F96"/>
    <w:rsid w:val="003C3F9C"/>
    <w:rsid w:val="00421A7E"/>
    <w:rsid w:val="00426832"/>
    <w:rsid w:val="00446270"/>
    <w:rsid w:val="0049028C"/>
    <w:rsid w:val="00492EB7"/>
    <w:rsid w:val="004E489F"/>
    <w:rsid w:val="005C11FA"/>
    <w:rsid w:val="005D7C87"/>
    <w:rsid w:val="00616878"/>
    <w:rsid w:val="00622382"/>
    <w:rsid w:val="00626E37"/>
    <w:rsid w:val="00655095"/>
    <w:rsid w:val="006A2975"/>
    <w:rsid w:val="006A6BCB"/>
    <w:rsid w:val="007149A7"/>
    <w:rsid w:val="00786522"/>
    <w:rsid w:val="007872F0"/>
    <w:rsid w:val="007D489D"/>
    <w:rsid w:val="007D54CB"/>
    <w:rsid w:val="007E2143"/>
    <w:rsid w:val="007F1B8B"/>
    <w:rsid w:val="0088428A"/>
    <w:rsid w:val="008A1614"/>
    <w:rsid w:val="008D6398"/>
    <w:rsid w:val="00901CB2"/>
    <w:rsid w:val="00905D22"/>
    <w:rsid w:val="00943BC8"/>
    <w:rsid w:val="009C6C9D"/>
    <w:rsid w:val="00A34664"/>
    <w:rsid w:val="00A6243B"/>
    <w:rsid w:val="00A674A3"/>
    <w:rsid w:val="00A71F6D"/>
    <w:rsid w:val="00AA56C4"/>
    <w:rsid w:val="00AD5575"/>
    <w:rsid w:val="00B1123A"/>
    <w:rsid w:val="00B23D5A"/>
    <w:rsid w:val="00B410F7"/>
    <w:rsid w:val="00B557D3"/>
    <w:rsid w:val="00B72A81"/>
    <w:rsid w:val="00B963AA"/>
    <w:rsid w:val="00BA4F3C"/>
    <w:rsid w:val="00BB30BC"/>
    <w:rsid w:val="00BD0A8A"/>
    <w:rsid w:val="00BD613B"/>
    <w:rsid w:val="00C2546D"/>
    <w:rsid w:val="00C47C5E"/>
    <w:rsid w:val="00C953CA"/>
    <w:rsid w:val="00D127D3"/>
    <w:rsid w:val="00D328C4"/>
    <w:rsid w:val="00D33986"/>
    <w:rsid w:val="00D34FC5"/>
    <w:rsid w:val="00DD4730"/>
    <w:rsid w:val="00E10264"/>
    <w:rsid w:val="00E279FB"/>
    <w:rsid w:val="00E619EB"/>
    <w:rsid w:val="00EA7D1B"/>
    <w:rsid w:val="00EB2D13"/>
    <w:rsid w:val="00F25984"/>
    <w:rsid w:val="00F7024E"/>
    <w:rsid w:val="00F80DF4"/>
    <w:rsid w:val="00F82260"/>
    <w:rsid w:val="00F945B1"/>
    <w:rsid w:val="00FA6864"/>
    <w:rsid w:val="00FC725C"/>
    <w:rsid w:val="00FD5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674DE13"/>
  <w15:docId w15:val="{692E34BF-46BF-4A81-9E6E-C7925B25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674A3"/>
    <w:rPr>
      <w:sz w:val="16"/>
      <w:szCs w:val="16"/>
    </w:rPr>
  </w:style>
  <w:style w:type="paragraph" w:styleId="CommentText">
    <w:name w:val="annotation text"/>
    <w:basedOn w:val="Normal"/>
    <w:link w:val="CommentTextChar"/>
    <w:uiPriority w:val="99"/>
    <w:semiHidden/>
    <w:unhideWhenUsed/>
    <w:rsid w:val="00A674A3"/>
    <w:rPr>
      <w:sz w:val="20"/>
      <w:szCs w:val="20"/>
    </w:rPr>
  </w:style>
  <w:style w:type="character" w:customStyle="1" w:styleId="CommentTextChar">
    <w:name w:val="Comment Text Char"/>
    <w:basedOn w:val="DefaultParagraphFont"/>
    <w:link w:val="CommentText"/>
    <w:uiPriority w:val="99"/>
    <w:semiHidden/>
    <w:rsid w:val="00A674A3"/>
    <w:rPr>
      <w:rFonts w:ascii="Times New Roman" w:hAnsi="Times New Roman" w:cs="Times New Roman"/>
      <w:sz w:val="20"/>
      <w:szCs w:val="20"/>
      <w:lang w:val="ro-RO"/>
    </w:rPr>
  </w:style>
  <w:style w:type="paragraph" w:styleId="Caption">
    <w:name w:val="caption"/>
    <w:basedOn w:val="Normal"/>
    <w:next w:val="Normal"/>
    <w:uiPriority w:val="35"/>
    <w:semiHidden/>
    <w:unhideWhenUsed/>
    <w:qFormat/>
    <w:rsid w:val="00F259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25984"/>
    <w:pPr>
      <w:spacing w:after="0"/>
    </w:pPr>
  </w:style>
  <w:style w:type="paragraph" w:styleId="ListBullet">
    <w:name w:val="List Bullet"/>
    <w:basedOn w:val="Normal"/>
    <w:uiPriority w:val="99"/>
    <w:semiHidden/>
    <w:unhideWhenUsed/>
    <w:rsid w:val="00F25984"/>
    <w:pPr>
      <w:numPr>
        <w:numId w:val="3"/>
      </w:numPr>
      <w:contextualSpacing/>
    </w:pPr>
  </w:style>
  <w:style w:type="paragraph" w:styleId="ListBullet2">
    <w:name w:val="List Bullet 2"/>
    <w:basedOn w:val="Normal"/>
    <w:uiPriority w:val="99"/>
    <w:semiHidden/>
    <w:unhideWhenUsed/>
    <w:rsid w:val="00F25984"/>
    <w:pPr>
      <w:numPr>
        <w:numId w:val="4"/>
      </w:numPr>
      <w:contextualSpacing/>
    </w:pPr>
  </w:style>
  <w:style w:type="paragraph" w:styleId="ListBullet3">
    <w:name w:val="List Bullet 3"/>
    <w:basedOn w:val="Normal"/>
    <w:uiPriority w:val="99"/>
    <w:semiHidden/>
    <w:unhideWhenUsed/>
    <w:rsid w:val="00F25984"/>
    <w:pPr>
      <w:numPr>
        <w:numId w:val="5"/>
      </w:numPr>
      <w:contextualSpacing/>
    </w:pPr>
  </w:style>
  <w:style w:type="paragraph" w:styleId="ListBullet4">
    <w:name w:val="List Bullet 4"/>
    <w:basedOn w:val="Normal"/>
    <w:uiPriority w:val="99"/>
    <w:semiHidden/>
    <w:unhideWhenUsed/>
    <w:rsid w:val="00F25984"/>
    <w:pPr>
      <w:numPr>
        <w:numId w:val="6"/>
      </w:numPr>
      <w:contextualSpacing/>
    </w:pPr>
  </w:style>
  <w:style w:type="paragraph" w:styleId="ListNumber">
    <w:name w:val="List Number"/>
    <w:basedOn w:val="Normal"/>
    <w:uiPriority w:val="99"/>
    <w:semiHidden/>
    <w:unhideWhenUsed/>
    <w:rsid w:val="00F25984"/>
    <w:pPr>
      <w:numPr>
        <w:numId w:val="7"/>
      </w:numPr>
      <w:contextualSpacing/>
    </w:pPr>
  </w:style>
  <w:style w:type="paragraph" w:styleId="ListNumber2">
    <w:name w:val="List Number 2"/>
    <w:basedOn w:val="Normal"/>
    <w:uiPriority w:val="99"/>
    <w:semiHidden/>
    <w:unhideWhenUsed/>
    <w:rsid w:val="00F25984"/>
    <w:pPr>
      <w:numPr>
        <w:numId w:val="8"/>
      </w:numPr>
      <w:contextualSpacing/>
    </w:pPr>
  </w:style>
  <w:style w:type="paragraph" w:styleId="ListNumber3">
    <w:name w:val="List Number 3"/>
    <w:basedOn w:val="Normal"/>
    <w:uiPriority w:val="99"/>
    <w:semiHidden/>
    <w:unhideWhenUsed/>
    <w:rsid w:val="00F25984"/>
    <w:pPr>
      <w:numPr>
        <w:numId w:val="9"/>
      </w:numPr>
      <w:contextualSpacing/>
    </w:pPr>
  </w:style>
  <w:style w:type="paragraph" w:styleId="ListNumber4">
    <w:name w:val="List Number 4"/>
    <w:basedOn w:val="Normal"/>
    <w:uiPriority w:val="99"/>
    <w:semiHidden/>
    <w:unhideWhenUsed/>
    <w:rsid w:val="00F25984"/>
    <w:pPr>
      <w:numPr>
        <w:numId w:val="10"/>
      </w:numPr>
      <w:contextualSpacing/>
    </w:pPr>
  </w:style>
  <w:style w:type="paragraph" w:styleId="Revision">
    <w:name w:val="Revision"/>
    <w:hidden/>
    <w:uiPriority w:val="99"/>
    <w:semiHidden/>
    <w:rsid w:val="00FC725C"/>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421A7E"/>
    <w:rPr>
      <w:rFonts w:ascii="Times New Roman" w:hAnsi="Times New Roman" w:cs="Times New Roman"/>
      <w:sz w:val="24"/>
      <w:lang w:val="ro-RO"/>
    </w:rPr>
  </w:style>
  <w:style w:type="character" w:customStyle="1" w:styleId="FooterChar">
    <w:name w:val="Footer Char"/>
    <w:basedOn w:val="DefaultParagraphFont"/>
    <w:link w:val="Footer"/>
    <w:uiPriority w:val="99"/>
    <w:rsid w:val="00421A7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1A7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1A7E"/>
    <w:pPr>
      <w:spacing w:before="0"/>
      <w:jc w:val="right"/>
    </w:pPr>
    <w:rPr>
      <w:sz w:val="28"/>
    </w:rPr>
  </w:style>
  <w:style w:type="paragraph" w:customStyle="1" w:styleId="FooterSensitivity">
    <w:name w:val="Footer Sensitivity"/>
    <w:basedOn w:val="Normal"/>
    <w:rsid w:val="00421A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21A7E"/>
    <w:pPr>
      <w:tabs>
        <w:tab w:val="center" w:pos="4535"/>
        <w:tab w:val="right" w:pos="9071"/>
      </w:tabs>
      <w:spacing w:before="0"/>
    </w:pPr>
  </w:style>
  <w:style w:type="paragraph" w:customStyle="1" w:styleId="HeaderLandscape">
    <w:name w:val="HeaderLandscape"/>
    <w:basedOn w:val="Normal"/>
    <w:rsid w:val="00421A7E"/>
    <w:pPr>
      <w:tabs>
        <w:tab w:val="center" w:pos="7285"/>
        <w:tab w:val="right" w:pos="14003"/>
      </w:tabs>
      <w:spacing w:before="0"/>
    </w:pPr>
  </w:style>
  <w:style w:type="paragraph" w:styleId="Footer">
    <w:name w:val="footer"/>
    <w:basedOn w:val="Normal"/>
    <w:link w:val="FooterChar"/>
    <w:uiPriority w:val="99"/>
    <w:unhideWhenUsed/>
    <w:rsid w:val="00421A7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1A7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87</TotalTime>
  <Pages>4</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2026-05-11T12:57:00Z</dcterms:created>
  <dcterms:modified xsi:type="dcterms:W3CDTF">2026-06-09T15:18:00Z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2023-03-29T12:03:57Z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6b1b54a7-7866-4540-a435-690768baa956</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