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8800B2" w14:textId="2A8329A3" w:rsidR="00EA29C8" w:rsidRPr="005A044A" w:rsidRDefault="008B1B70" w:rsidP="008B1B70">
      <w:pPr>
        <w:pStyle w:val="Pagedecouverture"/>
        <w:rPr>
          <w:noProof/>
        </w:rPr>
      </w:pPr>
      <w:bookmarkStart w:id="0" w:name="_Toc515017750"/>
      <w:bookmarkStart w:id="1" w:name="_Toc512438612"/>
      <w:bookmarkStart w:id="2" w:name="_Toc448503093"/>
      <w:bookmarkStart w:id="3" w:name="_Toc448926047"/>
      <w:bookmarkStart w:id="4" w:name="_Toc384658382"/>
      <w:bookmarkStart w:id="5" w:name="_Toc351392070"/>
      <w:bookmarkStart w:id="6" w:name="_Toc351392027"/>
      <w:bookmarkStart w:id="7" w:name="_Toc351391961"/>
      <w:bookmarkStart w:id="8" w:name="_Toc351391854"/>
      <w:bookmarkStart w:id="9" w:name="_Toc351391759"/>
      <w:bookmarkStart w:id="10" w:name="LW_BM_COVERPAGE"/>
      <w:r>
        <w:rPr>
          <w:noProof/>
        </w:rPr>
        <w:pict w14:anchorId="520F9A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FCD5637C-9B2A-45BF-A7E7-4ED94D581F08" style="width:455.25pt;height:327.75pt">
            <v:imagedata r:id="rId11" o:title=""/>
          </v:shape>
        </w:pict>
      </w:r>
    </w:p>
    <w:bookmarkEnd w:id="10"/>
    <w:p w14:paraId="001B8890" w14:textId="77777777" w:rsidR="00EA29C8" w:rsidRPr="005A044A" w:rsidRDefault="00EA29C8" w:rsidP="00EA29C8">
      <w:pPr>
        <w:rPr>
          <w:noProof/>
        </w:rPr>
        <w:sectPr w:rsidR="00EA29C8" w:rsidRPr="005A044A" w:rsidSect="008B1B7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31EC3EEE" w14:textId="4F36F5FE" w:rsidR="00EA29C8" w:rsidRPr="005A044A" w:rsidRDefault="00EA29C8" w:rsidP="00D92B7C">
      <w:pPr>
        <w:spacing w:after="480" w:line="240" w:lineRule="auto"/>
        <w:jc w:val="both"/>
        <w:rPr>
          <w:rFonts w:ascii="EC Square Sans Pro" w:eastAsia="Calibri" w:hAnsi="EC Square Sans Pro" w:cs="Times New Roman"/>
          <w:noProof/>
          <w:kern w:val="0"/>
          <w14:ligatures w14:val="none"/>
        </w:rPr>
      </w:pPr>
      <w:bookmarkStart w:id="11" w:name="_GoBack"/>
      <w:bookmarkEnd w:id="11"/>
    </w:p>
    <w:sdt>
      <w:sdtPr>
        <w:rPr>
          <w:rFonts w:ascii="EC Square Sans Pro" w:eastAsia="Calibri" w:hAnsi="EC Square Sans Pro" w:cs="Times New Roman"/>
          <w:noProof/>
          <w:kern w:val="0"/>
          <w14:ligatures w14:val="none"/>
        </w:rPr>
        <w:id w:val="1030917466"/>
        <w:docPartObj>
          <w:docPartGallery w:val="Table of Contents"/>
          <w:docPartUnique/>
        </w:docPartObj>
      </w:sdtPr>
      <w:sdtEndPr>
        <w:rPr>
          <w:color w:val="000000"/>
          <w:sz w:val="20"/>
          <w:szCs w:val="20"/>
        </w:rPr>
      </w:sdtEndPr>
      <w:sdtContent>
        <w:p w14:paraId="2855A0DC" w14:textId="4BBD22C8" w:rsidR="00BE5E44" w:rsidRPr="005A044A" w:rsidRDefault="00BE5E44" w:rsidP="00D92B7C">
          <w:pPr>
            <w:spacing w:after="480" w:line="240" w:lineRule="auto"/>
            <w:jc w:val="both"/>
            <w:rPr>
              <w:rFonts w:ascii="EC Square Sans Pro" w:eastAsia="Times New Roman" w:hAnsi="EC Square Sans Pro" w:cs="Times New Roman"/>
              <w:noProof/>
              <w:color w:val="003399" w:themeColor="text2"/>
              <w:kern w:val="0"/>
              <w:sz w:val="48"/>
              <w:szCs w:val="20"/>
              <w14:ligatures w14:val="none"/>
            </w:rPr>
          </w:pPr>
          <w:r>
            <w:rPr>
              <w:rFonts w:ascii="EC Square Sans Pro" w:hAnsi="EC Square Sans Pro"/>
              <w:noProof/>
              <w:color w:val="003399" w:themeColor="text2"/>
              <w:sz w:val="48"/>
            </w:rPr>
            <w:t>Cuprins</w:t>
          </w:r>
        </w:p>
        <w:p w14:paraId="22B5CA79" w14:textId="4668DA17" w:rsidR="00B94D22" w:rsidRDefault="0066619F">
          <w:pPr>
            <w:pStyle w:val="TOC1"/>
            <w:rPr>
              <w:rFonts w:asciiTheme="minorHAnsi" w:eastAsiaTheme="minorEastAsia" w:hAnsiTheme="minorHAnsi" w:cstheme="minorBidi"/>
              <w:b w:val="0"/>
              <w:caps w:val="0"/>
              <w:noProof/>
              <w:color w:val="auto"/>
              <w:sz w:val="24"/>
              <w:szCs w:val="24"/>
              <w:lang w:val="fr-BE" w:eastAsia="fr-BE"/>
            </w:rPr>
          </w:pPr>
          <w:r>
            <w:rPr>
              <w:rFonts w:eastAsia="Times New Roman"/>
              <w:noProof/>
              <w:color w:val="000000"/>
            </w:rPr>
            <w:fldChar w:fldCharType="begin"/>
          </w:r>
          <w:r>
            <w:rPr>
              <w:rFonts w:eastAsia="Times New Roman"/>
              <w:noProof/>
              <w:color w:val="000000"/>
            </w:rPr>
            <w:instrText xml:space="preserve"> TOC \o "1-2" \h \z \u </w:instrText>
          </w:r>
          <w:r>
            <w:rPr>
              <w:rFonts w:eastAsia="Times New Roman"/>
              <w:noProof/>
              <w:color w:val="000000"/>
            </w:rPr>
            <w:fldChar w:fldCharType="separate"/>
          </w:r>
          <w:hyperlink w:anchor="_Toc237430192" w:history="1">
            <w:r w:rsidR="00B94D22" w:rsidRPr="00D62E09">
              <w:rPr>
                <w:rStyle w:val="Hyperlink"/>
                <w:noProof/>
              </w:rPr>
              <w:t>Obiectivul și domeniul de aplicare al raportului</w:t>
            </w:r>
            <w:r w:rsidR="00B94D22">
              <w:rPr>
                <w:noProof/>
                <w:webHidden/>
              </w:rPr>
              <w:tab/>
            </w:r>
            <w:r w:rsidR="00B94D22">
              <w:rPr>
                <w:noProof/>
                <w:webHidden/>
              </w:rPr>
              <w:fldChar w:fldCharType="begin"/>
            </w:r>
            <w:r w:rsidR="00B94D22">
              <w:rPr>
                <w:noProof/>
                <w:webHidden/>
              </w:rPr>
              <w:instrText xml:space="preserve"> PAGEREF _Toc237430192 \h </w:instrText>
            </w:r>
            <w:r w:rsidR="00B94D22">
              <w:rPr>
                <w:noProof/>
                <w:webHidden/>
              </w:rPr>
            </w:r>
            <w:r w:rsidR="00B94D22">
              <w:rPr>
                <w:noProof/>
                <w:webHidden/>
              </w:rPr>
              <w:fldChar w:fldCharType="separate"/>
            </w:r>
            <w:r w:rsidR="00DC4751">
              <w:rPr>
                <w:noProof/>
                <w:webHidden/>
              </w:rPr>
              <w:t>2</w:t>
            </w:r>
            <w:r w:rsidR="00B94D22">
              <w:rPr>
                <w:noProof/>
                <w:webHidden/>
              </w:rPr>
              <w:fldChar w:fldCharType="end"/>
            </w:r>
          </w:hyperlink>
        </w:p>
        <w:p w14:paraId="332543A6" w14:textId="42829BB8" w:rsidR="00B94D22" w:rsidRDefault="008B1B70">
          <w:pPr>
            <w:pStyle w:val="TOC1"/>
            <w:rPr>
              <w:rFonts w:asciiTheme="minorHAnsi" w:eastAsiaTheme="minorEastAsia" w:hAnsiTheme="minorHAnsi" w:cstheme="minorBidi"/>
              <w:b w:val="0"/>
              <w:caps w:val="0"/>
              <w:noProof/>
              <w:color w:val="auto"/>
              <w:sz w:val="24"/>
              <w:szCs w:val="24"/>
              <w:lang w:val="fr-BE" w:eastAsia="fr-BE"/>
            </w:rPr>
          </w:pPr>
          <w:hyperlink w:anchor="_Toc237430193" w:history="1">
            <w:r w:rsidR="00B94D22" w:rsidRPr="00D62E09">
              <w:rPr>
                <w:rStyle w:val="Hyperlink"/>
                <w:noProof/>
              </w:rPr>
              <w:t>Serviciul de Audit Intern</w:t>
            </w:r>
            <w:r w:rsidR="00B94D22">
              <w:rPr>
                <w:noProof/>
                <w:webHidden/>
              </w:rPr>
              <w:tab/>
            </w:r>
            <w:r w:rsidR="00B94D22">
              <w:rPr>
                <w:noProof/>
                <w:webHidden/>
              </w:rPr>
              <w:fldChar w:fldCharType="begin"/>
            </w:r>
            <w:r w:rsidR="00B94D22">
              <w:rPr>
                <w:noProof/>
                <w:webHidden/>
              </w:rPr>
              <w:instrText xml:space="preserve"> PAGEREF _Toc237430193 \h </w:instrText>
            </w:r>
            <w:r w:rsidR="00B94D22">
              <w:rPr>
                <w:noProof/>
                <w:webHidden/>
              </w:rPr>
            </w:r>
            <w:r w:rsidR="00B94D22">
              <w:rPr>
                <w:noProof/>
                <w:webHidden/>
              </w:rPr>
              <w:fldChar w:fldCharType="separate"/>
            </w:r>
            <w:r w:rsidR="00DC4751">
              <w:rPr>
                <w:noProof/>
                <w:webHidden/>
              </w:rPr>
              <w:t>2</w:t>
            </w:r>
            <w:r w:rsidR="00B94D22">
              <w:rPr>
                <w:noProof/>
                <w:webHidden/>
              </w:rPr>
              <w:fldChar w:fldCharType="end"/>
            </w:r>
          </w:hyperlink>
        </w:p>
        <w:p w14:paraId="37A0F9EB" w14:textId="1A42B7FA" w:rsidR="00B94D22" w:rsidRDefault="008B1B70">
          <w:pPr>
            <w:pStyle w:val="TOC1"/>
            <w:rPr>
              <w:rFonts w:asciiTheme="minorHAnsi" w:eastAsiaTheme="minorEastAsia" w:hAnsiTheme="minorHAnsi" w:cstheme="minorBidi"/>
              <w:b w:val="0"/>
              <w:caps w:val="0"/>
              <w:noProof/>
              <w:color w:val="auto"/>
              <w:sz w:val="24"/>
              <w:szCs w:val="24"/>
              <w:lang w:val="fr-BE" w:eastAsia="fr-BE"/>
            </w:rPr>
          </w:pPr>
          <w:hyperlink w:anchor="_Toc237430194" w:history="1">
            <w:r w:rsidR="00B94D22" w:rsidRPr="00D62E09">
              <w:rPr>
                <w:rStyle w:val="Hyperlink"/>
                <w:noProof/>
              </w:rPr>
              <w:t>Prezentare generală a activității de audit</w:t>
            </w:r>
            <w:r w:rsidR="00B94D22">
              <w:rPr>
                <w:noProof/>
                <w:webHidden/>
              </w:rPr>
              <w:tab/>
            </w:r>
            <w:r w:rsidR="00B94D22">
              <w:rPr>
                <w:noProof/>
                <w:webHidden/>
              </w:rPr>
              <w:fldChar w:fldCharType="begin"/>
            </w:r>
            <w:r w:rsidR="00B94D22">
              <w:rPr>
                <w:noProof/>
                <w:webHidden/>
              </w:rPr>
              <w:instrText xml:space="preserve"> PAGEREF _Toc237430194 \h </w:instrText>
            </w:r>
            <w:r w:rsidR="00B94D22">
              <w:rPr>
                <w:noProof/>
                <w:webHidden/>
              </w:rPr>
            </w:r>
            <w:r w:rsidR="00B94D22">
              <w:rPr>
                <w:noProof/>
                <w:webHidden/>
              </w:rPr>
              <w:fldChar w:fldCharType="separate"/>
            </w:r>
            <w:r w:rsidR="00DC4751">
              <w:rPr>
                <w:noProof/>
                <w:webHidden/>
              </w:rPr>
              <w:t>4</w:t>
            </w:r>
            <w:r w:rsidR="00B94D22">
              <w:rPr>
                <w:noProof/>
                <w:webHidden/>
              </w:rPr>
              <w:fldChar w:fldCharType="end"/>
            </w:r>
          </w:hyperlink>
        </w:p>
        <w:p w14:paraId="35A07235" w14:textId="5E0D09EB" w:rsidR="00B94D22" w:rsidRDefault="008B1B70">
          <w:pPr>
            <w:pStyle w:val="TOC1"/>
            <w:rPr>
              <w:rFonts w:asciiTheme="minorHAnsi" w:eastAsiaTheme="minorEastAsia" w:hAnsiTheme="minorHAnsi" w:cstheme="minorBidi"/>
              <w:b w:val="0"/>
              <w:caps w:val="0"/>
              <w:noProof/>
              <w:color w:val="auto"/>
              <w:sz w:val="24"/>
              <w:szCs w:val="24"/>
              <w:lang w:val="fr-BE" w:eastAsia="fr-BE"/>
            </w:rPr>
          </w:pPr>
          <w:hyperlink w:anchor="_Toc237430195" w:history="1">
            <w:r w:rsidR="00B94D22" w:rsidRPr="00D62E09">
              <w:rPr>
                <w:rStyle w:val="Hyperlink"/>
                <w:noProof/>
              </w:rPr>
              <w:t>Rezultate generale pe baza activității de audit efectuate în 2025</w:t>
            </w:r>
            <w:r w:rsidR="00B94D22">
              <w:rPr>
                <w:noProof/>
                <w:webHidden/>
              </w:rPr>
              <w:tab/>
            </w:r>
            <w:r w:rsidR="00B94D22">
              <w:rPr>
                <w:noProof/>
                <w:webHidden/>
              </w:rPr>
              <w:fldChar w:fldCharType="begin"/>
            </w:r>
            <w:r w:rsidR="00B94D22">
              <w:rPr>
                <w:noProof/>
                <w:webHidden/>
              </w:rPr>
              <w:instrText xml:space="preserve"> PAGEREF _Toc237430195 \h </w:instrText>
            </w:r>
            <w:r w:rsidR="00B94D22">
              <w:rPr>
                <w:noProof/>
                <w:webHidden/>
              </w:rPr>
            </w:r>
            <w:r w:rsidR="00B94D22">
              <w:rPr>
                <w:noProof/>
                <w:webHidden/>
              </w:rPr>
              <w:fldChar w:fldCharType="separate"/>
            </w:r>
            <w:r w:rsidR="00DC4751">
              <w:rPr>
                <w:noProof/>
                <w:webHidden/>
              </w:rPr>
              <w:t>6</w:t>
            </w:r>
            <w:r w:rsidR="00B94D22">
              <w:rPr>
                <w:noProof/>
                <w:webHidden/>
              </w:rPr>
              <w:fldChar w:fldCharType="end"/>
            </w:r>
          </w:hyperlink>
        </w:p>
        <w:p w14:paraId="674A19D1" w14:textId="37CBA941" w:rsidR="00B94D22" w:rsidRDefault="008B1B70">
          <w:pPr>
            <w:pStyle w:val="TOC2"/>
            <w:rPr>
              <w:rFonts w:asciiTheme="minorHAnsi" w:eastAsiaTheme="minorEastAsia" w:hAnsiTheme="minorHAnsi" w:cstheme="minorBidi"/>
              <w:noProof/>
              <w:sz w:val="24"/>
              <w:szCs w:val="24"/>
              <w:lang w:val="fr-BE" w:eastAsia="fr-BE"/>
            </w:rPr>
          </w:pPr>
          <w:hyperlink w:anchor="_Toc237430196" w:history="1">
            <w:r w:rsidR="00B94D22" w:rsidRPr="00D62E09">
              <w:rPr>
                <w:rStyle w:val="Hyperlink"/>
                <w:noProof/>
              </w:rPr>
              <w:t>Rezultate generale privind performanța</w:t>
            </w:r>
            <w:r w:rsidR="00B94D22">
              <w:rPr>
                <w:noProof/>
                <w:webHidden/>
              </w:rPr>
              <w:tab/>
            </w:r>
            <w:r w:rsidR="00B94D22">
              <w:rPr>
                <w:noProof/>
                <w:webHidden/>
              </w:rPr>
              <w:fldChar w:fldCharType="begin"/>
            </w:r>
            <w:r w:rsidR="00B94D22">
              <w:rPr>
                <w:noProof/>
                <w:webHidden/>
              </w:rPr>
              <w:instrText xml:space="preserve"> PAGEREF _Toc237430196 \h </w:instrText>
            </w:r>
            <w:r w:rsidR="00B94D22">
              <w:rPr>
                <w:noProof/>
                <w:webHidden/>
              </w:rPr>
            </w:r>
            <w:r w:rsidR="00B94D22">
              <w:rPr>
                <w:noProof/>
                <w:webHidden/>
              </w:rPr>
              <w:fldChar w:fldCharType="separate"/>
            </w:r>
            <w:r w:rsidR="00DC4751">
              <w:rPr>
                <w:noProof/>
                <w:webHidden/>
              </w:rPr>
              <w:t>6</w:t>
            </w:r>
            <w:r w:rsidR="00B94D22">
              <w:rPr>
                <w:noProof/>
                <w:webHidden/>
              </w:rPr>
              <w:fldChar w:fldCharType="end"/>
            </w:r>
          </w:hyperlink>
        </w:p>
        <w:p w14:paraId="20CD5A78" w14:textId="0E648C4D" w:rsidR="00B94D22" w:rsidRDefault="008B1B70">
          <w:pPr>
            <w:pStyle w:val="TOC2"/>
            <w:rPr>
              <w:rFonts w:asciiTheme="minorHAnsi" w:eastAsiaTheme="minorEastAsia" w:hAnsiTheme="minorHAnsi" w:cstheme="minorBidi"/>
              <w:noProof/>
              <w:sz w:val="24"/>
              <w:szCs w:val="24"/>
              <w:lang w:val="fr-BE" w:eastAsia="fr-BE"/>
            </w:rPr>
          </w:pPr>
          <w:hyperlink w:anchor="_Toc237430197" w:history="1">
            <w:r w:rsidR="00B94D22" w:rsidRPr="00D62E09">
              <w:rPr>
                <w:rStyle w:val="Hyperlink"/>
                <w:noProof/>
              </w:rPr>
              <w:t>Concluzia generală privind gestiunea financiară a Comisiei</w:t>
            </w:r>
            <w:r w:rsidR="00B94D22">
              <w:rPr>
                <w:noProof/>
                <w:webHidden/>
              </w:rPr>
              <w:tab/>
            </w:r>
            <w:r w:rsidR="00B94D22">
              <w:rPr>
                <w:noProof/>
                <w:webHidden/>
              </w:rPr>
              <w:fldChar w:fldCharType="begin"/>
            </w:r>
            <w:r w:rsidR="00B94D22">
              <w:rPr>
                <w:noProof/>
                <w:webHidden/>
              </w:rPr>
              <w:instrText xml:space="preserve"> PAGEREF _Toc237430197 \h </w:instrText>
            </w:r>
            <w:r w:rsidR="00B94D22">
              <w:rPr>
                <w:noProof/>
                <w:webHidden/>
              </w:rPr>
            </w:r>
            <w:r w:rsidR="00B94D22">
              <w:rPr>
                <w:noProof/>
                <w:webHidden/>
              </w:rPr>
              <w:fldChar w:fldCharType="separate"/>
            </w:r>
            <w:r w:rsidR="00DC4751">
              <w:rPr>
                <w:noProof/>
                <w:webHidden/>
              </w:rPr>
              <w:t>10</w:t>
            </w:r>
            <w:r w:rsidR="00B94D22">
              <w:rPr>
                <w:noProof/>
                <w:webHidden/>
              </w:rPr>
              <w:fldChar w:fldCharType="end"/>
            </w:r>
          </w:hyperlink>
        </w:p>
        <w:p w14:paraId="01146485" w14:textId="0CF0CA01" w:rsidR="00B94D22" w:rsidRDefault="008B1B70">
          <w:pPr>
            <w:pStyle w:val="TOC1"/>
            <w:rPr>
              <w:rFonts w:asciiTheme="minorHAnsi" w:eastAsiaTheme="minorEastAsia" w:hAnsiTheme="minorHAnsi" w:cstheme="minorBidi"/>
              <w:b w:val="0"/>
              <w:caps w:val="0"/>
              <w:noProof/>
              <w:color w:val="auto"/>
              <w:sz w:val="24"/>
              <w:szCs w:val="24"/>
              <w:lang w:val="fr-BE" w:eastAsia="fr-BE"/>
            </w:rPr>
          </w:pPr>
          <w:hyperlink w:anchor="_Toc237430198" w:history="1">
            <w:r w:rsidR="00B94D22" w:rsidRPr="00D62E09">
              <w:rPr>
                <w:rStyle w:val="Hyperlink"/>
                <w:noProof/>
              </w:rPr>
              <w:t>Acțiuni întreprinse de entitățile auditate</w:t>
            </w:r>
            <w:r w:rsidR="00B94D22">
              <w:rPr>
                <w:noProof/>
                <w:webHidden/>
              </w:rPr>
              <w:tab/>
            </w:r>
            <w:r w:rsidR="00B94D22">
              <w:rPr>
                <w:noProof/>
                <w:webHidden/>
              </w:rPr>
              <w:fldChar w:fldCharType="begin"/>
            </w:r>
            <w:r w:rsidR="00B94D22">
              <w:rPr>
                <w:noProof/>
                <w:webHidden/>
              </w:rPr>
              <w:instrText xml:space="preserve"> PAGEREF _Toc237430198 \h </w:instrText>
            </w:r>
            <w:r w:rsidR="00B94D22">
              <w:rPr>
                <w:noProof/>
                <w:webHidden/>
              </w:rPr>
            </w:r>
            <w:r w:rsidR="00B94D22">
              <w:rPr>
                <w:noProof/>
                <w:webHidden/>
              </w:rPr>
              <w:fldChar w:fldCharType="separate"/>
            </w:r>
            <w:r w:rsidR="00DC4751">
              <w:rPr>
                <w:noProof/>
                <w:webHidden/>
              </w:rPr>
              <w:t>12</w:t>
            </w:r>
            <w:r w:rsidR="00B94D22">
              <w:rPr>
                <w:noProof/>
                <w:webHidden/>
              </w:rPr>
              <w:fldChar w:fldCharType="end"/>
            </w:r>
          </w:hyperlink>
        </w:p>
        <w:p w14:paraId="0660FB44" w14:textId="02677C01" w:rsidR="00B94D22" w:rsidRDefault="008B1B70">
          <w:pPr>
            <w:pStyle w:val="TOC1"/>
            <w:rPr>
              <w:rFonts w:asciiTheme="minorHAnsi" w:eastAsiaTheme="minorEastAsia" w:hAnsiTheme="minorHAnsi" w:cstheme="minorBidi"/>
              <w:b w:val="0"/>
              <w:caps w:val="0"/>
              <w:noProof/>
              <w:color w:val="auto"/>
              <w:sz w:val="24"/>
              <w:szCs w:val="24"/>
              <w:lang w:val="fr-BE" w:eastAsia="fr-BE"/>
            </w:rPr>
          </w:pPr>
          <w:hyperlink w:anchor="_Toc237430199" w:history="1">
            <w:r w:rsidR="00B94D22" w:rsidRPr="00D62E09">
              <w:rPr>
                <w:rStyle w:val="Hyperlink"/>
                <w:noProof/>
              </w:rPr>
              <w:t>Consultarea cu Grupul pentru nereguli financiare din cadrul Comisiei</w:t>
            </w:r>
            <w:r w:rsidR="00B94D22">
              <w:rPr>
                <w:noProof/>
                <w:webHidden/>
              </w:rPr>
              <w:tab/>
            </w:r>
            <w:r w:rsidR="00B94D22">
              <w:rPr>
                <w:noProof/>
                <w:webHidden/>
              </w:rPr>
              <w:fldChar w:fldCharType="begin"/>
            </w:r>
            <w:r w:rsidR="00B94D22">
              <w:rPr>
                <w:noProof/>
                <w:webHidden/>
              </w:rPr>
              <w:instrText xml:space="preserve"> PAGEREF _Toc237430199 \h </w:instrText>
            </w:r>
            <w:r w:rsidR="00B94D22">
              <w:rPr>
                <w:noProof/>
                <w:webHidden/>
              </w:rPr>
            </w:r>
            <w:r w:rsidR="00B94D22">
              <w:rPr>
                <w:noProof/>
                <w:webHidden/>
              </w:rPr>
              <w:fldChar w:fldCharType="separate"/>
            </w:r>
            <w:r w:rsidR="00DC4751">
              <w:rPr>
                <w:noProof/>
                <w:webHidden/>
              </w:rPr>
              <w:t>14</w:t>
            </w:r>
            <w:r w:rsidR="00B94D22">
              <w:rPr>
                <w:noProof/>
                <w:webHidden/>
              </w:rPr>
              <w:fldChar w:fldCharType="end"/>
            </w:r>
          </w:hyperlink>
        </w:p>
        <w:p w14:paraId="444E879B" w14:textId="519414FA" w:rsidR="00BE5E44" w:rsidRPr="005A044A" w:rsidRDefault="0066619F" w:rsidP="00D92B7C">
          <w:pPr>
            <w:ind w:hanging="340"/>
            <w:jc w:val="both"/>
            <w:rPr>
              <w:rFonts w:ascii="EC Square Sans Pro" w:eastAsia="Calibri" w:hAnsi="EC Square Sans Pro" w:cs="Times New Roman"/>
              <w:noProof/>
              <w:sz w:val="20"/>
            </w:rPr>
          </w:pPr>
          <w:r>
            <w:rPr>
              <w:rFonts w:eastAsia="Times New Roman"/>
              <w:noProof/>
              <w:color w:val="000000"/>
            </w:rPr>
            <w:fldChar w:fldCharType="end"/>
          </w:r>
        </w:p>
      </w:sdtContent>
    </w:sdt>
    <w:p w14:paraId="13B51722" w14:textId="77777777" w:rsidR="00BE5E44" w:rsidRPr="005A044A" w:rsidRDefault="00BE5E44" w:rsidP="00D92B7C">
      <w:pPr>
        <w:spacing w:after="0"/>
        <w:ind w:left="510" w:hanging="510"/>
        <w:jc w:val="both"/>
        <w:rPr>
          <w:rFonts w:ascii="EC Square Sans Pro" w:eastAsia="Calibri" w:hAnsi="EC Square Sans Pro" w:cs="Times New Roman"/>
          <w:noProof/>
          <w:kern w:val="0"/>
          <w:sz w:val="20"/>
          <w14:ligatures w14:val="none"/>
        </w:rPr>
        <w:sectPr w:rsidR="00BE5E44" w:rsidRPr="005A044A" w:rsidSect="00EA29C8">
          <w:headerReference w:type="even" r:id="rId18"/>
          <w:headerReference w:type="default" r:id="rId19"/>
          <w:footerReference w:type="even" r:id="rId20"/>
          <w:footerReference w:type="default" r:id="rId21"/>
          <w:headerReference w:type="first" r:id="rId22"/>
          <w:footerReference w:type="first" r:id="rId23"/>
          <w:pgSz w:w="11906" w:h="16838"/>
          <w:pgMar w:top="1020" w:right="1701" w:bottom="1020" w:left="1587" w:header="709" w:footer="709" w:gutter="0"/>
          <w:cols w:space="720"/>
          <w:titlePg/>
          <w:docGrid w:linePitch="326"/>
        </w:sectPr>
      </w:pPr>
    </w:p>
    <w:p w14:paraId="25453451" w14:textId="4E55E22A" w:rsidR="00BE5E44" w:rsidRPr="005A044A" w:rsidRDefault="00BE5E44" w:rsidP="00470453">
      <w:pPr>
        <w:pStyle w:val="Heading1"/>
        <w:rPr>
          <w:noProof/>
        </w:rPr>
      </w:pPr>
      <w:bookmarkStart w:id="12" w:name="_Toc4756279"/>
      <w:bookmarkStart w:id="13" w:name="_Toc8981607"/>
      <w:bookmarkStart w:id="14" w:name="_Toc237430192"/>
      <w:r>
        <w:rPr>
          <w:noProof/>
        </w:rPr>
        <w:t>Obiectivul și domeniul de aplicare al raportului</w:t>
      </w:r>
      <w:bookmarkEnd w:id="0"/>
      <w:bookmarkEnd w:id="1"/>
      <w:bookmarkEnd w:id="2"/>
      <w:bookmarkEnd w:id="3"/>
      <w:bookmarkEnd w:id="4"/>
      <w:bookmarkEnd w:id="5"/>
      <w:bookmarkEnd w:id="6"/>
      <w:bookmarkEnd w:id="7"/>
      <w:bookmarkEnd w:id="8"/>
      <w:bookmarkEnd w:id="9"/>
      <w:bookmarkEnd w:id="12"/>
      <w:bookmarkEnd w:id="13"/>
      <w:bookmarkEnd w:id="14"/>
    </w:p>
    <w:p w14:paraId="6AF4CD68" w14:textId="7230D401" w:rsidR="00BE5E44" w:rsidRPr="005A044A" w:rsidRDefault="00BE5E44" w:rsidP="00D92B7C">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Prezentul raport informează Parlamentul European și Consiliu cu privire la </w:t>
      </w:r>
      <w:r>
        <w:rPr>
          <w:rStyle w:val="Strong"/>
          <w:rFonts w:ascii="EC Square Sans Pro" w:hAnsi="EC Square Sans Pro"/>
          <w:noProof/>
          <w:sz w:val="20"/>
        </w:rPr>
        <w:t>auditurile interne efectuate în 2025 de Serviciul de Audit Intern al Comisiei Europene în 51 de entități organizaționale: direcții generale, servicii, oficii ale UE și agenții executive</w:t>
      </w:r>
      <w:r>
        <w:rPr>
          <w:rFonts w:ascii="EC Square Sans Pro" w:hAnsi="EC Square Sans Pro"/>
          <w:noProof/>
          <w:sz w:val="20"/>
        </w:rPr>
        <w:t> (</w:t>
      </w:r>
      <w:r>
        <w:rPr>
          <w:rFonts w:ascii="EC Square Sans Pro" w:eastAsia="Times New Roman" w:hAnsi="EC Square Sans Pro" w:cs="Times New Roman"/>
          <w:bCs/>
          <w:noProof/>
          <w:kern w:val="0"/>
          <w:sz w:val="20"/>
          <w:szCs w:val="20"/>
          <w:vertAlign w:val="superscript"/>
          <w:lang w:eastAsia="en-GB"/>
        </w:rPr>
        <w:footnoteReference w:id="2"/>
      </w:r>
      <w:r>
        <w:rPr>
          <w:rFonts w:ascii="EC Square Sans Pro" w:hAnsi="EC Square Sans Pro"/>
          <w:noProof/>
          <w:sz w:val="20"/>
        </w:rPr>
        <w:t>). Acesta reprezintă o contribuție la procedura de descărcare de gestiune și conține: (a) un rezumat privind numărul și tipul de audituri interne efectuate; (b) o sinteză a principalelor recomandări formulate și (c) măsurile luate ca urmare a acestor recomandări. În conformitate cu articolul 118 alineatul (8) și cu articolul 253 din Regulamentul financiar (</w:t>
      </w:r>
      <w:r>
        <w:rPr>
          <w:rFonts w:ascii="EC Square Sans Pro" w:eastAsia="Times New Roman" w:hAnsi="EC Square Sans Pro" w:cs="Times New Roman"/>
          <w:noProof/>
          <w:kern w:val="0"/>
          <w:sz w:val="20"/>
          <w:szCs w:val="20"/>
          <w:vertAlign w:val="superscript"/>
          <w:lang w:eastAsia="en-GB"/>
        </w:rPr>
        <w:footnoteReference w:id="3"/>
      </w:r>
      <w:r>
        <w:rPr>
          <w:rFonts w:ascii="EC Square Sans Pro" w:hAnsi="EC Square Sans Pro"/>
          <w:noProof/>
          <w:sz w:val="20"/>
        </w:rPr>
        <w:t>), Comisia transmite raportul Parlamentului European și Consiliului. Acesta se bazează pe raportul întocmit de auditorul intern al Comisiei, în conformitate cu articolul 118 alineatul (4) din Regulamentul financiar, referitor la auditurile efectuate de Serviciul de Audit Intern și la alte rapoarte de misiune finalizate în 2025 (</w:t>
      </w:r>
      <w:r>
        <w:rPr>
          <w:rFonts w:ascii="EC Square Sans Pro" w:eastAsia="Times New Roman" w:hAnsi="EC Square Sans Pro" w:cs="Times New Roman"/>
          <w:noProof/>
          <w:kern w:val="0"/>
          <w:sz w:val="20"/>
          <w:szCs w:val="20"/>
          <w:vertAlign w:val="superscript"/>
          <w:lang w:eastAsia="en-GB"/>
        </w:rPr>
        <w:footnoteReference w:id="4"/>
      </w:r>
      <w:r>
        <w:rPr>
          <w:rFonts w:ascii="EC Square Sans Pro" w:hAnsi="EC Square Sans Pro"/>
          <w:noProof/>
          <w:sz w:val="20"/>
        </w:rPr>
        <w:t>).</w:t>
      </w:r>
    </w:p>
    <w:p w14:paraId="03903C4A" w14:textId="7F3FABCB" w:rsidR="00530A89" w:rsidRDefault="00530A89" w:rsidP="00D92B7C">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În plus, în conformitate cu articolul 118 alineatul (5) din Regulamentul financiar, raportul se concentrează pe respectarea generală a principiilor bunei gestiuni financiare și performanței, furnizând rezultatele generale privind performanța și o concluzie generală privind gestiunea financiară (secțiunea 4) (</w:t>
      </w:r>
      <w:r>
        <w:rPr>
          <w:rStyle w:val="FootnoteReference"/>
          <w:rFonts w:ascii="EC Square Sans Pro" w:eastAsia="Times New Roman" w:hAnsi="EC Square Sans Pro" w:cs="Times New Roman"/>
          <w:noProof/>
          <w:kern w:val="0"/>
          <w:sz w:val="20"/>
          <w:szCs w:val="20"/>
          <w:lang w:eastAsia="en-GB"/>
        </w:rPr>
        <w:footnoteReference w:id="5"/>
      </w:r>
      <w:r>
        <w:rPr>
          <w:rFonts w:ascii="EC Square Sans Pro" w:hAnsi="EC Square Sans Pro"/>
          <w:noProof/>
          <w:sz w:val="20"/>
        </w:rPr>
        <w:t xml:space="preserve">) și evidențiază orice probleme sistemice detectate de grupul pentru nereguli financiare al Comisiei (secțiunea 5). </w:t>
      </w:r>
    </w:p>
    <w:p w14:paraId="02D5EA03" w14:textId="77777777" w:rsidR="00416CEB" w:rsidRPr="005A044A" w:rsidRDefault="00416CEB" w:rsidP="00D92B7C">
      <w:pPr>
        <w:spacing w:line="240" w:lineRule="auto"/>
        <w:jc w:val="both"/>
        <w:rPr>
          <w:rFonts w:ascii="EC Square Sans Pro" w:eastAsia="Times New Roman" w:hAnsi="EC Square Sans Pro" w:cs="Times New Roman"/>
          <w:noProof/>
          <w:kern w:val="0"/>
          <w:sz w:val="20"/>
          <w:szCs w:val="20"/>
          <w:lang w:eastAsia="en-GB"/>
          <w14:ligatures w14:val="none"/>
        </w:rPr>
      </w:pPr>
    </w:p>
    <w:p w14:paraId="4C7901A5" w14:textId="7CB1D660" w:rsidR="00BE5E44" w:rsidRPr="005A044A" w:rsidRDefault="004B5B06" w:rsidP="00470453">
      <w:pPr>
        <w:pStyle w:val="Heading1"/>
        <w:rPr>
          <w:noProof/>
        </w:rPr>
      </w:pPr>
      <w:bookmarkStart w:id="16" w:name="_Toc42787487"/>
      <w:bookmarkStart w:id="17" w:name="_Toc237430193"/>
      <w:r>
        <w:rPr>
          <w:noProof/>
        </w:rPr>
        <w:t>Serviciul de Audit Intern</w:t>
      </w:r>
      <w:bookmarkEnd w:id="16"/>
      <w:bookmarkEnd w:id="17"/>
    </w:p>
    <w:p w14:paraId="7CCFC8A4" w14:textId="123C4064" w:rsidR="009C01B8" w:rsidRPr="00923F90" w:rsidRDefault="009C01B8" w:rsidP="000D66BF">
      <w:pPr>
        <w:pStyle w:val="Text1"/>
        <w:ind w:left="0"/>
        <w:rPr>
          <w:rFonts w:ascii="EC Square Sans Pro" w:hAnsi="EC Square Sans Pro"/>
          <w:noProof/>
          <w:sz w:val="20"/>
          <w:szCs w:val="20"/>
        </w:rPr>
      </w:pPr>
      <w:r>
        <w:rPr>
          <w:rFonts w:ascii="EC Square Sans Pro" w:hAnsi="EC Square Sans Pro"/>
          <w:b/>
          <w:noProof/>
          <w:color w:val="003399" w:themeColor="text2"/>
          <w:sz w:val="20"/>
        </w:rPr>
        <w:t xml:space="preserve">Serviciul de Audit Intern </w:t>
      </w:r>
      <w:r>
        <w:rPr>
          <w:rFonts w:ascii="EC Square Sans Pro" w:hAnsi="EC Square Sans Pro"/>
          <w:noProof/>
          <w:sz w:val="20"/>
        </w:rPr>
        <w:t xml:space="preserve">este un serviciu independent din cadrul Comisiei și este condus de auditorul intern al Comisiei. </w:t>
      </w:r>
    </w:p>
    <w:p w14:paraId="29165DBF" w14:textId="2C7EF20E" w:rsidR="005916DC" w:rsidRPr="00923F90" w:rsidRDefault="005916DC" w:rsidP="000D66BF">
      <w:pPr>
        <w:pStyle w:val="Text1"/>
        <w:ind w:left="0"/>
        <w:rPr>
          <w:rFonts w:ascii="EC Square Sans Pro" w:hAnsi="EC Square Sans Pro"/>
          <w:noProof/>
          <w:sz w:val="20"/>
          <w:szCs w:val="20"/>
        </w:rPr>
      </w:pPr>
      <w:r>
        <w:rPr>
          <w:rFonts w:ascii="EC Square Sans Pro" w:hAnsi="EC Square Sans Pro"/>
          <w:noProof/>
          <w:sz w:val="20"/>
        </w:rPr>
        <w:t xml:space="preserve">În temeiul mandatului său care decurge din Regulamentul financiar, auditorul intern consiliază Comisia cu privire la gestionarea riscurilor, evaluând: </w:t>
      </w:r>
    </w:p>
    <w:p w14:paraId="5A172EE5" w14:textId="163B96FC" w:rsidR="005916DC" w:rsidRPr="00923F90" w:rsidRDefault="005916DC" w:rsidP="00923F90">
      <w:pPr>
        <w:pStyle w:val="ListParagraph"/>
        <w:numPr>
          <w:ilvl w:val="0"/>
          <w:numId w:val="42"/>
        </w:numPr>
        <w:spacing w:after="240"/>
        <w:jc w:val="both"/>
        <w:rPr>
          <w:rFonts w:ascii="EC Square Sans Pro" w:eastAsia="Times New Roman" w:hAnsi="EC Square Sans Pro"/>
          <w:noProof/>
          <w:kern w:val="0"/>
          <w:sz w:val="20"/>
          <w:szCs w:val="20"/>
          <w14:ligatures w14:val="none"/>
        </w:rPr>
      </w:pPr>
      <w:r>
        <w:rPr>
          <w:rFonts w:ascii="EC Square Sans Pro" w:hAnsi="EC Square Sans Pro"/>
          <w:noProof/>
          <w:sz w:val="20"/>
        </w:rPr>
        <w:t>adecvarea și eficacitatea sistemelor interne de gestiune;</w:t>
      </w:r>
    </w:p>
    <w:p w14:paraId="466EDE1C" w14:textId="48AD3EE6" w:rsidR="005916DC" w:rsidRPr="00923F90" w:rsidRDefault="005916DC" w:rsidP="00923F90">
      <w:pPr>
        <w:pStyle w:val="ListParagraph"/>
        <w:numPr>
          <w:ilvl w:val="0"/>
          <w:numId w:val="42"/>
        </w:numPr>
        <w:spacing w:after="240"/>
        <w:jc w:val="both"/>
        <w:rPr>
          <w:rFonts w:ascii="EC Square Sans Pro" w:eastAsia="Times New Roman" w:hAnsi="EC Square Sans Pro"/>
          <w:noProof/>
          <w:kern w:val="0"/>
          <w:sz w:val="20"/>
          <w:szCs w:val="20"/>
          <w14:ligatures w14:val="none"/>
        </w:rPr>
      </w:pPr>
      <w:r>
        <w:rPr>
          <w:rFonts w:ascii="EC Square Sans Pro" w:hAnsi="EC Square Sans Pro"/>
          <w:noProof/>
          <w:sz w:val="20"/>
        </w:rPr>
        <w:t>performanța departamentelor în punerea în aplicare a politicilor, programelor și acțiunilor;</w:t>
      </w:r>
    </w:p>
    <w:p w14:paraId="3F44026B" w14:textId="437D81F4" w:rsidR="005916DC" w:rsidRPr="00597E77" w:rsidRDefault="005916DC" w:rsidP="00597E77">
      <w:pPr>
        <w:pStyle w:val="ListParagraph"/>
        <w:numPr>
          <w:ilvl w:val="0"/>
          <w:numId w:val="42"/>
        </w:numPr>
        <w:spacing w:after="240"/>
        <w:jc w:val="both"/>
        <w:rPr>
          <w:rFonts w:ascii="EC Square Sans Pro" w:eastAsia="Times New Roman" w:hAnsi="EC Square Sans Pro"/>
          <w:noProof/>
          <w:kern w:val="0"/>
          <w:sz w:val="20"/>
          <w:szCs w:val="20"/>
          <w14:ligatures w14:val="none"/>
        </w:rPr>
      </w:pPr>
      <w:r>
        <w:rPr>
          <w:rFonts w:ascii="EC Square Sans Pro" w:hAnsi="EC Square Sans Pro"/>
          <w:noProof/>
          <w:sz w:val="20"/>
        </w:rPr>
        <w:t>eficiența și eficacitatea sistemelor de control și audit aplicabile tuturor operațiunilor de execuție bugetară.</w:t>
      </w:r>
    </w:p>
    <w:p w14:paraId="6CD35291" w14:textId="7C675315" w:rsidR="009C01B8" w:rsidRPr="00923F90" w:rsidRDefault="000D66BF" w:rsidP="000D66BF">
      <w:pPr>
        <w:spacing w:line="240" w:lineRule="auto"/>
        <w:jc w:val="both"/>
        <w:rPr>
          <w:rFonts w:ascii="EC Square Sans Pro" w:hAnsi="EC Square Sans Pro" w:cs="Times New Roman"/>
          <w:noProof/>
          <w:sz w:val="20"/>
          <w:szCs w:val="20"/>
        </w:rPr>
      </w:pPr>
      <w:r>
        <w:rPr>
          <w:rFonts w:ascii="EC Square Sans Pro" w:hAnsi="EC Square Sans Pro"/>
          <w:b/>
          <w:noProof/>
          <w:color w:val="003399" w:themeColor="text2"/>
          <w:sz w:val="20"/>
        </w:rPr>
        <w:t xml:space="preserve">Misiunea Serviciului de Audit Intern </w:t>
      </w:r>
      <w:r>
        <w:rPr>
          <w:rFonts w:ascii="EC Square Sans Pro" w:hAnsi="EC Square Sans Pro"/>
          <w:noProof/>
          <w:sz w:val="20"/>
        </w:rPr>
        <w:t>este de a consolida capacitatea Comisiei de a crea, proteja și susține valoarea publică – ca instituție modernă, responsabilă și orientată spre performanță – prin furnizarea de asigurări, consiliere, informații și previziuni independente, bazate pe riscuri și obiective.</w:t>
      </w:r>
    </w:p>
    <w:p w14:paraId="6DD72BC4" w14:textId="77777777" w:rsidR="00F92667" w:rsidRDefault="00F92667" w:rsidP="00D92B7C">
      <w:pPr>
        <w:spacing w:line="240" w:lineRule="auto"/>
        <w:jc w:val="both"/>
        <w:rPr>
          <w:rFonts w:ascii="EC Square Sans Pro" w:eastAsia="Times New Roman" w:hAnsi="EC Square Sans Pro" w:cs="Times New Roman"/>
          <w:noProof/>
          <w:kern w:val="0"/>
          <w:sz w:val="20"/>
          <w:szCs w:val="20"/>
          <w:lang w:eastAsia="en-GB"/>
          <w14:ligatures w14:val="none"/>
        </w:rPr>
      </w:pPr>
    </w:p>
    <w:p w14:paraId="6EEC28BD" w14:textId="77777777" w:rsidR="00F92667" w:rsidRDefault="00F92667" w:rsidP="00D92B7C">
      <w:pPr>
        <w:spacing w:line="240" w:lineRule="auto"/>
        <w:jc w:val="both"/>
        <w:rPr>
          <w:rFonts w:ascii="EC Square Sans Pro" w:eastAsia="Times New Roman" w:hAnsi="EC Square Sans Pro" w:cs="Times New Roman"/>
          <w:noProof/>
          <w:kern w:val="0"/>
          <w:sz w:val="20"/>
          <w:szCs w:val="20"/>
          <w:lang w:eastAsia="en-GB"/>
          <w14:ligatures w14:val="none"/>
        </w:rPr>
      </w:pPr>
    </w:p>
    <w:p w14:paraId="6BA68851" w14:textId="72B6EE98" w:rsidR="0009407F" w:rsidRPr="005A044A" w:rsidRDefault="0009407F" w:rsidP="00D92B7C">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În acest scop, Serviciul de Audit Intern furnizează:</w:t>
      </w:r>
    </w:p>
    <w:p w14:paraId="6EC88542" w14:textId="3FF4DAC2" w:rsidR="0009407F" w:rsidRPr="00923F90" w:rsidRDefault="0009407F" w:rsidP="005229C2">
      <w:pPr>
        <w:pStyle w:val="ListParagraph"/>
        <w:numPr>
          <w:ilvl w:val="0"/>
          <w:numId w:val="42"/>
        </w:numPr>
        <w:spacing w:after="240"/>
        <w:jc w:val="both"/>
        <w:rPr>
          <w:rFonts w:ascii="EC Square Sans Pro" w:eastAsia="Times New Roman" w:hAnsi="EC Square Sans Pro"/>
          <w:noProof/>
          <w:kern w:val="0"/>
          <w:sz w:val="20"/>
          <w:szCs w:val="20"/>
          <w14:ligatures w14:val="none"/>
        </w:rPr>
      </w:pPr>
      <w:r>
        <w:rPr>
          <w:rFonts w:ascii="EC Square Sans Pro" w:hAnsi="EC Square Sans Pro"/>
          <w:noProof/>
          <w:sz w:val="20"/>
        </w:rPr>
        <w:t>evaluări independente ale eficacității proceselor de guvernanță, de gestionare a riscurilor și de control pentru operațiuni, activități și tranzacții financiare („servicii de asigurare”) și</w:t>
      </w:r>
    </w:p>
    <w:p w14:paraId="1DAD1C4E" w14:textId="2F791075" w:rsidR="0009407F" w:rsidRPr="00923F90" w:rsidRDefault="0009407F" w:rsidP="005229C2">
      <w:pPr>
        <w:pStyle w:val="ListParagraph"/>
        <w:numPr>
          <w:ilvl w:val="0"/>
          <w:numId w:val="42"/>
        </w:numPr>
        <w:spacing w:after="240"/>
        <w:jc w:val="both"/>
        <w:rPr>
          <w:rFonts w:ascii="EC Square Sans Pro" w:eastAsia="Times New Roman" w:hAnsi="EC Square Sans Pro"/>
          <w:noProof/>
          <w:kern w:val="0"/>
          <w:sz w:val="20"/>
          <w:szCs w:val="20"/>
          <w14:ligatures w14:val="none"/>
        </w:rPr>
      </w:pPr>
      <w:r>
        <w:rPr>
          <w:rFonts w:ascii="EC Square Sans Pro" w:hAnsi="EC Square Sans Pro"/>
          <w:noProof/>
          <w:sz w:val="20"/>
        </w:rPr>
        <w:t>consiliere, perspectivă și previziuni („servicii de altă natură decât asigurarea”).</w:t>
      </w:r>
    </w:p>
    <w:p w14:paraId="77F1D9EE" w14:textId="7DCD0A3E" w:rsidR="00CF0B60" w:rsidRPr="00923F90" w:rsidRDefault="00CF0B60" w:rsidP="00923F90">
      <w:pPr>
        <w:pStyle w:val="Text1"/>
        <w:spacing w:before="240" w:after="240"/>
        <w:ind w:left="0"/>
        <w:rPr>
          <w:rFonts w:ascii="EC Square Sans Pro" w:eastAsia="Times New Roman" w:hAnsi="EC Square Sans Pro"/>
          <w:noProof/>
          <w:kern w:val="0"/>
          <w:sz w:val="20"/>
          <w:szCs w:val="20"/>
          <w14:ligatures w14:val="none"/>
        </w:rPr>
      </w:pPr>
      <w:r>
        <w:rPr>
          <w:rFonts w:ascii="EC Square Sans Pro" w:hAnsi="EC Square Sans Pro"/>
          <w:noProof/>
          <w:sz w:val="20"/>
        </w:rPr>
        <w:t>Principalele rezultate sunt rapoartele de audit intern care conțin avize independente privind calitatea sistemelor de gestionare și control, precum și recomandări pentru îmbunătățirea operațiunilor și promovarea bunei gestiuni financiare.</w:t>
      </w:r>
    </w:p>
    <w:p w14:paraId="7614A682" w14:textId="5CAE3AF3" w:rsidR="00AD276F" w:rsidRPr="0000462E" w:rsidRDefault="00CF0B60" w:rsidP="00923F90">
      <w:pPr>
        <w:pStyle w:val="Text1"/>
        <w:spacing w:before="240" w:after="240"/>
        <w:ind w:left="0"/>
        <w:rPr>
          <w:rFonts w:ascii="EC Square Sans Pro" w:eastAsia="Times New Roman" w:hAnsi="EC Square Sans Pro"/>
          <w:noProof/>
          <w:kern w:val="0"/>
          <w:sz w:val="20"/>
          <w:szCs w:val="20"/>
          <w14:ligatures w14:val="none"/>
        </w:rPr>
      </w:pPr>
      <w:r>
        <w:rPr>
          <w:rFonts w:ascii="EC Square Sans Pro" w:hAnsi="EC Square Sans Pro"/>
          <w:noProof/>
          <w:sz w:val="20"/>
        </w:rPr>
        <w:t xml:space="preserve">În 2025, Comisia a adoptat o </w:t>
      </w:r>
      <w:r>
        <w:rPr>
          <w:rFonts w:ascii="EC Square Sans Pro" w:hAnsi="EC Square Sans Pro"/>
          <w:b/>
          <w:noProof/>
          <w:color w:val="003399" w:themeColor="text2"/>
          <w:sz w:val="20"/>
        </w:rPr>
        <w:t>cartă de misiune reformată</w:t>
      </w:r>
      <w:r>
        <w:rPr>
          <w:rFonts w:ascii="EC Square Sans Pro" w:hAnsi="EC Square Sans Pro"/>
          <w:b/>
          <w:noProof/>
          <w:sz w:val="20"/>
        </w:rPr>
        <w:t> </w:t>
      </w:r>
      <w:r>
        <w:rPr>
          <w:rFonts w:ascii="EC Square Sans Pro" w:hAnsi="EC Square Sans Pro"/>
          <w:noProof/>
          <w:sz w:val="20"/>
        </w:rPr>
        <w:t>(</w:t>
      </w:r>
      <w:r>
        <w:rPr>
          <w:rFonts w:ascii="EC Square Sans Pro" w:eastAsia="Times New Roman" w:hAnsi="EC Square Sans Pro"/>
          <w:noProof/>
          <w:kern w:val="0"/>
          <w:sz w:val="20"/>
          <w:szCs w:val="20"/>
          <w:vertAlign w:val="superscript"/>
          <w:lang w:eastAsia="en-GB"/>
        </w:rPr>
        <w:footnoteReference w:id="6"/>
      </w:r>
      <w:r>
        <w:rPr>
          <w:rFonts w:ascii="EC Square Sans Pro" w:hAnsi="EC Square Sans Pro"/>
          <w:noProof/>
          <w:sz w:val="20"/>
        </w:rPr>
        <w:t>), marcând o actualizare semnificativă a cadrului juridic și operațional al Serviciului de Audit Intern. Carta asigură alinierea deplină la Regulamentul financiar reformat din 2024 și la noile standarde globale de audit intern (</w:t>
      </w:r>
      <w:r>
        <w:rPr>
          <w:rFonts w:ascii="EC Square Sans Pro" w:eastAsia="Times New Roman" w:hAnsi="EC Square Sans Pro"/>
          <w:noProof/>
          <w:kern w:val="0"/>
          <w:sz w:val="20"/>
          <w:szCs w:val="20"/>
          <w:vertAlign w:val="superscript"/>
          <w:lang w:eastAsia="en-GB"/>
        </w:rPr>
        <w:footnoteReference w:id="7"/>
      </w:r>
      <w:r>
        <w:rPr>
          <w:rFonts w:ascii="EC Square Sans Pro" w:hAnsi="EC Square Sans Pro"/>
          <w:noProof/>
          <w:sz w:val="20"/>
        </w:rPr>
        <w:t>). Prin garantarea independenței auditorului intern și acordarea unui acces deplin și nelimitat la informațiile și personalul necesare pentru activitatea sa, Carta oferă garanțiile necesare pentru ca serviciul să funcționeze în mod eficace. Evaluarea externă a calității din 2021, care este valabilă timp de cinci ani, a confirmat conformitatea Serviciului de Audit Intern cu standardele și cu Codul de etică în vigoare la momentul respectiv.</w:t>
      </w:r>
    </w:p>
    <w:p w14:paraId="2A4AC235" w14:textId="209569A5" w:rsidR="00CA2C95" w:rsidRPr="0000462E" w:rsidRDefault="00CA2C95" w:rsidP="00923F90">
      <w:pPr>
        <w:pStyle w:val="Text1"/>
        <w:spacing w:before="240" w:after="240"/>
        <w:ind w:left="0"/>
        <w:rPr>
          <w:rFonts w:ascii="EC Square Sans Pro" w:eastAsia="Times New Roman" w:hAnsi="EC Square Sans Pro"/>
          <w:noProof/>
          <w:kern w:val="0"/>
          <w:sz w:val="20"/>
          <w:szCs w:val="20"/>
          <w14:ligatures w14:val="none"/>
        </w:rPr>
      </w:pPr>
      <w:r>
        <w:rPr>
          <w:rFonts w:ascii="EC Square Sans Pro" w:hAnsi="EC Square Sans Pro"/>
          <w:noProof/>
          <w:sz w:val="20"/>
        </w:rPr>
        <w:t xml:space="preserve">În 2025, Serviciul de Audit Intern și-a adoptat </w:t>
      </w:r>
      <w:r>
        <w:rPr>
          <w:rFonts w:ascii="EC Square Sans Pro" w:hAnsi="EC Square Sans Pro"/>
          <w:b/>
          <w:noProof/>
          <w:color w:val="003399" w:themeColor="text2"/>
          <w:sz w:val="20"/>
        </w:rPr>
        <w:t>strategia de audit pentru perioada 2025-2029</w:t>
      </w:r>
      <w:r>
        <w:rPr>
          <w:rFonts w:ascii="EC Square Sans Pro" w:hAnsi="EC Square Sans Pro"/>
          <w:noProof/>
          <w:sz w:val="20"/>
        </w:rPr>
        <w:t xml:space="preserve">. Acest lucru este aliniat la noul mandat politic al Comisiei și urmărește să stimuleze îmbunătățirea performanței și a răspunderii în cadrul Comisiei și al altor entități ale UE, precum și să furnizeze servicii cu valoare adăugată părților interesate. </w:t>
      </w:r>
    </w:p>
    <w:p w14:paraId="5D624805" w14:textId="33BBBC3E" w:rsidR="0000462E" w:rsidRPr="0000462E" w:rsidRDefault="001422EC" w:rsidP="0000462E">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În conformitate cu articolul 8 alineatul (2) din carta de misiune, auditorul intern îndeplinește o serie de </w:t>
      </w:r>
      <w:r>
        <w:rPr>
          <w:rFonts w:ascii="EC Square Sans Pro" w:hAnsi="EC Square Sans Pro"/>
          <w:b/>
          <w:noProof/>
          <w:color w:val="003399" w:themeColor="text2"/>
          <w:sz w:val="20"/>
        </w:rPr>
        <w:t>obligații de raportare anuală către Comitetul de monitorizare a auditurilor</w:t>
      </w:r>
      <w:r>
        <w:rPr>
          <w:rFonts w:ascii="EC Square Sans Pro" w:hAnsi="EC Square Sans Pro"/>
          <w:noProof/>
          <w:sz w:val="20"/>
        </w:rPr>
        <w:t xml:space="preserve">. Comitetul de monitorizare a auditurilor oferă asistență colegiului în îndeplinirea obligațiilor care îi revin în temeiul Tratatelor, al Regulamentului financiar și al altor instrumente statutare. </w:t>
      </w:r>
      <w:r>
        <w:rPr>
          <w:rStyle w:val="Strong"/>
          <w:rFonts w:ascii="EC Square Sans Pro" w:hAnsi="EC Square Sans Pro"/>
          <w:b w:val="0"/>
          <w:noProof/>
          <w:color w:val="auto"/>
          <w:sz w:val="20"/>
        </w:rPr>
        <w:t xml:space="preserve">Rolul său, care este </w:t>
      </w:r>
      <w:r>
        <w:rPr>
          <w:rFonts w:ascii="EC Square Sans Pro" w:hAnsi="EC Square Sans Pro"/>
          <w:noProof/>
          <w:sz w:val="20"/>
        </w:rPr>
        <w:t xml:space="preserve">instituit în temeiul articolului 123 din Regulamentul financiar, este de a asigura independența Serviciului de Audit Intern, de a monitoriza calitatea activității de audit intern și de a se asigura că recomandările sunt luate în considerare și urmate de Comisie, de agențiile sale executive și de alte organisme. </w:t>
      </w:r>
    </w:p>
    <w:p w14:paraId="6206FF02" w14:textId="236C2816" w:rsidR="001422EC" w:rsidRPr="0000462E" w:rsidRDefault="001422EC" w:rsidP="00923F90">
      <w:pPr>
        <w:pStyle w:val="Text1"/>
        <w:spacing w:before="240" w:after="240"/>
        <w:ind w:left="0"/>
        <w:rPr>
          <w:rFonts w:ascii="EC Square Sans Pro" w:eastAsia="Times New Roman" w:hAnsi="EC Square Sans Pro"/>
          <w:noProof/>
          <w:kern w:val="0"/>
          <w:sz w:val="20"/>
          <w:szCs w:val="20"/>
          <w14:ligatures w14:val="none"/>
        </w:rPr>
      </w:pPr>
      <w:r>
        <w:rPr>
          <w:rFonts w:ascii="EC Square Sans Pro" w:hAnsi="EC Square Sans Pro"/>
          <w:noProof/>
          <w:sz w:val="20"/>
        </w:rPr>
        <w:t xml:space="preserve">În declarația sa anuală adresată Comitetului de monitorizare a auditurilor, auditoarea internă a confirmat că Serviciul de Audit Intern și-a menținut </w:t>
      </w:r>
      <w:r>
        <w:rPr>
          <w:rFonts w:ascii="EC Square Sans Pro" w:hAnsi="EC Square Sans Pro"/>
          <w:b/>
          <w:noProof/>
          <w:color w:val="003399" w:themeColor="text2"/>
          <w:sz w:val="20"/>
        </w:rPr>
        <w:t xml:space="preserve">independența organizațională </w:t>
      </w:r>
      <w:r>
        <w:rPr>
          <w:rFonts w:ascii="EC Square Sans Pro" w:hAnsi="EC Square Sans Pro"/>
          <w:noProof/>
          <w:sz w:val="20"/>
        </w:rPr>
        <w:t xml:space="preserve">deplină în 2025 și nu a fost supus niciunei interferențe sau limitări în desfășurarea activității sale de audit și că nu s-a adus atingere obiectivității individuale în fapt sau în aparență. </w:t>
      </w:r>
    </w:p>
    <w:p w14:paraId="37FACB58" w14:textId="56325F1A" w:rsidR="007F7CB0" w:rsidRPr="002A2C90" w:rsidRDefault="00CF0B60" w:rsidP="007F7CB0">
      <w:pPr>
        <w:pStyle w:val="Text1"/>
        <w:ind w:left="0"/>
        <w:rPr>
          <w:rFonts w:ascii="EC Square Sans Pro" w:eastAsia="Times New Roman" w:hAnsi="EC Square Sans Pro"/>
          <w:noProof/>
          <w:kern w:val="0"/>
          <w:sz w:val="20"/>
          <w:szCs w:val="20"/>
          <w14:ligatures w14:val="none"/>
        </w:rPr>
      </w:pPr>
      <w:r>
        <w:rPr>
          <w:rFonts w:ascii="EC Square Sans Pro" w:hAnsi="EC Square Sans Pro"/>
          <w:noProof/>
          <w:sz w:val="20"/>
        </w:rPr>
        <w:t xml:space="preserve">Auditoarea internă s-a asigurat că resursele disponibile în 2025 au fost suficiente și au fost utilizate în mod eficace pentru a optimiza realizarea planului de audit intern aprobat. Resursele au dispus de o combinație adecvată de cunoștințe, aptitudini și alte competențe. </w:t>
      </w:r>
    </w:p>
    <w:p w14:paraId="576EF07F" w14:textId="2E221A91" w:rsidR="007F7CB0" w:rsidRPr="002A2C90" w:rsidRDefault="007F7CB0" w:rsidP="007F7CB0">
      <w:pPr>
        <w:pStyle w:val="Text1"/>
        <w:ind w:left="0"/>
        <w:rPr>
          <w:rFonts w:ascii="EC Square Sans Pro" w:eastAsia="Times New Roman" w:hAnsi="EC Square Sans Pro"/>
          <w:noProof/>
          <w:kern w:val="0"/>
          <w:sz w:val="20"/>
          <w:szCs w:val="20"/>
          <w14:ligatures w14:val="none"/>
        </w:rPr>
      </w:pPr>
      <w:r>
        <w:rPr>
          <w:rFonts w:ascii="EC Square Sans Pro" w:hAnsi="EC Square Sans Pro"/>
          <w:noProof/>
          <w:sz w:val="20"/>
        </w:rPr>
        <w:t xml:space="preserve">Serviciul de Audit Intern nu auditează sistemele de control ale statelor membre în ceea ce privește fondurile Uniunii Europene. Auditurile de acest tip vizează nivelul beneficiarilor individuali și sunt efectuate de auditorii interni ai statelor membre, de autoritățile naționale de audit, de alte direcții generale ale Comisiei și de Curtea de Conturi Europeană. Cu toate acestea, Serviciul de Audit Intern auditează măsurile luate de Comisie pentru a supraveghea și a audita: (a) organisme din statele membre și (b) alte organisme care sunt responsabile cu efectuarea plăților din fondurile UE. </w:t>
      </w:r>
    </w:p>
    <w:p w14:paraId="1FACAFEC" w14:textId="3BC0C7F5" w:rsidR="00BE5E44" w:rsidRPr="005A044A" w:rsidRDefault="00F87BD9" w:rsidP="00470453">
      <w:pPr>
        <w:pStyle w:val="Heading1"/>
        <w:rPr>
          <w:noProof/>
        </w:rPr>
      </w:pPr>
      <w:bookmarkStart w:id="18" w:name="_Toc8045205"/>
      <w:bookmarkStart w:id="19" w:name="_Toc8045206"/>
      <w:bookmarkStart w:id="20" w:name="_Toc8045207"/>
      <w:bookmarkStart w:id="21" w:name="_Toc8045208"/>
      <w:bookmarkStart w:id="22" w:name="_Toc8045209"/>
      <w:bookmarkStart w:id="23" w:name="_Toc8045210"/>
      <w:bookmarkStart w:id="24" w:name="_Toc8045211"/>
      <w:bookmarkStart w:id="25" w:name="_Toc8045212"/>
      <w:bookmarkStart w:id="26" w:name="_Toc8045213"/>
      <w:bookmarkStart w:id="27" w:name="_Toc8045214"/>
      <w:bookmarkStart w:id="28" w:name="_Toc8981608"/>
      <w:bookmarkStart w:id="29" w:name="_Toc11401287"/>
      <w:bookmarkStart w:id="30" w:name="_Toc384658383"/>
      <w:bookmarkStart w:id="31" w:name="_Toc448926048"/>
      <w:bookmarkStart w:id="32" w:name="_Toc448503094"/>
      <w:bookmarkStart w:id="33" w:name="_Toc512438613"/>
      <w:bookmarkStart w:id="34" w:name="_Toc515017751"/>
      <w:bookmarkStart w:id="35" w:name="_Toc4756280"/>
      <w:bookmarkEnd w:id="18"/>
      <w:bookmarkEnd w:id="19"/>
      <w:bookmarkEnd w:id="20"/>
      <w:bookmarkEnd w:id="21"/>
      <w:bookmarkEnd w:id="22"/>
      <w:bookmarkEnd w:id="23"/>
      <w:bookmarkEnd w:id="24"/>
      <w:bookmarkEnd w:id="25"/>
      <w:bookmarkEnd w:id="26"/>
      <w:bookmarkEnd w:id="27"/>
      <w:r>
        <w:rPr>
          <w:noProof/>
        </w:rPr>
        <w:br w:type="page"/>
      </w:r>
      <w:bookmarkStart w:id="36" w:name="_Toc237430194"/>
      <w:r>
        <w:rPr>
          <w:noProof/>
        </w:rPr>
        <w:t xml:space="preserve">Prezentare generală a activității de </w:t>
      </w:r>
      <w:bookmarkEnd w:id="28"/>
      <w:r>
        <w:rPr>
          <w:noProof/>
        </w:rPr>
        <w:t>audit</w:t>
      </w:r>
      <w:bookmarkEnd w:id="29"/>
      <w:bookmarkEnd w:id="30"/>
      <w:bookmarkEnd w:id="31"/>
      <w:bookmarkEnd w:id="32"/>
      <w:bookmarkEnd w:id="33"/>
      <w:bookmarkEnd w:id="34"/>
      <w:bookmarkEnd w:id="35"/>
      <w:bookmarkEnd w:id="36"/>
      <w:r>
        <w:rPr>
          <w:noProof/>
        </w:rPr>
        <w:t xml:space="preserve"> </w:t>
      </w:r>
    </w:p>
    <w:p w14:paraId="0D7CFEE7" w14:textId="2139CB0E" w:rsidR="00BE5E44" w:rsidRPr="005A044A" w:rsidRDefault="00344FA3" w:rsidP="00D92B7C">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2025 a fost primul an de punere în aplicare a strategiei de audit a Serviciului de Audit Intern pentru perioada 2025-2029, care este aliniată la noul mandat politic, la noile priorități și la noile obiective ale Comisiei. Până la data-limită de 31 decembrie 2025 (</w:t>
      </w:r>
      <w:r>
        <w:rPr>
          <w:rStyle w:val="FootnoteReference"/>
          <w:rFonts w:ascii="EC Square Sans Pro" w:eastAsia="Times New Roman" w:hAnsi="EC Square Sans Pro" w:cs="Times New Roman"/>
          <w:noProof/>
          <w:kern w:val="0"/>
          <w:sz w:val="20"/>
          <w:szCs w:val="20"/>
          <w:lang w:eastAsia="en-GB"/>
        </w:rPr>
        <w:footnoteReference w:id="8"/>
      </w:r>
      <w:r>
        <w:rPr>
          <w:rFonts w:ascii="EC Square Sans Pro" w:hAnsi="EC Square Sans Pro"/>
          <w:noProof/>
          <w:sz w:val="20"/>
        </w:rPr>
        <w:t xml:space="preserve">), Serviciul de Audit Intern </w:t>
      </w:r>
      <w:r>
        <w:rPr>
          <w:rFonts w:ascii="EC Square Sans Pro" w:hAnsi="EC Square Sans Pro"/>
          <w:b/>
          <w:noProof/>
          <w:color w:val="003399" w:themeColor="text2"/>
          <w:sz w:val="20"/>
        </w:rPr>
        <w:t xml:space="preserve">finalizase </w:t>
      </w:r>
      <w:r>
        <w:rPr>
          <w:rFonts w:ascii="EC Square Sans Pro" w:hAnsi="EC Square Sans Pro"/>
          <w:noProof/>
          <w:sz w:val="20"/>
        </w:rPr>
        <w:t xml:space="preserve">în total </w:t>
      </w:r>
      <w:r>
        <w:rPr>
          <w:rFonts w:ascii="EC Square Sans Pro" w:hAnsi="EC Square Sans Pro"/>
          <w:b/>
          <w:noProof/>
          <w:color w:val="003399" w:themeColor="text2"/>
          <w:sz w:val="20"/>
        </w:rPr>
        <w:t xml:space="preserve">35 de misiuni </w:t>
      </w:r>
      <w:r>
        <w:rPr>
          <w:rFonts w:ascii="EC Square Sans Pro" w:hAnsi="EC Square Sans Pro"/>
          <w:noProof/>
          <w:sz w:val="20"/>
        </w:rPr>
        <w:t>(29 de audituri de asigurare și 6 misiuni de altă natură decât asigurarea) în direcțiile generale și serviciile Comisiei. Serviciul de Audit Intern a furnizat Comisiei 100 % din rapoartele de asigurare planificate în planul de audit pentru 2025. Un raport de audit a fost finalizat în martie 2025 și este inclus în raportul anual de audit intern pentru 2024 (</w:t>
      </w:r>
      <w:r>
        <w:rPr>
          <w:rStyle w:val="FootnoteReference"/>
          <w:rFonts w:ascii="EC Square Sans Pro" w:eastAsia="Times New Roman" w:hAnsi="EC Square Sans Pro" w:cs="Times New Roman"/>
          <w:noProof/>
          <w:kern w:val="0"/>
          <w:sz w:val="20"/>
          <w:szCs w:val="20"/>
          <w:lang w:eastAsia="en-GB"/>
        </w:rPr>
        <w:footnoteReference w:id="9"/>
      </w:r>
      <w:r>
        <w:rPr>
          <w:rFonts w:ascii="EC Square Sans Pro" w:hAnsi="EC Square Sans Pro"/>
          <w:noProof/>
          <w:sz w:val="20"/>
        </w:rPr>
        <w:t xml:space="preserve">). </w:t>
      </w:r>
    </w:p>
    <w:p w14:paraId="6083404E" w14:textId="4A9B0DDC" w:rsidR="00BE5E44" w:rsidRPr="005A044A" w:rsidRDefault="00BE5E44" w:rsidP="00D92B7C">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În conformitate cu carta sa și cu standardele globale de audit, Serviciul de Audit Intern își planifică activitatea de audit pe baza unei evaluări a riscurilor și a unei analize a capacității. Obiectivul este elaborarea unui plan de audit care să acopere domeniile cu riscurile cele mai ridicate, maximizând astfel valoarea adăugată a acestuia, și care să contribuie la asigurarea utilizării optime a resurselor și a punerii în aplicare eficiente și eficace a planului de audit. Serviciul de Audit Intern monitorizează periodic punerea în aplicare a planului de audit și îl adaptează în funcție de necesități.</w:t>
      </w:r>
    </w:p>
    <w:p w14:paraId="249198D2" w14:textId="00A082A4" w:rsidR="004D018E" w:rsidRDefault="00BE5E44" w:rsidP="00D92B7C">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În 2025, Serviciul de Audit Intern a publicat </w:t>
      </w:r>
      <w:r>
        <w:rPr>
          <w:rFonts w:ascii="EC Square Sans Pro" w:hAnsi="EC Square Sans Pro"/>
          <w:b/>
          <w:noProof/>
          <w:color w:val="003399" w:themeColor="text2"/>
          <w:sz w:val="20"/>
        </w:rPr>
        <w:t xml:space="preserve">33 de rapoarte </w:t>
      </w:r>
      <w:r>
        <w:rPr>
          <w:rFonts w:ascii="EC Square Sans Pro" w:hAnsi="EC Square Sans Pro"/>
          <w:noProof/>
          <w:sz w:val="20"/>
        </w:rPr>
        <w:t xml:space="preserve">(rapoarte finale de audit și note de informare) și două rapoarte interne. </w:t>
      </w:r>
    </w:p>
    <w:p w14:paraId="13EDDAF3" w14:textId="21B4188C" w:rsidR="004D018E" w:rsidRDefault="004D018E" w:rsidP="00D92B7C">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Graficul de mai jos prezintă contribuția </w:t>
      </w:r>
      <w:r>
        <w:rPr>
          <w:rFonts w:ascii="EC Square Sans Pro" w:hAnsi="EC Square Sans Pro"/>
          <w:b/>
          <w:noProof/>
          <w:color w:val="003399" w:themeColor="text2"/>
          <w:sz w:val="20"/>
        </w:rPr>
        <w:t xml:space="preserve">misiunilor de asigurare </w:t>
      </w:r>
      <w:r>
        <w:rPr>
          <w:rFonts w:ascii="EC Square Sans Pro" w:hAnsi="EC Square Sans Pro"/>
          <w:noProof/>
          <w:sz w:val="20"/>
        </w:rPr>
        <w:t xml:space="preserve">la realizarea obiectivelor generale incluse în </w:t>
      </w:r>
      <w:r>
        <w:rPr>
          <w:rFonts w:ascii="EC Square Sans Pro" w:hAnsi="EC Square Sans Pro"/>
          <w:b/>
          <w:noProof/>
          <w:color w:val="003399" w:themeColor="text2"/>
          <w:sz w:val="20"/>
        </w:rPr>
        <w:t>planul strategic al Comisiei pentru perioada 2025-2029</w:t>
      </w:r>
      <w:r>
        <w:rPr>
          <w:rFonts w:ascii="EC Square Sans Pro" w:hAnsi="EC Square Sans Pro"/>
          <w:noProof/>
          <w:sz w:val="20"/>
        </w:rPr>
        <w:t>.</w:t>
      </w:r>
    </w:p>
    <w:p w14:paraId="16B43645" w14:textId="77777777" w:rsidR="000438CB" w:rsidRPr="0090580B" w:rsidRDefault="000438CB" w:rsidP="000438CB">
      <w:pPr>
        <w:pStyle w:val="Charttitle"/>
        <w:rPr>
          <w:noProof/>
        </w:rPr>
      </w:pPr>
      <w:r>
        <w:rPr>
          <w:noProof/>
        </w:rPr>
        <w:t>Contribuția la obiectivele generale ale Comisiei</w:t>
      </w:r>
    </w:p>
    <w:p w14:paraId="3779AF91" w14:textId="37844DC7" w:rsidR="004D018E" w:rsidRDefault="00485B2D" w:rsidP="00312725">
      <w:pPr>
        <w:pStyle w:val="Text2"/>
        <w:spacing w:after="60"/>
        <w:ind w:left="0"/>
        <w:jc w:val="center"/>
        <w:rPr>
          <w:noProof/>
        </w:rPr>
      </w:pPr>
      <w:r w:rsidRPr="00485B2D">
        <w:rPr>
          <w:noProof/>
          <w:lang w:val="en-GB" w:eastAsia="en-GB"/>
        </w:rPr>
        <w:drawing>
          <wp:inline distT="0" distB="0" distL="0" distR="0" wp14:anchorId="69A89D43" wp14:editId="647C1E39">
            <wp:extent cx="4140000" cy="3726000"/>
            <wp:effectExtent l="0" t="0" r="0" b="8255"/>
            <wp:docPr id="921242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242060" name=""/>
                    <pic:cNvPicPr/>
                  </pic:nvPicPr>
                  <pic:blipFill>
                    <a:blip r:embed="rId24"/>
                    <a:stretch>
                      <a:fillRect/>
                    </a:stretch>
                  </pic:blipFill>
                  <pic:spPr>
                    <a:xfrm>
                      <a:off x="0" y="0"/>
                      <a:ext cx="4140000" cy="3726000"/>
                    </a:xfrm>
                    <a:prstGeom prst="rect">
                      <a:avLst/>
                    </a:prstGeom>
                  </pic:spPr>
                </pic:pic>
              </a:graphicData>
            </a:graphic>
          </wp:inline>
        </w:drawing>
      </w:r>
    </w:p>
    <w:p w14:paraId="0E64E177" w14:textId="5C5F4EA7" w:rsidR="0093058D" w:rsidRDefault="004D018E" w:rsidP="00312725">
      <w:pPr>
        <w:pStyle w:val="Source"/>
        <w:spacing w:before="0" w:after="0"/>
        <w:rPr>
          <w:noProof/>
        </w:rPr>
      </w:pPr>
      <w:r>
        <w:rPr>
          <w:noProof/>
        </w:rPr>
        <w:t>Sursa: Comisia Europeană, Serviciul de Audit Intern.</w:t>
      </w:r>
    </w:p>
    <w:p w14:paraId="208FDD0A" w14:textId="77777777" w:rsidR="00D33D9B" w:rsidRDefault="00D33D9B" w:rsidP="00042402">
      <w:pPr>
        <w:pStyle w:val="Source"/>
        <w:rPr>
          <w:noProof/>
        </w:rPr>
      </w:pPr>
    </w:p>
    <w:p w14:paraId="70B7E222" w14:textId="3AB7720B" w:rsidR="00F72AF9" w:rsidRPr="005A044A" w:rsidRDefault="00F72AF9" w:rsidP="00F72AF9">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Serviciul de Audit Intern a adoptat </w:t>
      </w:r>
      <w:r>
        <w:rPr>
          <w:rFonts w:ascii="EC Square Sans Pro" w:hAnsi="EC Square Sans Pro"/>
          <w:b/>
          <w:noProof/>
          <w:color w:val="003399" w:themeColor="text2"/>
          <w:sz w:val="20"/>
        </w:rPr>
        <w:t>123 de recomandări care</w:t>
      </w:r>
      <w:r>
        <w:rPr>
          <w:rFonts w:ascii="EC Square Sans Pro" w:hAnsi="EC Square Sans Pro"/>
          <w:noProof/>
          <w:color w:val="003399" w:themeColor="text2"/>
          <w:sz w:val="20"/>
        </w:rPr>
        <w:t xml:space="preserve"> </w:t>
      </w:r>
      <w:r>
        <w:rPr>
          <w:rFonts w:ascii="EC Square Sans Pro" w:hAnsi="EC Square Sans Pro"/>
          <w:noProof/>
          <w:sz w:val="20"/>
        </w:rPr>
        <w:t xml:space="preserve">decurg din activitatea sa de audit aferentă anului 2025. După cum se arată mai jos, 2 % dintre aceste recomandări au fost evaluate ca fiind critice, 52 % ca fiind foarte importante și 46 % ca fiind importante. </w:t>
      </w:r>
    </w:p>
    <w:p w14:paraId="4EEF845A" w14:textId="68A49F5E" w:rsidR="00F6086D" w:rsidRDefault="00F6086D" w:rsidP="00F6086D">
      <w:pPr>
        <w:pStyle w:val="Charttitle"/>
        <w:rPr>
          <w:noProof/>
        </w:rPr>
      </w:pPr>
      <w:r>
        <w:rPr>
          <w:noProof/>
        </w:rPr>
        <w:t>Recomandări în funcție de clasificare</w:t>
      </w:r>
    </w:p>
    <w:p w14:paraId="55B53D45" w14:textId="4B9D0BD4" w:rsidR="00F6086D" w:rsidRDefault="00856B4E" w:rsidP="00F6086D">
      <w:pPr>
        <w:pStyle w:val="Text2"/>
        <w:ind w:left="0"/>
        <w:jc w:val="center"/>
        <w:rPr>
          <w:noProof/>
        </w:rPr>
      </w:pPr>
      <w:r w:rsidRPr="00856B4E">
        <w:rPr>
          <w:noProof/>
          <w:lang w:val="en-GB" w:eastAsia="en-GB"/>
        </w:rPr>
        <w:drawing>
          <wp:inline distT="0" distB="0" distL="0" distR="0" wp14:anchorId="62DBAD83" wp14:editId="36C1FE39">
            <wp:extent cx="4143600" cy="3214800"/>
            <wp:effectExtent l="0" t="0" r="0" b="5080"/>
            <wp:docPr id="435002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002704" name=""/>
                    <pic:cNvPicPr/>
                  </pic:nvPicPr>
                  <pic:blipFill>
                    <a:blip r:embed="rId25"/>
                    <a:stretch>
                      <a:fillRect/>
                    </a:stretch>
                  </pic:blipFill>
                  <pic:spPr>
                    <a:xfrm>
                      <a:off x="0" y="0"/>
                      <a:ext cx="4143600" cy="3214800"/>
                    </a:xfrm>
                    <a:prstGeom prst="rect">
                      <a:avLst/>
                    </a:prstGeom>
                  </pic:spPr>
                </pic:pic>
              </a:graphicData>
            </a:graphic>
          </wp:inline>
        </w:drawing>
      </w:r>
    </w:p>
    <w:p w14:paraId="24FC7256" w14:textId="77777777" w:rsidR="00F6086D" w:rsidRPr="005A044A" w:rsidRDefault="00F6086D" w:rsidP="00F6086D">
      <w:pPr>
        <w:spacing w:after="120" w:line="240" w:lineRule="auto"/>
        <w:jc w:val="both"/>
        <w:rPr>
          <w:rFonts w:ascii="EC Square Sans Pro" w:eastAsia="Times New Roman" w:hAnsi="EC Square Sans Pro" w:cs="Times New Roman"/>
          <w:iCs/>
          <w:noProof/>
          <w:color w:val="02847D"/>
          <w:kern w:val="0"/>
          <w:sz w:val="18"/>
          <w:szCs w:val="16"/>
          <w14:ligatures w14:val="none"/>
        </w:rPr>
      </w:pPr>
      <w:r>
        <w:rPr>
          <w:rFonts w:ascii="EC Square Sans Pro" w:hAnsi="EC Square Sans Pro"/>
          <w:i/>
          <w:noProof/>
          <w:sz w:val="16"/>
        </w:rPr>
        <w:t>Sursa: Comisia Europeană, Serviciul de Audit Intern.</w:t>
      </w:r>
    </w:p>
    <w:p w14:paraId="03BB00CC" w14:textId="0EFF2EBA" w:rsidR="00F6086D" w:rsidRPr="00E65C9B" w:rsidRDefault="00F6086D" w:rsidP="00F6086D">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În 2025, entitățile auditate au acceptat </w:t>
      </w:r>
      <w:r>
        <w:rPr>
          <w:rFonts w:ascii="EC Square Sans Pro" w:hAnsi="EC Square Sans Pro"/>
          <w:b/>
          <w:noProof/>
          <w:color w:val="003399" w:themeColor="text2"/>
          <w:sz w:val="20"/>
        </w:rPr>
        <w:t xml:space="preserve">118 recomandări </w:t>
      </w:r>
      <w:r>
        <w:rPr>
          <w:rFonts w:ascii="EC Square Sans Pro" w:hAnsi="EC Square Sans Pro"/>
          <w:noProof/>
          <w:sz w:val="20"/>
        </w:rPr>
        <w:t>și au acceptat parțial cinci recomandări</w:t>
      </w:r>
      <w:r>
        <w:rPr>
          <w:rFonts w:ascii="EC Square Sans Pro" w:hAnsi="EC Square Sans Pro"/>
          <w:noProof/>
          <w:color w:val="003399" w:themeColor="text2"/>
          <w:sz w:val="20"/>
        </w:rPr>
        <w:t>.</w:t>
      </w:r>
      <w:r>
        <w:rPr>
          <w:rFonts w:ascii="EC Square Sans Pro" w:hAnsi="EC Square Sans Pro"/>
          <w:noProof/>
          <w:sz w:val="20"/>
        </w:rPr>
        <w:t xml:space="preserve"> Pentru toate recomandările (acceptate parțial), entitățile auditate au elaborat planuri de acțiune. Serviciul de Audit Intern le-a evaluat apoi ca fiind satisfăcătoare sau a solicitat un plan de acțiune revizuit. Pentru recomandările care nu au fost acceptate parțial, entitățile auditate au acceptat riscul rezidual. Toate rapoartele de asigurare au fost prezentate Comitetului de monitorizare a auditurilor din cadrul Comisiei, împreună cu planurile de acțiune.</w:t>
      </w:r>
    </w:p>
    <w:p w14:paraId="46A175FE" w14:textId="77777777" w:rsidR="00ED34F6" w:rsidRDefault="00ED34F6" w:rsidP="00042402">
      <w:pPr>
        <w:pStyle w:val="Source"/>
        <w:rPr>
          <w:noProof/>
        </w:rPr>
      </w:pPr>
    </w:p>
    <w:p w14:paraId="6256AB49" w14:textId="77777777" w:rsidR="00D55346" w:rsidRPr="005A044A" w:rsidRDefault="00D55346" w:rsidP="00D92B7C">
      <w:pPr>
        <w:spacing w:line="240" w:lineRule="auto"/>
        <w:jc w:val="both"/>
        <w:rPr>
          <w:rFonts w:ascii="EC Square Sans Pro" w:eastAsia="Times New Roman" w:hAnsi="EC Square Sans Pro" w:cs="Times New Roman"/>
          <w:noProof/>
          <w:kern w:val="0"/>
          <w:sz w:val="20"/>
          <w:szCs w:val="20"/>
          <w:lang w:eastAsia="en-GB"/>
          <w14:ligatures w14:val="none"/>
        </w:rPr>
      </w:pPr>
    </w:p>
    <w:p w14:paraId="3E06E715" w14:textId="64E21949" w:rsidR="00BE5E44" w:rsidRPr="005A044A" w:rsidRDefault="00D33D9B" w:rsidP="00312725">
      <w:pPr>
        <w:pStyle w:val="Heading1"/>
        <w:rPr>
          <w:noProof/>
        </w:rPr>
      </w:pPr>
      <w:bookmarkStart w:id="37" w:name="_Toc512438616"/>
      <w:bookmarkStart w:id="38" w:name="_Toc515017754"/>
      <w:bookmarkStart w:id="39" w:name="_Toc4756283"/>
      <w:bookmarkStart w:id="40" w:name="_Toc11401290"/>
      <w:bookmarkStart w:id="41" w:name="_Toc8981611"/>
      <w:r>
        <w:rPr>
          <w:noProof/>
        </w:rPr>
        <w:br w:type="page"/>
      </w:r>
      <w:bookmarkStart w:id="42" w:name="_Toc237430195"/>
      <w:r>
        <w:rPr>
          <w:noProof/>
        </w:rPr>
        <w:t>Rezultate generale pe baza activității de audit efectuate în 202</w:t>
      </w:r>
      <w:bookmarkEnd w:id="37"/>
      <w:bookmarkEnd w:id="38"/>
      <w:bookmarkEnd w:id="39"/>
      <w:bookmarkEnd w:id="40"/>
      <w:bookmarkEnd w:id="41"/>
      <w:r>
        <w:rPr>
          <w:noProof/>
        </w:rPr>
        <w:t>5</w:t>
      </w:r>
      <w:bookmarkEnd w:id="42"/>
    </w:p>
    <w:p w14:paraId="29DBEC1E" w14:textId="50F0F6E3" w:rsidR="00BE5E44" w:rsidRPr="00470453" w:rsidRDefault="000A3EE8" w:rsidP="00470453">
      <w:pPr>
        <w:pStyle w:val="Heading2"/>
        <w:rPr>
          <w:noProof/>
        </w:rPr>
      </w:pPr>
      <w:bookmarkStart w:id="43" w:name="_Toc237430196"/>
      <w:bookmarkStart w:id="44" w:name="_Toc384658386"/>
      <w:bookmarkStart w:id="45" w:name="_Toc448926051"/>
      <w:bookmarkStart w:id="46" w:name="_Toc448503097"/>
      <w:bookmarkStart w:id="47" w:name="_Toc512438617"/>
      <w:bookmarkStart w:id="48" w:name="_Toc515017755"/>
      <w:bookmarkStart w:id="49" w:name="_Toc4756284"/>
      <w:bookmarkStart w:id="50" w:name="_Toc11401291"/>
      <w:bookmarkStart w:id="51" w:name="_Toc8981612"/>
      <w:r>
        <w:rPr>
          <w:noProof/>
        </w:rPr>
        <w:t>Rezultate generale privind performanța</w:t>
      </w:r>
      <w:bookmarkEnd w:id="43"/>
      <w:r>
        <w:rPr>
          <w:noProof/>
        </w:rPr>
        <w:t xml:space="preserve"> </w:t>
      </w:r>
      <w:bookmarkEnd w:id="44"/>
      <w:bookmarkEnd w:id="45"/>
      <w:bookmarkEnd w:id="46"/>
      <w:bookmarkEnd w:id="47"/>
      <w:bookmarkEnd w:id="48"/>
      <w:bookmarkEnd w:id="49"/>
      <w:bookmarkEnd w:id="50"/>
      <w:bookmarkEnd w:id="51"/>
    </w:p>
    <w:p w14:paraId="00E469A3" w14:textId="56A960CB" w:rsidR="00E179D4" w:rsidRPr="005A044A" w:rsidRDefault="00E179D4" w:rsidP="00D92B7C">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Pentru a sprijini cultura bazată pe performanță a Comisiei și pentru a acorda o atenție sporită raportului calitate-preț, Serviciul de Audit Intern a finalizat 29 de misiuni de audit axate pe aspectele legate de performanță. Pentru aproximativ 80 % dintre aceste misiuni, Serviciul de Audit Intern a identificat riscuri reziduale ridicate în domeniile sau procesele auditate, ceea ce a contribuit la recomandări considerate foarte importante. Un raport de audit a emis o recomandare critică adresată unui număr de două entități, menționând riscuri reziduale foarte ridicate. Au fost observate, de asemenea, diverse puncte forte și bune practici.</w:t>
      </w:r>
    </w:p>
    <w:p w14:paraId="49E7E21F" w14:textId="786D7E36" w:rsidR="00093D82" w:rsidRDefault="00E179D4" w:rsidP="00D92B7C">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În conformitate cu metodologia sa și cu bunele practici, auditurile Serviciul de Audit Intern abordează performanța în mod indirect. Serviciul de Audit Intern evaluează performanța departamentelor Comisiei în ceea ce privește punerea în aplicare a politicilor, a programelor și a acțiunilor în raport cu riscurile asociate acestora. Prin această abordare, Serviciul de Audit Intern urmărește să se asigure că direcțiile generale și serviciile au elaborat cadre de performanță robuste, instrumente de măsurare a performanței și sisteme cuprinzătoare de monitorizare și că le utilizează pentru a gestiona performanța și riscurile.</w:t>
      </w:r>
    </w:p>
    <w:p w14:paraId="629FE20B" w14:textId="77777777" w:rsidR="00271365" w:rsidRPr="00F80A23" w:rsidRDefault="00271365" w:rsidP="00F80A23">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Misiunile din 2025 ale Serviciului de Audit Intern indică faptul că procesele de gestiune financiară, operaționale și de sprijin ale Comisiei rămân solide, deși anumite domenii necesită atenție pentru a asigura conformitatea și eficacitatea pe termen lung. </w:t>
      </w:r>
    </w:p>
    <w:p w14:paraId="2AAFA5E6" w14:textId="42A3105F" w:rsidR="00271365" w:rsidRPr="00F80A23" w:rsidRDefault="00271365" w:rsidP="00F80A23">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Deși sistemele de gestiune financiară sunt, în general, eficace (a se vedea concluzia generală), trebuie abordate unele vulnerabilități în gestionarea achizițiilor publice și a granturilor, în special strategiile de asigurare și de audit. Auditurile programelor de finanțare au evidențiat necesitatea unei mai mari coerențe în măsurarea performanței, unde indicatorii mai clari și procesele raționalizate ar putea spori transparența și impactul, în special având în vedere trecerea la modele de performanță bazate pe rezultate. În mod similar, performanța operațională ar beneficia de o definire mai clară a rolurilor și responsabilităților și de buna gestionare a riscurilor legate de sistemele de sprijin, în principal informatice. În cele din urmă, având în vedere dependența Comisiei de resursele umane și tehnologice, sistemele de selecție și recrutare a personalului, de gestionare a proiectelor informatice și de gestionare a securității cibernetice trebuie consolidate ca elemente fondatoare esențiale pentru o administrație publică modernă. </w:t>
      </w:r>
    </w:p>
    <w:p w14:paraId="5C5BF2E6" w14:textId="2616A3F2" w:rsidR="00E179D4" w:rsidRPr="005A044A" w:rsidRDefault="00093D82" w:rsidP="00D92B7C">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Următoarele secțiuni prezintă concluziile Serviciului de Audit Intern cu privire la diferitele aspecte legate de performanță evaluate în cadrul auditurilor sale din 2025. </w:t>
      </w:r>
    </w:p>
    <w:p w14:paraId="1AC44FEF" w14:textId="494760F0" w:rsidR="00BE5E44" w:rsidRPr="005A044A" w:rsidRDefault="00093D82" w:rsidP="00312725">
      <w:pPr>
        <w:pStyle w:val="Heading3"/>
        <w:ind w:left="505" w:hanging="505"/>
        <w:rPr>
          <w:noProof/>
        </w:rPr>
      </w:pPr>
      <w:r>
        <w:rPr>
          <w:noProof/>
        </w:rPr>
        <w:t>Procese financiare</w:t>
      </w:r>
    </w:p>
    <w:p w14:paraId="672D0593" w14:textId="14994CA3" w:rsidR="002B5513" w:rsidRDefault="002B5513" w:rsidP="00D92B7C">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Auditurile Serviciului de Audit Intern au oferit Colegiului, precum și direcțiilor generale și serviciilor, asigurarea că controalele interne privind gestiunea financiară au fost puse în aplicare în mod eficient și eficace (a se vedea și concluzia generală privind gestiunea financiară din secțiunea 4.2). </w:t>
      </w:r>
    </w:p>
    <w:p w14:paraId="758BC710" w14:textId="113AD1ED" w:rsidR="0045690D" w:rsidRDefault="0045690D" w:rsidP="00D92B7C">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b/>
          <w:noProof/>
          <w:color w:val="003399" w:themeColor="text2"/>
          <w:sz w:val="20"/>
        </w:rPr>
        <w:t xml:space="preserve">Cinci audituri </w:t>
      </w:r>
      <w:r>
        <w:rPr>
          <w:rFonts w:ascii="EC Square Sans Pro" w:hAnsi="EC Square Sans Pro"/>
          <w:noProof/>
          <w:sz w:val="20"/>
        </w:rPr>
        <w:t xml:space="preserve">efectuate de Serviciul de Audit Intern </w:t>
      </w:r>
      <w:r>
        <w:rPr>
          <w:rFonts w:ascii="EC Square Sans Pro" w:hAnsi="EC Square Sans Pro"/>
          <w:b/>
          <w:noProof/>
          <w:color w:val="003399" w:themeColor="text2"/>
          <w:sz w:val="20"/>
        </w:rPr>
        <w:t xml:space="preserve">nu au evidențiat deficiențe majore în sistemele de control </w:t>
      </w:r>
      <w:r>
        <w:rPr>
          <w:rFonts w:ascii="EC Square Sans Pro" w:hAnsi="EC Square Sans Pro"/>
          <w:noProof/>
          <w:sz w:val="20"/>
        </w:rPr>
        <w:t xml:space="preserve">examinate. </w:t>
      </w:r>
      <w:r>
        <w:rPr>
          <w:rFonts w:ascii="EC Square Sans Pro" w:hAnsi="EC Square Sans Pro"/>
          <w:b/>
          <w:noProof/>
          <w:color w:val="003399" w:themeColor="text2"/>
          <w:sz w:val="20"/>
        </w:rPr>
        <w:t xml:space="preserve">Celelalte 13 audituri </w:t>
      </w:r>
      <w:r>
        <w:rPr>
          <w:rFonts w:ascii="EC Square Sans Pro" w:hAnsi="EC Square Sans Pro"/>
          <w:noProof/>
          <w:sz w:val="20"/>
        </w:rPr>
        <w:t xml:space="preserve">au evidențiat </w:t>
      </w:r>
      <w:r>
        <w:rPr>
          <w:rFonts w:ascii="EC Square Sans Pro" w:hAnsi="EC Square Sans Pro"/>
          <w:b/>
          <w:noProof/>
          <w:color w:val="003399" w:themeColor="text2"/>
          <w:sz w:val="20"/>
        </w:rPr>
        <w:t xml:space="preserve">necesitatea unor îmbunătățiri </w:t>
      </w:r>
      <w:r>
        <w:rPr>
          <w:rFonts w:ascii="EC Square Sans Pro" w:hAnsi="EC Square Sans Pro"/>
          <w:noProof/>
          <w:sz w:val="20"/>
        </w:rPr>
        <w:t>și au condus la emiterea unor recomandări critice și foarte importante.</w:t>
      </w:r>
    </w:p>
    <w:p w14:paraId="302C05B4" w14:textId="1D5A7430" w:rsidR="0045690D" w:rsidRDefault="0045690D" w:rsidP="00D92B7C">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În domeniul </w:t>
      </w:r>
      <w:r>
        <w:rPr>
          <w:rFonts w:ascii="EC Square Sans Pro" w:hAnsi="EC Square Sans Pro"/>
          <w:b/>
          <w:noProof/>
          <w:color w:val="003399" w:themeColor="text2"/>
          <w:sz w:val="20"/>
        </w:rPr>
        <w:t>gestionării granturilor</w:t>
      </w:r>
      <w:r>
        <w:rPr>
          <w:rFonts w:ascii="EC Square Sans Pro" w:hAnsi="EC Square Sans Pro"/>
          <w:noProof/>
          <w:sz w:val="20"/>
        </w:rPr>
        <w:t xml:space="preserve">, Serviciul de Audit Intern a identificat două </w:t>
      </w:r>
      <w:r>
        <w:rPr>
          <w:rFonts w:ascii="EC Square Sans Pro" w:hAnsi="EC Square Sans Pro"/>
          <w:b/>
          <w:noProof/>
          <w:color w:val="003399" w:themeColor="text2"/>
          <w:sz w:val="20"/>
        </w:rPr>
        <w:t xml:space="preserve">cazuri </w:t>
      </w:r>
      <w:r>
        <w:rPr>
          <w:rFonts w:ascii="EC Square Sans Pro" w:hAnsi="EC Square Sans Pro"/>
          <w:noProof/>
          <w:sz w:val="20"/>
        </w:rPr>
        <w:t xml:space="preserve">în care entitățile examinate trebuiau să îmbunătățească procesele existente. </w:t>
      </w:r>
    </w:p>
    <w:p w14:paraId="6469AEA3" w14:textId="66281BA5" w:rsidR="0045690D" w:rsidRPr="0045690D" w:rsidRDefault="0045690D" w:rsidP="0045690D">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b/>
          <w:noProof/>
          <w:color w:val="003399" w:themeColor="text2"/>
          <w:sz w:val="20"/>
        </w:rPr>
        <w:t xml:space="preserve">Cinci audituri </w:t>
      </w:r>
      <w:r>
        <w:rPr>
          <w:rFonts w:ascii="EC Square Sans Pro" w:hAnsi="EC Square Sans Pro"/>
          <w:noProof/>
          <w:sz w:val="20"/>
        </w:rPr>
        <w:t xml:space="preserve">efectuate de Serviciul de Audit Intern cu privire la </w:t>
      </w:r>
      <w:r>
        <w:rPr>
          <w:rFonts w:ascii="EC Square Sans Pro" w:hAnsi="EC Square Sans Pro"/>
          <w:b/>
          <w:noProof/>
          <w:color w:val="003399" w:themeColor="text2"/>
          <w:sz w:val="20"/>
        </w:rPr>
        <w:t xml:space="preserve">gestionarea granturilor </w:t>
      </w:r>
      <w:r>
        <w:rPr>
          <w:rFonts w:ascii="EC Square Sans Pro" w:hAnsi="EC Square Sans Pro"/>
          <w:noProof/>
          <w:sz w:val="20"/>
        </w:rPr>
        <w:t xml:space="preserve">s-au încheiat cu </w:t>
      </w:r>
      <w:r>
        <w:rPr>
          <w:rFonts w:ascii="EC Square Sans Pro" w:hAnsi="EC Square Sans Pro"/>
          <w:b/>
          <w:noProof/>
          <w:color w:val="003399" w:themeColor="text2"/>
          <w:sz w:val="20"/>
        </w:rPr>
        <w:t>concluzii de audit fără rezerve</w:t>
      </w:r>
      <w:r>
        <w:rPr>
          <w:rFonts w:ascii="EC Square Sans Pro" w:hAnsi="EC Square Sans Pro"/>
          <w:noProof/>
          <w:sz w:val="20"/>
        </w:rPr>
        <w:t>: (a) finanțarea organizațiilor neguvernamentale (ONG) în cadrul Programului pentru mediu și politici climatice (LIFE); (b) punerea în aplicare a Mecanismului pentru interconectarea Europei; (c) gestionarea proiectelor și procesul de plată pentru programul EU4Health; (d) gestionarea proiectelor și procesul de plată al Fondului european de apărare și (e) punerea în aplicare timpurie a granturilor din cadrul instrumentelor de apărare pe termen scurt Actul privind consolidarea industriei europene de apărare prin achiziții publice în comun (EDIRPA) și Actul privind sprijinirea producției de muniții (ASAP).</w:t>
      </w:r>
    </w:p>
    <w:p w14:paraId="455D8F1D" w14:textId="396F4024" w:rsidR="0045690D" w:rsidRPr="0045690D" w:rsidRDefault="0045690D" w:rsidP="0045690D">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Un audit privind </w:t>
      </w:r>
      <w:r>
        <w:rPr>
          <w:rFonts w:ascii="EC Square Sans Pro" w:hAnsi="EC Square Sans Pro"/>
          <w:b/>
          <w:noProof/>
          <w:color w:val="003399" w:themeColor="text2"/>
          <w:sz w:val="20"/>
        </w:rPr>
        <w:t xml:space="preserve">procedurile de pregătire și de atribuire a acordurilor de grant ale Consiliului European pentru Inovare </w:t>
      </w:r>
      <w:r>
        <w:rPr>
          <w:rFonts w:ascii="EC Square Sans Pro" w:hAnsi="EC Square Sans Pro"/>
          <w:noProof/>
          <w:sz w:val="20"/>
        </w:rPr>
        <w:t>a condus la un aviz negativ și la o recomandare critică privind necesitatea ca direcția generală și agenția executivă în cauză să revizuiască procesul decizional de atribuire specific sistemului Accelerator al Consiliului European pentru Inovare în conformitate cu normele aplicabile. Auditul a condus, de asemenea, la recomandări foarte importante adresate ambelor entități auditate pentru consolidarea controalelor legate de pregătirea acordului de grant; revizuirea raportării cu privire la indicatorul privind durata procedurilor de acordare a granturilor în raportul anual de activitate și evaluarea principalelor cauze profunde ale întârzierilor; revizuirea procesului de modificare a deciziei de atribuire și consolidarea monitorizării bugetare și asigurarea transmiterii oficiale a deciziilor de atribuire către Banca Europeană de Investiții.</w:t>
      </w:r>
    </w:p>
    <w:p w14:paraId="1420A255" w14:textId="1980229F" w:rsidR="0045690D" w:rsidRDefault="0045690D" w:rsidP="0045690D">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În cadrul unui alt audit efectuat cu privire la </w:t>
      </w:r>
      <w:r>
        <w:rPr>
          <w:rFonts w:ascii="EC Square Sans Pro" w:hAnsi="EC Square Sans Pro"/>
          <w:b/>
          <w:noProof/>
          <w:color w:val="003399" w:themeColor="text2"/>
          <w:sz w:val="20"/>
        </w:rPr>
        <w:t>granturi</w:t>
      </w:r>
      <w:r>
        <w:rPr>
          <w:rFonts w:ascii="EC Square Sans Pro" w:hAnsi="EC Square Sans Pro"/>
          <w:noProof/>
          <w:sz w:val="20"/>
        </w:rPr>
        <w:t>, s-a constatat că sistemul de control intern pentru gestionarea granturilor în cadrul programului aferent Instrumentului pentru echipamente de control vamal a fost conceput în mod adecvat și pus în aplicare în mod eficace, cu excepția a două aspecte legate de strategia de control a instrumentului și cu excepția documentării monitorizării proiectelor și a prelucrării plăților în instrumentul eGrants.</w:t>
      </w:r>
    </w:p>
    <w:p w14:paraId="6C448D9D" w14:textId="76280B8B" w:rsidR="0045690D" w:rsidRDefault="006E4365" w:rsidP="00D92B7C">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Serviciul de Audit Intern a efectuat două audituri în domeniul </w:t>
      </w:r>
      <w:r>
        <w:rPr>
          <w:rFonts w:ascii="EC Square Sans Pro" w:hAnsi="EC Square Sans Pro"/>
          <w:b/>
          <w:noProof/>
          <w:color w:val="003399" w:themeColor="text2"/>
          <w:sz w:val="20"/>
        </w:rPr>
        <w:t xml:space="preserve">gestionării programelor </w:t>
      </w:r>
      <w:r>
        <w:rPr>
          <w:rFonts w:ascii="EC Square Sans Pro" w:hAnsi="EC Square Sans Pro"/>
          <w:noProof/>
          <w:sz w:val="20"/>
        </w:rPr>
        <w:t>pentru actuala perioadă de programare.</w:t>
      </w:r>
      <w:r w:rsidR="00500152">
        <w:rPr>
          <w:rFonts w:ascii="EC Square Sans Pro" w:hAnsi="EC Square Sans Pro"/>
          <w:noProof/>
          <w:sz w:val="20"/>
        </w:rPr>
        <w:t xml:space="preserve"> </w:t>
      </w:r>
    </w:p>
    <w:p w14:paraId="5E626FBE" w14:textId="4AA5C055" w:rsidR="00CA07A7" w:rsidRPr="00CA07A7" w:rsidRDefault="00BD476A" w:rsidP="00CA07A7">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În cadrul primului dintre aceste două audituri de gestionare a programelor, în vederea simplificării punerii în aplicare a </w:t>
      </w:r>
      <w:r>
        <w:rPr>
          <w:rFonts w:ascii="EC Square Sans Pro" w:hAnsi="EC Square Sans Pro"/>
          <w:b/>
          <w:noProof/>
          <w:color w:val="003399" w:themeColor="text2"/>
          <w:sz w:val="20"/>
        </w:rPr>
        <w:t>fondurilor politicii de coeziune în perioada de programare 2021-2027</w:t>
      </w:r>
      <w:r>
        <w:rPr>
          <w:rFonts w:ascii="EC Square Sans Pro" w:hAnsi="EC Square Sans Pro"/>
          <w:noProof/>
          <w:sz w:val="20"/>
        </w:rPr>
        <w:t xml:space="preserve">, au fost concepute și puse în aplicare procese de control intern adecvate și eficace pentru consolidarea capacităților, evaluarea </w:t>
      </w:r>
      <w:r>
        <w:rPr>
          <w:rFonts w:ascii="EC Square Sans Pro" w:hAnsi="EC Square Sans Pro"/>
          <w:i/>
          <w:noProof/>
          <w:sz w:val="20"/>
        </w:rPr>
        <w:t xml:space="preserve">ex ante </w:t>
      </w:r>
      <w:r>
        <w:rPr>
          <w:rFonts w:ascii="EC Square Sans Pro" w:hAnsi="EC Square Sans Pro"/>
          <w:noProof/>
          <w:sz w:val="20"/>
        </w:rPr>
        <w:t xml:space="preserve">și monitorizarea și raportarea cu privire la opțiunile simplificate în materie de costuri și la finanțarea nelegată de costuri. Cu toate acestea, orientările, documentația și evaluările </w:t>
      </w:r>
      <w:r>
        <w:rPr>
          <w:rFonts w:ascii="EC Square Sans Pro" w:hAnsi="EC Square Sans Pro"/>
          <w:i/>
          <w:noProof/>
          <w:sz w:val="20"/>
        </w:rPr>
        <w:t xml:space="preserve">ex ante </w:t>
      </w:r>
      <w:r>
        <w:rPr>
          <w:rFonts w:ascii="EC Square Sans Pro" w:hAnsi="EC Square Sans Pro"/>
          <w:noProof/>
          <w:sz w:val="20"/>
        </w:rPr>
        <w:t>aferente trebuie îmbunătățite. În plus, formarea trebuie consolidată, iar riscurile dependenței de experți externi trebuie monitorizate. În cele din urmă, direcțiile generale trebuie să îmbunătățească monitorizarea și raportarea.</w:t>
      </w:r>
    </w:p>
    <w:p w14:paraId="6F13913D" w14:textId="0EE3394F" w:rsidR="0045690D" w:rsidRDefault="00CA07A7" w:rsidP="00CA07A7">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În cel de a doilea dintre aceste două audituri de gestionare a programelor, Serviciul de Audit Intern a concluzionat că procesele de control intern pentru revizuirea și aprobarea modificărilor aduse planurilor strategice naționale din cadrul </w:t>
      </w:r>
      <w:r>
        <w:rPr>
          <w:rFonts w:ascii="EC Square Sans Pro" w:hAnsi="EC Square Sans Pro"/>
          <w:b/>
          <w:noProof/>
          <w:color w:val="003399" w:themeColor="text2"/>
          <w:sz w:val="20"/>
        </w:rPr>
        <w:t xml:space="preserve">politicii agricole comune </w:t>
      </w:r>
      <w:r>
        <w:rPr>
          <w:rFonts w:ascii="EC Square Sans Pro" w:hAnsi="EC Square Sans Pro"/>
          <w:noProof/>
          <w:sz w:val="20"/>
        </w:rPr>
        <w:t>(PAC) au fost concepute și puse în aplicare în mod adecvat. Cu toate acestea, a existat o lipsă de claritate în ceea ce privește data de începere a eligibilității pentru modificările aprobate în cadrul intervențiilor Fondului european agricol pentru dezvoltare rurală care fuseseră notificate anterior, dar care s-au dovedit a fi neconforme cu temeiul juridic pentru notificări. În plus, a fost identificată o deficiență foarte importantă în ceea ce privește clarificarea abaterilor acceptabile dintre indicatorii de rezultat și realizări și corectarea neconformităților detectate în planurile strategice PAC.</w:t>
      </w:r>
    </w:p>
    <w:p w14:paraId="186891EA" w14:textId="73709E95" w:rsidR="00CA07A7" w:rsidRDefault="00CA07A7" w:rsidP="00CA07A7">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În domeniul tematic al </w:t>
      </w:r>
      <w:r>
        <w:rPr>
          <w:rFonts w:ascii="EC Square Sans Pro" w:hAnsi="EC Square Sans Pro"/>
          <w:b/>
          <w:noProof/>
          <w:color w:val="003399" w:themeColor="text2"/>
          <w:sz w:val="20"/>
        </w:rPr>
        <w:t>consolidării asigurării și al strategiei de audit</w:t>
      </w:r>
      <w:r>
        <w:rPr>
          <w:rFonts w:ascii="EC Square Sans Pro" w:hAnsi="EC Square Sans Pro"/>
          <w:noProof/>
          <w:sz w:val="20"/>
        </w:rPr>
        <w:t xml:space="preserve">, Serviciul de Audit Intern </w:t>
      </w:r>
      <w:r>
        <w:rPr>
          <w:rFonts w:ascii="EC Square Sans Pro" w:hAnsi="EC Square Sans Pro"/>
          <w:b/>
          <w:noProof/>
          <w:color w:val="003399" w:themeColor="text2"/>
          <w:sz w:val="20"/>
        </w:rPr>
        <w:t xml:space="preserve">a identificat cazuri </w:t>
      </w:r>
      <w:r>
        <w:rPr>
          <w:rFonts w:ascii="EC Square Sans Pro" w:hAnsi="EC Square Sans Pro"/>
          <w:noProof/>
          <w:sz w:val="20"/>
        </w:rPr>
        <w:t xml:space="preserve">în care entitățile examinate trebuiau să îmbunătățească procesele existente. </w:t>
      </w:r>
    </w:p>
    <w:p w14:paraId="74B589D6" w14:textId="6626B1FA" w:rsidR="00CA07A7" w:rsidRPr="00CA07A7" w:rsidRDefault="00CA07A7" w:rsidP="00CA07A7">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Într-un program acoperit de </w:t>
      </w:r>
      <w:r>
        <w:rPr>
          <w:rFonts w:ascii="EC Square Sans Pro" w:hAnsi="EC Square Sans Pro"/>
          <w:b/>
          <w:noProof/>
          <w:color w:val="003399" w:themeColor="text2"/>
          <w:sz w:val="20"/>
        </w:rPr>
        <w:t>Regulamentul privind dispozițiile comune pentru perioada de programare 2021-2027</w:t>
      </w:r>
      <w:r>
        <w:rPr>
          <w:rFonts w:ascii="EC Square Sans Pro" w:hAnsi="EC Square Sans Pro"/>
          <w:noProof/>
          <w:sz w:val="20"/>
        </w:rPr>
        <w:t xml:space="preserve">, direcția generală auditată instituise mecanisme de audit pe baza strategiei unice de audit, dar, până la sfârșitul activității de audit pe teren, nu instituise pe deplin mecanisme de audit suplimentare pentru gestionarea specială a documentelor, o abordare cuprinzătoare a evaluării riscurilor și planificarea auditului care să includă factori de risc comuni și specifici fiecărui fond. </w:t>
      </w:r>
    </w:p>
    <w:p w14:paraId="7375CAF4" w14:textId="38ECDEDD" w:rsidR="00CA07A7" w:rsidRPr="00CA07A7" w:rsidRDefault="00CA07A7" w:rsidP="00CA07A7">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În cadrul unui alt audit, procesele de gestionare a riscurilor și control pentru metodologia de evaluare a riscurilor din cadrul </w:t>
      </w:r>
      <w:r>
        <w:rPr>
          <w:rFonts w:ascii="EC Square Sans Pro" w:hAnsi="EC Square Sans Pro"/>
          <w:b/>
          <w:noProof/>
          <w:color w:val="003399" w:themeColor="text2"/>
          <w:sz w:val="20"/>
        </w:rPr>
        <w:t xml:space="preserve">Mecanismului de redresare și reziliență </w:t>
      </w:r>
      <w:r>
        <w:rPr>
          <w:rFonts w:ascii="EC Square Sans Pro" w:hAnsi="EC Square Sans Pro"/>
          <w:noProof/>
          <w:sz w:val="20"/>
        </w:rPr>
        <w:t xml:space="preserve">și auditurile </w:t>
      </w:r>
      <w:r>
        <w:rPr>
          <w:rFonts w:ascii="EC Square Sans Pro" w:hAnsi="EC Square Sans Pro"/>
          <w:i/>
          <w:noProof/>
          <w:sz w:val="20"/>
        </w:rPr>
        <w:t xml:space="preserve">ex post </w:t>
      </w:r>
      <w:r>
        <w:rPr>
          <w:rFonts w:ascii="EC Square Sans Pro" w:hAnsi="EC Square Sans Pro"/>
          <w:noProof/>
          <w:sz w:val="20"/>
        </w:rPr>
        <w:t>privind jaloanele și țintele în conformitate cu Regulamentul privind Mecanismul de redresare și reziliență au fost concepute în mod adecvat și puse în aplicare în mod eficace, cu excepția a două aspecte foarte importante legate de: (a) durata auditurilor și (b) standardele de audit și programul de asigurare a calității.</w:t>
      </w:r>
    </w:p>
    <w:p w14:paraId="08F7E85B" w14:textId="1B7A367B" w:rsidR="00CA07A7" w:rsidRPr="00CA07A7" w:rsidRDefault="00DB4D36" w:rsidP="00CA07A7">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În ceea ce privește fiabilitatea opiniilor de audit cu privire la </w:t>
      </w:r>
      <w:r>
        <w:rPr>
          <w:rFonts w:ascii="EC Square Sans Pro" w:hAnsi="EC Square Sans Pro"/>
          <w:b/>
          <w:noProof/>
          <w:color w:val="003399" w:themeColor="text2"/>
          <w:sz w:val="20"/>
        </w:rPr>
        <w:t xml:space="preserve">legalitatea și regularitatea cheltuielilor aferente programului Erasmus+ </w:t>
      </w:r>
      <w:r>
        <w:rPr>
          <w:rFonts w:ascii="EC Square Sans Pro" w:hAnsi="EC Square Sans Pro"/>
          <w:noProof/>
          <w:sz w:val="20"/>
        </w:rPr>
        <w:t>declarate de agențiile naționale, direcția generală auditată pusese în aplicare în mod eficace măsuri care erau concepute în mod adecvat pentru a asigura fiabilitatea opiniilor de audit emise de organismele de audit independente în vederea obținerii asigurării necesare, cu excepția unui aspect legat de gestionarea observațiilor.</w:t>
      </w:r>
    </w:p>
    <w:p w14:paraId="2999AC53" w14:textId="2C4B4B36" w:rsidR="00CA07A7" w:rsidRPr="00CA07A7" w:rsidRDefault="00CA07A7" w:rsidP="00CA07A7">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Pentru a se asigura că </w:t>
      </w:r>
      <w:r>
        <w:rPr>
          <w:rFonts w:ascii="EC Square Sans Pro" w:hAnsi="EC Square Sans Pro"/>
          <w:b/>
          <w:noProof/>
          <w:color w:val="003399" w:themeColor="text2"/>
          <w:sz w:val="20"/>
        </w:rPr>
        <w:t xml:space="preserve">asistența financiară acordată țărilor care fac obiectul unei declarații de criză </w:t>
      </w:r>
      <w:r>
        <w:rPr>
          <w:rFonts w:ascii="EC Square Sans Pro" w:hAnsi="EC Square Sans Pro"/>
          <w:noProof/>
          <w:sz w:val="20"/>
        </w:rPr>
        <w:t>este furnizată în conformitate cu principiul bunei gestiuni operaționale și financiare, s-a constatat că sistemele de gestionare a riscurilor și control instituite au fost concepute în mod adecvat și puse în aplicare în mod eficace, cu excepția mecanismului de monitorizare și raportare legat de contractele încheiate în cadrul unor proceduri flexibile.</w:t>
      </w:r>
    </w:p>
    <w:p w14:paraId="0FC8927D" w14:textId="10533D52" w:rsidR="0045690D" w:rsidRDefault="00CA07A7" w:rsidP="00CA07A7">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Serviciul de Audit Intern a efectuat, de asemenea, </w:t>
      </w:r>
      <w:r>
        <w:rPr>
          <w:rFonts w:ascii="EC Square Sans Pro" w:hAnsi="EC Square Sans Pro"/>
          <w:b/>
          <w:noProof/>
          <w:color w:val="003399" w:themeColor="text2"/>
          <w:sz w:val="20"/>
        </w:rPr>
        <w:t>examinări limitate ale rezultatelor controalelor furnizate de parteneri.</w:t>
      </w:r>
      <w:r>
        <w:rPr>
          <w:rFonts w:ascii="EC Square Sans Pro" w:hAnsi="EC Square Sans Pro"/>
          <w:noProof/>
          <w:sz w:val="20"/>
        </w:rPr>
        <w:t xml:space="preserve"> Aceste examinări au concluzionat că sistemele concepute și implementate de direcțiile generale responsabile în domeniul relațiilor externe pentru a se asigura că declarațiile de gestiune contribuie la asigurarea execuției eficace a fondurilor UE în cadrul gestiunii indirecte cu entități cărora le-a fost încredințată execuția sunt adecvate, cu excepția problemelor legate de anumite aspecte ale conceperii și de eficacitatea și eficiența declarațiilor de gestiune ca măsură de control.</w:t>
      </w:r>
    </w:p>
    <w:p w14:paraId="06634BF1" w14:textId="789382D3" w:rsidR="0045690D" w:rsidRDefault="00CF737F" w:rsidP="00D92B7C">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În ceea ce privește </w:t>
      </w:r>
      <w:r>
        <w:rPr>
          <w:rFonts w:ascii="EC Square Sans Pro" w:hAnsi="EC Square Sans Pro"/>
          <w:b/>
          <w:noProof/>
          <w:color w:val="003399" w:themeColor="text2"/>
          <w:sz w:val="20"/>
        </w:rPr>
        <w:t>cadrul de monitorizare și evaluare a performanței</w:t>
      </w:r>
      <w:r>
        <w:rPr>
          <w:rFonts w:ascii="EC Square Sans Pro" w:hAnsi="EC Square Sans Pro"/>
          <w:noProof/>
          <w:sz w:val="20"/>
        </w:rPr>
        <w:t xml:space="preserve">, Serviciul de Audit Intern </w:t>
      </w:r>
      <w:r>
        <w:rPr>
          <w:rFonts w:ascii="EC Square Sans Pro" w:hAnsi="EC Square Sans Pro"/>
          <w:b/>
          <w:noProof/>
          <w:color w:val="003399" w:themeColor="text2"/>
          <w:sz w:val="20"/>
        </w:rPr>
        <w:t xml:space="preserve">a identificat cazuri </w:t>
      </w:r>
      <w:r>
        <w:rPr>
          <w:rFonts w:ascii="EC Square Sans Pro" w:hAnsi="EC Square Sans Pro"/>
          <w:noProof/>
          <w:sz w:val="20"/>
        </w:rPr>
        <w:t>în care entitățile examinate trebuiau să îmbunătățească procesele existente:</w:t>
      </w:r>
    </w:p>
    <w:p w14:paraId="4A5FE0F7" w14:textId="49CA4BC6" w:rsidR="00CA07A7" w:rsidRPr="002F3488" w:rsidRDefault="00CA07A7" w:rsidP="00CA07A7">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Un audit privind </w:t>
      </w:r>
      <w:r>
        <w:rPr>
          <w:rFonts w:ascii="EC Square Sans Pro" w:hAnsi="EC Square Sans Pro"/>
          <w:b/>
          <w:noProof/>
          <w:color w:val="003399" w:themeColor="text2"/>
          <w:sz w:val="20"/>
        </w:rPr>
        <w:t xml:space="preserve">programul InvestEU </w:t>
      </w:r>
      <w:r>
        <w:rPr>
          <w:rFonts w:ascii="EC Square Sans Pro" w:hAnsi="EC Square Sans Pro"/>
          <w:noProof/>
          <w:sz w:val="20"/>
        </w:rPr>
        <w:t>a confirmat existența unui mecanism intern adecvat și eficace de orientare și coordonare pentru finanțarea operațiunilor Fondului InvestEU și că a fost instituită o metodologie solidă privind indicatorii de performanță și de monitorizare pentru monitorizarea punerii în aplicare. Cu toate acestea, au fost identificate deficiențe în ceea ce privește obiectivele definite în temeiul juridic relevant și indicatorii utilizați pentru monitorizarea și evaluarea îndeplinirii obiectivelor programului.</w:t>
      </w:r>
    </w:p>
    <w:p w14:paraId="0313437C" w14:textId="632E4454" w:rsidR="0045690D" w:rsidRDefault="00AF48DB" w:rsidP="00CA07A7">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Un audit privind conceperea cadrului de performanță, de monitorizare și evaluare pentru </w:t>
      </w:r>
      <w:r>
        <w:rPr>
          <w:rFonts w:ascii="EC Square Sans Pro" w:hAnsi="EC Square Sans Pro"/>
          <w:b/>
          <w:noProof/>
          <w:color w:val="003399" w:themeColor="text2"/>
          <w:sz w:val="20"/>
        </w:rPr>
        <w:t xml:space="preserve">politica agricolă comună </w:t>
      </w:r>
      <w:r>
        <w:rPr>
          <w:rFonts w:ascii="EC Square Sans Pro" w:hAnsi="EC Square Sans Pro"/>
          <w:noProof/>
          <w:sz w:val="20"/>
        </w:rPr>
        <w:t>pentru perioada 2023-2027 a constatat că acesta a fost conceput în mod adecvat pentru a monitoriza, a evalua și a raporta cu privire la performanța planurilor strategice PAC. Cu toate acestea, abordarea pentru aprobarea modificărilor țintelor și ale jaloanelor pentru indicatorii de rezultat a necesitat clarificări suplimentare în absența unor dispoziții clare în legislația de bază.</w:t>
      </w:r>
    </w:p>
    <w:p w14:paraId="6B3EA875" w14:textId="51B9116A" w:rsidR="002F3488" w:rsidRDefault="00CA07A7" w:rsidP="00CA07A7">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În ceea ce privește </w:t>
      </w:r>
      <w:r>
        <w:rPr>
          <w:rFonts w:ascii="EC Square Sans Pro" w:hAnsi="EC Square Sans Pro"/>
          <w:b/>
          <w:noProof/>
          <w:color w:val="003399" w:themeColor="text2"/>
          <w:sz w:val="20"/>
        </w:rPr>
        <w:t>achizițiile publice și gestionarea contractelor</w:t>
      </w:r>
      <w:r>
        <w:rPr>
          <w:rFonts w:ascii="EC Square Sans Pro" w:hAnsi="EC Square Sans Pro"/>
          <w:noProof/>
          <w:sz w:val="20"/>
        </w:rPr>
        <w:t xml:space="preserve">, Serviciul de Audit Intern a identificat </w:t>
      </w:r>
      <w:r>
        <w:rPr>
          <w:rFonts w:ascii="EC Square Sans Pro" w:hAnsi="EC Square Sans Pro"/>
          <w:b/>
          <w:noProof/>
          <w:color w:val="003399" w:themeColor="text2"/>
          <w:sz w:val="20"/>
        </w:rPr>
        <w:t xml:space="preserve">trei cazuri </w:t>
      </w:r>
      <w:r>
        <w:rPr>
          <w:rFonts w:ascii="EC Square Sans Pro" w:hAnsi="EC Square Sans Pro"/>
          <w:noProof/>
          <w:sz w:val="20"/>
        </w:rPr>
        <w:t xml:space="preserve">în care entitățile examinate trebuiau să îmbunătățească procesele existente. </w:t>
      </w:r>
    </w:p>
    <w:p w14:paraId="065BCF86" w14:textId="0B06CBFC" w:rsidR="00CA07A7" w:rsidRPr="002F3488" w:rsidRDefault="00CA07A7" w:rsidP="00CA07A7">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Un audit a identificat o problemă foarte importantă în ceea ce privește eficacitatea și eficiența abordării urmate în materie de achiziții publice pentru traducerile externalizate. Un alt audit a identificat o problemă foarte importantă în ceea ce privește identificarea aspectelor (potențiale) legate de conflictele de interese, pe care agenția executivă responsabilă trebuie să le consolideze, în cooperare cu direcțiile sale generale tutelare.</w:t>
      </w:r>
    </w:p>
    <w:p w14:paraId="0B34ED39" w14:textId="679E7BEE" w:rsidR="00CA07A7" w:rsidRPr="00CA07A7" w:rsidRDefault="00CA07A7" w:rsidP="00CA07A7">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În cadrul unui audit privind achizițiile publice cu valoare ridicată și gestionarea contractelor, sistemul de control intern instituit trebuie îmbunătățit în mod semnificativ pentru a-i consolida eficiența și eficacitatea. Serviciul de Audit Intern a identificat cinci aspecte foarte importante privind: (a) strategia de gestionare a riscurilor și control; (b) criteriile de atribuire și procesul de evaluare; (c) estimarea valorii contractului și durata contractului; (d) sistemul de detectare timpurie și de excludere și (e) controalele </w:t>
      </w:r>
      <w:r>
        <w:rPr>
          <w:rFonts w:ascii="EC Square Sans Pro" w:hAnsi="EC Square Sans Pro"/>
          <w:i/>
          <w:noProof/>
          <w:sz w:val="20"/>
        </w:rPr>
        <w:t xml:space="preserve">ex ante </w:t>
      </w:r>
      <w:r>
        <w:rPr>
          <w:rFonts w:ascii="EC Square Sans Pro" w:hAnsi="EC Square Sans Pro"/>
          <w:noProof/>
          <w:sz w:val="20"/>
        </w:rPr>
        <w:t>ale plăților.</w:t>
      </w:r>
    </w:p>
    <w:p w14:paraId="0246AB4C" w14:textId="3BF14042" w:rsidR="00BE5E44" w:rsidRPr="005A044A" w:rsidRDefault="00D92B7C" w:rsidP="00312725">
      <w:pPr>
        <w:pStyle w:val="Heading3"/>
        <w:ind w:left="505" w:hanging="505"/>
        <w:rPr>
          <w:noProof/>
        </w:rPr>
      </w:pPr>
      <w:r>
        <w:rPr>
          <w:noProof/>
        </w:rPr>
        <w:t>Procese operaționale</w:t>
      </w:r>
    </w:p>
    <w:p w14:paraId="4B99BB10" w14:textId="23D4E35A" w:rsidR="00235B62" w:rsidRDefault="00D456BE" w:rsidP="00D92B7C">
      <w:pPr>
        <w:pStyle w:val="NumPar1"/>
        <w:numPr>
          <w:ilvl w:val="0"/>
          <w:numId w:val="0"/>
        </w:numPr>
        <w:rPr>
          <w:noProof/>
        </w:rPr>
      </w:pPr>
      <w:bookmarkStart w:id="52" w:name="_Hlk165587637"/>
      <w:r>
        <w:rPr>
          <w:noProof/>
        </w:rPr>
        <w:t xml:space="preserve">Serviciul de Audit Intern a efectuat </w:t>
      </w:r>
      <w:r>
        <w:rPr>
          <w:b/>
          <w:noProof/>
          <w:color w:val="003399" w:themeColor="text2"/>
        </w:rPr>
        <w:t xml:space="preserve">șase audituri </w:t>
      </w:r>
      <w:r>
        <w:rPr>
          <w:noProof/>
        </w:rPr>
        <w:t>care s-au axat pe activități sau programe specifice.</w:t>
      </w:r>
    </w:p>
    <w:p w14:paraId="3B1F7103" w14:textId="3838DCC9" w:rsidR="00235B62" w:rsidRDefault="0045032D" w:rsidP="00235B62">
      <w:pPr>
        <w:pStyle w:val="NumPar1"/>
        <w:numPr>
          <w:ilvl w:val="0"/>
          <w:numId w:val="0"/>
        </w:numPr>
        <w:rPr>
          <w:noProof/>
        </w:rPr>
      </w:pPr>
      <w:r>
        <w:rPr>
          <w:noProof/>
        </w:rPr>
        <w:t xml:space="preserve">În urma unui audit privind </w:t>
      </w:r>
      <w:r>
        <w:rPr>
          <w:b/>
          <w:noProof/>
          <w:color w:val="003399" w:themeColor="text2"/>
        </w:rPr>
        <w:t xml:space="preserve">gestionarea serviciilor europene pentru ocuparea forței de muncă (EURES) </w:t>
      </w:r>
      <w:r>
        <w:rPr>
          <w:noProof/>
        </w:rPr>
        <w:t xml:space="preserve">și a portalului EURES, s-a constatat că direcția generală responsabilă și agenția descentralizată afiliată instituiseră o serie de măsuri pentru a reglementa cooperarea lor. Totuși, aceste mecanisme nu au fost întotdeauna suficient de detaliate sau actualizate într-o serie de domenii, inclusiv guvernanța informatică și mandatul Comitetului director IT. </w:t>
      </w:r>
    </w:p>
    <w:p w14:paraId="2E0898EE" w14:textId="2711B3FF" w:rsidR="00235B62" w:rsidRDefault="002C5083" w:rsidP="00235B62">
      <w:pPr>
        <w:pStyle w:val="NumPar1"/>
        <w:numPr>
          <w:ilvl w:val="0"/>
          <w:numId w:val="0"/>
        </w:numPr>
        <w:rPr>
          <w:noProof/>
        </w:rPr>
      </w:pPr>
      <w:r>
        <w:rPr>
          <w:noProof/>
        </w:rPr>
        <w:t xml:space="preserve">În urma unui audit efectuat cu privire la </w:t>
      </w:r>
      <w:r>
        <w:rPr>
          <w:b/>
          <w:noProof/>
          <w:color w:val="003399" w:themeColor="text2"/>
        </w:rPr>
        <w:t>mecanismele de coordonare legate de supravegherea financiară</w:t>
      </w:r>
      <w:r>
        <w:rPr>
          <w:noProof/>
        </w:rPr>
        <w:t>, s-a constatat că direcția generală responsabilă a conceput în mod adecvat și a pus în aplicare în mod eficace și eficient mecanismele de coordonare cu cele trei autorități de supraveghere, cu excepția aspectelor legate de procesul de întrebări și răspunsuri, precum și de examinare și evaluare.</w:t>
      </w:r>
    </w:p>
    <w:p w14:paraId="43D3C436" w14:textId="77777777" w:rsidR="00235B62" w:rsidRDefault="00D456BE" w:rsidP="00235B62">
      <w:pPr>
        <w:pStyle w:val="NumPar1"/>
        <w:numPr>
          <w:ilvl w:val="0"/>
          <w:numId w:val="0"/>
        </w:numPr>
        <w:rPr>
          <w:noProof/>
        </w:rPr>
      </w:pPr>
      <w:r>
        <w:rPr>
          <w:noProof/>
        </w:rPr>
        <w:t xml:space="preserve">Un alt audit a constatat că procesele de gestionare a </w:t>
      </w:r>
      <w:r>
        <w:rPr>
          <w:b/>
          <w:noProof/>
          <w:color w:val="003399" w:themeColor="text2"/>
        </w:rPr>
        <w:t xml:space="preserve">datelor de control ale politicii comune în domeniul pescuitului </w:t>
      </w:r>
      <w:r>
        <w:rPr>
          <w:noProof/>
        </w:rPr>
        <w:t>fuseseră concepute în mod adecvat și puse în aplicare în mod eficace și eficient, în conformitate cu cadrul juridic aplicabil la momentul auditului, cu excepția unui aspect legat de primirea, utilizarea și publicarea datelor referitoare la posibilitățile de pescuit.</w:t>
      </w:r>
    </w:p>
    <w:p w14:paraId="783F2F25" w14:textId="049D6337" w:rsidR="00235B62" w:rsidRDefault="00D456BE" w:rsidP="00235B62">
      <w:pPr>
        <w:pStyle w:val="NumPar1"/>
        <w:numPr>
          <w:ilvl w:val="0"/>
          <w:numId w:val="0"/>
        </w:numPr>
        <w:rPr>
          <w:noProof/>
        </w:rPr>
      </w:pPr>
      <w:r>
        <w:rPr>
          <w:noProof/>
        </w:rPr>
        <w:t xml:space="preserve">Un audit privind procesul de selecție din cadrul </w:t>
      </w:r>
      <w:r>
        <w:rPr>
          <w:b/>
          <w:noProof/>
          <w:color w:val="003399" w:themeColor="text2"/>
        </w:rPr>
        <w:t xml:space="preserve">Oficiului European pentru Selecția Personalului </w:t>
      </w:r>
      <w:r>
        <w:rPr>
          <w:noProof/>
        </w:rPr>
        <w:t>a concluzionat că procesele de guvernanță, de gestionare a riscurilor și de control instituite de oficiul responsabil de noul model de concurs pentru personalul permanent nu au fost concepute în mod adecvat. Printre problemele identificate s-au numărat gestionarea nevoilor clienților și aspectele de comunicare aferente; foaia de parcurs pentru implementarea noului model de concurs și a procedurii pentru procesul de selecție și indicatorii și monitorizarea pentru evaluarea îndeplinirii obiectivelor noului model de concurs.</w:t>
      </w:r>
    </w:p>
    <w:p w14:paraId="20E30226" w14:textId="33A7462E" w:rsidR="00235B62" w:rsidRDefault="00E9569B" w:rsidP="00235B62">
      <w:pPr>
        <w:pStyle w:val="NumPar1"/>
        <w:numPr>
          <w:ilvl w:val="0"/>
          <w:numId w:val="0"/>
        </w:numPr>
        <w:rPr>
          <w:noProof/>
        </w:rPr>
      </w:pPr>
      <w:r>
        <w:rPr>
          <w:noProof/>
        </w:rPr>
        <w:t xml:space="preserve">În urma unui audit efectuat cu privire la </w:t>
      </w:r>
      <w:r>
        <w:rPr>
          <w:b/>
          <w:noProof/>
          <w:color w:val="003399" w:themeColor="text2"/>
        </w:rPr>
        <w:t>gestionarea serviciilor de îngrijire a copiilor</w:t>
      </w:r>
      <w:r>
        <w:rPr>
          <w:noProof/>
        </w:rPr>
        <w:t>, s-a constatat că oficiile responsabile au conceput, în general, un cadru și un sistem de control adecvate. Cu toate acestea, au fost identificate probleme în punerea în aplicare în ceea ce privește rolurile și responsabilitățile comitetelor de supraveghere și ale actorilor externi implicați; stabilirea bugetului interinstituțional, alocarea costurilor și calcularea contribuțiilor parentale și instituționale și controale informatice privind gestionarea proiectelor și securitatea informatică a instrumentului informatic relevant.</w:t>
      </w:r>
    </w:p>
    <w:p w14:paraId="24C1C6BD" w14:textId="79DAAEEC" w:rsidR="00D456BE" w:rsidRPr="00D456BE" w:rsidRDefault="00D456BE" w:rsidP="00235B62">
      <w:pPr>
        <w:pStyle w:val="NumPar1"/>
        <w:numPr>
          <w:ilvl w:val="0"/>
          <w:numId w:val="0"/>
        </w:numPr>
        <w:rPr>
          <w:noProof/>
        </w:rPr>
      </w:pPr>
      <w:r>
        <w:rPr>
          <w:noProof/>
        </w:rPr>
        <w:t xml:space="preserve">Un audit privind </w:t>
      </w:r>
      <w:r>
        <w:rPr>
          <w:b/>
          <w:noProof/>
          <w:color w:val="003399" w:themeColor="text2"/>
        </w:rPr>
        <w:t xml:space="preserve">gestionarea contribuțiilor în natură </w:t>
      </w:r>
      <w:r>
        <w:rPr>
          <w:noProof/>
        </w:rPr>
        <w:t xml:space="preserve">în cadrul </w:t>
      </w:r>
      <w:r>
        <w:rPr>
          <w:b/>
          <w:noProof/>
          <w:color w:val="003399" w:themeColor="text2"/>
        </w:rPr>
        <w:t xml:space="preserve">programului Orizont Europa </w:t>
      </w:r>
      <w:r>
        <w:rPr>
          <w:noProof/>
        </w:rPr>
        <w:t>a concluzionat că, per ansamblu, direcția generală responsabilă a oferit un sprijin adecvat întreprinderilor comune, cu excepția unei probleme foarte importante privind sprijinul informatic și funcționalitățile disponibile în instrumentul informatic.</w:t>
      </w:r>
    </w:p>
    <w:bookmarkEnd w:id="52"/>
    <w:p w14:paraId="481945DB" w14:textId="4C09D9D8" w:rsidR="00BE5E44" w:rsidRPr="005A044A" w:rsidRDefault="00D92B7C" w:rsidP="00312725">
      <w:pPr>
        <w:pStyle w:val="Heading3"/>
        <w:ind w:left="505" w:hanging="505"/>
        <w:rPr>
          <w:noProof/>
        </w:rPr>
      </w:pPr>
      <w:r>
        <w:rPr>
          <w:noProof/>
        </w:rPr>
        <w:t>Procese de sprijin</w:t>
      </w:r>
    </w:p>
    <w:p w14:paraId="02B15CC3" w14:textId="77777777" w:rsidR="00D92B7C" w:rsidRPr="005A044A" w:rsidRDefault="00D92B7C" w:rsidP="00D92B7C">
      <w:pPr>
        <w:jc w:val="both"/>
        <w:rPr>
          <w:rFonts w:ascii="EC Square Sans Pro" w:hAnsi="EC Square Sans Pro"/>
          <w:b/>
          <w:bCs/>
          <w:noProof/>
          <w:color w:val="003399" w:themeColor="text2"/>
          <w:sz w:val="20"/>
          <w:szCs w:val="20"/>
        </w:rPr>
      </w:pPr>
      <w:r>
        <w:rPr>
          <w:rFonts w:ascii="EC Square Sans Pro" w:hAnsi="EC Square Sans Pro"/>
          <w:b/>
          <w:noProof/>
          <w:color w:val="003399" w:themeColor="text2"/>
          <w:sz w:val="20"/>
        </w:rPr>
        <w:t>Gestionarea resurselor umane</w:t>
      </w:r>
    </w:p>
    <w:p w14:paraId="7D7E20B3" w14:textId="3C7ADC8E" w:rsidR="008C6BE5" w:rsidRPr="0067392D" w:rsidRDefault="0067392D" w:rsidP="00D92B7C">
      <w:pPr>
        <w:jc w:val="both"/>
        <w:rPr>
          <w:rFonts w:ascii="EC Square Sans Pro" w:hAnsi="EC Square Sans Pro"/>
          <w:noProof/>
          <w:sz w:val="20"/>
          <w:szCs w:val="20"/>
        </w:rPr>
      </w:pPr>
      <w:r>
        <w:rPr>
          <w:rFonts w:ascii="EC Square Sans Pro" w:hAnsi="EC Square Sans Pro"/>
          <w:noProof/>
          <w:sz w:val="20"/>
        </w:rPr>
        <w:t>Un audit efectuat cu privire la programul de transformare a resurselor umane a concluzionat că, deși structura și procesele de guvernanță ale programului au fost, în general, bine stabilite, persistă o problemă foarte importantă legată de procesele de gestionare a securității informatice, care poate afecta realizarea obiectivelor strategice ale programului și respectarea standardelor de securitate internă ale Comisiei.</w:t>
      </w:r>
    </w:p>
    <w:p w14:paraId="4ABDB69F" w14:textId="0E623E1D" w:rsidR="00D92B7C" w:rsidRDefault="0067392D" w:rsidP="00D92B7C">
      <w:pPr>
        <w:jc w:val="both"/>
        <w:rPr>
          <w:rFonts w:ascii="EC Square Sans Pro" w:hAnsi="EC Square Sans Pro"/>
          <w:b/>
          <w:bCs/>
          <w:noProof/>
          <w:color w:val="003399" w:themeColor="text2"/>
          <w:sz w:val="20"/>
          <w:szCs w:val="20"/>
        </w:rPr>
      </w:pPr>
      <w:r>
        <w:rPr>
          <w:rFonts w:ascii="EC Square Sans Pro" w:hAnsi="EC Square Sans Pro"/>
          <w:b/>
          <w:noProof/>
          <w:color w:val="003399" w:themeColor="text2"/>
          <w:sz w:val="20"/>
        </w:rPr>
        <w:t>Guvernanța tehnologiei informației (IT), gestionarea proiectelor informatice și gestionarea securității informatice</w:t>
      </w:r>
    </w:p>
    <w:p w14:paraId="475AAEF5" w14:textId="550E2799" w:rsidR="0067392D" w:rsidRPr="0067392D" w:rsidRDefault="00D22F7B" w:rsidP="0067392D">
      <w:pPr>
        <w:jc w:val="both"/>
        <w:rPr>
          <w:rFonts w:ascii="EC Square Sans Pro" w:hAnsi="EC Square Sans Pro"/>
          <w:noProof/>
          <w:sz w:val="20"/>
          <w:szCs w:val="20"/>
        </w:rPr>
      </w:pPr>
      <w:r>
        <w:rPr>
          <w:rFonts w:ascii="EC Square Sans Pro" w:hAnsi="EC Square Sans Pro"/>
          <w:noProof/>
          <w:sz w:val="20"/>
        </w:rPr>
        <w:t xml:space="preserve">Serviciul de Audit Intern a efectuat </w:t>
      </w:r>
      <w:r>
        <w:rPr>
          <w:rFonts w:ascii="EC Square Sans Pro" w:hAnsi="EC Square Sans Pro"/>
          <w:b/>
          <w:noProof/>
          <w:color w:val="003399" w:themeColor="text2"/>
          <w:sz w:val="20"/>
        </w:rPr>
        <w:t xml:space="preserve">două audituri </w:t>
      </w:r>
      <w:r>
        <w:rPr>
          <w:rFonts w:ascii="EC Square Sans Pro" w:hAnsi="EC Square Sans Pro"/>
          <w:noProof/>
          <w:sz w:val="20"/>
        </w:rPr>
        <w:t>în acest domeniu.</w:t>
      </w:r>
    </w:p>
    <w:p w14:paraId="7CF6D8D3" w14:textId="6026590D" w:rsidR="0067392D" w:rsidRPr="0067392D" w:rsidRDefault="0067392D" w:rsidP="0067392D">
      <w:pPr>
        <w:jc w:val="both"/>
        <w:rPr>
          <w:rFonts w:ascii="EC Square Sans Pro" w:hAnsi="EC Square Sans Pro"/>
          <w:noProof/>
          <w:sz w:val="20"/>
          <w:szCs w:val="20"/>
        </w:rPr>
      </w:pPr>
      <w:r>
        <w:rPr>
          <w:rFonts w:ascii="EC Square Sans Pro" w:hAnsi="EC Square Sans Pro"/>
          <w:noProof/>
          <w:sz w:val="20"/>
        </w:rPr>
        <w:t xml:space="preserve">Un audit efectuat cu privire la </w:t>
      </w:r>
      <w:r>
        <w:rPr>
          <w:rFonts w:ascii="EC Square Sans Pro" w:hAnsi="EC Square Sans Pro"/>
          <w:b/>
          <w:noProof/>
          <w:color w:val="003399" w:themeColor="text2"/>
          <w:sz w:val="20"/>
        </w:rPr>
        <w:t xml:space="preserve">guvernanța informatică și la gestionarea securității informatice </w:t>
      </w:r>
      <w:r>
        <w:rPr>
          <w:rFonts w:ascii="EC Square Sans Pro" w:hAnsi="EC Square Sans Pro"/>
          <w:noProof/>
          <w:sz w:val="20"/>
        </w:rPr>
        <w:t>într-o direcție generală a arătat că, în general, sistemul de guvernanță, de gestionare a riscurilor și de control instituit pentru guvernanța informatică și mecanismele de securitate informatică a fost conceput în mod adecvat și pus în aplicare în mod eficient și eficace, cu excepția unei probleme legate de alinierea nevoilor operaționale și a așteptărilor în materie de recuperare, de menținerea planurilor de securitate informatică și de formalizarea proceselor privind gestionarea incidentelor și a accesului utilizatorilor.</w:t>
      </w:r>
    </w:p>
    <w:p w14:paraId="24E8FF1B" w14:textId="1F3E76A2" w:rsidR="0067392D" w:rsidRPr="0067392D" w:rsidRDefault="0067392D" w:rsidP="0067392D">
      <w:pPr>
        <w:jc w:val="both"/>
        <w:rPr>
          <w:rFonts w:ascii="EC Square Sans Pro" w:hAnsi="EC Square Sans Pro"/>
          <w:noProof/>
          <w:sz w:val="20"/>
          <w:szCs w:val="20"/>
        </w:rPr>
      </w:pPr>
      <w:r>
        <w:rPr>
          <w:rFonts w:ascii="EC Square Sans Pro" w:hAnsi="EC Square Sans Pro"/>
          <w:noProof/>
          <w:sz w:val="20"/>
        </w:rPr>
        <w:t xml:space="preserve">În cazul </w:t>
      </w:r>
      <w:r>
        <w:rPr>
          <w:rFonts w:ascii="EC Square Sans Pro" w:hAnsi="EC Square Sans Pro"/>
          <w:b/>
          <w:noProof/>
          <w:color w:val="003399" w:themeColor="text2"/>
          <w:sz w:val="20"/>
        </w:rPr>
        <w:t>proiectului Arachne+</w:t>
      </w:r>
      <w:r>
        <w:rPr>
          <w:rFonts w:ascii="EC Square Sans Pro" w:hAnsi="EC Square Sans Pro"/>
          <w:noProof/>
          <w:sz w:val="20"/>
        </w:rPr>
        <w:t>, procesele de guvernanță, de gestionare a riscurilor și de control instituite de o direcție generală, în calitate de proprietar de sistem, cu sprijinul altor direcții generale, nu erau adecvate pentru a realiza în mod eficace faza 2 a proiectului și pentru a atinge obiectivele strategice și așteptările operaționale pentru întregul proiect în intervalul de timp și cu resursele alocate. Procesele de control al securității informatice și al protecției datelor cu caracter personal au fost conforme cu etapele procesului Comisiei, dar au fost necesare îmbunătățiri semnificative în ceea ce privește calitatea artefactelor de securitate informatică.</w:t>
      </w:r>
    </w:p>
    <w:p w14:paraId="7F1533C6" w14:textId="1D07CA61" w:rsidR="0067392D" w:rsidRPr="004514E5" w:rsidRDefault="0067392D" w:rsidP="00D92B7C">
      <w:pPr>
        <w:jc w:val="both"/>
        <w:rPr>
          <w:rFonts w:ascii="EC Square Sans Pro" w:hAnsi="EC Square Sans Pro"/>
          <w:noProof/>
          <w:sz w:val="20"/>
          <w:szCs w:val="20"/>
        </w:rPr>
      </w:pPr>
      <w:r>
        <w:rPr>
          <w:rFonts w:ascii="EC Square Sans Pro" w:hAnsi="EC Square Sans Pro"/>
          <w:noProof/>
          <w:sz w:val="20"/>
        </w:rPr>
        <w:t xml:space="preserve">În plus, </w:t>
      </w:r>
      <w:r>
        <w:rPr>
          <w:rFonts w:ascii="EC Square Sans Pro" w:hAnsi="EC Square Sans Pro"/>
          <w:b/>
          <w:noProof/>
          <w:color w:val="003399" w:themeColor="text2"/>
          <w:sz w:val="20"/>
        </w:rPr>
        <w:t xml:space="preserve">o serie de alte audituri au analizat aspectele informatice </w:t>
      </w:r>
      <w:r>
        <w:rPr>
          <w:rFonts w:ascii="EC Square Sans Pro" w:hAnsi="EC Square Sans Pro"/>
          <w:noProof/>
          <w:sz w:val="20"/>
        </w:rPr>
        <w:t xml:space="preserve">ale proceselor auditate și au identificat, în diferite cazuri, controale adecvate sau deficiențe. </w:t>
      </w:r>
    </w:p>
    <w:p w14:paraId="53AC1838" w14:textId="4047C453" w:rsidR="00BE5E44" w:rsidRPr="00980BF7" w:rsidRDefault="00BE5E44" w:rsidP="00312725">
      <w:pPr>
        <w:pStyle w:val="Heading2"/>
        <w:rPr>
          <w:noProof/>
        </w:rPr>
      </w:pPr>
      <w:bookmarkStart w:id="53" w:name="_Toc448503099"/>
      <w:bookmarkStart w:id="54" w:name="_Toc384658387"/>
      <w:bookmarkStart w:id="55" w:name="_Toc448926053"/>
      <w:bookmarkStart w:id="56" w:name="_Toc512438621"/>
      <w:bookmarkStart w:id="57" w:name="_Toc515017759"/>
      <w:bookmarkStart w:id="58" w:name="_Toc4756288"/>
      <w:bookmarkStart w:id="59" w:name="_Toc11401295"/>
      <w:bookmarkStart w:id="60" w:name="_Toc8981616"/>
      <w:bookmarkStart w:id="61" w:name="_Toc237430197"/>
      <w:r>
        <w:rPr>
          <w:noProof/>
        </w:rPr>
        <w:t>Concluzia generală privind gestiunea financiară a Comisiei</w:t>
      </w:r>
      <w:bookmarkEnd w:id="53"/>
      <w:bookmarkEnd w:id="54"/>
      <w:bookmarkEnd w:id="55"/>
      <w:bookmarkEnd w:id="56"/>
      <w:bookmarkEnd w:id="57"/>
      <w:bookmarkEnd w:id="58"/>
      <w:bookmarkEnd w:id="59"/>
      <w:bookmarkEnd w:id="60"/>
      <w:bookmarkEnd w:id="61"/>
    </w:p>
    <w:p w14:paraId="5B3E0371" w14:textId="1F20CFF4" w:rsidR="00FD60FE" w:rsidRPr="00784BB5" w:rsidRDefault="00FD60FE" w:rsidP="009F2D6F">
      <w:pPr>
        <w:pStyle w:val="Text2"/>
        <w:spacing w:before="240" w:after="240" w:line="259" w:lineRule="auto"/>
        <w:ind w:left="0"/>
        <w:rPr>
          <w:rFonts w:ascii="EC Square Sans Pro" w:hAnsi="EC Square Sans Pro"/>
          <w:noProof/>
          <w:sz w:val="20"/>
          <w:szCs w:val="20"/>
        </w:rPr>
      </w:pPr>
      <w:bookmarkStart w:id="62" w:name="_Toc416774792"/>
      <w:bookmarkStart w:id="63" w:name="_Toc381869128"/>
      <w:bookmarkStart w:id="64" w:name="_Toc381869194"/>
      <w:bookmarkStart w:id="65" w:name="_Toc381869260"/>
      <w:bookmarkStart w:id="66" w:name="_Toc381869132"/>
      <w:bookmarkStart w:id="67" w:name="_Toc381869198"/>
      <w:bookmarkStart w:id="68" w:name="_Toc381869264"/>
      <w:bookmarkStart w:id="69" w:name="_Toc381869134"/>
      <w:bookmarkStart w:id="70" w:name="_Toc381869200"/>
      <w:bookmarkStart w:id="71" w:name="_Toc381869266"/>
      <w:bookmarkStart w:id="72" w:name="_Toc381869081"/>
      <w:bookmarkStart w:id="73" w:name="_Toc381869147"/>
      <w:bookmarkStart w:id="74" w:name="_Toc381869213"/>
      <w:bookmarkStart w:id="75" w:name="_Toc381869082"/>
      <w:bookmarkStart w:id="76" w:name="_Toc381869148"/>
      <w:bookmarkStart w:id="77" w:name="_Toc381869214"/>
      <w:bookmarkStart w:id="78" w:name="_Toc381869083"/>
      <w:bookmarkStart w:id="79" w:name="_Toc381869149"/>
      <w:bookmarkStart w:id="80" w:name="_Toc381869215"/>
      <w:bookmarkStart w:id="81" w:name="_Toc381869084"/>
      <w:bookmarkStart w:id="82" w:name="_Toc381869150"/>
      <w:bookmarkStart w:id="83" w:name="_Toc381869216"/>
      <w:bookmarkStart w:id="84" w:name="_Toc381869086"/>
      <w:bookmarkStart w:id="85" w:name="_Toc381869152"/>
      <w:bookmarkStart w:id="86" w:name="_Toc381869218"/>
      <w:bookmarkStart w:id="87" w:name="_Toc381869087"/>
      <w:bookmarkStart w:id="88" w:name="_Toc381869153"/>
      <w:bookmarkStart w:id="89" w:name="_Toc381869219"/>
      <w:bookmarkStart w:id="90" w:name="_Toc416774825"/>
      <w:bookmarkStart w:id="91" w:name="_Toc416774827"/>
      <w:bookmarkStart w:id="92" w:name="_Toc416774828"/>
      <w:bookmarkStart w:id="93" w:name="_Toc416774830"/>
      <w:bookmarkStart w:id="94" w:name="_Toc416774833"/>
      <w:bookmarkStart w:id="95" w:name="_Toc416774834"/>
      <w:bookmarkStart w:id="96" w:name="_Toc416774837"/>
      <w:bookmarkStart w:id="97" w:name="_Toc384658417"/>
      <w:bookmarkStart w:id="98" w:name="_Toc448926054"/>
      <w:bookmarkStart w:id="99" w:name="_Toc448503138"/>
      <w:bookmarkStart w:id="100" w:name="_Toc512438623"/>
      <w:bookmarkStart w:id="101" w:name="_Toc515017760"/>
      <w:bookmarkStart w:id="102" w:name="_Toc4756289"/>
      <w:bookmarkStart w:id="103" w:name="_Toc8981617"/>
      <w:bookmarkStart w:id="104" w:name="_Toc11401296"/>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Fonts w:ascii="EC Square Sans Pro" w:hAnsi="EC Square Sans Pro"/>
          <w:noProof/>
          <w:sz w:val="20"/>
        </w:rPr>
        <w:t xml:space="preserve">Astfel cum se prevede în carta de misiune, Serviciul de Audit Intern emite o </w:t>
      </w:r>
      <w:r>
        <w:rPr>
          <w:rFonts w:ascii="EC Square Sans Pro" w:hAnsi="EC Square Sans Pro"/>
          <w:b/>
          <w:noProof/>
          <w:color w:val="003399" w:themeColor="text2"/>
          <w:sz w:val="20"/>
        </w:rPr>
        <w:t xml:space="preserve">concluzie generală </w:t>
      </w:r>
      <w:r>
        <w:rPr>
          <w:rFonts w:ascii="EC Square Sans Pro" w:hAnsi="EC Square Sans Pro"/>
          <w:noProof/>
          <w:sz w:val="20"/>
        </w:rPr>
        <w:t>anuală privind gestiunea financiară a Comisiei. Aceasta se bazează pe activitatea de audit în domeniul gestiunii financiare din cadrul Comisiei efectuată ultimii trei ani (2023-2025). Totodată, aceasta ia în considerare informațiile provenite din alte surse, în special rapoartele Curții de Conturi Europene. Concluzia generală este publicată în același timp cu prezentul raport și se referă la același an.</w:t>
      </w:r>
    </w:p>
    <w:p w14:paraId="19AC3ABB" w14:textId="48D6910B" w:rsidR="00F04D45" w:rsidRPr="00784BB5" w:rsidRDefault="00F04D45" w:rsidP="009F2D6F">
      <w:pPr>
        <w:pStyle w:val="Text2"/>
        <w:spacing w:before="240" w:after="240" w:line="259" w:lineRule="auto"/>
        <w:ind w:left="0"/>
        <w:rPr>
          <w:rFonts w:ascii="EC Square Sans Pro" w:hAnsi="EC Square Sans Pro"/>
          <w:noProof/>
          <w:sz w:val="20"/>
          <w:szCs w:val="20"/>
        </w:rPr>
      </w:pPr>
      <w:r>
        <w:rPr>
          <w:rFonts w:ascii="EC Square Sans Pro" w:hAnsi="EC Square Sans Pro"/>
          <w:noProof/>
          <w:sz w:val="20"/>
        </w:rPr>
        <w:t xml:space="preserve">Pe baza acestor informații de audit, auditoarea internă a considerat că, în 2025, Comisia a instituit proceduri de guvernanță, de gestionare a riscurilor și de control intern care, în ansamblu, sunt </w:t>
      </w:r>
      <w:r>
        <w:rPr>
          <w:rFonts w:ascii="EC Square Sans Pro" w:hAnsi="EC Square Sans Pro"/>
          <w:b/>
          <w:noProof/>
          <w:color w:val="003399" w:themeColor="text2"/>
          <w:sz w:val="20"/>
        </w:rPr>
        <w:t xml:space="preserve">adecvate pentru a oferi o asigurare rezonabilă </w:t>
      </w:r>
      <w:r>
        <w:rPr>
          <w:rFonts w:ascii="EC Square Sans Pro" w:hAnsi="EC Square Sans Pro"/>
          <w:noProof/>
          <w:sz w:val="20"/>
        </w:rPr>
        <w:t>cu privire la îndeplinirea obiectivelor sale financiare, cu excepția domeniilor de gestiune financiară cu privire la care ordonatorii de credite delegați au exprimat rezerve în declarația lor de asigurare.</w:t>
      </w:r>
    </w:p>
    <w:p w14:paraId="7F55CE07" w14:textId="056AD494" w:rsidR="00F04D45" w:rsidRPr="00784BB5" w:rsidRDefault="00F04D45" w:rsidP="009F2D6F">
      <w:pPr>
        <w:pStyle w:val="Text2"/>
        <w:spacing w:before="240" w:after="240" w:line="259" w:lineRule="auto"/>
        <w:ind w:left="0"/>
        <w:rPr>
          <w:rFonts w:ascii="EC Square Sans Pro" w:hAnsi="EC Square Sans Pro"/>
          <w:noProof/>
          <w:sz w:val="20"/>
          <w:szCs w:val="20"/>
        </w:rPr>
      </w:pPr>
      <w:r>
        <w:rPr>
          <w:rFonts w:ascii="EC Square Sans Pro" w:hAnsi="EC Square Sans Pro"/>
          <w:noProof/>
          <w:sz w:val="20"/>
        </w:rPr>
        <w:t xml:space="preserve">Fără a nuanța și mai mult concluzia generală pentru 2025, auditoarea internă atrage atenția asupra necesității de a se </w:t>
      </w:r>
      <w:r>
        <w:rPr>
          <w:rFonts w:ascii="EC Square Sans Pro" w:hAnsi="EC Square Sans Pro"/>
          <w:b/>
          <w:noProof/>
          <w:color w:val="003399" w:themeColor="text2"/>
          <w:sz w:val="20"/>
        </w:rPr>
        <w:t>asigura că cadrul de control și de asigurare rămâne solid, proporțional și eficace pentru a gestiona riscurile la un nivel acceptabil</w:t>
      </w:r>
      <w:r>
        <w:rPr>
          <w:rFonts w:ascii="EC Square Sans Pro" w:hAnsi="EC Square Sans Pro"/>
          <w:noProof/>
          <w:sz w:val="20"/>
        </w:rPr>
        <w:t>, în special în contextul priorităților concurente și al presiunii continue asupra resurselor. Acest lucru este deosebit de relevant având în vedere necesitatea de a accelera punerea în aplicare și de a asigura o încheiere la timp a programelor actuale, pregătindu-se în același timp pentru viitorul cadru financiar multianual, care va introduce noi instrumente inovatoare și modele de performanță.</w:t>
      </w:r>
    </w:p>
    <w:p w14:paraId="19CDE84B" w14:textId="45679C54" w:rsidR="00F04D45" w:rsidRPr="00784BB5" w:rsidRDefault="00F04D45" w:rsidP="009F2D6F">
      <w:pPr>
        <w:pStyle w:val="Text2"/>
        <w:spacing w:before="240" w:after="240" w:line="259" w:lineRule="auto"/>
        <w:ind w:left="0"/>
        <w:rPr>
          <w:rFonts w:ascii="EC Square Sans Pro" w:hAnsi="EC Square Sans Pro"/>
          <w:noProof/>
          <w:sz w:val="20"/>
          <w:szCs w:val="20"/>
        </w:rPr>
      </w:pPr>
      <w:r>
        <w:rPr>
          <w:rFonts w:ascii="EC Square Sans Pro" w:hAnsi="EC Square Sans Pro"/>
          <w:noProof/>
          <w:sz w:val="20"/>
        </w:rPr>
        <w:t xml:space="preserve">Mediul socioeconomic și politic dificil și necesitatea de a răspunde diferitelor crize din ultimii ani au necesitat mobilizarea rapidă a unor resurse și finanțări fără precedent, precum și crearea unor noi instrumente bazate pe performanță. Ar trebui să se acorde atenția cuvenită întârzierilor în </w:t>
      </w:r>
      <w:r>
        <w:rPr>
          <w:rFonts w:ascii="EC Square Sans Pro" w:hAnsi="EC Square Sans Pro"/>
          <w:b/>
          <w:noProof/>
          <w:color w:val="003399" w:themeColor="text2"/>
          <w:sz w:val="20"/>
        </w:rPr>
        <w:t>finalizarea și punerea în aplicare a strategiilor de control și audit pentru actuala perioadă de programare</w:t>
      </w:r>
      <w:r>
        <w:rPr>
          <w:rFonts w:ascii="EC Square Sans Pro" w:hAnsi="EC Square Sans Pro"/>
          <w:noProof/>
          <w:sz w:val="20"/>
        </w:rPr>
        <w:t>, ca urmare a adaptărilor necesare la modelele de performanță revizuite. În același timp, Comisia</w:t>
      </w:r>
      <w:r>
        <w:rPr>
          <w:rFonts w:ascii="Calibri" w:hAnsi="Calibri"/>
          <w:noProof/>
          <w:sz w:val="20"/>
        </w:rPr>
        <w:t xml:space="preserve"> </w:t>
      </w:r>
      <w:r>
        <w:rPr>
          <w:rFonts w:ascii="EC Square Sans Pro" w:hAnsi="EC Square Sans Pro"/>
          <w:noProof/>
          <w:sz w:val="20"/>
        </w:rPr>
        <w:t>trebuie să</w:t>
      </w:r>
      <w:r>
        <w:rPr>
          <w:rFonts w:ascii="Calibri" w:hAnsi="Calibri"/>
          <w:noProof/>
          <w:sz w:val="20"/>
        </w:rPr>
        <w:t xml:space="preserve"> </w:t>
      </w:r>
      <w:r>
        <w:rPr>
          <w:rFonts w:ascii="EC Square Sans Pro" w:hAnsi="EC Square Sans Pro"/>
          <w:noProof/>
          <w:sz w:val="20"/>
        </w:rPr>
        <w:t>continue eforturile de simplificare pentru a se asigura că finanțarea UE</w:t>
      </w:r>
      <w:r>
        <w:rPr>
          <w:rFonts w:ascii="Calibri" w:hAnsi="Calibri"/>
          <w:noProof/>
          <w:sz w:val="20"/>
        </w:rPr>
        <w:t xml:space="preserve"> </w:t>
      </w:r>
      <w:r>
        <w:rPr>
          <w:rFonts w:ascii="EC Square Sans Pro" w:hAnsi="EC Square Sans Pro"/>
          <w:noProof/>
          <w:sz w:val="20"/>
        </w:rPr>
        <w:t>rămâne</w:t>
      </w:r>
      <w:r>
        <w:rPr>
          <w:rFonts w:ascii="Calibri" w:hAnsi="Calibri"/>
          <w:noProof/>
          <w:sz w:val="20"/>
        </w:rPr>
        <w:t xml:space="preserve"> </w:t>
      </w:r>
      <w:r>
        <w:rPr>
          <w:rFonts w:ascii="EC Square Sans Pro" w:hAnsi="EC Square Sans Pro"/>
          <w:noProof/>
          <w:sz w:val="20"/>
        </w:rPr>
        <w:t>accesibilă și produce rezultate, asigurând în același timp</w:t>
      </w:r>
      <w:r>
        <w:rPr>
          <w:rFonts w:ascii="Calibri" w:hAnsi="Calibri"/>
          <w:noProof/>
          <w:sz w:val="20"/>
        </w:rPr>
        <w:t xml:space="preserve"> </w:t>
      </w:r>
      <w:r>
        <w:rPr>
          <w:rFonts w:ascii="EC Square Sans Pro" w:hAnsi="EC Square Sans Pro"/>
          <w:noProof/>
          <w:sz w:val="20"/>
        </w:rPr>
        <w:t>buna gestiune financiară.</w:t>
      </w:r>
    </w:p>
    <w:p w14:paraId="0B554191" w14:textId="5A4B6558" w:rsidR="00F04D45" w:rsidRPr="00784BB5" w:rsidRDefault="00F04D45" w:rsidP="009F2D6F">
      <w:pPr>
        <w:pStyle w:val="Text2"/>
        <w:spacing w:before="240" w:after="240" w:line="259" w:lineRule="auto"/>
        <w:ind w:left="0"/>
        <w:rPr>
          <w:rFonts w:ascii="EC Square Sans Pro" w:hAnsi="EC Square Sans Pro"/>
          <w:noProof/>
          <w:sz w:val="20"/>
          <w:szCs w:val="20"/>
        </w:rPr>
      </w:pPr>
      <w:r>
        <w:rPr>
          <w:rFonts w:ascii="EC Square Sans Pro" w:hAnsi="EC Square Sans Pro"/>
          <w:noProof/>
          <w:sz w:val="20"/>
        </w:rPr>
        <w:t xml:space="preserve">În contextul unei revizuiri majore a modelelor de finanțare și de performanță în </w:t>
      </w:r>
      <w:r>
        <w:rPr>
          <w:rFonts w:ascii="EC Square Sans Pro" w:hAnsi="EC Square Sans Pro"/>
          <w:b/>
          <w:noProof/>
          <w:color w:val="003399" w:themeColor="text2"/>
          <w:sz w:val="20"/>
        </w:rPr>
        <w:t>următorul cadru financiar multianual</w:t>
      </w:r>
      <w:r>
        <w:rPr>
          <w:rFonts w:ascii="EC Square Sans Pro" w:hAnsi="EC Square Sans Pro"/>
          <w:noProof/>
          <w:sz w:val="20"/>
        </w:rPr>
        <w:t xml:space="preserve">, Comisia ar trebui să utilizeze învățămintele desprinse din actuala perioadă de șapte ani și </w:t>
      </w:r>
      <w:r>
        <w:rPr>
          <w:rFonts w:ascii="EC Square Sans Pro" w:hAnsi="EC Square Sans Pro"/>
          <w:b/>
          <w:noProof/>
          <w:color w:val="003399" w:themeColor="text2"/>
          <w:sz w:val="20"/>
        </w:rPr>
        <w:t>să se asigure că modelul de asigurare este definit încă de la început</w:t>
      </w:r>
      <w:r>
        <w:rPr>
          <w:rFonts w:ascii="EC Square Sans Pro" w:hAnsi="EC Square Sans Pro"/>
          <w:noProof/>
          <w:sz w:val="20"/>
        </w:rPr>
        <w:t>, pentru ca strategiile de control pentru instrumentele individuale să fie elaborate în timp util înainte de începerea punerii în aplicare.</w:t>
      </w:r>
    </w:p>
    <w:p w14:paraId="60C1139E" w14:textId="3438EA69" w:rsidR="00F04D45" w:rsidRPr="00784BB5" w:rsidRDefault="00F04D45" w:rsidP="009F2D6F">
      <w:pPr>
        <w:pStyle w:val="Text2"/>
        <w:spacing w:before="240" w:after="240" w:line="259" w:lineRule="auto"/>
        <w:ind w:left="0"/>
        <w:rPr>
          <w:rFonts w:ascii="EC Square Sans Pro" w:hAnsi="EC Square Sans Pro"/>
          <w:noProof/>
          <w:sz w:val="20"/>
          <w:szCs w:val="20"/>
        </w:rPr>
      </w:pPr>
      <w:r>
        <w:rPr>
          <w:rFonts w:ascii="EC Square Sans Pro" w:hAnsi="EC Square Sans Pro"/>
          <w:noProof/>
          <w:sz w:val="20"/>
        </w:rPr>
        <w:t xml:space="preserve">Trecerea continuă la modele de realizare bazate pe performanță va necesita o </w:t>
      </w:r>
      <w:r>
        <w:rPr>
          <w:rFonts w:ascii="EC Square Sans Pro" w:hAnsi="EC Square Sans Pro"/>
          <w:b/>
          <w:noProof/>
          <w:color w:val="003399" w:themeColor="text2"/>
          <w:sz w:val="20"/>
        </w:rPr>
        <w:t xml:space="preserve">abordare revizuită </w:t>
      </w:r>
      <w:r>
        <w:rPr>
          <w:rFonts w:ascii="EC Square Sans Pro" w:hAnsi="EC Square Sans Pro"/>
          <w:noProof/>
          <w:sz w:val="20"/>
        </w:rPr>
        <w:t xml:space="preserve">pentru a permite Comisiei să ofere </w:t>
      </w:r>
      <w:r>
        <w:rPr>
          <w:rFonts w:ascii="EC Square Sans Pro" w:hAnsi="EC Square Sans Pro"/>
          <w:b/>
          <w:noProof/>
          <w:color w:val="003399" w:themeColor="text2"/>
          <w:sz w:val="20"/>
        </w:rPr>
        <w:t>asigurări cu privire la legalitatea și regularitatea cheltuielilor</w:t>
      </w:r>
      <w:r>
        <w:rPr>
          <w:rFonts w:ascii="EC Square Sans Pro" w:hAnsi="EC Square Sans Pro"/>
          <w:noProof/>
          <w:sz w:val="20"/>
        </w:rPr>
        <w:t>, inclusiv, dacă este necesar, sprijin pentru statele membre, ajustări ale organizării funcției de audit și revizuirea indicatorilor tradiționali de legalitate și regularitate, cum ar fi rata de eroare.</w:t>
      </w:r>
    </w:p>
    <w:p w14:paraId="6A1A7A39" w14:textId="54FAD0CD" w:rsidR="00F04D45" w:rsidRPr="00784BB5" w:rsidRDefault="00F04D45" w:rsidP="009F2D6F">
      <w:pPr>
        <w:pStyle w:val="Text2"/>
        <w:spacing w:before="240" w:after="240" w:line="259" w:lineRule="auto"/>
        <w:ind w:left="0"/>
        <w:rPr>
          <w:rFonts w:ascii="EC Square Sans Pro" w:hAnsi="EC Square Sans Pro"/>
          <w:noProof/>
          <w:sz w:val="20"/>
          <w:szCs w:val="20"/>
        </w:rPr>
      </w:pPr>
      <w:r>
        <w:rPr>
          <w:rFonts w:ascii="EC Square Sans Pro" w:hAnsi="EC Square Sans Pro"/>
          <w:noProof/>
          <w:sz w:val="20"/>
        </w:rPr>
        <w:t xml:space="preserve">Trebuie să se acorde o atenție continuă controalelor proporționale și eficace pentru </w:t>
      </w:r>
      <w:r>
        <w:rPr>
          <w:rFonts w:ascii="EC Square Sans Pro" w:hAnsi="EC Square Sans Pro"/>
          <w:b/>
          <w:noProof/>
          <w:color w:val="003399" w:themeColor="text2"/>
          <w:sz w:val="20"/>
        </w:rPr>
        <w:t>supravegherea sumelor bugetare executate de statele membre și/sau de părți terțe</w:t>
      </w:r>
      <w:r>
        <w:rPr>
          <w:rFonts w:ascii="EC Square Sans Pro" w:hAnsi="EC Square Sans Pro"/>
          <w:noProof/>
          <w:sz w:val="20"/>
        </w:rPr>
        <w:t>, având în vedere încrederea sporită pe care Comisia o acordă acestora.</w:t>
      </w:r>
    </w:p>
    <w:p w14:paraId="14CFD725" w14:textId="0AB51C00" w:rsidR="00F04D45" w:rsidRPr="00784BB5" w:rsidRDefault="00F04D45" w:rsidP="009F2D6F">
      <w:pPr>
        <w:pStyle w:val="Text2"/>
        <w:spacing w:before="240" w:after="240" w:line="259" w:lineRule="auto"/>
        <w:ind w:left="0"/>
        <w:rPr>
          <w:rFonts w:ascii="EC Square Sans Pro" w:hAnsi="EC Square Sans Pro"/>
          <w:noProof/>
          <w:sz w:val="20"/>
          <w:szCs w:val="20"/>
        </w:rPr>
      </w:pPr>
      <w:r>
        <w:rPr>
          <w:rFonts w:ascii="EC Square Sans Pro" w:hAnsi="EC Square Sans Pro"/>
          <w:noProof/>
          <w:sz w:val="20"/>
        </w:rPr>
        <w:t xml:space="preserve">În plus, extinderea operațiunilor financiare ale Uniunii evidențiază importanța unui </w:t>
      </w:r>
      <w:r>
        <w:rPr>
          <w:rFonts w:ascii="EC Square Sans Pro" w:hAnsi="EC Square Sans Pro"/>
          <w:b/>
          <w:noProof/>
          <w:color w:val="003399" w:themeColor="text2"/>
          <w:sz w:val="20"/>
        </w:rPr>
        <w:t xml:space="preserve">cadru solid și bine integrat de gestionare a riscurilor </w:t>
      </w:r>
      <w:r>
        <w:rPr>
          <w:rFonts w:ascii="EC Square Sans Pro" w:hAnsi="EC Square Sans Pro"/>
          <w:noProof/>
          <w:sz w:val="20"/>
        </w:rPr>
        <w:t xml:space="preserve">și a unei </w:t>
      </w:r>
      <w:r>
        <w:rPr>
          <w:rFonts w:ascii="EC Square Sans Pro" w:hAnsi="EC Square Sans Pro"/>
          <w:b/>
          <w:noProof/>
          <w:color w:val="003399" w:themeColor="text2"/>
          <w:sz w:val="20"/>
        </w:rPr>
        <w:t xml:space="preserve">supravegheri stricte a împrumuturilor, a garanțiilor bugetare și a finanțării </w:t>
      </w:r>
      <w:r>
        <w:rPr>
          <w:rFonts w:ascii="EC Square Sans Pro" w:hAnsi="EC Square Sans Pro"/>
          <w:noProof/>
          <w:sz w:val="20"/>
        </w:rPr>
        <w:t>prin emiterea de titluri de creanță.</w:t>
      </w:r>
    </w:p>
    <w:p w14:paraId="047D5247" w14:textId="04D2BEB7" w:rsidR="00F04D45" w:rsidRPr="00784BB5" w:rsidRDefault="00F04D45" w:rsidP="009F2D6F">
      <w:pPr>
        <w:pStyle w:val="Text2"/>
        <w:spacing w:before="240" w:after="240" w:line="259" w:lineRule="auto"/>
        <w:ind w:left="0"/>
        <w:rPr>
          <w:rFonts w:ascii="EC Square Sans Pro" w:hAnsi="EC Square Sans Pro"/>
          <w:noProof/>
          <w:sz w:val="20"/>
          <w:szCs w:val="20"/>
        </w:rPr>
      </w:pPr>
      <w:r>
        <w:rPr>
          <w:rFonts w:ascii="EC Square Sans Pro" w:hAnsi="EC Square Sans Pro"/>
          <w:noProof/>
          <w:sz w:val="20"/>
        </w:rPr>
        <w:t>În cele din urmă,</w:t>
      </w:r>
      <w:r>
        <w:rPr>
          <w:rFonts w:ascii="Calibri" w:hAnsi="Calibri"/>
          <w:noProof/>
          <w:sz w:val="20"/>
        </w:rPr>
        <w:t xml:space="preserve"> </w:t>
      </w:r>
      <w:r>
        <w:rPr>
          <w:rFonts w:ascii="EC Square Sans Pro" w:hAnsi="EC Square Sans Pro"/>
          <w:noProof/>
          <w:sz w:val="20"/>
        </w:rPr>
        <w:t>pentru a asigura</w:t>
      </w:r>
      <w:r>
        <w:rPr>
          <w:rFonts w:ascii="Calibri" w:hAnsi="Calibri"/>
          <w:noProof/>
          <w:sz w:val="20"/>
        </w:rPr>
        <w:t xml:space="preserve"> </w:t>
      </w:r>
      <w:r>
        <w:rPr>
          <w:rFonts w:ascii="EC Square Sans Pro" w:hAnsi="EC Square Sans Pro"/>
          <w:noProof/>
          <w:sz w:val="20"/>
        </w:rPr>
        <w:t>îndeplinirea</w:t>
      </w:r>
      <w:r>
        <w:rPr>
          <w:rFonts w:ascii="Calibri" w:hAnsi="Calibri"/>
          <w:noProof/>
          <w:sz w:val="20"/>
        </w:rPr>
        <w:t xml:space="preserve"> </w:t>
      </w:r>
      <w:r>
        <w:rPr>
          <w:rFonts w:ascii="EC Square Sans Pro" w:hAnsi="EC Square Sans Pro"/>
          <w:noProof/>
          <w:sz w:val="20"/>
        </w:rPr>
        <w:t>obiectivelor sale</w:t>
      </w:r>
      <w:r>
        <w:rPr>
          <w:rFonts w:ascii="Calibri" w:hAnsi="Calibri"/>
          <w:noProof/>
          <w:sz w:val="20"/>
        </w:rPr>
        <w:t xml:space="preserve"> </w:t>
      </w:r>
      <w:r>
        <w:rPr>
          <w:rFonts w:ascii="EC Square Sans Pro" w:hAnsi="EC Square Sans Pro"/>
          <w:noProof/>
          <w:sz w:val="20"/>
        </w:rPr>
        <w:t>legate de</w:t>
      </w:r>
      <w:r>
        <w:rPr>
          <w:rFonts w:ascii="Calibri" w:hAnsi="Calibri"/>
          <w:noProof/>
          <w:sz w:val="20"/>
        </w:rPr>
        <w:t xml:space="preserve"> </w:t>
      </w:r>
      <w:r>
        <w:rPr>
          <w:rFonts w:ascii="EC Square Sans Pro" w:hAnsi="EC Square Sans Pro"/>
          <w:noProof/>
          <w:sz w:val="20"/>
        </w:rPr>
        <w:t>responsabilitate, buna</w:t>
      </w:r>
      <w:r>
        <w:rPr>
          <w:rFonts w:ascii="Calibri" w:hAnsi="Calibri"/>
          <w:noProof/>
          <w:sz w:val="20"/>
        </w:rPr>
        <w:t xml:space="preserve"> </w:t>
      </w:r>
      <w:r>
        <w:rPr>
          <w:rFonts w:ascii="EC Square Sans Pro" w:hAnsi="EC Square Sans Pro"/>
          <w:noProof/>
          <w:sz w:val="20"/>
        </w:rPr>
        <w:t>gestiune financiară</w:t>
      </w:r>
      <w:r>
        <w:rPr>
          <w:rFonts w:ascii="Calibri" w:hAnsi="Calibri"/>
          <w:noProof/>
          <w:sz w:val="20"/>
        </w:rPr>
        <w:t xml:space="preserve"> </w:t>
      </w:r>
      <w:r>
        <w:rPr>
          <w:rFonts w:ascii="EC Square Sans Pro" w:hAnsi="EC Square Sans Pro"/>
          <w:noProof/>
          <w:sz w:val="20"/>
        </w:rPr>
        <w:t>și protecția bugetului UE,</w:t>
      </w:r>
      <w:r>
        <w:rPr>
          <w:rFonts w:ascii="Calibri" w:hAnsi="Calibri"/>
          <w:noProof/>
          <w:sz w:val="20"/>
        </w:rPr>
        <w:t xml:space="preserve"> </w:t>
      </w:r>
      <w:r>
        <w:rPr>
          <w:rFonts w:ascii="EC Square Sans Pro" w:hAnsi="EC Square Sans Pro"/>
          <w:noProof/>
          <w:sz w:val="20"/>
        </w:rPr>
        <w:t>Comisia ar trebui să își continue eforturile și să valorifice oportunitățile de</w:t>
      </w:r>
      <w:r>
        <w:rPr>
          <w:rFonts w:ascii="Calibri" w:hAnsi="Calibri"/>
          <w:noProof/>
          <w:sz w:val="20"/>
        </w:rPr>
        <w:t xml:space="preserve"> </w:t>
      </w:r>
      <w:r>
        <w:rPr>
          <w:rFonts w:ascii="EC Square Sans Pro" w:hAnsi="EC Square Sans Pro"/>
          <w:b/>
          <w:noProof/>
          <w:color w:val="003399" w:themeColor="text2"/>
          <w:sz w:val="20"/>
        </w:rPr>
        <w:t>optimizare a utilizării resurselor limitate</w:t>
      </w:r>
      <w:r>
        <w:rPr>
          <w:rFonts w:ascii="Calibri" w:hAnsi="Calibri"/>
          <w:b/>
          <w:noProof/>
          <w:sz w:val="20"/>
        </w:rPr>
        <w:t xml:space="preserve"> </w:t>
      </w:r>
      <w:r>
        <w:rPr>
          <w:rFonts w:ascii="EC Square Sans Pro" w:hAnsi="EC Square Sans Pro"/>
          <w:noProof/>
          <w:sz w:val="20"/>
        </w:rPr>
        <w:t>și de</w:t>
      </w:r>
      <w:r>
        <w:rPr>
          <w:rFonts w:ascii="Calibri" w:hAnsi="Calibri"/>
          <w:noProof/>
          <w:sz w:val="20"/>
        </w:rPr>
        <w:t xml:space="preserve"> </w:t>
      </w:r>
      <w:r>
        <w:rPr>
          <w:rFonts w:ascii="EC Square Sans Pro" w:hAnsi="EC Square Sans Pro"/>
          <w:b/>
          <w:noProof/>
          <w:color w:val="003399" w:themeColor="text2"/>
          <w:sz w:val="20"/>
        </w:rPr>
        <w:t>adaptare a organizării, proceselor și operațiunilor sale</w:t>
      </w:r>
      <w:r>
        <w:rPr>
          <w:rFonts w:ascii="EC Square Sans Pro" w:hAnsi="EC Square Sans Pro"/>
          <w:noProof/>
          <w:sz w:val="20"/>
        </w:rPr>
        <w:t>.</w:t>
      </w:r>
      <w:r w:rsidR="00500152">
        <w:rPr>
          <w:rFonts w:ascii="Calibri" w:hAnsi="Calibri"/>
          <w:noProof/>
          <w:sz w:val="20"/>
        </w:rPr>
        <w:t xml:space="preserve"> </w:t>
      </w:r>
      <w:r>
        <w:rPr>
          <w:rFonts w:ascii="EC Square Sans Pro" w:hAnsi="EC Square Sans Pro"/>
          <w:noProof/>
          <w:sz w:val="20"/>
        </w:rPr>
        <w:t>Conceperea de noi modele de asigurare și de strategii individuale de control ar trebui să fie însoțită</w:t>
      </w:r>
      <w:r>
        <w:rPr>
          <w:rFonts w:ascii="Calibri" w:hAnsi="Calibri"/>
          <w:b/>
          <w:noProof/>
          <w:sz w:val="20"/>
        </w:rPr>
        <w:t xml:space="preserve"> </w:t>
      </w:r>
      <w:r>
        <w:rPr>
          <w:rFonts w:ascii="EC Square Sans Pro" w:hAnsi="EC Square Sans Pro"/>
          <w:noProof/>
          <w:sz w:val="20"/>
        </w:rPr>
        <w:t>de</w:t>
      </w:r>
      <w:r>
        <w:rPr>
          <w:rFonts w:ascii="Calibri" w:hAnsi="Calibri"/>
          <w:b/>
          <w:noProof/>
          <w:sz w:val="20"/>
        </w:rPr>
        <w:t xml:space="preserve"> </w:t>
      </w:r>
      <w:r>
        <w:rPr>
          <w:rFonts w:ascii="EC Square Sans Pro" w:hAnsi="EC Square Sans Pro"/>
          <w:noProof/>
          <w:sz w:val="20"/>
        </w:rPr>
        <w:t>o definiție</w:t>
      </w:r>
      <w:r>
        <w:rPr>
          <w:rFonts w:ascii="Calibri" w:hAnsi="Calibri"/>
          <w:noProof/>
          <w:sz w:val="20"/>
        </w:rPr>
        <w:t xml:space="preserve"> </w:t>
      </w:r>
      <w:r>
        <w:rPr>
          <w:rFonts w:ascii="EC Square Sans Pro" w:hAnsi="EC Square Sans Pro"/>
          <w:noProof/>
          <w:sz w:val="20"/>
        </w:rPr>
        <w:t>a resurselor umane adecvate, în ceea ce privește numărul, competențele și calendarul, precum și de o</w:t>
      </w:r>
      <w:r>
        <w:rPr>
          <w:rFonts w:ascii="Calibri" w:hAnsi="Calibri"/>
          <w:noProof/>
          <w:sz w:val="20"/>
        </w:rPr>
        <w:t xml:space="preserve"> </w:t>
      </w:r>
      <w:r>
        <w:rPr>
          <w:rFonts w:ascii="EC Square Sans Pro" w:hAnsi="EC Square Sans Pro"/>
          <w:noProof/>
          <w:sz w:val="20"/>
        </w:rPr>
        <w:t>strategie pentru</w:t>
      </w:r>
      <w:r>
        <w:rPr>
          <w:rFonts w:ascii="Calibri" w:hAnsi="Calibri"/>
          <w:noProof/>
          <w:sz w:val="20"/>
        </w:rPr>
        <w:t xml:space="preserve"> </w:t>
      </w:r>
      <w:r>
        <w:rPr>
          <w:rFonts w:ascii="EC Square Sans Pro" w:hAnsi="EC Square Sans Pro"/>
          <w:noProof/>
          <w:sz w:val="20"/>
        </w:rPr>
        <w:t>mobilizarea</w:t>
      </w:r>
      <w:r>
        <w:rPr>
          <w:rFonts w:ascii="Calibri" w:hAnsi="Calibri"/>
          <w:noProof/>
          <w:sz w:val="20"/>
        </w:rPr>
        <w:t xml:space="preserve"> </w:t>
      </w:r>
      <w:r>
        <w:rPr>
          <w:rFonts w:ascii="EC Square Sans Pro" w:hAnsi="EC Square Sans Pro"/>
          <w:noProof/>
          <w:sz w:val="20"/>
        </w:rPr>
        <w:t>eficace</w:t>
      </w:r>
      <w:r>
        <w:rPr>
          <w:rFonts w:ascii="Calibri" w:hAnsi="Calibri"/>
          <w:noProof/>
          <w:sz w:val="20"/>
        </w:rPr>
        <w:t xml:space="preserve"> </w:t>
      </w:r>
      <w:r>
        <w:rPr>
          <w:rFonts w:ascii="EC Square Sans Pro" w:hAnsi="EC Square Sans Pro"/>
          <w:noProof/>
          <w:sz w:val="20"/>
        </w:rPr>
        <w:t>a mijloacelor tehnologice</w:t>
      </w:r>
      <w:r>
        <w:rPr>
          <w:rFonts w:ascii="Calibri" w:hAnsi="Calibri"/>
          <w:noProof/>
          <w:sz w:val="20"/>
        </w:rPr>
        <w:t xml:space="preserve"> </w:t>
      </w:r>
      <w:r>
        <w:rPr>
          <w:rFonts w:ascii="EC Square Sans Pro" w:hAnsi="EC Square Sans Pro"/>
          <w:noProof/>
          <w:sz w:val="20"/>
        </w:rPr>
        <w:t>adecvate,</w:t>
      </w:r>
      <w:r>
        <w:rPr>
          <w:rFonts w:ascii="Calibri" w:hAnsi="Calibri"/>
          <w:noProof/>
          <w:sz w:val="20"/>
        </w:rPr>
        <w:t xml:space="preserve"> </w:t>
      </w:r>
      <w:r>
        <w:rPr>
          <w:rFonts w:ascii="EC Square Sans Pro" w:hAnsi="EC Square Sans Pro"/>
          <w:noProof/>
          <w:sz w:val="20"/>
        </w:rPr>
        <w:t>gestionând în același timp cu atenție riscurile pe care acestea le introduc.</w:t>
      </w:r>
    </w:p>
    <w:p w14:paraId="6F5B10AB" w14:textId="7516EAAD" w:rsidR="0067392D" w:rsidRDefault="0067392D" w:rsidP="00FC75FE">
      <w:pPr>
        <w:spacing w:line="240" w:lineRule="auto"/>
        <w:jc w:val="both"/>
        <w:rPr>
          <w:rFonts w:ascii="EC Square Sans Pro" w:eastAsia="Times New Roman" w:hAnsi="EC Square Sans Pro" w:cs="Times New Roman"/>
          <w:noProof/>
          <w:kern w:val="0"/>
          <w:sz w:val="20"/>
          <w:szCs w:val="20"/>
          <w:lang w:eastAsia="en-GB"/>
          <w14:ligatures w14:val="none"/>
        </w:rPr>
      </w:pPr>
    </w:p>
    <w:p w14:paraId="0554FE1D" w14:textId="21E92866" w:rsidR="00E767DD" w:rsidRPr="005A044A" w:rsidRDefault="00D33D9B" w:rsidP="00312725">
      <w:pPr>
        <w:pStyle w:val="Heading1"/>
        <w:rPr>
          <w:noProof/>
        </w:rPr>
      </w:pPr>
      <w:r>
        <w:rPr>
          <w:noProof/>
        </w:rPr>
        <w:br w:type="page"/>
      </w:r>
      <w:bookmarkStart w:id="105" w:name="_Toc237430198"/>
      <w:r>
        <w:rPr>
          <w:noProof/>
        </w:rPr>
        <w:t>Acțiuni întreprinse de entitățile auditate</w:t>
      </w:r>
      <w:bookmarkEnd w:id="105"/>
    </w:p>
    <w:p w14:paraId="4B35C1EB" w14:textId="7BF9639E" w:rsidR="00E767DD" w:rsidRPr="00E65C9B" w:rsidRDefault="00E767DD" w:rsidP="00E767DD">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Impactul activității de audit intern asupra îmbunătățirii performanței și a răspunderii Comisiei depinde de punerea în aplicare a recomandărilor sale. Pentru a permite supravegherea de către organele de conducere, Serviciul de Audit Intern efectuează audituri de urmărire subsecventă atunci când entitatea auditată a raportat că recomandarea este pregătită pentru examinare. Serviciul de Audit Intern furnizează, de asemenea, informații periodice Comitetului de monitorizare a auditurilor cu privire la stadiul punerii în aplicare a recomandărilor sale.</w:t>
      </w:r>
    </w:p>
    <w:p w14:paraId="685D22E5" w14:textId="6D06AFC7" w:rsidR="00E767DD" w:rsidRPr="00E65C9B" w:rsidRDefault="00E767DD" w:rsidP="00E767DD">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Serviciul de Audit Intern </w:t>
      </w:r>
      <w:r>
        <w:rPr>
          <w:rFonts w:ascii="EC Square Sans Pro" w:hAnsi="EC Square Sans Pro"/>
          <w:b/>
          <w:noProof/>
          <w:color w:val="003399" w:themeColor="text2"/>
          <w:sz w:val="20"/>
        </w:rPr>
        <w:t xml:space="preserve">a monitorizat 50 de misiuni de audit anterioare </w:t>
      </w:r>
      <w:r>
        <w:rPr>
          <w:rFonts w:ascii="EC Square Sans Pro" w:hAnsi="EC Square Sans Pro"/>
          <w:noProof/>
          <w:sz w:val="20"/>
        </w:rPr>
        <w:t>pentru a examina punerea în aplicare a recomandărilor și a emis 82 (</w:t>
      </w:r>
      <w:r>
        <w:rPr>
          <w:rStyle w:val="FootnoteReference"/>
          <w:rFonts w:ascii="EC Square Sans Pro" w:eastAsia="Times New Roman" w:hAnsi="EC Square Sans Pro" w:cs="Times New Roman"/>
          <w:noProof/>
          <w:kern w:val="0"/>
          <w:sz w:val="20"/>
          <w:szCs w:val="20"/>
          <w:lang w:eastAsia="en-GB"/>
        </w:rPr>
        <w:footnoteReference w:id="10"/>
      </w:r>
      <w:r>
        <w:rPr>
          <w:rFonts w:ascii="EC Square Sans Pro" w:hAnsi="EC Square Sans Pro"/>
          <w:noProof/>
          <w:sz w:val="20"/>
        </w:rPr>
        <w:t>) de note privind acțiunile subsecvente adresate direcțiilor generale și serviciilor relevante. Prin urmare, pentru 22 de misiuni, toate recomandările au fost închise (</w:t>
      </w:r>
      <w:r>
        <w:rPr>
          <w:rFonts w:ascii="EC Square Sans Pro" w:eastAsia="Times New Roman" w:hAnsi="EC Square Sans Pro" w:cs="Times New Roman"/>
          <w:noProof/>
          <w:kern w:val="0"/>
          <w:sz w:val="20"/>
          <w:szCs w:val="20"/>
          <w:vertAlign w:val="superscript"/>
          <w:lang w:eastAsia="en-GB"/>
        </w:rPr>
        <w:footnoteReference w:id="11"/>
      </w:r>
      <w:r>
        <w:rPr>
          <w:rFonts w:ascii="EC Square Sans Pro" w:hAnsi="EC Square Sans Pro"/>
          <w:noProof/>
          <w:sz w:val="20"/>
        </w:rPr>
        <w:t>), în timp ce pentru celelalte 28 de misiuni, una sau mai multe recomandări au rămas deschise până la data-limită (</w:t>
      </w:r>
      <w:r>
        <w:rPr>
          <w:rStyle w:val="FootnoteReference"/>
          <w:rFonts w:ascii="EC Square Sans Pro" w:eastAsia="Times New Roman" w:hAnsi="EC Square Sans Pro" w:cs="Times New Roman"/>
          <w:noProof/>
          <w:kern w:val="0"/>
          <w:sz w:val="20"/>
          <w:szCs w:val="20"/>
          <w:lang w:eastAsia="en-GB"/>
        </w:rPr>
        <w:footnoteReference w:id="12"/>
      </w:r>
      <w:r>
        <w:rPr>
          <w:rFonts w:ascii="EC Square Sans Pro" w:hAnsi="EC Square Sans Pro"/>
          <w:noProof/>
          <w:sz w:val="20"/>
        </w:rPr>
        <w:t xml:space="preserve">). </w:t>
      </w:r>
    </w:p>
    <w:p w14:paraId="53F1EE20" w14:textId="77777777" w:rsidR="00E767DD" w:rsidRDefault="00E767DD" w:rsidP="00E767DD">
      <w:pPr>
        <w:widowControl w:val="0"/>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După cum se arată mai jos, la data-limită 31 decembrie 2025, dintr-un total de 773 de recomandări (parțial) acceptate (</w:t>
      </w:r>
      <w:r>
        <w:rPr>
          <w:rStyle w:val="FootnoteReference"/>
          <w:rFonts w:ascii="EC Square Sans Pro" w:eastAsia="Times New Roman" w:hAnsi="EC Square Sans Pro" w:cs="Calibri"/>
          <w:noProof/>
          <w:kern w:val="0"/>
          <w:sz w:val="20"/>
          <w:szCs w:val="20"/>
          <w:lang w:eastAsia="en-GB"/>
        </w:rPr>
        <w:footnoteReference w:id="13"/>
      </w:r>
      <w:r>
        <w:rPr>
          <w:rFonts w:ascii="EC Square Sans Pro" w:hAnsi="EC Square Sans Pro"/>
          <w:noProof/>
          <w:sz w:val="20"/>
        </w:rPr>
        <w:t>), formulate de Serviciul de Audit Intern în perioada 2021-2025, 525 (68 %) au fost evaluate de entitățile auditate ca fiind puse în aplicare (</w:t>
      </w:r>
      <w:r>
        <w:rPr>
          <w:rStyle w:val="FootnoteReference"/>
          <w:rFonts w:ascii="EC Square Sans Pro" w:eastAsia="Times New Roman" w:hAnsi="EC Square Sans Pro" w:cs="Times New Roman"/>
          <w:noProof/>
          <w:kern w:val="0"/>
          <w:sz w:val="20"/>
          <w:szCs w:val="20"/>
          <w:lang w:eastAsia="en-GB"/>
        </w:rPr>
        <w:footnoteReference w:id="14"/>
      </w:r>
      <w:r>
        <w:rPr>
          <w:rFonts w:ascii="EC Square Sans Pro" w:hAnsi="EC Square Sans Pro"/>
          <w:noProof/>
          <w:sz w:val="20"/>
        </w:rPr>
        <w:t>). Aceasta înseamnă un total de 248 de recomandări (32 %) care rămân deschise.</w:t>
      </w:r>
    </w:p>
    <w:p w14:paraId="03491433" w14:textId="77777777" w:rsidR="00E767DD" w:rsidRPr="00E65C9B" w:rsidRDefault="00E767DD" w:rsidP="00E767DD">
      <w:pPr>
        <w:widowControl w:val="0"/>
        <w:spacing w:line="240" w:lineRule="auto"/>
        <w:jc w:val="both"/>
        <w:rPr>
          <w:rFonts w:ascii="EC Square Sans Pro" w:eastAsia="Times New Roman" w:hAnsi="EC Square Sans Pro" w:cs="Times New Roman"/>
          <w:noProof/>
          <w:kern w:val="0"/>
          <w:sz w:val="20"/>
          <w:szCs w:val="20"/>
          <w:lang w:eastAsia="en-GB"/>
          <w14:ligatures w14:val="none"/>
        </w:rPr>
      </w:pPr>
    </w:p>
    <w:p w14:paraId="2598A273" w14:textId="15D65A88" w:rsidR="00E767DD" w:rsidRDefault="007433B4" w:rsidP="00E767DD">
      <w:pPr>
        <w:pStyle w:val="Text2"/>
        <w:ind w:left="141"/>
        <w:jc w:val="center"/>
        <w:rPr>
          <w:noProof/>
        </w:rPr>
      </w:pPr>
      <w:r w:rsidRPr="007433B4">
        <w:rPr>
          <w:noProof/>
          <w:lang w:val="en-GB" w:eastAsia="en-GB"/>
        </w:rPr>
        <w:drawing>
          <wp:inline distT="0" distB="0" distL="0" distR="0" wp14:anchorId="5B5BD2A5" wp14:editId="4B429BA3">
            <wp:extent cx="5392800" cy="3034800"/>
            <wp:effectExtent l="0" t="0" r="0" b="0"/>
            <wp:docPr id="295328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328819" name=""/>
                    <pic:cNvPicPr/>
                  </pic:nvPicPr>
                  <pic:blipFill>
                    <a:blip r:embed="rId26"/>
                    <a:stretch>
                      <a:fillRect/>
                    </a:stretch>
                  </pic:blipFill>
                  <pic:spPr>
                    <a:xfrm>
                      <a:off x="0" y="0"/>
                      <a:ext cx="5392800" cy="3034800"/>
                    </a:xfrm>
                    <a:prstGeom prst="rect">
                      <a:avLst/>
                    </a:prstGeom>
                  </pic:spPr>
                </pic:pic>
              </a:graphicData>
            </a:graphic>
          </wp:inline>
        </w:drawing>
      </w:r>
    </w:p>
    <w:p w14:paraId="6B9CD8EA" w14:textId="77777777" w:rsidR="00E767DD" w:rsidRPr="005A044A" w:rsidRDefault="00E767DD" w:rsidP="00E767DD">
      <w:pPr>
        <w:spacing w:after="120" w:line="240" w:lineRule="auto"/>
        <w:jc w:val="both"/>
        <w:rPr>
          <w:rFonts w:ascii="EC Square Sans Pro" w:eastAsia="Times New Roman" w:hAnsi="EC Square Sans Pro" w:cs="Times New Roman"/>
          <w:i/>
          <w:iCs/>
          <w:noProof/>
          <w:kern w:val="0"/>
          <w:sz w:val="16"/>
          <w:szCs w:val="16"/>
          <w14:ligatures w14:val="none"/>
        </w:rPr>
      </w:pPr>
      <w:r>
        <w:rPr>
          <w:rFonts w:ascii="EC Square Sans Pro" w:hAnsi="EC Square Sans Pro"/>
          <w:i/>
          <w:noProof/>
          <w:sz w:val="16"/>
        </w:rPr>
        <w:t>Sursa:</w:t>
      </w:r>
      <w:r>
        <w:rPr>
          <w:rFonts w:ascii="EC Square Sans Pro" w:hAnsi="EC Square Sans Pro"/>
          <w:noProof/>
          <w:color w:val="02847D"/>
          <w:sz w:val="18"/>
        </w:rPr>
        <w:t xml:space="preserve"> </w:t>
      </w:r>
      <w:r>
        <w:rPr>
          <w:rFonts w:ascii="EC Square Sans Pro" w:hAnsi="EC Square Sans Pro"/>
          <w:i/>
          <w:noProof/>
          <w:sz w:val="16"/>
        </w:rPr>
        <w:t>Comisia Europeană, Serviciul de Audit Intern.</w:t>
      </w:r>
    </w:p>
    <w:p w14:paraId="7B3A7041" w14:textId="77777777" w:rsidR="00E767DD" w:rsidRDefault="00E767DD" w:rsidP="00E767DD">
      <w:pPr>
        <w:spacing w:line="240" w:lineRule="auto"/>
        <w:jc w:val="both"/>
        <w:rPr>
          <w:rFonts w:ascii="EC Square Sans Pro" w:eastAsia="Times New Roman" w:hAnsi="EC Square Sans Pro" w:cs="Times New Roman"/>
          <w:b/>
          <w:bCs/>
          <w:noProof/>
          <w:color w:val="003399" w:themeColor="text2"/>
          <w:kern w:val="0"/>
          <w:sz w:val="20"/>
          <w:szCs w:val="20"/>
          <w:lang w:eastAsia="en-GB"/>
          <w14:ligatures w14:val="none"/>
        </w:rPr>
      </w:pPr>
    </w:p>
    <w:p w14:paraId="0BF17982" w14:textId="07971862" w:rsidR="00E767DD" w:rsidRPr="005A044A" w:rsidRDefault="00E767DD" w:rsidP="00E767DD">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b/>
          <w:noProof/>
          <w:color w:val="003399" w:themeColor="text2"/>
          <w:sz w:val="20"/>
        </w:rPr>
        <w:t>Dintre cele 248 de recomandări care au rămas deschise la data-limită</w:t>
      </w:r>
      <w:r>
        <w:rPr>
          <w:rFonts w:ascii="EC Square Sans Pro" w:hAnsi="EC Square Sans Pro"/>
          <w:noProof/>
          <w:sz w:val="20"/>
        </w:rPr>
        <w:t>, două au fost evaluate ca fiind critice, 112 (45 %) ca fiind foarte importante și 134 (54 %) ca fiind importante.</w:t>
      </w:r>
    </w:p>
    <w:p w14:paraId="49CF287F" w14:textId="0E8F2339" w:rsidR="00E767DD" w:rsidRDefault="00E767DD" w:rsidP="00E767DD">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Dintre recomandările deschise, </w:t>
      </w:r>
      <w:r>
        <w:rPr>
          <w:rFonts w:ascii="EC Square Sans Pro" w:hAnsi="EC Square Sans Pro"/>
          <w:b/>
          <w:noProof/>
          <w:color w:val="003399" w:themeColor="text2"/>
          <w:sz w:val="20"/>
        </w:rPr>
        <w:t xml:space="preserve">43 sunt recomandări a căror punere în aplicare se află în întârziere </w:t>
      </w:r>
      <w:r>
        <w:rPr>
          <w:rFonts w:ascii="EC Square Sans Pro" w:hAnsi="EC Square Sans Pro"/>
          <w:noProof/>
          <w:sz w:val="20"/>
        </w:rPr>
        <w:t xml:space="preserve">(și anume nu au fost puse în aplicare până la data convenită inițial). Aceste recomandări a căror punere în aplicare se află în întârziere au reprezentat 5,6 % din recomandările (parțial) acceptate. </w:t>
      </w:r>
    </w:p>
    <w:p w14:paraId="2B5179CA" w14:textId="6FF1B5B8" w:rsidR="00E767DD" w:rsidRPr="00EB30C5" w:rsidRDefault="00E767DD" w:rsidP="00E767DD">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 xml:space="preserve">Dintre recomandările a căror punere în aplicare se află în întârziere, patru recomandări foarte importante emise în perioada 2021-2025 au fost clasificate ca </w:t>
      </w:r>
      <w:r>
        <w:rPr>
          <w:rFonts w:ascii="EC Square Sans Pro" w:hAnsi="EC Square Sans Pro"/>
          <w:b/>
          <w:noProof/>
          <w:color w:val="003399" w:themeColor="text2"/>
          <w:sz w:val="20"/>
        </w:rPr>
        <w:t xml:space="preserve">înregistrând întârzieri mari </w:t>
      </w:r>
      <w:r>
        <w:rPr>
          <w:rFonts w:ascii="EC Square Sans Pro" w:hAnsi="EC Square Sans Pro"/>
          <w:noProof/>
          <w:sz w:val="20"/>
        </w:rPr>
        <w:t xml:space="preserve">(și anume sunt deschise de mai mult de șase luni de la data punerii în aplicare convenite inițial), în comparație cu șase recomandări din anul precedent. Aceste recomandări foarte importante, care înregistrează întârzieri mari, au reprezentat 0,5 % din numărul total de recomandări acceptate (parțial) în perioada 2021-2025 (în concordanță cu perioada de raportare anterioară). În plus, există o recomandare foarte importantă care înregistrează întârzieri mari și care a fost emisă înainte de planul de audit din 2021, numărul total la data-limită crescând la </w:t>
      </w:r>
      <w:r>
        <w:rPr>
          <w:rFonts w:ascii="EC Square Sans Pro" w:hAnsi="EC Square Sans Pro"/>
          <w:b/>
          <w:noProof/>
          <w:color w:val="003399" w:themeColor="text2"/>
          <w:sz w:val="20"/>
        </w:rPr>
        <w:t>cinci recomandări foarte importante</w:t>
      </w:r>
      <w:r>
        <w:rPr>
          <w:rFonts w:ascii="EC Square Sans Pro" w:hAnsi="EC Square Sans Pro"/>
          <w:noProof/>
          <w:sz w:val="20"/>
        </w:rPr>
        <w:t xml:space="preserve">. </w:t>
      </w:r>
    </w:p>
    <w:p w14:paraId="4B8D9B18" w14:textId="77777777" w:rsidR="00E767DD" w:rsidRDefault="00E767DD" w:rsidP="00E767DD">
      <w:pPr>
        <w:pStyle w:val="Charttitle"/>
        <w:rPr>
          <w:noProof/>
        </w:rPr>
      </w:pPr>
      <w:r>
        <w:rPr>
          <w:noProof/>
        </w:rPr>
        <w:t>Întârzierea punerii în aplicare a recomandărilor a căror punere în aplicare se află în întârziere în funcție de clasificare</w:t>
      </w:r>
    </w:p>
    <w:p w14:paraId="1283B845" w14:textId="77777777" w:rsidR="00E767DD" w:rsidRDefault="00E767DD" w:rsidP="00E767DD">
      <w:pPr>
        <w:pStyle w:val="Charttitle"/>
        <w:rPr>
          <w:b w:val="0"/>
          <w:bCs w:val="0"/>
          <w:noProof/>
        </w:rPr>
      </w:pPr>
      <w:r>
        <w:rPr>
          <w:b w:val="0"/>
          <w:noProof/>
        </w:rPr>
        <w:t>(emise în 2021-2025)</w:t>
      </w:r>
    </w:p>
    <w:p w14:paraId="6240ECA8" w14:textId="42FFA1E2" w:rsidR="00E767DD" w:rsidRPr="00F90F6D" w:rsidRDefault="008B500B" w:rsidP="00E767DD">
      <w:pPr>
        <w:pStyle w:val="Text2"/>
        <w:widowControl w:val="0"/>
        <w:ind w:left="0"/>
        <w:jc w:val="center"/>
        <w:rPr>
          <w:i/>
          <w:iCs/>
          <w:noProof/>
          <w:sz w:val="22"/>
        </w:rPr>
      </w:pPr>
      <w:r w:rsidRPr="008B500B">
        <w:rPr>
          <w:i/>
          <w:iCs/>
          <w:noProof/>
          <w:sz w:val="22"/>
          <w:lang w:val="en-GB" w:eastAsia="en-GB"/>
        </w:rPr>
        <w:drawing>
          <wp:inline distT="0" distB="0" distL="0" distR="0" wp14:anchorId="63F23CA8" wp14:editId="711F3AD0">
            <wp:extent cx="5022000" cy="2808000"/>
            <wp:effectExtent l="0" t="0" r="7620" b="0"/>
            <wp:docPr id="1069131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131473" name=""/>
                    <pic:cNvPicPr/>
                  </pic:nvPicPr>
                  <pic:blipFill>
                    <a:blip r:embed="rId27"/>
                    <a:stretch>
                      <a:fillRect/>
                    </a:stretch>
                  </pic:blipFill>
                  <pic:spPr>
                    <a:xfrm>
                      <a:off x="0" y="0"/>
                      <a:ext cx="5022000" cy="2808000"/>
                    </a:xfrm>
                    <a:prstGeom prst="rect">
                      <a:avLst/>
                    </a:prstGeom>
                  </pic:spPr>
                </pic:pic>
              </a:graphicData>
            </a:graphic>
          </wp:inline>
        </w:drawing>
      </w:r>
    </w:p>
    <w:p w14:paraId="6FC3CEB5" w14:textId="77777777" w:rsidR="00E767DD" w:rsidRPr="005A044A" w:rsidRDefault="00E767DD" w:rsidP="00E767DD">
      <w:pPr>
        <w:pStyle w:val="Source"/>
        <w:rPr>
          <w:noProof/>
        </w:rPr>
      </w:pPr>
      <w:r>
        <w:rPr>
          <w:noProof/>
        </w:rPr>
        <w:t>Sursa: Comisia Europeană, Serviciul de Audit Intern.</w:t>
      </w:r>
    </w:p>
    <w:p w14:paraId="45DDE240" w14:textId="73FED986" w:rsidR="00E767DD" w:rsidRPr="005A044A" w:rsidRDefault="00E767DD" w:rsidP="00E767DD">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În ansamblu, Serviciul de Audit Intern consideră că situația punerii în aplicare a recomandărilor sale este satisfăcătoare și comparabilă cu perioadele de raportare anterioare. Acest lucru arată faptul că serviciile Comisiei tratează cu seriozitate punerea în aplicare a recomandărilor critice și foarte importante, atenuând, prin urmare, riscurile evidențiate de Serviciul de Audit Intern.</w:t>
      </w:r>
    </w:p>
    <w:p w14:paraId="6C3D8BB0" w14:textId="12EBE996" w:rsidR="00E767DD" w:rsidRDefault="00E767DD" w:rsidP="00E767DD">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Partea a 3-a a documentului de lucru al serviciilor Comisiei care însoțește prezentul raport rezumă aceste recomandări foarte importante care înregistrează întârzieri mari.</w:t>
      </w:r>
    </w:p>
    <w:p w14:paraId="12C5E5F4" w14:textId="77777777" w:rsidR="00E767DD" w:rsidRDefault="00E767DD" w:rsidP="00FC75FE">
      <w:pPr>
        <w:spacing w:line="240" w:lineRule="auto"/>
        <w:jc w:val="both"/>
        <w:rPr>
          <w:rFonts w:ascii="EC Square Sans Pro" w:eastAsia="Times New Roman" w:hAnsi="EC Square Sans Pro" w:cs="Times New Roman"/>
          <w:noProof/>
          <w:kern w:val="0"/>
          <w:sz w:val="20"/>
          <w:szCs w:val="20"/>
          <w:lang w:eastAsia="en-GB"/>
          <w14:ligatures w14:val="none"/>
        </w:rPr>
      </w:pPr>
    </w:p>
    <w:p w14:paraId="43B619A4" w14:textId="63E6FD88" w:rsidR="00BE5E44" w:rsidRPr="005A044A" w:rsidRDefault="00BE5E44" w:rsidP="00312725">
      <w:pPr>
        <w:pStyle w:val="Heading1"/>
        <w:rPr>
          <w:noProof/>
        </w:rPr>
      </w:pPr>
      <w:bookmarkStart w:id="106" w:name="_Toc237430199"/>
      <w:r>
        <w:rPr>
          <w:noProof/>
        </w:rPr>
        <w:t>Consultarea cu Grupul pentru nereguli financiare din cadrul Comisiei</w:t>
      </w:r>
      <w:bookmarkEnd w:id="97"/>
      <w:bookmarkEnd w:id="98"/>
      <w:bookmarkEnd w:id="99"/>
      <w:bookmarkEnd w:id="100"/>
      <w:bookmarkEnd w:id="101"/>
      <w:bookmarkEnd w:id="102"/>
      <w:bookmarkEnd w:id="103"/>
      <w:bookmarkEnd w:id="106"/>
      <w:r>
        <w:rPr>
          <w:noProof/>
        </w:rPr>
        <w:t xml:space="preserve"> </w:t>
      </w:r>
      <w:bookmarkStart w:id="107" w:name="_Toc255288538"/>
      <w:bookmarkEnd w:id="104"/>
    </w:p>
    <w:bookmarkEnd w:id="107"/>
    <w:p w14:paraId="3C026EC9" w14:textId="1255F6F4" w:rsidR="00BE5E44" w:rsidRPr="005A044A" w:rsidRDefault="00FC4EC6" w:rsidP="00D92B7C">
      <w:pPr>
        <w:spacing w:line="240" w:lineRule="auto"/>
        <w:jc w:val="both"/>
        <w:rPr>
          <w:rFonts w:ascii="EC Square Sans Pro" w:eastAsia="Times New Roman" w:hAnsi="EC Square Sans Pro" w:cs="Times New Roman"/>
          <w:noProof/>
          <w:kern w:val="0"/>
          <w:sz w:val="20"/>
          <w:szCs w:val="20"/>
          <w14:ligatures w14:val="none"/>
        </w:rPr>
      </w:pPr>
      <w:r>
        <w:rPr>
          <w:rFonts w:ascii="EC Square Sans Pro" w:hAnsi="EC Square Sans Pro"/>
          <w:noProof/>
          <w:sz w:val="20"/>
        </w:rPr>
        <w:t>Comitetul instituit în temeiul articolului 145 din Regulamentul financiar nu a raportat nicio problemă sistemică în 2025, când a emis avizul menționat la articolul 93 din Regulamentul financiar.</w:t>
      </w:r>
    </w:p>
    <w:p w14:paraId="7AE999D9" w14:textId="69514020" w:rsidR="00C5064B" w:rsidRPr="00F52C74" w:rsidRDefault="00C5064B" w:rsidP="00D92B7C">
      <w:pPr>
        <w:jc w:val="both"/>
        <w:rPr>
          <w:rFonts w:ascii="EC Square Sans Pro" w:hAnsi="EC Square Sans Pro"/>
          <w:noProof/>
        </w:rPr>
      </w:pPr>
    </w:p>
    <w:sectPr w:rsidR="00C5064B" w:rsidRPr="00F52C74" w:rsidSect="00A270E6">
      <w:headerReference w:type="even" r:id="rId28"/>
      <w:headerReference w:type="default" r:id="rId29"/>
      <w:footerReference w:type="even" r:id="rId30"/>
      <w:footerReference w:type="default" r:id="rId31"/>
      <w:headerReference w:type="first" r:id="rId32"/>
      <w:footerReference w:type="first" r:id="rId3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69F476" w14:textId="77777777" w:rsidR="00774603" w:rsidRPr="005A044A" w:rsidRDefault="00774603" w:rsidP="00A270E6">
      <w:pPr>
        <w:spacing w:after="0" w:line="240" w:lineRule="auto"/>
      </w:pPr>
      <w:r>
        <w:separator/>
      </w:r>
    </w:p>
  </w:endnote>
  <w:endnote w:type="continuationSeparator" w:id="0">
    <w:p w14:paraId="7BD04675" w14:textId="77777777" w:rsidR="00774603" w:rsidRPr="005A044A" w:rsidRDefault="00774603" w:rsidP="00A270E6">
      <w:pPr>
        <w:spacing w:after="0" w:line="240" w:lineRule="auto"/>
      </w:pPr>
      <w:r>
        <w:continuationSeparator/>
      </w:r>
    </w:p>
  </w:endnote>
  <w:endnote w:type="continuationNotice" w:id="1">
    <w:p w14:paraId="2DF859B7" w14:textId="77777777" w:rsidR="00774603" w:rsidRPr="005A044A" w:rsidRDefault="007746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EC Square Sans Pro">
    <w:altName w:val="Calibri"/>
    <w:charset w:val="00"/>
    <w:family w:val="swiss"/>
    <w:pitch w:val="variable"/>
    <w:sig w:usb0="20000287" w:usb1="00000001" w:usb2="00000000" w:usb3="00000000" w:csb0="0000019F" w:csb1="00000000"/>
  </w:font>
  <w:font w:name="Tunga">
    <w:altName w:val="Courier New"/>
    <w:panose1 w:val="000004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D0CD4" w14:textId="7D8B7801" w:rsidR="008B1B70" w:rsidRPr="008B1B70" w:rsidRDefault="008B1B70" w:rsidP="008B1B70">
    <w:pPr>
      <w:pStyle w:val="FooterCoverPage"/>
      <w:rPr>
        <w:rFonts w:ascii="Arial" w:hAnsi="Arial" w:cs="Arial"/>
        <w:b/>
        <w:sz w:val="48"/>
      </w:rPr>
    </w:pPr>
    <w:r w:rsidRPr="008B1B70">
      <w:rPr>
        <w:rFonts w:ascii="Arial" w:hAnsi="Arial" w:cs="Arial"/>
        <w:b/>
        <w:sz w:val="48"/>
      </w:rPr>
      <w:t>RO</w:t>
    </w:r>
    <w:r w:rsidRPr="008B1B70">
      <w:rPr>
        <w:rFonts w:ascii="Arial" w:hAnsi="Arial" w:cs="Arial"/>
        <w:b/>
        <w:sz w:val="48"/>
      </w:rPr>
      <w:tab/>
    </w:r>
    <w:r w:rsidRPr="008B1B70">
      <w:rPr>
        <w:rFonts w:ascii="Arial" w:hAnsi="Arial" w:cs="Arial"/>
        <w:b/>
        <w:sz w:val="48"/>
      </w:rPr>
      <w:tab/>
    </w:r>
    <w:r w:rsidRPr="008B1B70">
      <w:tab/>
    </w:r>
    <w:r w:rsidRPr="008B1B7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0F8D9" w14:textId="0AC0417A" w:rsidR="008B1B70" w:rsidRPr="008B1B70" w:rsidRDefault="008B1B70" w:rsidP="008B1B70">
    <w:pPr>
      <w:pStyle w:val="FooterCoverPage"/>
      <w:rPr>
        <w:rFonts w:ascii="Arial" w:hAnsi="Arial" w:cs="Arial"/>
        <w:b/>
        <w:sz w:val="48"/>
      </w:rPr>
    </w:pPr>
    <w:r w:rsidRPr="008B1B70">
      <w:rPr>
        <w:rFonts w:ascii="Arial" w:hAnsi="Arial" w:cs="Arial"/>
        <w:b/>
        <w:sz w:val="48"/>
      </w:rPr>
      <w:t>RO</w:t>
    </w:r>
    <w:r w:rsidRPr="008B1B70">
      <w:rPr>
        <w:rFonts w:ascii="Arial" w:hAnsi="Arial" w:cs="Arial"/>
        <w:b/>
        <w:sz w:val="48"/>
      </w:rPr>
      <w:tab/>
    </w:r>
    <w:r w:rsidRPr="008B1B70">
      <w:rPr>
        <w:rFonts w:ascii="Arial" w:hAnsi="Arial" w:cs="Arial"/>
        <w:b/>
        <w:sz w:val="48"/>
      </w:rPr>
      <w:tab/>
    </w:r>
    <w:r w:rsidRPr="008B1B70">
      <w:tab/>
    </w:r>
    <w:r w:rsidRPr="008B1B7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B29C4" w14:textId="77777777" w:rsidR="008B1B70" w:rsidRPr="008B1B70" w:rsidRDefault="008B1B70" w:rsidP="008B1B7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2B4E9" w14:textId="77777777" w:rsidR="00EA29C8" w:rsidRPr="005A044A" w:rsidRDefault="00EA29C8">
    <w:pPr>
      <w:pStyle w:val="FooterLine"/>
    </w:pPr>
    <w:r>
      <w:fldChar w:fldCharType="begin"/>
    </w:r>
    <w:r>
      <w:instrText>PAGE   \* MERGEFORMAT</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6C93E" w14:textId="77777777" w:rsidR="00EA29C8" w:rsidRPr="005A044A" w:rsidRDefault="00EA29C8">
    <w:pPr>
      <w:pStyle w:val="FooterLine"/>
      <w:jc w:val="center"/>
    </w:pPr>
    <w:r>
      <w:fldChar w:fldCharType="begin"/>
    </w:r>
    <w:r>
      <w:instrText>PAGE   \* MERGEFORMAT</w:instrText>
    </w:r>
    <w:r>
      <w:fldChar w:fldCharType="separate"/>
    </w:r>
    <w: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8EF1A" w14:textId="77777777" w:rsidR="00EA29C8" w:rsidRPr="005A044A" w:rsidRDefault="00EA29C8">
    <w:pPr>
      <w:pStyle w:val="Footer"/>
    </w:pPr>
  </w:p>
  <w:p w14:paraId="5379A2FE" w14:textId="77777777" w:rsidR="00EA29C8" w:rsidRPr="005A044A" w:rsidRDefault="00EA29C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76E0F8" w14:textId="77777777" w:rsidR="00A270E6" w:rsidRPr="005A044A" w:rsidRDefault="00A270E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1264737"/>
      <w:docPartObj>
        <w:docPartGallery w:val="Page Numbers (Bottom of Page)"/>
        <w:docPartUnique/>
      </w:docPartObj>
    </w:sdtPr>
    <w:sdtEndPr>
      <w:rPr>
        <w:sz w:val="20"/>
        <w:szCs w:val="20"/>
      </w:rPr>
    </w:sdtEndPr>
    <w:sdtContent>
      <w:p w14:paraId="46D764AB" w14:textId="77CE08CF" w:rsidR="00A270E6" w:rsidRPr="005A044A" w:rsidRDefault="00A270E6" w:rsidP="00A270E6">
        <w:pPr>
          <w:pStyle w:val="Footer"/>
          <w:jc w:val="center"/>
          <w:rPr>
            <w:sz w:val="20"/>
            <w:szCs w:val="20"/>
          </w:rPr>
        </w:pPr>
        <w:r>
          <w:rPr>
            <w:sz w:val="20"/>
          </w:rPr>
          <w:fldChar w:fldCharType="begin"/>
        </w:r>
        <w:r>
          <w:rPr>
            <w:sz w:val="20"/>
          </w:rPr>
          <w:instrText xml:space="preserve"> PAGE   \* MERGEFORMAT </w:instrText>
        </w:r>
        <w:r>
          <w:rPr>
            <w:sz w:val="20"/>
          </w:rPr>
          <w:fldChar w:fldCharType="separate"/>
        </w:r>
        <w:r w:rsidR="008B1B70">
          <w:rPr>
            <w:noProof/>
            <w:sz w:val="20"/>
          </w:rPr>
          <w:t>8</w:t>
        </w:r>
        <w:r>
          <w:rPr>
            <w:sz w:val="20"/>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92BCD" w14:textId="77777777" w:rsidR="00A270E6" w:rsidRPr="005A044A" w:rsidRDefault="00A270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63C9A2" w14:textId="77777777" w:rsidR="00774603" w:rsidRPr="005A044A" w:rsidRDefault="00774603" w:rsidP="00A270E6">
      <w:pPr>
        <w:spacing w:after="0" w:line="240" w:lineRule="auto"/>
      </w:pPr>
      <w:r>
        <w:separator/>
      </w:r>
    </w:p>
  </w:footnote>
  <w:footnote w:type="continuationSeparator" w:id="0">
    <w:p w14:paraId="75589206" w14:textId="77777777" w:rsidR="00774603" w:rsidRPr="005A044A" w:rsidRDefault="00774603" w:rsidP="00A270E6">
      <w:pPr>
        <w:spacing w:after="0" w:line="240" w:lineRule="auto"/>
      </w:pPr>
      <w:r>
        <w:continuationSeparator/>
      </w:r>
    </w:p>
  </w:footnote>
  <w:footnote w:type="continuationNotice" w:id="1">
    <w:p w14:paraId="70CC51F0" w14:textId="77777777" w:rsidR="00774603" w:rsidRPr="005A044A" w:rsidRDefault="00774603">
      <w:pPr>
        <w:spacing w:after="0" w:line="240" w:lineRule="auto"/>
      </w:pPr>
    </w:p>
  </w:footnote>
  <w:footnote w:id="2">
    <w:p w14:paraId="2D128519" w14:textId="1A679C8F" w:rsidR="00BE5E44" w:rsidRPr="005A044A" w:rsidRDefault="00BE5E44" w:rsidP="00935962">
      <w:pPr>
        <w:pStyle w:val="Footer"/>
        <w:tabs>
          <w:tab w:val="clear" w:pos="9071"/>
          <w:tab w:val="clear" w:pos="9921"/>
          <w:tab w:val="right" w:pos="9072"/>
        </w:tabs>
        <w:spacing w:before="0"/>
        <w:ind w:left="357" w:right="0" w:hanging="357"/>
        <w:jc w:val="both"/>
        <w:rPr>
          <w:sz w:val="18"/>
          <w:szCs w:val="18"/>
        </w:rPr>
      </w:pPr>
      <w:r>
        <w:rPr>
          <w:sz w:val="18"/>
        </w:rPr>
        <w:t>(</w:t>
      </w:r>
      <w:r>
        <w:rPr>
          <w:sz w:val="18"/>
          <w:szCs w:val="18"/>
          <w:vertAlign w:val="superscript"/>
        </w:rPr>
        <w:footnoteRef/>
      </w:r>
      <w:r>
        <w:rPr>
          <w:sz w:val="18"/>
        </w:rPr>
        <w:t>)</w:t>
      </w:r>
      <w:r>
        <w:tab/>
      </w:r>
      <w:r>
        <w:rPr>
          <w:sz w:val="18"/>
        </w:rPr>
        <w:t xml:space="preserve">Raportul nu se referă la </w:t>
      </w:r>
      <w:bookmarkStart w:id="15" w:name="_Hlk228730859"/>
      <w:r>
        <w:rPr>
          <w:sz w:val="18"/>
        </w:rPr>
        <w:t>Serviciul European de Acțiune Externă, Autoritatea Europeană pentru Protecția Datelor, Parchetul European, Instrumentul european pentru pace, agențiile descentralizate ale UE, întreprinderile comune ale UE sau alte organisme autonome care sunt auditate de Serviciul de Audit Intern. Acestea primesc rapoarte separate, dacă este cazul.</w:t>
      </w:r>
    </w:p>
    <w:bookmarkEnd w:id="15"/>
  </w:footnote>
  <w:footnote w:id="3">
    <w:p w14:paraId="3A88EE6B" w14:textId="6A36D1D8" w:rsidR="00BE5E44" w:rsidRPr="005A044A" w:rsidRDefault="00935962" w:rsidP="00935962">
      <w:pPr>
        <w:pStyle w:val="Footer"/>
        <w:tabs>
          <w:tab w:val="clear" w:pos="9071"/>
          <w:tab w:val="clear" w:pos="9921"/>
          <w:tab w:val="right" w:pos="9072"/>
        </w:tabs>
        <w:spacing w:before="0"/>
        <w:ind w:left="357" w:right="0" w:hanging="357"/>
        <w:jc w:val="both"/>
        <w:rPr>
          <w:sz w:val="18"/>
          <w:szCs w:val="18"/>
        </w:rPr>
      </w:pPr>
      <w:r>
        <w:rPr>
          <w:sz w:val="18"/>
        </w:rPr>
        <w:t>(</w:t>
      </w:r>
      <w:r>
        <w:rPr>
          <w:sz w:val="18"/>
          <w:szCs w:val="18"/>
          <w:vertAlign w:val="superscript"/>
        </w:rPr>
        <w:footnoteRef/>
      </w:r>
      <w:r>
        <w:rPr>
          <w:sz w:val="18"/>
        </w:rPr>
        <w:t>)</w:t>
      </w:r>
      <w:r>
        <w:tab/>
      </w:r>
      <w:r>
        <w:rPr>
          <w:sz w:val="18"/>
        </w:rPr>
        <w:t>Regulamentul (UE, Euratom) 2024/2509 al Parlamentului European și al Consiliului din 23 septembrie 2024 de înlocuire a Regulamentului (UE, Euratom) 2018/1046 (articolul 247).</w:t>
      </w:r>
    </w:p>
  </w:footnote>
  <w:footnote w:id="4">
    <w:p w14:paraId="7C3D39FC" w14:textId="0018F6FE" w:rsidR="006C59B1" w:rsidRPr="005A044A" w:rsidRDefault="00935962" w:rsidP="006C59B1">
      <w:pPr>
        <w:pStyle w:val="Footer"/>
        <w:tabs>
          <w:tab w:val="clear" w:pos="9071"/>
          <w:tab w:val="clear" w:pos="9921"/>
          <w:tab w:val="right" w:pos="9072"/>
        </w:tabs>
        <w:spacing w:before="0"/>
        <w:ind w:left="357" w:right="0" w:hanging="357"/>
        <w:jc w:val="both"/>
        <w:rPr>
          <w:sz w:val="18"/>
          <w:szCs w:val="18"/>
        </w:rPr>
      </w:pPr>
      <w:r>
        <w:rPr>
          <w:sz w:val="18"/>
        </w:rPr>
        <w:t>(</w:t>
      </w:r>
      <w:r>
        <w:rPr>
          <w:sz w:val="18"/>
          <w:szCs w:val="18"/>
          <w:vertAlign w:val="superscript"/>
        </w:rPr>
        <w:footnoteRef/>
      </w:r>
      <w:r>
        <w:rPr>
          <w:sz w:val="18"/>
        </w:rPr>
        <w:t>)</w:t>
      </w:r>
      <w:r>
        <w:tab/>
      </w:r>
      <w:r>
        <w:rPr>
          <w:sz w:val="18"/>
        </w:rPr>
        <w:t>Rapoartele de audit finalizate în perioada 1 februarie 2025-31 decembrie 2025 sunt incluse în prezentul raport, cu excepția auditului privind gestionarea resurselor umane din cadrul Direcției Generale Stabilitate Financiară, Servicii Financiare și Uniunea Piețelor de Capital, pentru care raportul final de audit a fost emis la 10 martie 2025 și a fost inclus, în mod excepțional, în raportul anual de audit intern pentru 2024.</w:t>
      </w:r>
    </w:p>
  </w:footnote>
  <w:footnote w:id="5">
    <w:p w14:paraId="76C57E4E" w14:textId="0D03DC5C" w:rsidR="000B4B70" w:rsidRPr="005A044A" w:rsidRDefault="000B4B70" w:rsidP="000B4B70">
      <w:pPr>
        <w:pStyle w:val="Footer"/>
        <w:tabs>
          <w:tab w:val="clear" w:pos="9921"/>
        </w:tabs>
        <w:spacing w:before="0"/>
        <w:ind w:left="357" w:right="0" w:hanging="357"/>
        <w:jc w:val="both"/>
        <w:rPr>
          <w:sz w:val="18"/>
          <w:szCs w:val="18"/>
        </w:rPr>
      </w:pPr>
      <w:r>
        <w:rPr>
          <w:sz w:val="18"/>
        </w:rPr>
        <w:t>(</w:t>
      </w:r>
      <w:r>
        <w:rPr>
          <w:rStyle w:val="FootnoteReference"/>
          <w:sz w:val="18"/>
          <w:szCs w:val="18"/>
        </w:rPr>
        <w:footnoteRef/>
      </w:r>
      <w:r>
        <w:rPr>
          <w:sz w:val="18"/>
        </w:rPr>
        <w:t>)</w:t>
      </w:r>
      <w:r>
        <w:tab/>
      </w:r>
      <w:r>
        <w:rPr>
          <w:sz w:val="18"/>
        </w:rPr>
        <w:t>Un rezumat al asigurării furnizate de Serviciul de Audit Intern este publicat în paralel cu prezentul raport în Raportul anual privind gestionarea și performanța bugetului UE.</w:t>
      </w:r>
    </w:p>
  </w:footnote>
  <w:footnote w:id="6">
    <w:p w14:paraId="4BD951D9" w14:textId="77777777" w:rsidR="00CF0B60" w:rsidRPr="00923F90" w:rsidRDefault="00CF0B60" w:rsidP="00923F90">
      <w:pPr>
        <w:pStyle w:val="FootnoteText"/>
        <w:spacing w:before="0"/>
        <w:ind w:left="357" w:hanging="357"/>
        <w:rPr>
          <w:rFonts w:ascii="EC Square Sans Pro" w:hAnsi="EC Square Sans Pro"/>
          <w:sz w:val="18"/>
          <w:szCs w:val="18"/>
        </w:rPr>
      </w:pPr>
      <w:r>
        <w:rPr>
          <w:rFonts w:ascii="EC Square Sans Pro" w:hAnsi="EC Square Sans Pro"/>
          <w:sz w:val="18"/>
        </w:rPr>
        <w:t>(</w:t>
      </w:r>
      <w:r>
        <w:rPr>
          <w:rFonts w:ascii="EC Square Sans Pro" w:hAnsi="EC Square Sans Pro"/>
          <w:sz w:val="18"/>
          <w:szCs w:val="18"/>
          <w:vertAlign w:val="superscript"/>
        </w:rPr>
        <w:footnoteRef/>
      </w:r>
      <w:r>
        <w:rPr>
          <w:rFonts w:ascii="EC Square Sans Pro" w:hAnsi="EC Square Sans Pro"/>
          <w:sz w:val="18"/>
        </w:rPr>
        <w:t>)</w:t>
      </w:r>
      <w:r>
        <w:tab/>
      </w:r>
      <w:r>
        <w:rPr>
          <w:rFonts w:ascii="EC Square Sans Pro" w:hAnsi="EC Square Sans Pro"/>
          <w:sz w:val="18"/>
        </w:rPr>
        <w:t>Decizia (UE) 2025/2570 a Comisiei din 18 decembrie 2025 de stabilire a cartei de misiune a Serviciului de Audit Intern al Comisiei.</w:t>
      </w:r>
    </w:p>
  </w:footnote>
  <w:footnote w:id="7">
    <w:p w14:paraId="6B25BCD5" w14:textId="51223A3E" w:rsidR="00CF0B60" w:rsidRPr="00011A05" w:rsidRDefault="00CF0B60" w:rsidP="00923F90">
      <w:pPr>
        <w:pStyle w:val="FootnoteText"/>
        <w:spacing w:before="0"/>
        <w:ind w:left="357" w:hanging="357"/>
        <w:rPr>
          <w:rFonts w:ascii="EC Square Sans Pro" w:hAnsi="EC Square Sans Pro"/>
          <w:color w:val="000000" w:themeColor="text1"/>
        </w:rPr>
      </w:pPr>
      <w:r>
        <w:rPr>
          <w:rFonts w:ascii="EC Square Sans Pro" w:hAnsi="EC Square Sans Pro"/>
          <w:sz w:val="18"/>
        </w:rPr>
        <w:t>(</w:t>
      </w:r>
      <w:r>
        <w:rPr>
          <w:rFonts w:ascii="EC Square Sans Pro" w:hAnsi="EC Square Sans Pro"/>
          <w:sz w:val="18"/>
          <w:szCs w:val="18"/>
          <w:vertAlign w:val="superscript"/>
        </w:rPr>
        <w:footnoteRef/>
      </w:r>
      <w:r>
        <w:rPr>
          <w:rFonts w:ascii="EC Square Sans Pro" w:hAnsi="EC Square Sans Pro"/>
          <w:sz w:val="18"/>
        </w:rPr>
        <w:t xml:space="preserve">) </w:t>
      </w:r>
      <w:r>
        <w:tab/>
      </w:r>
      <w:hyperlink r:id="rId1" w:history="1">
        <w:r>
          <w:rPr>
            <w:rFonts w:ascii="EC Square Sans Pro" w:hAnsi="EC Square Sans Pro"/>
            <w:sz w:val="18"/>
          </w:rPr>
          <w:t>Standardele globale de audit intern</w:t>
        </w:r>
      </w:hyperlink>
      <w:r>
        <w:rPr>
          <w:rFonts w:ascii="EC Square Sans Pro" w:hAnsi="EC Square Sans Pro"/>
          <w:sz w:val="18"/>
        </w:rPr>
        <w:t xml:space="preserve">, promulgate de Institutul Auditorilor Interni (IIA) și care au intrat în vigoare la 9 ianuarie 2025, oferă orientări privind practica profesională la nivel mondial în materie de audit intern și servesc drept bază pentru evaluarea și îmbunătățirea calității funcției de audit intern. </w:t>
      </w:r>
      <w:hyperlink r:id="rId2" w:history="1">
        <w:r>
          <w:rPr>
            <w:rFonts w:ascii="EC Square Sans Pro" w:hAnsi="EC Square Sans Pro"/>
            <w:sz w:val="18"/>
          </w:rPr>
          <w:t>Standardele globale de audit intern</w:t>
        </w:r>
      </w:hyperlink>
      <w:r>
        <w:rPr>
          <w:rFonts w:ascii="EC Square Sans Pro" w:hAnsi="EC Square Sans Pro"/>
          <w:sz w:val="18"/>
        </w:rPr>
        <w:t xml:space="preserve"> înlocuiesc Cadrul internațional de practici profesionale din 2017 al Institutului Auditorilor Interni, care a fost aplicabil în 2024.</w:t>
      </w:r>
    </w:p>
  </w:footnote>
  <w:footnote w:id="8">
    <w:p w14:paraId="385DBD54" w14:textId="2B1DCCAE" w:rsidR="001B0430" w:rsidRPr="00BC27D9" w:rsidRDefault="001B0430" w:rsidP="006B5041">
      <w:pPr>
        <w:pStyle w:val="FootnoteText"/>
        <w:spacing w:before="0"/>
        <w:ind w:left="357" w:hanging="357"/>
        <w:rPr>
          <w:rFonts w:ascii="EC Square Sans Pro" w:hAnsi="EC Square Sans Pro"/>
          <w:sz w:val="18"/>
          <w:szCs w:val="18"/>
        </w:rPr>
      </w:pPr>
      <w:r>
        <w:rPr>
          <w:rFonts w:ascii="EC Square Sans Pro" w:hAnsi="EC Square Sans Pro"/>
          <w:sz w:val="18"/>
        </w:rPr>
        <w:t>(</w:t>
      </w:r>
      <w:r>
        <w:rPr>
          <w:rStyle w:val="FootnoteReference"/>
          <w:rFonts w:ascii="EC Square Sans Pro" w:hAnsi="EC Square Sans Pro"/>
          <w:sz w:val="18"/>
          <w:szCs w:val="18"/>
        </w:rPr>
        <w:footnoteRef/>
      </w:r>
      <w:r>
        <w:rPr>
          <w:rFonts w:ascii="EC Square Sans Pro" w:hAnsi="EC Square Sans Pro"/>
          <w:sz w:val="18"/>
        </w:rPr>
        <w:t>)</w:t>
      </w:r>
      <w:r>
        <w:tab/>
      </w:r>
      <w:r>
        <w:rPr>
          <w:rFonts w:ascii="EC Square Sans Pro" w:hAnsi="EC Square Sans Pro"/>
          <w:sz w:val="18"/>
        </w:rPr>
        <w:t xml:space="preserve">Planul de audit pentru 2025 este un an de tranziție către noua dată-limită de 31 decembrie 2025. Până în 2024, perioada de referință pentru planurile de audit a fost cuprinsă între 1 februarie anul n și 31 ianuarie anul n+1. </w:t>
      </w:r>
    </w:p>
  </w:footnote>
  <w:footnote w:id="9">
    <w:p w14:paraId="30129AC4" w14:textId="01E4EFFC" w:rsidR="0004049D" w:rsidRPr="005A044A" w:rsidRDefault="0004049D" w:rsidP="00F419AE">
      <w:pPr>
        <w:pStyle w:val="FootnoteText"/>
        <w:spacing w:before="0"/>
        <w:ind w:left="357" w:hanging="357"/>
        <w:rPr>
          <w:rFonts w:ascii="EC Square Sans Pro" w:hAnsi="EC Square Sans Pro"/>
          <w:sz w:val="18"/>
          <w:szCs w:val="18"/>
        </w:rPr>
      </w:pPr>
      <w:r>
        <w:rPr>
          <w:rFonts w:ascii="EC Square Sans Pro" w:hAnsi="EC Square Sans Pro"/>
          <w:sz w:val="18"/>
        </w:rPr>
        <w:t>(</w:t>
      </w:r>
      <w:r>
        <w:rPr>
          <w:rStyle w:val="FootnoteReference"/>
          <w:rFonts w:ascii="EC Square Sans Pro" w:hAnsi="EC Square Sans Pro"/>
          <w:sz w:val="18"/>
          <w:szCs w:val="18"/>
        </w:rPr>
        <w:footnoteRef/>
      </w:r>
      <w:r>
        <w:rPr>
          <w:rFonts w:ascii="EC Square Sans Pro" w:hAnsi="EC Square Sans Pro"/>
          <w:sz w:val="18"/>
        </w:rPr>
        <w:t>)</w:t>
      </w:r>
      <w:r>
        <w:tab/>
      </w:r>
      <w:r>
        <w:rPr>
          <w:rFonts w:ascii="EC Square Sans Pro" w:hAnsi="EC Square Sans Pro"/>
          <w:sz w:val="18"/>
        </w:rPr>
        <w:t xml:space="preserve">Prezentul raport de audit a vizat auditul gestionării resurselor umane în cadrul Direcției Generale Stabilitate Financiară, Servicii Financiare și Uniunea Piețelor de Capital. Raportul final de audit pentru acest audit a fost emis la 10 martie 2025. </w:t>
      </w:r>
      <w:r>
        <w:tab/>
      </w:r>
      <w:r>
        <w:rPr>
          <w:rFonts w:ascii="EC Square Sans Pro" w:hAnsi="EC Square Sans Pro"/>
          <w:sz w:val="18"/>
        </w:rPr>
        <w:t xml:space="preserve"> </w:t>
      </w:r>
    </w:p>
  </w:footnote>
  <w:footnote w:id="10">
    <w:p w14:paraId="6EED14B2" w14:textId="77777777" w:rsidR="00E767DD" w:rsidRPr="00962535" w:rsidRDefault="00E767DD" w:rsidP="00E767DD">
      <w:pPr>
        <w:pStyle w:val="FootnoteText"/>
        <w:spacing w:before="0"/>
        <w:ind w:left="357" w:hanging="357"/>
        <w:rPr>
          <w:rFonts w:ascii="EC Square Sans Pro" w:hAnsi="EC Square Sans Pro"/>
          <w:sz w:val="18"/>
          <w:szCs w:val="18"/>
        </w:rPr>
      </w:pPr>
      <w:r>
        <w:rPr>
          <w:rFonts w:ascii="EC Square Sans Pro" w:hAnsi="EC Square Sans Pro"/>
          <w:sz w:val="18"/>
        </w:rPr>
        <w:t>(</w:t>
      </w:r>
      <w:r>
        <w:rPr>
          <w:rStyle w:val="FootnoteReference"/>
          <w:rFonts w:ascii="EC Square Sans Pro" w:hAnsi="EC Square Sans Pro"/>
          <w:sz w:val="18"/>
          <w:szCs w:val="18"/>
        </w:rPr>
        <w:footnoteRef/>
      </w:r>
      <w:r>
        <w:rPr>
          <w:rFonts w:ascii="EC Square Sans Pro" w:hAnsi="EC Square Sans Pro"/>
          <w:sz w:val="18"/>
        </w:rPr>
        <w:t>)</w:t>
      </w:r>
      <w:r>
        <w:tab/>
      </w:r>
      <w:r>
        <w:rPr>
          <w:rFonts w:ascii="EC Square Sans Pro" w:hAnsi="EC Square Sans Pro"/>
          <w:sz w:val="18"/>
        </w:rPr>
        <w:t>Unele misiuni de audit au făcut de mai multe ori obiectul unor acțiuni subsecvente, iar unele note privind acțiunile subsecvente au vizat mai multe misiuni de audit.</w:t>
      </w:r>
    </w:p>
  </w:footnote>
  <w:footnote w:id="11">
    <w:p w14:paraId="183FD140" w14:textId="3D95C39E" w:rsidR="00E767DD" w:rsidRPr="00962535" w:rsidRDefault="00E767DD" w:rsidP="00E767DD">
      <w:pPr>
        <w:pStyle w:val="FootnoteText"/>
        <w:spacing w:before="0"/>
        <w:ind w:left="357" w:hanging="357"/>
        <w:rPr>
          <w:rFonts w:ascii="EC Square Sans Pro" w:hAnsi="EC Square Sans Pro"/>
          <w:sz w:val="18"/>
          <w:szCs w:val="18"/>
        </w:rPr>
      </w:pPr>
      <w:r>
        <w:rPr>
          <w:rFonts w:ascii="EC Square Sans Pro" w:hAnsi="EC Square Sans Pro"/>
          <w:sz w:val="18"/>
        </w:rPr>
        <w:t>(</w:t>
      </w:r>
      <w:r>
        <w:rPr>
          <w:rFonts w:ascii="EC Square Sans Pro" w:hAnsi="EC Square Sans Pro"/>
          <w:sz w:val="18"/>
          <w:szCs w:val="18"/>
          <w:vertAlign w:val="superscript"/>
        </w:rPr>
        <w:footnoteRef/>
      </w:r>
      <w:r>
        <w:rPr>
          <w:rFonts w:ascii="EC Square Sans Pro" w:hAnsi="EC Square Sans Pro"/>
          <w:sz w:val="18"/>
        </w:rPr>
        <w:t>)</w:t>
      </w:r>
      <w:r>
        <w:tab/>
      </w:r>
      <w:r>
        <w:rPr>
          <w:rFonts w:ascii="EC Square Sans Pro" w:hAnsi="EC Square Sans Pro"/>
          <w:sz w:val="18"/>
        </w:rPr>
        <w:t xml:space="preserve">Secțiunea 2.2 din documentul de lucru al serviciilor Comisiei conține lista auditurilor care au fost închise după efectuarea unei monitorizări. </w:t>
      </w:r>
    </w:p>
  </w:footnote>
  <w:footnote w:id="12">
    <w:p w14:paraId="634B3CF8" w14:textId="0DDA082A" w:rsidR="00E767DD" w:rsidRPr="00E65C9B" w:rsidRDefault="00E767DD" w:rsidP="00E767DD">
      <w:pPr>
        <w:pStyle w:val="FootnoteText"/>
        <w:spacing w:before="0"/>
        <w:ind w:left="357" w:hanging="357"/>
        <w:rPr>
          <w:rFonts w:ascii="EC Square Sans Pro" w:hAnsi="EC Square Sans Pro"/>
          <w:sz w:val="18"/>
          <w:szCs w:val="18"/>
        </w:rPr>
      </w:pPr>
      <w:r>
        <w:rPr>
          <w:rFonts w:ascii="EC Square Sans Pro" w:hAnsi="EC Square Sans Pro"/>
          <w:sz w:val="18"/>
        </w:rPr>
        <w:t>(</w:t>
      </w:r>
      <w:r>
        <w:rPr>
          <w:rStyle w:val="FootnoteReference"/>
          <w:rFonts w:ascii="EC Square Sans Pro" w:hAnsi="EC Square Sans Pro"/>
          <w:sz w:val="18"/>
          <w:szCs w:val="18"/>
        </w:rPr>
        <w:footnoteRef/>
      </w:r>
      <w:r>
        <w:rPr>
          <w:rFonts w:ascii="EC Square Sans Pro" w:hAnsi="EC Square Sans Pro"/>
          <w:sz w:val="18"/>
        </w:rPr>
        <w:t xml:space="preserve">) </w:t>
      </w:r>
      <w:r>
        <w:tab/>
      </w:r>
      <w:r>
        <w:rPr>
          <w:rFonts w:ascii="EC Square Sans Pro" w:hAnsi="EC Square Sans Pro"/>
          <w:sz w:val="18"/>
        </w:rPr>
        <w:t>Secțiunea 2.1 din documentul de lucru al serviciilor Comisiei conține o listă de audituri care au rămas deschise după efectuarea unei monitorizări a recomandărilor critice și/sau foarte importante.</w:t>
      </w:r>
      <w:r w:rsidR="00500152">
        <w:rPr>
          <w:rFonts w:ascii="EC Square Sans Pro" w:hAnsi="EC Square Sans Pro"/>
          <w:sz w:val="18"/>
        </w:rPr>
        <w:t xml:space="preserve"> </w:t>
      </w:r>
    </w:p>
  </w:footnote>
  <w:footnote w:id="13">
    <w:p w14:paraId="586EE330" w14:textId="77777777" w:rsidR="00E767DD" w:rsidRPr="00962535" w:rsidRDefault="00E767DD" w:rsidP="00E767DD">
      <w:pPr>
        <w:pStyle w:val="FootnoteText"/>
        <w:spacing w:before="0"/>
        <w:ind w:left="357" w:hanging="357"/>
        <w:rPr>
          <w:rFonts w:ascii="EC Square Sans Pro" w:hAnsi="EC Square Sans Pro"/>
          <w:sz w:val="18"/>
          <w:szCs w:val="18"/>
        </w:rPr>
      </w:pPr>
      <w:r>
        <w:rPr>
          <w:rFonts w:ascii="EC Square Sans Pro" w:hAnsi="EC Square Sans Pro"/>
          <w:sz w:val="18"/>
        </w:rPr>
        <w:t>(</w:t>
      </w:r>
      <w:r>
        <w:rPr>
          <w:rStyle w:val="FootnoteReference"/>
          <w:rFonts w:ascii="EC Square Sans Pro" w:hAnsi="EC Square Sans Pro"/>
          <w:sz w:val="18"/>
          <w:szCs w:val="18"/>
        </w:rPr>
        <w:footnoteRef/>
      </w:r>
      <w:r>
        <w:rPr>
          <w:rFonts w:ascii="EC Square Sans Pro" w:hAnsi="EC Square Sans Pro"/>
          <w:sz w:val="18"/>
        </w:rPr>
        <w:t xml:space="preserve">) </w:t>
      </w:r>
      <w:r>
        <w:tab/>
      </w:r>
      <w:r>
        <w:rPr>
          <w:rFonts w:ascii="EC Square Sans Pro" w:hAnsi="EC Square Sans Pro"/>
          <w:sz w:val="18"/>
        </w:rPr>
        <w:t xml:space="preserve">777 de recomandări emise în perioada 2021-2025, 763 de recomandări au fost pe deplin acceptate, 10 au fost parțial acceptate, iar patru au fost respinse. </w:t>
      </w:r>
    </w:p>
  </w:footnote>
  <w:footnote w:id="14">
    <w:p w14:paraId="310E9443" w14:textId="0BBFE0F1" w:rsidR="00E767DD" w:rsidRPr="005A044A" w:rsidRDefault="00E767DD" w:rsidP="00E767DD">
      <w:pPr>
        <w:pStyle w:val="FootnoteText"/>
        <w:spacing w:before="0"/>
        <w:ind w:left="357" w:hanging="357"/>
        <w:rPr>
          <w:rFonts w:ascii="EC Square Sans Pro" w:hAnsi="EC Square Sans Pro"/>
          <w:sz w:val="18"/>
          <w:szCs w:val="18"/>
        </w:rPr>
      </w:pPr>
      <w:r>
        <w:rPr>
          <w:rFonts w:ascii="EC Square Sans Pro" w:hAnsi="EC Square Sans Pro"/>
          <w:sz w:val="18"/>
        </w:rPr>
        <w:t>(</w:t>
      </w:r>
      <w:r>
        <w:rPr>
          <w:rStyle w:val="FootnoteReference"/>
          <w:rFonts w:ascii="EC Square Sans Pro" w:hAnsi="EC Square Sans Pro"/>
          <w:sz w:val="18"/>
          <w:szCs w:val="18"/>
        </w:rPr>
        <w:footnoteRef/>
      </w:r>
      <w:r>
        <w:rPr>
          <w:rFonts w:ascii="EC Square Sans Pro" w:hAnsi="EC Square Sans Pro"/>
          <w:sz w:val="18"/>
        </w:rPr>
        <w:t xml:space="preserve">) </w:t>
      </w:r>
      <w:r>
        <w:tab/>
      </w:r>
      <w:r>
        <w:rPr>
          <w:rFonts w:ascii="EC Square Sans Pro" w:hAnsi="EC Square Sans Pro"/>
          <w:sz w:val="18"/>
        </w:rPr>
        <w:t>Diagrama prezintă clasificarea recomandărilor la data-limită. Aceasta poate fi diferită de clasificarea din raportul de audit inițial, deoarece, într-un audit de urmărire subsecventă, Serviciul de Audit Intern poate evalua dacă acțiunile întreprinse de entitatea auditată au atenuat parțial riscurile care au fost identificate inițial și poate, prin urmare, să scadă nivelul de clasificare a recomandării.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759B6" w14:textId="77777777" w:rsidR="008B1B70" w:rsidRPr="008B1B70" w:rsidRDefault="008B1B70" w:rsidP="008B1B7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497FC" w14:textId="77777777" w:rsidR="008B1B70" w:rsidRPr="008B1B70" w:rsidRDefault="008B1B70" w:rsidP="008B1B7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A7447" w14:textId="77777777" w:rsidR="008B1B70" w:rsidRPr="008B1B70" w:rsidRDefault="008B1B70" w:rsidP="008B1B7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E1305" w14:textId="77777777" w:rsidR="00EA29C8" w:rsidRPr="005A044A" w:rsidRDefault="00EA29C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4798E" w14:textId="77777777" w:rsidR="00EA29C8" w:rsidRPr="005A044A" w:rsidRDefault="00EA29C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9841A" w14:textId="77777777" w:rsidR="00EA29C8" w:rsidRPr="005A044A" w:rsidRDefault="00EA29C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DABC3" w14:textId="77777777" w:rsidR="00A270E6" w:rsidRPr="005A044A" w:rsidRDefault="00A270E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116E9" w14:textId="0957E667" w:rsidR="00A270E6" w:rsidRPr="005A044A" w:rsidRDefault="00BA56B8">
    <w:pPr>
      <w:pStyle w:val="Header"/>
    </w:pPr>
    <w:r>
      <w:rPr>
        <w:noProof/>
        <w:color w:val="2B579A"/>
        <w:shd w:val="clear" w:color="auto" w:fill="E6E6E6"/>
        <w:lang w:val="en-GB" w:eastAsia="en-GB"/>
      </w:rPr>
      <mc:AlternateContent>
        <mc:Choice Requires="wps">
          <w:drawing>
            <wp:anchor distT="0" distB="0" distL="114300" distR="114300" simplePos="0" relativeHeight="251658240" behindDoc="0" locked="1" layoutInCell="1" allowOverlap="1" wp14:anchorId="0C2EC07B" wp14:editId="761BC47A">
              <wp:simplePos x="0" y="0"/>
              <wp:positionH relativeFrom="page">
                <wp:posOffset>-23495</wp:posOffset>
              </wp:positionH>
              <wp:positionV relativeFrom="page">
                <wp:posOffset>3175</wp:posOffset>
              </wp:positionV>
              <wp:extent cx="7620635" cy="212090"/>
              <wp:effectExtent l="0" t="0" r="0" b="0"/>
              <wp:wrapNone/>
              <wp:docPr id="1825826818" name="Rectangle 18258268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20635" cy="212090"/>
                      </a:xfrm>
                      <a:prstGeom prst="rect">
                        <a:avLst/>
                      </a:prstGeom>
                      <a:solidFill>
                        <a:srgbClr val="DC165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1825826818" style="position:absolute;margin-left:-1.85pt;margin-top:.25pt;width:600.05pt;height:1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dc165d"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" w14:anchorId="61134ADA">
              <o:lock v:ext="edit" aspectratio="t"/>
              <w10:wrap anchorx="page" anchory="page"/>
              <w10:anchorlock/>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B943E" w14:textId="77777777" w:rsidR="00A270E6" w:rsidRPr="005A044A" w:rsidRDefault="00A270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6E8971E"/>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36829AE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71F8B97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A2D4373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3"/>
    <w:multiLevelType w:val="singleLevel"/>
    <w:tmpl w:val="FD08E9FC"/>
    <w:lvl w:ilvl="0">
      <w:start w:val="1"/>
      <w:numFmt w:val="bullet"/>
      <w:pStyle w:val="ListBullet2"/>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7DFEEA2E"/>
    <w:lvl w:ilvl="0">
      <w:start w:val="1"/>
      <w:numFmt w:val="decimal"/>
      <w:pStyle w:val="ListNumber"/>
      <w:lvlText w:val="%1."/>
      <w:lvlJc w:val="left"/>
      <w:pPr>
        <w:tabs>
          <w:tab w:val="num" w:pos="360"/>
        </w:tabs>
        <w:ind w:left="360" w:hanging="360"/>
      </w:pPr>
    </w:lvl>
  </w:abstractNum>
  <w:abstractNum w:abstractNumId="6" w15:restartNumberingAfterBreak="0">
    <w:nsid w:val="FFFFFF89"/>
    <w:multiLevelType w:val="singleLevel"/>
    <w:tmpl w:val="ED0EEB22"/>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00B53B8C"/>
    <w:multiLevelType w:val="hybridMultilevel"/>
    <w:tmpl w:val="4870617C"/>
    <w:lvl w:ilvl="0" w:tplc="5644E432">
      <w:numFmt w:val="bullet"/>
      <w:lvlText w:val="•"/>
      <w:lvlJc w:val="left"/>
      <w:pPr>
        <w:ind w:left="1212" w:hanging="360"/>
      </w:pPr>
      <w:rPr>
        <w:rFonts w:ascii="EC Square Sans Pro" w:eastAsia="Times New Roman" w:hAnsi="EC Square Sans Pro" w:cs="Tunga" w:hint="default"/>
      </w:rPr>
    </w:lvl>
    <w:lvl w:ilvl="1" w:tplc="18090003" w:tentative="1">
      <w:start w:val="1"/>
      <w:numFmt w:val="bullet"/>
      <w:lvlText w:val="o"/>
      <w:lvlJc w:val="left"/>
      <w:pPr>
        <w:ind w:left="1866" w:hanging="360"/>
      </w:pPr>
      <w:rPr>
        <w:rFonts w:ascii="Courier New" w:hAnsi="Courier New" w:cs="Courier New" w:hint="default"/>
      </w:rPr>
    </w:lvl>
    <w:lvl w:ilvl="2" w:tplc="18090005" w:tentative="1">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8" w15:restartNumberingAfterBreak="0">
    <w:nsid w:val="020A7948"/>
    <w:multiLevelType w:val="multilevel"/>
    <w:tmpl w:val="839A0D0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0FE6205E"/>
    <w:multiLevelType w:val="hybridMultilevel"/>
    <w:tmpl w:val="140C4F78"/>
    <w:lvl w:ilvl="0" w:tplc="5644E432">
      <w:numFmt w:val="bullet"/>
      <w:lvlText w:val="•"/>
      <w:lvlJc w:val="left"/>
      <w:pPr>
        <w:ind w:left="786" w:hanging="360"/>
      </w:pPr>
      <w:rPr>
        <w:rFonts w:ascii="EC Square Sans Pro" w:eastAsia="Times New Roman" w:hAnsi="EC Square Sans Pro" w:cs="Tunga" w:hint="default"/>
      </w:rPr>
    </w:lvl>
    <w:lvl w:ilvl="1" w:tplc="18090003" w:tentative="1">
      <w:start w:val="1"/>
      <w:numFmt w:val="bullet"/>
      <w:lvlText w:val="o"/>
      <w:lvlJc w:val="left"/>
      <w:pPr>
        <w:ind w:left="1506" w:hanging="360"/>
      </w:pPr>
      <w:rPr>
        <w:rFonts w:ascii="Courier New" w:hAnsi="Courier New" w:cs="Courier New" w:hint="default"/>
      </w:rPr>
    </w:lvl>
    <w:lvl w:ilvl="2" w:tplc="18090005" w:tentative="1">
      <w:start w:val="1"/>
      <w:numFmt w:val="bullet"/>
      <w:lvlText w:val=""/>
      <w:lvlJc w:val="left"/>
      <w:pPr>
        <w:ind w:left="2226" w:hanging="360"/>
      </w:pPr>
      <w:rPr>
        <w:rFonts w:ascii="Wingdings" w:hAnsi="Wingdings" w:hint="default"/>
      </w:rPr>
    </w:lvl>
    <w:lvl w:ilvl="3" w:tplc="18090001" w:tentative="1">
      <w:start w:val="1"/>
      <w:numFmt w:val="bullet"/>
      <w:lvlText w:val=""/>
      <w:lvlJc w:val="left"/>
      <w:pPr>
        <w:ind w:left="2946" w:hanging="360"/>
      </w:pPr>
      <w:rPr>
        <w:rFonts w:ascii="Symbol" w:hAnsi="Symbol" w:hint="default"/>
      </w:rPr>
    </w:lvl>
    <w:lvl w:ilvl="4" w:tplc="18090003" w:tentative="1">
      <w:start w:val="1"/>
      <w:numFmt w:val="bullet"/>
      <w:lvlText w:val="o"/>
      <w:lvlJc w:val="left"/>
      <w:pPr>
        <w:ind w:left="3666" w:hanging="360"/>
      </w:pPr>
      <w:rPr>
        <w:rFonts w:ascii="Courier New" w:hAnsi="Courier New" w:cs="Courier New" w:hint="default"/>
      </w:rPr>
    </w:lvl>
    <w:lvl w:ilvl="5" w:tplc="18090005" w:tentative="1">
      <w:start w:val="1"/>
      <w:numFmt w:val="bullet"/>
      <w:lvlText w:val=""/>
      <w:lvlJc w:val="left"/>
      <w:pPr>
        <w:ind w:left="4386" w:hanging="360"/>
      </w:pPr>
      <w:rPr>
        <w:rFonts w:ascii="Wingdings" w:hAnsi="Wingdings" w:hint="default"/>
      </w:rPr>
    </w:lvl>
    <w:lvl w:ilvl="6" w:tplc="18090001" w:tentative="1">
      <w:start w:val="1"/>
      <w:numFmt w:val="bullet"/>
      <w:lvlText w:val=""/>
      <w:lvlJc w:val="left"/>
      <w:pPr>
        <w:ind w:left="5106" w:hanging="360"/>
      </w:pPr>
      <w:rPr>
        <w:rFonts w:ascii="Symbol" w:hAnsi="Symbol" w:hint="default"/>
      </w:rPr>
    </w:lvl>
    <w:lvl w:ilvl="7" w:tplc="18090003" w:tentative="1">
      <w:start w:val="1"/>
      <w:numFmt w:val="bullet"/>
      <w:lvlText w:val="o"/>
      <w:lvlJc w:val="left"/>
      <w:pPr>
        <w:ind w:left="5826" w:hanging="360"/>
      </w:pPr>
      <w:rPr>
        <w:rFonts w:ascii="Courier New" w:hAnsi="Courier New" w:cs="Courier New" w:hint="default"/>
      </w:rPr>
    </w:lvl>
    <w:lvl w:ilvl="8" w:tplc="18090005" w:tentative="1">
      <w:start w:val="1"/>
      <w:numFmt w:val="bullet"/>
      <w:lvlText w:val=""/>
      <w:lvlJc w:val="left"/>
      <w:pPr>
        <w:ind w:left="6546" w:hanging="360"/>
      </w:pPr>
      <w:rPr>
        <w:rFonts w:ascii="Wingdings" w:hAnsi="Wingdings" w:hint="default"/>
      </w:rPr>
    </w:lvl>
  </w:abstractNum>
  <w:abstractNum w:abstractNumId="10" w15:restartNumberingAfterBreak="0">
    <w:nsid w:val="1B332E42"/>
    <w:multiLevelType w:val="multilevel"/>
    <w:tmpl w:val="6C5C62A8"/>
    <w:lvl w:ilvl="0">
      <w:start w:val="1"/>
      <w:numFmt w:val="decimal"/>
      <w:pStyle w:val="list12"/>
      <w:lvlText w:val="(%1)"/>
      <w:lvlJc w:val="left"/>
      <w:pPr>
        <w:ind w:left="360" w:hanging="360"/>
      </w:pPr>
      <w:rPr>
        <w:rFonts w:ascii="EC Square Sans Pro" w:eastAsia="Times New Roman" w:hAnsi="EC Square Sans Pro" w:cs="Times New Roman" w:hint="default"/>
        <w:b/>
        <w:bCs w:val="0"/>
        <w:color w:val="003399" w:themeColor="text2"/>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1B3C78B8"/>
    <w:multiLevelType w:val="multilevel"/>
    <w:tmpl w:val="2ED4F4D0"/>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22E44180"/>
    <w:multiLevelType w:val="multilevel"/>
    <w:tmpl w:val="E00482A4"/>
    <w:lvl w:ilvl="0">
      <w:start w:val="1"/>
      <w:numFmt w:val="decimal"/>
      <w:pStyle w:val="NumPar1"/>
      <w:lvlText w:val="%1)"/>
      <w:lvlJc w:val="left"/>
      <w:pPr>
        <w:tabs>
          <w:tab w:val="num" w:pos="850"/>
        </w:tabs>
        <w:ind w:left="850" w:hanging="850"/>
      </w:pPr>
      <w:rPr>
        <w:b/>
        <w:bCs/>
        <w:color w:val="003399" w:themeColor="text2"/>
      </w:r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52356B"/>
    <w:multiLevelType w:val="hybridMultilevel"/>
    <w:tmpl w:val="ECB2F55C"/>
    <w:lvl w:ilvl="0" w:tplc="1809000F">
      <w:start w:val="1"/>
      <w:numFmt w:val="decimal"/>
      <w:lvlText w:val="%1."/>
      <w:lvlJc w:val="left"/>
      <w:pPr>
        <w:ind w:left="1146" w:hanging="360"/>
      </w:pPr>
    </w:lvl>
    <w:lvl w:ilvl="1" w:tplc="18090019" w:tentative="1">
      <w:start w:val="1"/>
      <w:numFmt w:val="lowerLetter"/>
      <w:lvlText w:val="%2."/>
      <w:lvlJc w:val="left"/>
      <w:pPr>
        <w:ind w:left="1866" w:hanging="360"/>
      </w:pPr>
    </w:lvl>
    <w:lvl w:ilvl="2" w:tplc="1809001B" w:tentative="1">
      <w:start w:val="1"/>
      <w:numFmt w:val="lowerRoman"/>
      <w:lvlText w:val="%3."/>
      <w:lvlJc w:val="right"/>
      <w:pPr>
        <w:ind w:left="2586" w:hanging="180"/>
      </w:pPr>
    </w:lvl>
    <w:lvl w:ilvl="3" w:tplc="1809000F" w:tentative="1">
      <w:start w:val="1"/>
      <w:numFmt w:val="decimal"/>
      <w:lvlText w:val="%4."/>
      <w:lvlJc w:val="left"/>
      <w:pPr>
        <w:ind w:left="3306" w:hanging="360"/>
      </w:pPr>
    </w:lvl>
    <w:lvl w:ilvl="4" w:tplc="18090019" w:tentative="1">
      <w:start w:val="1"/>
      <w:numFmt w:val="lowerLetter"/>
      <w:lvlText w:val="%5."/>
      <w:lvlJc w:val="left"/>
      <w:pPr>
        <w:ind w:left="4026" w:hanging="360"/>
      </w:pPr>
    </w:lvl>
    <w:lvl w:ilvl="5" w:tplc="1809001B" w:tentative="1">
      <w:start w:val="1"/>
      <w:numFmt w:val="lowerRoman"/>
      <w:lvlText w:val="%6."/>
      <w:lvlJc w:val="right"/>
      <w:pPr>
        <w:ind w:left="4746" w:hanging="180"/>
      </w:pPr>
    </w:lvl>
    <w:lvl w:ilvl="6" w:tplc="1809000F" w:tentative="1">
      <w:start w:val="1"/>
      <w:numFmt w:val="decimal"/>
      <w:lvlText w:val="%7."/>
      <w:lvlJc w:val="left"/>
      <w:pPr>
        <w:ind w:left="5466" w:hanging="360"/>
      </w:pPr>
    </w:lvl>
    <w:lvl w:ilvl="7" w:tplc="18090019" w:tentative="1">
      <w:start w:val="1"/>
      <w:numFmt w:val="lowerLetter"/>
      <w:lvlText w:val="%8."/>
      <w:lvlJc w:val="left"/>
      <w:pPr>
        <w:ind w:left="6186" w:hanging="360"/>
      </w:pPr>
    </w:lvl>
    <w:lvl w:ilvl="8" w:tplc="1809001B" w:tentative="1">
      <w:start w:val="1"/>
      <w:numFmt w:val="lowerRoman"/>
      <w:lvlText w:val="%9."/>
      <w:lvlJc w:val="right"/>
      <w:pPr>
        <w:ind w:left="6906" w:hanging="180"/>
      </w:pPr>
    </w:lvl>
  </w:abstractNum>
  <w:abstractNum w:abstractNumId="14"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6" w15:restartNumberingAfterBreak="0">
    <w:nsid w:val="2DA374C7"/>
    <w:multiLevelType w:val="hybridMultilevel"/>
    <w:tmpl w:val="B8F8B40E"/>
    <w:lvl w:ilvl="0" w:tplc="F6D02262">
      <w:numFmt w:val="bullet"/>
      <w:lvlText w:val="•"/>
      <w:lvlJc w:val="left"/>
      <w:pPr>
        <w:ind w:left="1068" w:hanging="360"/>
      </w:pPr>
      <w:rPr>
        <w:rFonts w:ascii="EC Square Sans Pro" w:eastAsia="Times New Roman" w:hAnsi="EC Square Sans Pro" w:cs="Tunga" w:hint="default"/>
        <w:color w:val="003399" w:themeColor="text2"/>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7" w15:restartNumberingAfterBreak="0">
    <w:nsid w:val="312055D2"/>
    <w:multiLevelType w:val="hybridMultilevel"/>
    <w:tmpl w:val="9E78C94E"/>
    <w:lvl w:ilvl="0" w:tplc="2CC6ED34">
      <w:start w:val="1"/>
      <w:numFmt w:val="bullet"/>
      <w:lvlText w:val=""/>
      <w:lvlJc w:val="left"/>
      <w:pPr>
        <w:ind w:left="1068" w:hanging="360"/>
      </w:pPr>
      <w:rPr>
        <w:rFonts w:ascii="Symbol" w:hAnsi="Symbol" w:hint="default"/>
        <w:color w:val="003399" w:themeColor="text2"/>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8" w15:restartNumberingAfterBreak="0">
    <w:nsid w:val="3213420A"/>
    <w:multiLevelType w:val="multilevel"/>
    <w:tmpl w:val="54F21BC4"/>
    <w:lvl w:ilvl="0">
      <w:start w:val="1"/>
      <w:numFmt w:val="decimal"/>
      <w:pStyle w:val="ListNumber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A6D2E31"/>
    <w:multiLevelType w:val="hybridMultilevel"/>
    <w:tmpl w:val="1DDE1ADC"/>
    <w:lvl w:ilvl="0" w:tplc="D14AA4D6">
      <w:start w:val="1"/>
      <w:numFmt w:val="lowerLetter"/>
      <w:lvlText w:val="%1."/>
      <w:lvlJc w:val="left"/>
      <w:pPr>
        <w:ind w:left="720" w:hanging="360"/>
      </w:pPr>
      <w:rPr>
        <w:rFonts w:hint="default"/>
      </w:rPr>
    </w:lvl>
    <w:lvl w:ilvl="1" w:tplc="FFFFFFFF" w:tentative="1">
      <w:start w:val="1"/>
      <w:numFmt w:val="bullet"/>
      <w:lvlText w:val="o"/>
      <w:lvlJc w:val="left"/>
      <w:pPr>
        <w:ind w:left="1374" w:hanging="360"/>
      </w:pPr>
      <w:rPr>
        <w:rFonts w:ascii="Courier New" w:hAnsi="Courier New" w:cs="Courier New" w:hint="default"/>
      </w:rPr>
    </w:lvl>
    <w:lvl w:ilvl="2" w:tplc="FFFFFFFF" w:tentative="1">
      <w:start w:val="1"/>
      <w:numFmt w:val="bullet"/>
      <w:lvlText w:val=""/>
      <w:lvlJc w:val="left"/>
      <w:pPr>
        <w:ind w:left="2094" w:hanging="360"/>
      </w:pPr>
      <w:rPr>
        <w:rFonts w:ascii="Wingdings" w:hAnsi="Wingdings" w:hint="default"/>
      </w:rPr>
    </w:lvl>
    <w:lvl w:ilvl="3" w:tplc="FFFFFFFF" w:tentative="1">
      <w:start w:val="1"/>
      <w:numFmt w:val="bullet"/>
      <w:lvlText w:val=""/>
      <w:lvlJc w:val="left"/>
      <w:pPr>
        <w:ind w:left="2814" w:hanging="360"/>
      </w:pPr>
      <w:rPr>
        <w:rFonts w:ascii="Symbol" w:hAnsi="Symbol" w:hint="default"/>
      </w:rPr>
    </w:lvl>
    <w:lvl w:ilvl="4" w:tplc="FFFFFFFF" w:tentative="1">
      <w:start w:val="1"/>
      <w:numFmt w:val="bullet"/>
      <w:lvlText w:val="o"/>
      <w:lvlJc w:val="left"/>
      <w:pPr>
        <w:ind w:left="3534" w:hanging="360"/>
      </w:pPr>
      <w:rPr>
        <w:rFonts w:ascii="Courier New" w:hAnsi="Courier New" w:cs="Courier New" w:hint="default"/>
      </w:rPr>
    </w:lvl>
    <w:lvl w:ilvl="5" w:tplc="FFFFFFFF" w:tentative="1">
      <w:start w:val="1"/>
      <w:numFmt w:val="bullet"/>
      <w:lvlText w:val=""/>
      <w:lvlJc w:val="left"/>
      <w:pPr>
        <w:ind w:left="4254" w:hanging="360"/>
      </w:pPr>
      <w:rPr>
        <w:rFonts w:ascii="Wingdings" w:hAnsi="Wingdings" w:hint="default"/>
      </w:rPr>
    </w:lvl>
    <w:lvl w:ilvl="6" w:tplc="FFFFFFFF" w:tentative="1">
      <w:start w:val="1"/>
      <w:numFmt w:val="bullet"/>
      <w:lvlText w:val=""/>
      <w:lvlJc w:val="left"/>
      <w:pPr>
        <w:ind w:left="4974" w:hanging="360"/>
      </w:pPr>
      <w:rPr>
        <w:rFonts w:ascii="Symbol" w:hAnsi="Symbol" w:hint="default"/>
      </w:rPr>
    </w:lvl>
    <w:lvl w:ilvl="7" w:tplc="FFFFFFFF" w:tentative="1">
      <w:start w:val="1"/>
      <w:numFmt w:val="bullet"/>
      <w:lvlText w:val="o"/>
      <w:lvlJc w:val="left"/>
      <w:pPr>
        <w:ind w:left="5694" w:hanging="360"/>
      </w:pPr>
      <w:rPr>
        <w:rFonts w:ascii="Courier New" w:hAnsi="Courier New" w:cs="Courier New" w:hint="default"/>
      </w:rPr>
    </w:lvl>
    <w:lvl w:ilvl="8" w:tplc="FFFFFFFF" w:tentative="1">
      <w:start w:val="1"/>
      <w:numFmt w:val="bullet"/>
      <w:lvlText w:val=""/>
      <w:lvlJc w:val="left"/>
      <w:pPr>
        <w:ind w:left="6414" w:hanging="360"/>
      </w:pPr>
      <w:rPr>
        <w:rFonts w:ascii="Wingdings" w:hAnsi="Wingdings" w:hint="default"/>
      </w:rPr>
    </w:lvl>
  </w:abstractNum>
  <w:abstractNum w:abstractNumId="2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3" w15:restartNumberingAfterBreak="0">
    <w:nsid w:val="4A974F08"/>
    <w:multiLevelType w:val="hybridMultilevel"/>
    <w:tmpl w:val="7D246BA4"/>
    <w:lvl w:ilvl="0" w:tplc="5644E432">
      <w:numFmt w:val="bullet"/>
      <w:lvlText w:val="•"/>
      <w:lvlJc w:val="left"/>
      <w:pPr>
        <w:ind w:left="720" w:hanging="360"/>
      </w:pPr>
      <w:rPr>
        <w:rFonts w:ascii="EC Square Sans Pro" w:eastAsia="Times New Roman" w:hAnsi="EC Square Sans Pro" w:cs="Tunga" w:hint="default"/>
      </w:rPr>
    </w:lvl>
    <w:lvl w:ilvl="1" w:tplc="18090003" w:tentative="1">
      <w:start w:val="1"/>
      <w:numFmt w:val="bullet"/>
      <w:lvlText w:val="o"/>
      <w:lvlJc w:val="left"/>
      <w:pPr>
        <w:ind w:left="1374" w:hanging="360"/>
      </w:pPr>
      <w:rPr>
        <w:rFonts w:ascii="Courier New" w:hAnsi="Courier New" w:cs="Courier New" w:hint="default"/>
      </w:rPr>
    </w:lvl>
    <w:lvl w:ilvl="2" w:tplc="18090005" w:tentative="1">
      <w:start w:val="1"/>
      <w:numFmt w:val="bullet"/>
      <w:lvlText w:val=""/>
      <w:lvlJc w:val="left"/>
      <w:pPr>
        <w:ind w:left="2094" w:hanging="360"/>
      </w:pPr>
      <w:rPr>
        <w:rFonts w:ascii="Wingdings" w:hAnsi="Wingdings" w:hint="default"/>
      </w:rPr>
    </w:lvl>
    <w:lvl w:ilvl="3" w:tplc="18090001" w:tentative="1">
      <w:start w:val="1"/>
      <w:numFmt w:val="bullet"/>
      <w:lvlText w:val=""/>
      <w:lvlJc w:val="left"/>
      <w:pPr>
        <w:ind w:left="2814" w:hanging="360"/>
      </w:pPr>
      <w:rPr>
        <w:rFonts w:ascii="Symbol" w:hAnsi="Symbol" w:hint="default"/>
      </w:rPr>
    </w:lvl>
    <w:lvl w:ilvl="4" w:tplc="18090003" w:tentative="1">
      <w:start w:val="1"/>
      <w:numFmt w:val="bullet"/>
      <w:lvlText w:val="o"/>
      <w:lvlJc w:val="left"/>
      <w:pPr>
        <w:ind w:left="3534" w:hanging="360"/>
      </w:pPr>
      <w:rPr>
        <w:rFonts w:ascii="Courier New" w:hAnsi="Courier New" w:cs="Courier New" w:hint="default"/>
      </w:rPr>
    </w:lvl>
    <w:lvl w:ilvl="5" w:tplc="18090005" w:tentative="1">
      <w:start w:val="1"/>
      <w:numFmt w:val="bullet"/>
      <w:lvlText w:val=""/>
      <w:lvlJc w:val="left"/>
      <w:pPr>
        <w:ind w:left="4254" w:hanging="360"/>
      </w:pPr>
      <w:rPr>
        <w:rFonts w:ascii="Wingdings" w:hAnsi="Wingdings" w:hint="default"/>
      </w:rPr>
    </w:lvl>
    <w:lvl w:ilvl="6" w:tplc="18090001" w:tentative="1">
      <w:start w:val="1"/>
      <w:numFmt w:val="bullet"/>
      <w:lvlText w:val=""/>
      <w:lvlJc w:val="left"/>
      <w:pPr>
        <w:ind w:left="4974" w:hanging="360"/>
      </w:pPr>
      <w:rPr>
        <w:rFonts w:ascii="Symbol" w:hAnsi="Symbol" w:hint="default"/>
      </w:rPr>
    </w:lvl>
    <w:lvl w:ilvl="7" w:tplc="18090003" w:tentative="1">
      <w:start w:val="1"/>
      <w:numFmt w:val="bullet"/>
      <w:lvlText w:val="o"/>
      <w:lvlJc w:val="left"/>
      <w:pPr>
        <w:ind w:left="5694" w:hanging="360"/>
      </w:pPr>
      <w:rPr>
        <w:rFonts w:ascii="Courier New" w:hAnsi="Courier New" w:cs="Courier New" w:hint="default"/>
      </w:rPr>
    </w:lvl>
    <w:lvl w:ilvl="8" w:tplc="18090005" w:tentative="1">
      <w:start w:val="1"/>
      <w:numFmt w:val="bullet"/>
      <w:lvlText w:val=""/>
      <w:lvlJc w:val="left"/>
      <w:pPr>
        <w:ind w:left="6414" w:hanging="360"/>
      </w:pPr>
      <w:rPr>
        <w:rFonts w:ascii="Wingdings" w:hAnsi="Wingdings" w:hint="default"/>
      </w:rPr>
    </w:lvl>
  </w:abstractNum>
  <w:abstractNum w:abstractNumId="2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5" w15:restartNumberingAfterBreak="0">
    <w:nsid w:val="57953EBF"/>
    <w:multiLevelType w:val="hybridMultilevel"/>
    <w:tmpl w:val="287A41E6"/>
    <w:lvl w:ilvl="0" w:tplc="5644E432">
      <w:numFmt w:val="bullet"/>
      <w:lvlText w:val="•"/>
      <w:lvlJc w:val="left"/>
      <w:pPr>
        <w:ind w:left="1146" w:hanging="360"/>
      </w:pPr>
      <w:rPr>
        <w:rFonts w:ascii="EC Square Sans Pro" w:eastAsia="Times New Roman" w:hAnsi="EC Square Sans Pro" w:cs="Tunga"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9" w15:restartNumberingAfterBreak="0">
    <w:nsid w:val="66B03ED4"/>
    <w:multiLevelType w:val="multilevel"/>
    <w:tmpl w:val="97842EFC"/>
    <w:lvl w:ilvl="0">
      <w:start w:val="1"/>
      <w:numFmt w:val="decimal"/>
      <w:suff w:val="space"/>
      <w:lvlText w:val="%1."/>
      <w:lvlJc w:val="left"/>
      <w:pPr>
        <w:ind w:left="5745" w:hanging="360"/>
      </w:pPr>
      <w:rPr>
        <w:rFonts w:hint="default"/>
      </w:rPr>
    </w:lvl>
    <w:lvl w:ilvl="1">
      <w:start w:val="1"/>
      <w:numFmt w:val="decimal"/>
      <w:lvlText w:val="%1.%2."/>
      <w:lvlJc w:val="left"/>
      <w:pPr>
        <w:ind w:left="1500" w:hanging="432"/>
      </w:pPr>
      <w:rPr>
        <w:rFonts w:hint="default"/>
      </w:rPr>
    </w:lvl>
    <w:lvl w:ilvl="2">
      <w:start w:val="1"/>
      <w:numFmt w:val="decimal"/>
      <w:lvlText w:val="%1.%2.%3."/>
      <w:lvlJc w:val="left"/>
      <w:pPr>
        <w:ind w:left="1932"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3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1" w15:restartNumberingAfterBreak="0">
    <w:nsid w:val="6B765A52"/>
    <w:multiLevelType w:val="multilevel"/>
    <w:tmpl w:val="038A236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DC97E50"/>
    <w:multiLevelType w:val="hybridMultilevel"/>
    <w:tmpl w:val="93721A5C"/>
    <w:lvl w:ilvl="0" w:tplc="080C0001">
      <w:start w:val="1"/>
      <w:numFmt w:val="bullet"/>
      <w:lvlText w:val=""/>
      <w:lvlJc w:val="left"/>
      <w:pPr>
        <w:ind w:left="1068" w:hanging="360"/>
      </w:pPr>
      <w:rPr>
        <w:rFonts w:ascii="Symbol" w:hAnsi="Symbol"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3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2"/>
  </w:num>
  <w:num w:numId="2">
    <w:abstractNumId w:val="26"/>
  </w:num>
  <w:num w:numId="3">
    <w:abstractNumId w:val="27"/>
  </w:num>
  <w:num w:numId="4">
    <w:abstractNumId w:val="14"/>
  </w:num>
  <w:num w:numId="5">
    <w:abstractNumId w:val="24"/>
  </w:num>
  <w:num w:numId="6">
    <w:abstractNumId w:val="33"/>
  </w:num>
  <w:num w:numId="7">
    <w:abstractNumId w:val="6"/>
  </w:num>
  <w:num w:numId="8">
    <w:abstractNumId w:val="4"/>
  </w:num>
  <w:num w:numId="9">
    <w:abstractNumId w:val="3"/>
  </w:num>
  <w:num w:numId="10">
    <w:abstractNumId w:val="5"/>
  </w:num>
  <w:num w:numId="11">
    <w:abstractNumId w:val="2"/>
  </w:num>
  <w:num w:numId="12">
    <w:abstractNumId w:val="1"/>
  </w:num>
  <w:num w:numId="13">
    <w:abstractNumId w:val="0"/>
  </w:num>
  <w:num w:numId="14">
    <w:abstractNumId w:val="12"/>
  </w:num>
  <w:num w:numId="15">
    <w:abstractNumId w:val="11"/>
  </w:num>
  <w:num w:numId="16">
    <w:abstractNumId w:val="28"/>
  </w:num>
  <w:num w:numId="17">
    <w:abstractNumId w:val="20"/>
  </w:num>
  <w:num w:numId="18">
    <w:abstractNumId w:val="30"/>
  </w:num>
  <w:num w:numId="19">
    <w:abstractNumId w:val="15"/>
  </w:num>
  <w:num w:numId="20">
    <w:abstractNumId w:val="21"/>
  </w:num>
  <w:num w:numId="21">
    <w:abstractNumId w:val="10"/>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num>
  <w:num w:numId="30">
    <w:abstractNumId w:val="31"/>
  </w:num>
  <w:num w:numId="31">
    <w:abstractNumId w:val="32"/>
  </w:num>
  <w:num w:numId="32">
    <w:abstractNumId w:val="18"/>
  </w:num>
  <w:num w:numId="33">
    <w:abstractNumId w:val="12"/>
  </w:num>
  <w:num w:numId="34">
    <w:abstractNumId w:val="29"/>
  </w:num>
  <w:num w:numId="35">
    <w:abstractNumId w:val="13"/>
  </w:num>
  <w:num w:numId="36">
    <w:abstractNumId w:val="9"/>
  </w:num>
  <w:num w:numId="37">
    <w:abstractNumId w:val="25"/>
  </w:num>
  <w:num w:numId="38">
    <w:abstractNumId w:val="7"/>
  </w:num>
  <w:num w:numId="39">
    <w:abstractNumId w:val="23"/>
  </w:num>
  <w:num w:numId="40">
    <w:abstractNumId w:val="17"/>
  </w:num>
  <w:num w:numId="41">
    <w:abstractNumId w:val="19"/>
  </w:num>
  <w:num w:numId="42">
    <w:abstractNumId w:val="1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CD5637C-9B2A-45BF-A7E7-4ED94D581F08"/>
    <w:docVar w:name="LW_COVERPAGE_TYPE" w:val="1"/>
    <w:docVar w:name="LW_CROSSREFERENCE" w:val="{SWD(2026) 149 final}"/>
    <w:docVar w:name="LW_DocType" w:val="NORMAL"/>
    <w:docVar w:name="LW_EMISSION" w:val="15.6.2026"/>
    <w:docVar w:name="LW_EMISSION_ISODATE" w:val="2026-06-15"/>
    <w:docVar w:name="LW_EMISSION_LOCATION" w:val="BRX"/>
    <w:docVar w:name="LW_EMISSION_PREFIX" w:val="Bruxelles, "/>
    <w:docVar w:name="LW_EMISSION_SUFFIX" w:val=" "/>
    <w:docVar w:name="LW_ID_DOCTYPE_NONLW" w:val="CP-003"/>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27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u258?TRE PARLAMENTUL EUROPEAN, CONSILIU \u536?I CURTEA DE CONTURI_x000d__x000d__x000d__x000d__x000d__x000d__x000d__x000d__x000d__x000d__x000d__x000b__x000d__x000d__x000d__x000d__x000d__x000d__x000d__x000d__x000d__x000d__x000d__x000b_Raportul anual c\u259?tre autoritatea care acord\u259? desc\u259?rcarea de gestiune privind auditurile interne desf\u259?\u537?urate în 2025"/>
    <w:docVar w:name="LW_TYPE.DOC.CP" w:val="RAPORT AL COMISIEI"/>
    <w:docVar w:name="LwApiVersions" w:val="LW4CoDe 1.24.5.0; LW 9.2, Build 20251112"/>
  </w:docVars>
  <w:rsids>
    <w:rsidRoot w:val="00A270E6"/>
    <w:rsid w:val="000035D7"/>
    <w:rsid w:val="0000462E"/>
    <w:rsid w:val="00004DF8"/>
    <w:rsid w:val="000101F8"/>
    <w:rsid w:val="00011381"/>
    <w:rsid w:val="00012744"/>
    <w:rsid w:val="00014D83"/>
    <w:rsid w:val="00015471"/>
    <w:rsid w:val="000154B5"/>
    <w:rsid w:val="0001784E"/>
    <w:rsid w:val="0002004A"/>
    <w:rsid w:val="00024F4C"/>
    <w:rsid w:val="0002583B"/>
    <w:rsid w:val="00025D48"/>
    <w:rsid w:val="00030D5E"/>
    <w:rsid w:val="00030D8A"/>
    <w:rsid w:val="0003126F"/>
    <w:rsid w:val="00031735"/>
    <w:rsid w:val="00032D54"/>
    <w:rsid w:val="0003659F"/>
    <w:rsid w:val="00037685"/>
    <w:rsid w:val="0004049D"/>
    <w:rsid w:val="00041931"/>
    <w:rsid w:val="00042402"/>
    <w:rsid w:val="00042C1A"/>
    <w:rsid w:val="00042F84"/>
    <w:rsid w:val="000438CB"/>
    <w:rsid w:val="00045D3B"/>
    <w:rsid w:val="000477F5"/>
    <w:rsid w:val="000516B6"/>
    <w:rsid w:val="000519A4"/>
    <w:rsid w:val="00051C13"/>
    <w:rsid w:val="00052D0D"/>
    <w:rsid w:val="00054B06"/>
    <w:rsid w:val="00060B61"/>
    <w:rsid w:val="000637AB"/>
    <w:rsid w:val="0006669C"/>
    <w:rsid w:val="00070D48"/>
    <w:rsid w:val="00071302"/>
    <w:rsid w:val="0007528B"/>
    <w:rsid w:val="00075F7F"/>
    <w:rsid w:val="000767B5"/>
    <w:rsid w:val="00080DA4"/>
    <w:rsid w:val="00081CE7"/>
    <w:rsid w:val="00082658"/>
    <w:rsid w:val="00083745"/>
    <w:rsid w:val="0008462A"/>
    <w:rsid w:val="00087147"/>
    <w:rsid w:val="00087D91"/>
    <w:rsid w:val="00093D82"/>
    <w:rsid w:val="0009407F"/>
    <w:rsid w:val="000A3D75"/>
    <w:rsid w:val="000A3EE8"/>
    <w:rsid w:val="000A4377"/>
    <w:rsid w:val="000A5A52"/>
    <w:rsid w:val="000A6823"/>
    <w:rsid w:val="000A78CC"/>
    <w:rsid w:val="000B1037"/>
    <w:rsid w:val="000B14DE"/>
    <w:rsid w:val="000B1EB7"/>
    <w:rsid w:val="000B4B70"/>
    <w:rsid w:val="000B7184"/>
    <w:rsid w:val="000C1DE8"/>
    <w:rsid w:val="000C4E24"/>
    <w:rsid w:val="000C5C48"/>
    <w:rsid w:val="000C62C7"/>
    <w:rsid w:val="000C6DB3"/>
    <w:rsid w:val="000C6EA2"/>
    <w:rsid w:val="000D037C"/>
    <w:rsid w:val="000D66BF"/>
    <w:rsid w:val="000D795E"/>
    <w:rsid w:val="000E2D7D"/>
    <w:rsid w:val="000E3F5F"/>
    <w:rsid w:val="000E64C3"/>
    <w:rsid w:val="000F10B6"/>
    <w:rsid w:val="000F2A8A"/>
    <w:rsid w:val="000F32FD"/>
    <w:rsid w:val="000F4477"/>
    <w:rsid w:val="000F4975"/>
    <w:rsid w:val="000F740B"/>
    <w:rsid w:val="00100B0C"/>
    <w:rsid w:val="00103F90"/>
    <w:rsid w:val="00105658"/>
    <w:rsid w:val="00105741"/>
    <w:rsid w:val="00106CD1"/>
    <w:rsid w:val="00112C33"/>
    <w:rsid w:val="001149AA"/>
    <w:rsid w:val="001150CC"/>
    <w:rsid w:val="00116450"/>
    <w:rsid w:val="00117124"/>
    <w:rsid w:val="00117EC3"/>
    <w:rsid w:val="00122BF2"/>
    <w:rsid w:val="00122F59"/>
    <w:rsid w:val="0012432F"/>
    <w:rsid w:val="00124807"/>
    <w:rsid w:val="00127904"/>
    <w:rsid w:val="00127FF2"/>
    <w:rsid w:val="00131C11"/>
    <w:rsid w:val="001354E9"/>
    <w:rsid w:val="00136B60"/>
    <w:rsid w:val="00137335"/>
    <w:rsid w:val="0014160D"/>
    <w:rsid w:val="00141B12"/>
    <w:rsid w:val="001422EC"/>
    <w:rsid w:val="00144BB0"/>
    <w:rsid w:val="00151965"/>
    <w:rsid w:val="00151ABF"/>
    <w:rsid w:val="0015222E"/>
    <w:rsid w:val="00152303"/>
    <w:rsid w:val="00153A03"/>
    <w:rsid w:val="0015440A"/>
    <w:rsid w:val="00155762"/>
    <w:rsid w:val="00157B35"/>
    <w:rsid w:val="0016044C"/>
    <w:rsid w:val="00160D23"/>
    <w:rsid w:val="0016173F"/>
    <w:rsid w:val="001620B8"/>
    <w:rsid w:val="00162714"/>
    <w:rsid w:val="0016476D"/>
    <w:rsid w:val="00171D9C"/>
    <w:rsid w:val="001743E4"/>
    <w:rsid w:val="00174B5D"/>
    <w:rsid w:val="00176C8D"/>
    <w:rsid w:val="0018148A"/>
    <w:rsid w:val="0018288B"/>
    <w:rsid w:val="001842B9"/>
    <w:rsid w:val="00184C13"/>
    <w:rsid w:val="00192C5F"/>
    <w:rsid w:val="0019421D"/>
    <w:rsid w:val="00194D65"/>
    <w:rsid w:val="00195D39"/>
    <w:rsid w:val="001A0B6C"/>
    <w:rsid w:val="001A74E0"/>
    <w:rsid w:val="001A7EDD"/>
    <w:rsid w:val="001B0430"/>
    <w:rsid w:val="001B0C1B"/>
    <w:rsid w:val="001B30BD"/>
    <w:rsid w:val="001B3627"/>
    <w:rsid w:val="001B607E"/>
    <w:rsid w:val="001B62E6"/>
    <w:rsid w:val="001B6958"/>
    <w:rsid w:val="001C359B"/>
    <w:rsid w:val="001C5154"/>
    <w:rsid w:val="001C6E63"/>
    <w:rsid w:val="001C7290"/>
    <w:rsid w:val="001C77B4"/>
    <w:rsid w:val="001D1F7F"/>
    <w:rsid w:val="001D2244"/>
    <w:rsid w:val="001D2B85"/>
    <w:rsid w:val="001D2E0F"/>
    <w:rsid w:val="001D3692"/>
    <w:rsid w:val="001D42C7"/>
    <w:rsid w:val="001E090A"/>
    <w:rsid w:val="001E09CD"/>
    <w:rsid w:val="001E1289"/>
    <w:rsid w:val="001E3668"/>
    <w:rsid w:val="001E3AD9"/>
    <w:rsid w:val="001F0654"/>
    <w:rsid w:val="001F19B4"/>
    <w:rsid w:val="001F3C0B"/>
    <w:rsid w:val="001F5BD3"/>
    <w:rsid w:val="001F75A0"/>
    <w:rsid w:val="001F7FB2"/>
    <w:rsid w:val="00200467"/>
    <w:rsid w:val="002009A3"/>
    <w:rsid w:val="00202E38"/>
    <w:rsid w:val="00203753"/>
    <w:rsid w:val="00203A83"/>
    <w:rsid w:val="00203CE0"/>
    <w:rsid w:val="002054E1"/>
    <w:rsid w:val="00205F8C"/>
    <w:rsid w:val="002112D8"/>
    <w:rsid w:val="00211BB9"/>
    <w:rsid w:val="0021303F"/>
    <w:rsid w:val="0021305C"/>
    <w:rsid w:val="00213B0C"/>
    <w:rsid w:val="00217495"/>
    <w:rsid w:val="00225929"/>
    <w:rsid w:val="00226F6F"/>
    <w:rsid w:val="0023058B"/>
    <w:rsid w:val="002314D6"/>
    <w:rsid w:val="002355B9"/>
    <w:rsid w:val="00235B62"/>
    <w:rsid w:val="002366D5"/>
    <w:rsid w:val="00236F19"/>
    <w:rsid w:val="002431BB"/>
    <w:rsid w:val="0024445B"/>
    <w:rsid w:val="0024539B"/>
    <w:rsid w:val="00246A49"/>
    <w:rsid w:val="00247AA5"/>
    <w:rsid w:val="00247D3E"/>
    <w:rsid w:val="00250D0B"/>
    <w:rsid w:val="00251554"/>
    <w:rsid w:val="00253C47"/>
    <w:rsid w:val="00260782"/>
    <w:rsid w:val="00265884"/>
    <w:rsid w:val="00270F4B"/>
    <w:rsid w:val="002710A4"/>
    <w:rsid w:val="00271365"/>
    <w:rsid w:val="00273FE0"/>
    <w:rsid w:val="00275838"/>
    <w:rsid w:val="0028040E"/>
    <w:rsid w:val="002812DF"/>
    <w:rsid w:val="002833D5"/>
    <w:rsid w:val="002851BD"/>
    <w:rsid w:val="0028780A"/>
    <w:rsid w:val="00290199"/>
    <w:rsid w:val="002912E1"/>
    <w:rsid w:val="00292F62"/>
    <w:rsid w:val="00293D11"/>
    <w:rsid w:val="00297068"/>
    <w:rsid w:val="00297841"/>
    <w:rsid w:val="00297928"/>
    <w:rsid w:val="002A035C"/>
    <w:rsid w:val="002A0A99"/>
    <w:rsid w:val="002A0B58"/>
    <w:rsid w:val="002A1C27"/>
    <w:rsid w:val="002A2C90"/>
    <w:rsid w:val="002A41C7"/>
    <w:rsid w:val="002B5513"/>
    <w:rsid w:val="002B5A21"/>
    <w:rsid w:val="002B69C2"/>
    <w:rsid w:val="002B6E5F"/>
    <w:rsid w:val="002B7AD5"/>
    <w:rsid w:val="002C1357"/>
    <w:rsid w:val="002C2FAC"/>
    <w:rsid w:val="002C5083"/>
    <w:rsid w:val="002D01C2"/>
    <w:rsid w:val="002D0656"/>
    <w:rsid w:val="002D0C50"/>
    <w:rsid w:val="002D1159"/>
    <w:rsid w:val="002D24C3"/>
    <w:rsid w:val="002D46BD"/>
    <w:rsid w:val="002D4C6D"/>
    <w:rsid w:val="002D5739"/>
    <w:rsid w:val="002E02A8"/>
    <w:rsid w:val="002E2EB8"/>
    <w:rsid w:val="002E3B99"/>
    <w:rsid w:val="002E5B85"/>
    <w:rsid w:val="002F08C7"/>
    <w:rsid w:val="002F25AE"/>
    <w:rsid w:val="002F2768"/>
    <w:rsid w:val="002F3488"/>
    <w:rsid w:val="002F48BC"/>
    <w:rsid w:val="002F491C"/>
    <w:rsid w:val="002F50E6"/>
    <w:rsid w:val="002F566B"/>
    <w:rsid w:val="002F59BB"/>
    <w:rsid w:val="002F76C4"/>
    <w:rsid w:val="00300B1C"/>
    <w:rsid w:val="00307ECC"/>
    <w:rsid w:val="003106C8"/>
    <w:rsid w:val="0031126C"/>
    <w:rsid w:val="00312725"/>
    <w:rsid w:val="003172D6"/>
    <w:rsid w:val="00317583"/>
    <w:rsid w:val="0031781A"/>
    <w:rsid w:val="00320028"/>
    <w:rsid w:val="00323DED"/>
    <w:rsid w:val="003251C9"/>
    <w:rsid w:val="00327853"/>
    <w:rsid w:val="00332A40"/>
    <w:rsid w:val="00334C4A"/>
    <w:rsid w:val="00334E9C"/>
    <w:rsid w:val="00334FA5"/>
    <w:rsid w:val="00341922"/>
    <w:rsid w:val="003422EF"/>
    <w:rsid w:val="0034371B"/>
    <w:rsid w:val="00343F4D"/>
    <w:rsid w:val="00344FA3"/>
    <w:rsid w:val="00345A64"/>
    <w:rsid w:val="00345DB4"/>
    <w:rsid w:val="003463D5"/>
    <w:rsid w:val="0035115A"/>
    <w:rsid w:val="003521B4"/>
    <w:rsid w:val="003525D9"/>
    <w:rsid w:val="003607F3"/>
    <w:rsid w:val="00362FEC"/>
    <w:rsid w:val="00363681"/>
    <w:rsid w:val="00365A94"/>
    <w:rsid w:val="00366ECE"/>
    <w:rsid w:val="003729DC"/>
    <w:rsid w:val="00374286"/>
    <w:rsid w:val="003779C3"/>
    <w:rsid w:val="00381ACB"/>
    <w:rsid w:val="00382054"/>
    <w:rsid w:val="0038341E"/>
    <w:rsid w:val="00383530"/>
    <w:rsid w:val="00383CD3"/>
    <w:rsid w:val="003943A1"/>
    <w:rsid w:val="003A1ADA"/>
    <w:rsid w:val="003A34C5"/>
    <w:rsid w:val="003A46D4"/>
    <w:rsid w:val="003A5F17"/>
    <w:rsid w:val="003A6128"/>
    <w:rsid w:val="003A72BF"/>
    <w:rsid w:val="003B39A8"/>
    <w:rsid w:val="003B4364"/>
    <w:rsid w:val="003B75FF"/>
    <w:rsid w:val="003C3F89"/>
    <w:rsid w:val="003C4CC8"/>
    <w:rsid w:val="003C70FD"/>
    <w:rsid w:val="003D1904"/>
    <w:rsid w:val="003D5C5B"/>
    <w:rsid w:val="003E0ADD"/>
    <w:rsid w:val="003E61D8"/>
    <w:rsid w:val="003F2A2E"/>
    <w:rsid w:val="003F3B90"/>
    <w:rsid w:val="003F55B0"/>
    <w:rsid w:val="0040040A"/>
    <w:rsid w:val="00404178"/>
    <w:rsid w:val="00406496"/>
    <w:rsid w:val="0040659A"/>
    <w:rsid w:val="00411BF1"/>
    <w:rsid w:val="00411E46"/>
    <w:rsid w:val="00416CEB"/>
    <w:rsid w:val="004213A6"/>
    <w:rsid w:val="00421E15"/>
    <w:rsid w:val="004263A8"/>
    <w:rsid w:val="00427202"/>
    <w:rsid w:val="0042764A"/>
    <w:rsid w:val="004349D2"/>
    <w:rsid w:val="00435B8F"/>
    <w:rsid w:val="00437226"/>
    <w:rsid w:val="00440841"/>
    <w:rsid w:val="00440A4A"/>
    <w:rsid w:val="004422DF"/>
    <w:rsid w:val="004425D9"/>
    <w:rsid w:val="004443C8"/>
    <w:rsid w:val="00446264"/>
    <w:rsid w:val="00447073"/>
    <w:rsid w:val="0045032D"/>
    <w:rsid w:val="004512E4"/>
    <w:rsid w:val="004514E5"/>
    <w:rsid w:val="00453599"/>
    <w:rsid w:val="00455173"/>
    <w:rsid w:val="00455F4F"/>
    <w:rsid w:val="00456395"/>
    <w:rsid w:val="0045690D"/>
    <w:rsid w:val="004630EC"/>
    <w:rsid w:val="004644B3"/>
    <w:rsid w:val="00464CD9"/>
    <w:rsid w:val="00467BC2"/>
    <w:rsid w:val="00470453"/>
    <w:rsid w:val="0047287E"/>
    <w:rsid w:val="00472C9B"/>
    <w:rsid w:val="00476FE0"/>
    <w:rsid w:val="00477ABD"/>
    <w:rsid w:val="004804EE"/>
    <w:rsid w:val="004805FB"/>
    <w:rsid w:val="0048154B"/>
    <w:rsid w:val="00483256"/>
    <w:rsid w:val="00484420"/>
    <w:rsid w:val="00485B2D"/>
    <w:rsid w:val="0048624F"/>
    <w:rsid w:val="00490E26"/>
    <w:rsid w:val="00495CAA"/>
    <w:rsid w:val="00496880"/>
    <w:rsid w:val="004A080D"/>
    <w:rsid w:val="004A15BE"/>
    <w:rsid w:val="004A39F7"/>
    <w:rsid w:val="004A4E74"/>
    <w:rsid w:val="004A766E"/>
    <w:rsid w:val="004A786E"/>
    <w:rsid w:val="004B0366"/>
    <w:rsid w:val="004B341C"/>
    <w:rsid w:val="004B5B06"/>
    <w:rsid w:val="004B60DD"/>
    <w:rsid w:val="004B7103"/>
    <w:rsid w:val="004B74F3"/>
    <w:rsid w:val="004C00B4"/>
    <w:rsid w:val="004C1BB2"/>
    <w:rsid w:val="004C6FCD"/>
    <w:rsid w:val="004C7597"/>
    <w:rsid w:val="004C7EEE"/>
    <w:rsid w:val="004D018E"/>
    <w:rsid w:val="004D09D3"/>
    <w:rsid w:val="004D156D"/>
    <w:rsid w:val="004D1772"/>
    <w:rsid w:val="004D1BE0"/>
    <w:rsid w:val="004D59B5"/>
    <w:rsid w:val="004D5D45"/>
    <w:rsid w:val="004D5E09"/>
    <w:rsid w:val="004D7D49"/>
    <w:rsid w:val="004E1C11"/>
    <w:rsid w:val="004E466F"/>
    <w:rsid w:val="004E56AF"/>
    <w:rsid w:val="004E5B66"/>
    <w:rsid w:val="004F1441"/>
    <w:rsid w:val="004F23B4"/>
    <w:rsid w:val="00500152"/>
    <w:rsid w:val="00500265"/>
    <w:rsid w:val="00501AF8"/>
    <w:rsid w:val="00502D1E"/>
    <w:rsid w:val="00502E75"/>
    <w:rsid w:val="0050398F"/>
    <w:rsid w:val="00503C02"/>
    <w:rsid w:val="00503E57"/>
    <w:rsid w:val="005053D8"/>
    <w:rsid w:val="0050663A"/>
    <w:rsid w:val="00511C43"/>
    <w:rsid w:val="00512D4D"/>
    <w:rsid w:val="005140B0"/>
    <w:rsid w:val="00514270"/>
    <w:rsid w:val="00514A18"/>
    <w:rsid w:val="00516E60"/>
    <w:rsid w:val="005176CA"/>
    <w:rsid w:val="005221A3"/>
    <w:rsid w:val="005223E6"/>
    <w:rsid w:val="005229C2"/>
    <w:rsid w:val="005309B9"/>
    <w:rsid w:val="00530A89"/>
    <w:rsid w:val="00532A8E"/>
    <w:rsid w:val="00533BBD"/>
    <w:rsid w:val="005341B6"/>
    <w:rsid w:val="005348FF"/>
    <w:rsid w:val="00534D7E"/>
    <w:rsid w:val="00535BAD"/>
    <w:rsid w:val="00541862"/>
    <w:rsid w:val="005424F1"/>
    <w:rsid w:val="0054681B"/>
    <w:rsid w:val="00547A7E"/>
    <w:rsid w:val="005506FF"/>
    <w:rsid w:val="00551628"/>
    <w:rsid w:val="00554B2D"/>
    <w:rsid w:val="00556632"/>
    <w:rsid w:val="00557536"/>
    <w:rsid w:val="0056173F"/>
    <w:rsid w:val="00562000"/>
    <w:rsid w:val="00562225"/>
    <w:rsid w:val="00563995"/>
    <w:rsid w:val="005659D8"/>
    <w:rsid w:val="00566197"/>
    <w:rsid w:val="00571A60"/>
    <w:rsid w:val="00571E2D"/>
    <w:rsid w:val="00572ED3"/>
    <w:rsid w:val="005749DB"/>
    <w:rsid w:val="005760FB"/>
    <w:rsid w:val="00580068"/>
    <w:rsid w:val="0058043D"/>
    <w:rsid w:val="005916DC"/>
    <w:rsid w:val="00593F01"/>
    <w:rsid w:val="00594EA5"/>
    <w:rsid w:val="005959FE"/>
    <w:rsid w:val="005960E1"/>
    <w:rsid w:val="00597E77"/>
    <w:rsid w:val="005A044A"/>
    <w:rsid w:val="005A274F"/>
    <w:rsid w:val="005A3BFA"/>
    <w:rsid w:val="005A4993"/>
    <w:rsid w:val="005A6A99"/>
    <w:rsid w:val="005A6F8E"/>
    <w:rsid w:val="005B0D19"/>
    <w:rsid w:val="005B2636"/>
    <w:rsid w:val="005B36D2"/>
    <w:rsid w:val="005B4F41"/>
    <w:rsid w:val="005B602D"/>
    <w:rsid w:val="005B76F9"/>
    <w:rsid w:val="005B7D9C"/>
    <w:rsid w:val="005C1E1F"/>
    <w:rsid w:val="005C3FAC"/>
    <w:rsid w:val="005C4111"/>
    <w:rsid w:val="005C5747"/>
    <w:rsid w:val="005C6A92"/>
    <w:rsid w:val="005C71C2"/>
    <w:rsid w:val="005D08AE"/>
    <w:rsid w:val="005D1278"/>
    <w:rsid w:val="005D2D49"/>
    <w:rsid w:val="005D369D"/>
    <w:rsid w:val="005D5B8A"/>
    <w:rsid w:val="005D6DC9"/>
    <w:rsid w:val="005D7643"/>
    <w:rsid w:val="005E79C3"/>
    <w:rsid w:val="005E7A09"/>
    <w:rsid w:val="005E7B9C"/>
    <w:rsid w:val="005F70D5"/>
    <w:rsid w:val="0060296D"/>
    <w:rsid w:val="00602C6E"/>
    <w:rsid w:val="00603BAD"/>
    <w:rsid w:val="0060416E"/>
    <w:rsid w:val="00607D67"/>
    <w:rsid w:val="006106C9"/>
    <w:rsid w:val="00613E99"/>
    <w:rsid w:val="00615038"/>
    <w:rsid w:val="006163FF"/>
    <w:rsid w:val="00620306"/>
    <w:rsid w:val="00621424"/>
    <w:rsid w:val="00625CA5"/>
    <w:rsid w:val="00632191"/>
    <w:rsid w:val="0063533E"/>
    <w:rsid w:val="006378D9"/>
    <w:rsid w:val="00640FBB"/>
    <w:rsid w:val="006448CC"/>
    <w:rsid w:val="006449DD"/>
    <w:rsid w:val="00644EA9"/>
    <w:rsid w:val="00646033"/>
    <w:rsid w:val="00646E0A"/>
    <w:rsid w:val="006477B3"/>
    <w:rsid w:val="00647B1D"/>
    <w:rsid w:val="00647CA4"/>
    <w:rsid w:val="00651FBC"/>
    <w:rsid w:val="00651FEF"/>
    <w:rsid w:val="0066619F"/>
    <w:rsid w:val="00666F27"/>
    <w:rsid w:val="00671781"/>
    <w:rsid w:val="006724BA"/>
    <w:rsid w:val="0067392D"/>
    <w:rsid w:val="00676D94"/>
    <w:rsid w:val="00677C56"/>
    <w:rsid w:val="00681217"/>
    <w:rsid w:val="00681E69"/>
    <w:rsid w:val="006944B7"/>
    <w:rsid w:val="00696859"/>
    <w:rsid w:val="00697F6E"/>
    <w:rsid w:val="006A254B"/>
    <w:rsid w:val="006A3AA5"/>
    <w:rsid w:val="006A5428"/>
    <w:rsid w:val="006A5904"/>
    <w:rsid w:val="006A5DA2"/>
    <w:rsid w:val="006B1199"/>
    <w:rsid w:val="006B1601"/>
    <w:rsid w:val="006B5041"/>
    <w:rsid w:val="006C0567"/>
    <w:rsid w:val="006C290A"/>
    <w:rsid w:val="006C2AE3"/>
    <w:rsid w:val="006C49A2"/>
    <w:rsid w:val="006C4D47"/>
    <w:rsid w:val="006C59B1"/>
    <w:rsid w:val="006C68E9"/>
    <w:rsid w:val="006C7191"/>
    <w:rsid w:val="006D0B4D"/>
    <w:rsid w:val="006D2F7F"/>
    <w:rsid w:val="006D3D9E"/>
    <w:rsid w:val="006D6C83"/>
    <w:rsid w:val="006D786C"/>
    <w:rsid w:val="006E1FD7"/>
    <w:rsid w:val="006E30D2"/>
    <w:rsid w:val="006E3749"/>
    <w:rsid w:val="006E4365"/>
    <w:rsid w:val="006E47B9"/>
    <w:rsid w:val="006F06C2"/>
    <w:rsid w:val="006F0E46"/>
    <w:rsid w:val="006F7452"/>
    <w:rsid w:val="006F7B52"/>
    <w:rsid w:val="007028C6"/>
    <w:rsid w:val="007057BD"/>
    <w:rsid w:val="0070691F"/>
    <w:rsid w:val="0070727C"/>
    <w:rsid w:val="00715E02"/>
    <w:rsid w:val="00721E80"/>
    <w:rsid w:val="0072508D"/>
    <w:rsid w:val="007256C2"/>
    <w:rsid w:val="00726220"/>
    <w:rsid w:val="00731118"/>
    <w:rsid w:val="00731CAA"/>
    <w:rsid w:val="0073320F"/>
    <w:rsid w:val="007335B9"/>
    <w:rsid w:val="00740E71"/>
    <w:rsid w:val="007433B4"/>
    <w:rsid w:val="00744721"/>
    <w:rsid w:val="00745CF1"/>
    <w:rsid w:val="00746B63"/>
    <w:rsid w:val="00750874"/>
    <w:rsid w:val="00751575"/>
    <w:rsid w:val="007524F6"/>
    <w:rsid w:val="007528A2"/>
    <w:rsid w:val="00756407"/>
    <w:rsid w:val="00760775"/>
    <w:rsid w:val="00761E67"/>
    <w:rsid w:val="00762DDD"/>
    <w:rsid w:val="00764964"/>
    <w:rsid w:val="007703B6"/>
    <w:rsid w:val="00770DEE"/>
    <w:rsid w:val="00771628"/>
    <w:rsid w:val="00774407"/>
    <w:rsid w:val="00774603"/>
    <w:rsid w:val="00775F53"/>
    <w:rsid w:val="00776929"/>
    <w:rsid w:val="0078018F"/>
    <w:rsid w:val="00782F2D"/>
    <w:rsid w:val="00784BB5"/>
    <w:rsid w:val="00786A4E"/>
    <w:rsid w:val="00790D3F"/>
    <w:rsid w:val="00791F23"/>
    <w:rsid w:val="007A05F5"/>
    <w:rsid w:val="007A198F"/>
    <w:rsid w:val="007A1DE5"/>
    <w:rsid w:val="007A1E9A"/>
    <w:rsid w:val="007A3EA3"/>
    <w:rsid w:val="007A7631"/>
    <w:rsid w:val="007A7FA6"/>
    <w:rsid w:val="007B08CC"/>
    <w:rsid w:val="007B3747"/>
    <w:rsid w:val="007C013F"/>
    <w:rsid w:val="007C0189"/>
    <w:rsid w:val="007C0882"/>
    <w:rsid w:val="007C11B1"/>
    <w:rsid w:val="007C121B"/>
    <w:rsid w:val="007C3086"/>
    <w:rsid w:val="007C54CE"/>
    <w:rsid w:val="007D1987"/>
    <w:rsid w:val="007D2BBB"/>
    <w:rsid w:val="007D3A81"/>
    <w:rsid w:val="007D6B72"/>
    <w:rsid w:val="007D78F4"/>
    <w:rsid w:val="007D7B66"/>
    <w:rsid w:val="007E054E"/>
    <w:rsid w:val="007E0BA1"/>
    <w:rsid w:val="007E39F2"/>
    <w:rsid w:val="007E4A6C"/>
    <w:rsid w:val="007E4D9B"/>
    <w:rsid w:val="007E575A"/>
    <w:rsid w:val="007E5DE7"/>
    <w:rsid w:val="007E74C2"/>
    <w:rsid w:val="007E75B9"/>
    <w:rsid w:val="007F0260"/>
    <w:rsid w:val="007F7CB0"/>
    <w:rsid w:val="008007C8"/>
    <w:rsid w:val="00801D6E"/>
    <w:rsid w:val="00801F98"/>
    <w:rsid w:val="00816DE9"/>
    <w:rsid w:val="008179C2"/>
    <w:rsid w:val="008219F0"/>
    <w:rsid w:val="00823C77"/>
    <w:rsid w:val="00824412"/>
    <w:rsid w:val="008302A7"/>
    <w:rsid w:val="008305D6"/>
    <w:rsid w:val="0083124C"/>
    <w:rsid w:val="00832BCB"/>
    <w:rsid w:val="00837065"/>
    <w:rsid w:val="00840996"/>
    <w:rsid w:val="00841F6D"/>
    <w:rsid w:val="00842265"/>
    <w:rsid w:val="00842450"/>
    <w:rsid w:val="00844073"/>
    <w:rsid w:val="00845CEB"/>
    <w:rsid w:val="00850EE9"/>
    <w:rsid w:val="00855EB9"/>
    <w:rsid w:val="00856B4E"/>
    <w:rsid w:val="008571E6"/>
    <w:rsid w:val="00864080"/>
    <w:rsid w:val="008677E2"/>
    <w:rsid w:val="00873041"/>
    <w:rsid w:val="00873D9E"/>
    <w:rsid w:val="00880379"/>
    <w:rsid w:val="00880B24"/>
    <w:rsid w:val="00884FC8"/>
    <w:rsid w:val="0089143F"/>
    <w:rsid w:val="00892B7C"/>
    <w:rsid w:val="00893088"/>
    <w:rsid w:val="00894FE7"/>
    <w:rsid w:val="00896B87"/>
    <w:rsid w:val="00897935"/>
    <w:rsid w:val="008A18AF"/>
    <w:rsid w:val="008A4E49"/>
    <w:rsid w:val="008A6B68"/>
    <w:rsid w:val="008A722E"/>
    <w:rsid w:val="008B0DB6"/>
    <w:rsid w:val="008B1B70"/>
    <w:rsid w:val="008B500B"/>
    <w:rsid w:val="008B7356"/>
    <w:rsid w:val="008C155C"/>
    <w:rsid w:val="008C50CF"/>
    <w:rsid w:val="008C6BE5"/>
    <w:rsid w:val="008D0391"/>
    <w:rsid w:val="008D07B7"/>
    <w:rsid w:val="008D481B"/>
    <w:rsid w:val="008D626A"/>
    <w:rsid w:val="008E0982"/>
    <w:rsid w:val="008E2C69"/>
    <w:rsid w:val="008E34E4"/>
    <w:rsid w:val="008E52D8"/>
    <w:rsid w:val="008E60C9"/>
    <w:rsid w:val="008F02F4"/>
    <w:rsid w:val="008F056C"/>
    <w:rsid w:val="008F1AB9"/>
    <w:rsid w:val="008F4283"/>
    <w:rsid w:val="00903F54"/>
    <w:rsid w:val="009045AD"/>
    <w:rsid w:val="009047D7"/>
    <w:rsid w:val="00906FDD"/>
    <w:rsid w:val="00914870"/>
    <w:rsid w:val="00915979"/>
    <w:rsid w:val="00922C1F"/>
    <w:rsid w:val="00923A40"/>
    <w:rsid w:val="00923F90"/>
    <w:rsid w:val="00924BB0"/>
    <w:rsid w:val="009252E7"/>
    <w:rsid w:val="00925DD1"/>
    <w:rsid w:val="00926DC4"/>
    <w:rsid w:val="0093010E"/>
    <w:rsid w:val="00930538"/>
    <w:rsid w:val="0093058D"/>
    <w:rsid w:val="0093341B"/>
    <w:rsid w:val="00934D80"/>
    <w:rsid w:val="00935962"/>
    <w:rsid w:val="00937B68"/>
    <w:rsid w:val="0094530D"/>
    <w:rsid w:val="00951B2F"/>
    <w:rsid w:val="00953314"/>
    <w:rsid w:val="0095731E"/>
    <w:rsid w:val="009624E0"/>
    <w:rsid w:val="00962535"/>
    <w:rsid w:val="00965F0B"/>
    <w:rsid w:val="00967648"/>
    <w:rsid w:val="009704B6"/>
    <w:rsid w:val="00970F30"/>
    <w:rsid w:val="0097168F"/>
    <w:rsid w:val="009728A3"/>
    <w:rsid w:val="00980B1A"/>
    <w:rsid w:val="00980BF7"/>
    <w:rsid w:val="009819CE"/>
    <w:rsid w:val="009824C3"/>
    <w:rsid w:val="009868C8"/>
    <w:rsid w:val="00986FE6"/>
    <w:rsid w:val="009878C8"/>
    <w:rsid w:val="00990EF2"/>
    <w:rsid w:val="0099137E"/>
    <w:rsid w:val="009917E5"/>
    <w:rsid w:val="00991F74"/>
    <w:rsid w:val="00992311"/>
    <w:rsid w:val="00993477"/>
    <w:rsid w:val="00993923"/>
    <w:rsid w:val="00994AA7"/>
    <w:rsid w:val="009A0606"/>
    <w:rsid w:val="009A1479"/>
    <w:rsid w:val="009A219F"/>
    <w:rsid w:val="009A348A"/>
    <w:rsid w:val="009A3C6E"/>
    <w:rsid w:val="009B311C"/>
    <w:rsid w:val="009B6F2A"/>
    <w:rsid w:val="009C01B8"/>
    <w:rsid w:val="009C2BD2"/>
    <w:rsid w:val="009C4C70"/>
    <w:rsid w:val="009C6004"/>
    <w:rsid w:val="009C61DE"/>
    <w:rsid w:val="009C66A2"/>
    <w:rsid w:val="009C71F2"/>
    <w:rsid w:val="009D0906"/>
    <w:rsid w:val="009D0A42"/>
    <w:rsid w:val="009D4AFA"/>
    <w:rsid w:val="009D79BB"/>
    <w:rsid w:val="009E2EB2"/>
    <w:rsid w:val="009E3B78"/>
    <w:rsid w:val="009E6FDC"/>
    <w:rsid w:val="009E728A"/>
    <w:rsid w:val="009F2D6F"/>
    <w:rsid w:val="009F41F4"/>
    <w:rsid w:val="009F714D"/>
    <w:rsid w:val="00A029E1"/>
    <w:rsid w:val="00A04FC3"/>
    <w:rsid w:val="00A06AB0"/>
    <w:rsid w:val="00A13A4E"/>
    <w:rsid w:val="00A13F8A"/>
    <w:rsid w:val="00A205D0"/>
    <w:rsid w:val="00A20DBD"/>
    <w:rsid w:val="00A243AE"/>
    <w:rsid w:val="00A25DA4"/>
    <w:rsid w:val="00A25EF3"/>
    <w:rsid w:val="00A270E6"/>
    <w:rsid w:val="00A27C3B"/>
    <w:rsid w:val="00A308D4"/>
    <w:rsid w:val="00A315FC"/>
    <w:rsid w:val="00A328BC"/>
    <w:rsid w:val="00A33903"/>
    <w:rsid w:val="00A350E1"/>
    <w:rsid w:val="00A401CD"/>
    <w:rsid w:val="00A4080D"/>
    <w:rsid w:val="00A40DFD"/>
    <w:rsid w:val="00A45CF1"/>
    <w:rsid w:val="00A45E25"/>
    <w:rsid w:val="00A50252"/>
    <w:rsid w:val="00A5539F"/>
    <w:rsid w:val="00A55A0F"/>
    <w:rsid w:val="00A57052"/>
    <w:rsid w:val="00A62DE1"/>
    <w:rsid w:val="00A63CCD"/>
    <w:rsid w:val="00A647B0"/>
    <w:rsid w:val="00A65F8C"/>
    <w:rsid w:val="00A66007"/>
    <w:rsid w:val="00A72C54"/>
    <w:rsid w:val="00A7533A"/>
    <w:rsid w:val="00A77989"/>
    <w:rsid w:val="00A809EA"/>
    <w:rsid w:val="00A83A3C"/>
    <w:rsid w:val="00A84CD1"/>
    <w:rsid w:val="00A87348"/>
    <w:rsid w:val="00A87720"/>
    <w:rsid w:val="00A87761"/>
    <w:rsid w:val="00A8782C"/>
    <w:rsid w:val="00A915F4"/>
    <w:rsid w:val="00A91DCB"/>
    <w:rsid w:val="00A9283D"/>
    <w:rsid w:val="00A92B93"/>
    <w:rsid w:val="00A92EA8"/>
    <w:rsid w:val="00A94A01"/>
    <w:rsid w:val="00A94BBF"/>
    <w:rsid w:val="00A972C2"/>
    <w:rsid w:val="00AA3BE0"/>
    <w:rsid w:val="00AA5A97"/>
    <w:rsid w:val="00AA753C"/>
    <w:rsid w:val="00AB2E1C"/>
    <w:rsid w:val="00AB5635"/>
    <w:rsid w:val="00AB61F4"/>
    <w:rsid w:val="00AC4A7F"/>
    <w:rsid w:val="00AC4C58"/>
    <w:rsid w:val="00AD276F"/>
    <w:rsid w:val="00AD721C"/>
    <w:rsid w:val="00AD7553"/>
    <w:rsid w:val="00AD78F2"/>
    <w:rsid w:val="00AD7F15"/>
    <w:rsid w:val="00AE0DC5"/>
    <w:rsid w:val="00AE2693"/>
    <w:rsid w:val="00AE5221"/>
    <w:rsid w:val="00AE6E87"/>
    <w:rsid w:val="00AE70ED"/>
    <w:rsid w:val="00AE7B56"/>
    <w:rsid w:val="00AF21CF"/>
    <w:rsid w:val="00AF2543"/>
    <w:rsid w:val="00AF28AD"/>
    <w:rsid w:val="00AF48DB"/>
    <w:rsid w:val="00B007F2"/>
    <w:rsid w:val="00B01DB3"/>
    <w:rsid w:val="00B0773D"/>
    <w:rsid w:val="00B10E41"/>
    <w:rsid w:val="00B118DE"/>
    <w:rsid w:val="00B139A8"/>
    <w:rsid w:val="00B13CF2"/>
    <w:rsid w:val="00B21184"/>
    <w:rsid w:val="00B21D51"/>
    <w:rsid w:val="00B24071"/>
    <w:rsid w:val="00B2604E"/>
    <w:rsid w:val="00B31377"/>
    <w:rsid w:val="00B31D53"/>
    <w:rsid w:val="00B32F38"/>
    <w:rsid w:val="00B357EB"/>
    <w:rsid w:val="00B35F2E"/>
    <w:rsid w:val="00B405B2"/>
    <w:rsid w:val="00B41964"/>
    <w:rsid w:val="00B44A73"/>
    <w:rsid w:val="00B4641D"/>
    <w:rsid w:val="00B503C7"/>
    <w:rsid w:val="00B509E0"/>
    <w:rsid w:val="00B53973"/>
    <w:rsid w:val="00B57528"/>
    <w:rsid w:val="00B621F2"/>
    <w:rsid w:val="00B62353"/>
    <w:rsid w:val="00B6372B"/>
    <w:rsid w:val="00B641FF"/>
    <w:rsid w:val="00B64C46"/>
    <w:rsid w:val="00B65548"/>
    <w:rsid w:val="00B66327"/>
    <w:rsid w:val="00B6633A"/>
    <w:rsid w:val="00B673DD"/>
    <w:rsid w:val="00B675A1"/>
    <w:rsid w:val="00B67B80"/>
    <w:rsid w:val="00B73A30"/>
    <w:rsid w:val="00B77278"/>
    <w:rsid w:val="00B80330"/>
    <w:rsid w:val="00B86AEB"/>
    <w:rsid w:val="00B90E1B"/>
    <w:rsid w:val="00B94D22"/>
    <w:rsid w:val="00B97033"/>
    <w:rsid w:val="00B97B73"/>
    <w:rsid w:val="00BA3211"/>
    <w:rsid w:val="00BA51AC"/>
    <w:rsid w:val="00BA56B8"/>
    <w:rsid w:val="00BA626D"/>
    <w:rsid w:val="00BB0399"/>
    <w:rsid w:val="00BB0D46"/>
    <w:rsid w:val="00BB3673"/>
    <w:rsid w:val="00BB4753"/>
    <w:rsid w:val="00BB4E53"/>
    <w:rsid w:val="00BB6224"/>
    <w:rsid w:val="00BB6E70"/>
    <w:rsid w:val="00BB7B93"/>
    <w:rsid w:val="00BC1713"/>
    <w:rsid w:val="00BC1E2E"/>
    <w:rsid w:val="00BC1FAF"/>
    <w:rsid w:val="00BC1FF3"/>
    <w:rsid w:val="00BC27D9"/>
    <w:rsid w:val="00BC2C0D"/>
    <w:rsid w:val="00BC750E"/>
    <w:rsid w:val="00BD0DF5"/>
    <w:rsid w:val="00BD116F"/>
    <w:rsid w:val="00BD2D75"/>
    <w:rsid w:val="00BD41A1"/>
    <w:rsid w:val="00BD476A"/>
    <w:rsid w:val="00BD657D"/>
    <w:rsid w:val="00BD76FA"/>
    <w:rsid w:val="00BD7CDC"/>
    <w:rsid w:val="00BE00A0"/>
    <w:rsid w:val="00BE316E"/>
    <w:rsid w:val="00BE4414"/>
    <w:rsid w:val="00BE529C"/>
    <w:rsid w:val="00BE5811"/>
    <w:rsid w:val="00BE5E44"/>
    <w:rsid w:val="00BF0E78"/>
    <w:rsid w:val="00BF2091"/>
    <w:rsid w:val="00BF4CB7"/>
    <w:rsid w:val="00BF594E"/>
    <w:rsid w:val="00C00306"/>
    <w:rsid w:val="00C0124D"/>
    <w:rsid w:val="00C01F73"/>
    <w:rsid w:val="00C02811"/>
    <w:rsid w:val="00C04F7F"/>
    <w:rsid w:val="00C07DA3"/>
    <w:rsid w:val="00C106D7"/>
    <w:rsid w:val="00C10E62"/>
    <w:rsid w:val="00C114E3"/>
    <w:rsid w:val="00C1305B"/>
    <w:rsid w:val="00C1324B"/>
    <w:rsid w:val="00C1431F"/>
    <w:rsid w:val="00C16538"/>
    <w:rsid w:val="00C16C52"/>
    <w:rsid w:val="00C17FA5"/>
    <w:rsid w:val="00C236C4"/>
    <w:rsid w:val="00C24F49"/>
    <w:rsid w:val="00C319E1"/>
    <w:rsid w:val="00C31FAA"/>
    <w:rsid w:val="00C33050"/>
    <w:rsid w:val="00C337EE"/>
    <w:rsid w:val="00C33D04"/>
    <w:rsid w:val="00C342B6"/>
    <w:rsid w:val="00C36D56"/>
    <w:rsid w:val="00C36ECB"/>
    <w:rsid w:val="00C3755A"/>
    <w:rsid w:val="00C37C92"/>
    <w:rsid w:val="00C41041"/>
    <w:rsid w:val="00C4463F"/>
    <w:rsid w:val="00C452E0"/>
    <w:rsid w:val="00C5064B"/>
    <w:rsid w:val="00C558FF"/>
    <w:rsid w:val="00C56E38"/>
    <w:rsid w:val="00C60927"/>
    <w:rsid w:val="00C64DE1"/>
    <w:rsid w:val="00C660DF"/>
    <w:rsid w:val="00C66E7B"/>
    <w:rsid w:val="00C71222"/>
    <w:rsid w:val="00C73E1B"/>
    <w:rsid w:val="00C7591F"/>
    <w:rsid w:val="00C77E25"/>
    <w:rsid w:val="00C8125C"/>
    <w:rsid w:val="00C847CF"/>
    <w:rsid w:val="00C90378"/>
    <w:rsid w:val="00C90DCA"/>
    <w:rsid w:val="00C919C3"/>
    <w:rsid w:val="00C92A14"/>
    <w:rsid w:val="00C94FAC"/>
    <w:rsid w:val="00C951B1"/>
    <w:rsid w:val="00C95527"/>
    <w:rsid w:val="00CA07A7"/>
    <w:rsid w:val="00CA227E"/>
    <w:rsid w:val="00CA2C95"/>
    <w:rsid w:val="00CA2F4E"/>
    <w:rsid w:val="00CA720E"/>
    <w:rsid w:val="00CB017F"/>
    <w:rsid w:val="00CB5DFA"/>
    <w:rsid w:val="00CB6B75"/>
    <w:rsid w:val="00CB72AC"/>
    <w:rsid w:val="00CC27BE"/>
    <w:rsid w:val="00CC4DE0"/>
    <w:rsid w:val="00CC7947"/>
    <w:rsid w:val="00CD23F8"/>
    <w:rsid w:val="00CE0649"/>
    <w:rsid w:val="00CE1A7B"/>
    <w:rsid w:val="00CE2495"/>
    <w:rsid w:val="00CE4AE7"/>
    <w:rsid w:val="00CE7C2C"/>
    <w:rsid w:val="00CF0B60"/>
    <w:rsid w:val="00CF0C5C"/>
    <w:rsid w:val="00CF0DC6"/>
    <w:rsid w:val="00CF219A"/>
    <w:rsid w:val="00CF235D"/>
    <w:rsid w:val="00CF3C63"/>
    <w:rsid w:val="00CF737F"/>
    <w:rsid w:val="00D0008E"/>
    <w:rsid w:val="00D042EB"/>
    <w:rsid w:val="00D05FD2"/>
    <w:rsid w:val="00D07FF0"/>
    <w:rsid w:val="00D10FA4"/>
    <w:rsid w:val="00D1589A"/>
    <w:rsid w:val="00D1621B"/>
    <w:rsid w:val="00D2072C"/>
    <w:rsid w:val="00D21980"/>
    <w:rsid w:val="00D22F7B"/>
    <w:rsid w:val="00D23368"/>
    <w:rsid w:val="00D25E9E"/>
    <w:rsid w:val="00D27028"/>
    <w:rsid w:val="00D30E6B"/>
    <w:rsid w:val="00D32C4E"/>
    <w:rsid w:val="00D33D9B"/>
    <w:rsid w:val="00D36C95"/>
    <w:rsid w:val="00D40334"/>
    <w:rsid w:val="00D449CF"/>
    <w:rsid w:val="00D456BE"/>
    <w:rsid w:val="00D46435"/>
    <w:rsid w:val="00D4692C"/>
    <w:rsid w:val="00D50B1A"/>
    <w:rsid w:val="00D54A2F"/>
    <w:rsid w:val="00D54D6F"/>
    <w:rsid w:val="00D55346"/>
    <w:rsid w:val="00D55470"/>
    <w:rsid w:val="00D6028A"/>
    <w:rsid w:val="00D6193E"/>
    <w:rsid w:val="00D62772"/>
    <w:rsid w:val="00D739E6"/>
    <w:rsid w:val="00D7554D"/>
    <w:rsid w:val="00D756BD"/>
    <w:rsid w:val="00D75B5D"/>
    <w:rsid w:val="00D75E40"/>
    <w:rsid w:val="00D76504"/>
    <w:rsid w:val="00D76897"/>
    <w:rsid w:val="00D77973"/>
    <w:rsid w:val="00D80A22"/>
    <w:rsid w:val="00D81A35"/>
    <w:rsid w:val="00D847B6"/>
    <w:rsid w:val="00D8599A"/>
    <w:rsid w:val="00D85B88"/>
    <w:rsid w:val="00D85CB9"/>
    <w:rsid w:val="00D85FDE"/>
    <w:rsid w:val="00D86138"/>
    <w:rsid w:val="00D864E2"/>
    <w:rsid w:val="00D90B80"/>
    <w:rsid w:val="00D91860"/>
    <w:rsid w:val="00D92B7C"/>
    <w:rsid w:val="00D940E3"/>
    <w:rsid w:val="00D97023"/>
    <w:rsid w:val="00D9726F"/>
    <w:rsid w:val="00D975FF"/>
    <w:rsid w:val="00DA28AD"/>
    <w:rsid w:val="00DA4F2E"/>
    <w:rsid w:val="00DA6436"/>
    <w:rsid w:val="00DB13AD"/>
    <w:rsid w:val="00DB1B1B"/>
    <w:rsid w:val="00DB4D36"/>
    <w:rsid w:val="00DB6130"/>
    <w:rsid w:val="00DB6B26"/>
    <w:rsid w:val="00DC2CB4"/>
    <w:rsid w:val="00DC2D0D"/>
    <w:rsid w:val="00DC4751"/>
    <w:rsid w:val="00DC76D4"/>
    <w:rsid w:val="00DD5CC1"/>
    <w:rsid w:val="00DD6728"/>
    <w:rsid w:val="00DE0BA8"/>
    <w:rsid w:val="00DE1FA2"/>
    <w:rsid w:val="00DE273A"/>
    <w:rsid w:val="00DE3092"/>
    <w:rsid w:val="00DE4262"/>
    <w:rsid w:val="00DE5EFA"/>
    <w:rsid w:val="00DF0614"/>
    <w:rsid w:val="00DF303C"/>
    <w:rsid w:val="00DF312E"/>
    <w:rsid w:val="00DF5648"/>
    <w:rsid w:val="00DF5B72"/>
    <w:rsid w:val="00E00851"/>
    <w:rsid w:val="00E042C2"/>
    <w:rsid w:val="00E068E7"/>
    <w:rsid w:val="00E10307"/>
    <w:rsid w:val="00E111A9"/>
    <w:rsid w:val="00E1293B"/>
    <w:rsid w:val="00E15867"/>
    <w:rsid w:val="00E1622A"/>
    <w:rsid w:val="00E166AB"/>
    <w:rsid w:val="00E179D4"/>
    <w:rsid w:val="00E25154"/>
    <w:rsid w:val="00E318FB"/>
    <w:rsid w:val="00E34D1A"/>
    <w:rsid w:val="00E5328C"/>
    <w:rsid w:val="00E5402B"/>
    <w:rsid w:val="00E54A19"/>
    <w:rsid w:val="00E55D7E"/>
    <w:rsid w:val="00E5617F"/>
    <w:rsid w:val="00E57CCB"/>
    <w:rsid w:val="00E60FE0"/>
    <w:rsid w:val="00E617BA"/>
    <w:rsid w:val="00E629B3"/>
    <w:rsid w:val="00E65C9B"/>
    <w:rsid w:val="00E661E3"/>
    <w:rsid w:val="00E71AC4"/>
    <w:rsid w:val="00E7321C"/>
    <w:rsid w:val="00E767DD"/>
    <w:rsid w:val="00E769AB"/>
    <w:rsid w:val="00E8214C"/>
    <w:rsid w:val="00E8328A"/>
    <w:rsid w:val="00E86466"/>
    <w:rsid w:val="00E92173"/>
    <w:rsid w:val="00E95193"/>
    <w:rsid w:val="00E9569B"/>
    <w:rsid w:val="00EA26A6"/>
    <w:rsid w:val="00EA29C8"/>
    <w:rsid w:val="00EA4704"/>
    <w:rsid w:val="00EA7CD6"/>
    <w:rsid w:val="00EB30C5"/>
    <w:rsid w:val="00EB3AE9"/>
    <w:rsid w:val="00EB3D81"/>
    <w:rsid w:val="00EB47DD"/>
    <w:rsid w:val="00EB519D"/>
    <w:rsid w:val="00EC1E28"/>
    <w:rsid w:val="00EC2831"/>
    <w:rsid w:val="00EC3D0C"/>
    <w:rsid w:val="00EC4010"/>
    <w:rsid w:val="00EC5427"/>
    <w:rsid w:val="00EC7C73"/>
    <w:rsid w:val="00ED113A"/>
    <w:rsid w:val="00ED34F6"/>
    <w:rsid w:val="00EE10DA"/>
    <w:rsid w:val="00EE4E0F"/>
    <w:rsid w:val="00EE7543"/>
    <w:rsid w:val="00EE7868"/>
    <w:rsid w:val="00EF0475"/>
    <w:rsid w:val="00EF3D81"/>
    <w:rsid w:val="00EF3DA7"/>
    <w:rsid w:val="00F01681"/>
    <w:rsid w:val="00F04D45"/>
    <w:rsid w:val="00F04F82"/>
    <w:rsid w:val="00F0597A"/>
    <w:rsid w:val="00F06FBA"/>
    <w:rsid w:val="00F07ED7"/>
    <w:rsid w:val="00F14B24"/>
    <w:rsid w:val="00F14D59"/>
    <w:rsid w:val="00F15969"/>
    <w:rsid w:val="00F221D0"/>
    <w:rsid w:val="00F22829"/>
    <w:rsid w:val="00F23058"/>
    <w:rsid w:val="00F23D00"/>
    <w:rsid w:val="00F24264"/>
    <w:rsid w:val="00F25CA5"/>
    <w:rsid w:val="00F27ABE"/>
    <w:rsid w:val="00F309FD"/>
    <w:rsid w:val="00F3492E"/>
    <w:rsid w:val="00F37210"/>
    <w:rsid w:val="00F419AE"/>
    <w:rsid w:val="00F452E2"/>
    <w:rsid w:val="00F45DAB"/>
    <w:rsid w:val="00F46302"/>
    <w:rsid w:val="00F4689D"/>
    <w:rsid w:val="00F477CE"/>
    <w:rsid w:val="00F50625"/>
    <w:rsid w:val="00F50F0F"/>
    <w:rsid w:val="00F52B6B"/>
    <w:rsid w:val="00F52C74"/>
    <w:rsid w:val="00F6086D"/>
    <w:rsid w:val="00F6096C"/>
    <w:rsid w:val="00F61247"/>
    <w:rsid w:val="00F6683D"/>
    <w:rsid w:val="00F66EB1"/>
    <w:rsid w:val="00F678B4"/>
    <w:rsid w:val="00F72AF9"/>
    <w:rsid w:val="00F7478D"/>
    <w:rsid w:val="00F74CDB"/>
    <w:rsid w:val="00F75896"/>
    <w:rsid w:val="00F76AE2"/>
    <w:rsid w:val="00F804BB"/>
    <w:rsid w:val="00F80A23"/>
    <w:rsid w:val="00F82716"/>
    <w:rsid w:val="00F8308A"/>
    <w:rsid w:val="00F833A8"/>
    <w:rsid w:val="00F83B34"/>
    <w:rsid w:val="00F8406D"/>
    <w:rsid w:val="00F87BD9"/>
    <w:rsid w:val="00F90F6D"/>
    <w:rsid w:val="00F91887"/>
    <w:rsid w:val="00F92667"/>
    <w:rsid w:val="00F9328F"/>
    <w:rsid w:val="00F93A76"/>
    <w:rsid w:val="00F94987"/>
    <w:rsid w:val="00F954B8"/>
    <w:rsid w:val="00F96622"/>
    <w:rsid w:val="00FA23B2"/>
    <w:rsid w:val="00FA44B3"/>
    <w:rsid w:val="00FA4CAF"/>
    <w:rsid w:val="00FA4DC8"/>
    <w:rsid w:val="00FA61E5"/>
    <w:rsid w:val="00FA779A"/>
    <w:rsid w:val="00FA7970"/>
    <w:rsid w:val="00FB3398"/>
    <w:rsid w:val="00FB38EF"/>
    <w:rsid w:val="00FB4818"/>
    <w:rsid w:val="00FB6913"/>
    <w:rsid w:val="00FC0495"/>
    <w:rsid w:val="00FC351C"/>
    <w:rsid w:val="00FC4EC6"/>
    <w:rsid w:val="00FC66C9"/>
    <w:rsid w:val="00FC75FE"/>
    <w:rsid w:val="00FC7E5C"/>
    <w:rsid w:val="00FD0DEC"/>
    <w:rsid w:val="00FD2B9E"/>
    <w:rsid w:val="00FD56B8"/>
    <w:rsid w:val="00FD60FE"/>
    <w:rsid w:val="00FD7AB3"/>
    <w:rsid w:val="00FE0DCB"/>
    <w:rsid w:val="00FE1949"/>
    <w:rsid w:val="00FE6558"/>
    <w:rsid w:val="00FE7EAD"/>
    <w:rsid w:val="00FF57EB"/>
    <w:rsid w:val="00FF621D"/>
    <w:rsid w:val="00FF7A0C"/>
    <w:rsid w:val="4AF8DCD8"/>
  </w:rsids>
  <m:mathPr>
    <m:mathFont m:val="Cambria Math"/>
    <m:brkBin m:val="before"/>
    <m:brkBinSub m:val="--"/>
    <m:smallFrac m:val="0"/>
    <m:dispDef/>
    <m:lMargin m:val="0"/>
    <m:rMargin m:val="0"/>
    <m:defJc m:val="centerGroup"/>
    <m:wrapIndent m:val="1440"/>
    <m:intLim m:val="subSup"/>
    <m:naryLim m:val="undOvr"/>
  </m:mathPr>
  <w:themeFontLang w:val="fr-BE" w:bidi="kn-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AB41331"/>
  <w15:chartTrackingRefBased/>
  <w15:docId w15:val="{8190B69D-7735-4274-A0CA-01B810E98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7356"/>
    <w:pPr>
      <w:spacing w:before="240" w:after="240"/>
    </w:pPr>
  </w:style>
  <w:style w:type="paragraph" w:styleId="Heading1">
    <w:name w:val="heading 1"/>
    <w:basedOn w:val="Normal"/>
    <w:next w:val="Normal"/>
    <w:link w:val="Heading1Char"/>
    <w:uiPriority w:val="9"/>
    <w:qFormat/>
    <w:rsid w:val="00470453"/>
    <w:pPr>
      <w:keepNext/>
      <w:spacing w:line="480" w:lineRule="exact"/>
      <w:outlineLvl w:val="0"/>
    </w:pPr>
    <w:rPr>
      <w:rFonts w:ascii="EC Square Sans Pro" w:eastAsia="Times New Roman" w:hAnsi="EC Square Sans Pro" w:cs="Times New Roman"/>
      <w:color w:val="003399" w:themeColor="text2"/>
      <w:kern w:val="0"/>
      <w:sz w:val="48"/>
      <w:szCs w:val="28"/>
      <w:lang w:eastAsia="en-GB"/>
      <w14:ligatures w14:val="none"/>
    </w:rPr>
  </w:style>
  <w:style w:type="paragraph" w:styleId="Heading2">
    <w:name w:val="heading 2"/>
    <w:basedOn w:val="Normal"/>
    <w:next w:val="Normal"/>
    <w:link w:val="Heading2Char"/>
    <w:uiPriority w:val="9"/>
    <w:unhideWhenUsed/>
    <w:qFormat/>
    <w:rsid w:val="00470453"/>
    <w:pPr>
      <w:keepNext/>
      <w:pBdr>
        <w:bottom w:val="single" w:sz="4" w:space="1" w:color="DC165D" w:themeColor="accent5"/>
      </w:pBdr>
      <w:autoSpaceDE w:val="0"/>
      <w:autoSpaceDN w:val="0"/>
      <w:adjustRightInd w:val="0"/>
      <w:spacing w:before="360" w:line="240" w:lineRule="auto"/>
      <w:outlineLvl w:val="1"/>
    </w:pPr>
    <w:rPr>
      <w:rFonts w:ascii="EC Square Sans Pro" w:eastAsia="Times New Roman" w:hAnsi="EC Square Sans Pro" w:cs="Times New Roman"/>
      <w:b/>
      <w:color w:val="003399" w:themeColor="text2"/>
      <w:kern w:val="0"/>
      <w:sz w:val="28"/>
      <w:szCs w:val="24"/>
      <w:lang w:eastAsia="en-GB"/>
      <w14:ligatures w14:val="none"/>
    </w:rPr>
  </w:style>
  <w:style w:type="paragraph" w:styleId="Heading3">
    <w:name w:val="heading 3"/>
    <w:basedOn w:val="Normal"/>
    <w:next w:val="Normal"/>
    <w:link w:val="Heading3Char"/>
    <w:uiPriority w:val="9"/>
    <w:unhideWhenUsed/>
    <w:qFormat/>
    <w:rsid w:val="008B7356"/>
    <w:pPr>
      <w:keepNext/>
      <w:pBdr>
        <w:bottom w:val="single" w:sz="4" w:space="1" w:color="DC165D" w:themeColor="accent5"/>
      </w:pBdr>
      <w:autoSpaceDE w:val="0"/>
      <w:autoSpaceDN w:val="0"/>
      <w:adjustRightInd w:val="0"/>
      <w:spacing w:line="240" w:lineRule="auto"/>
      <w:jc w:val="both"/>
      <w:outlineLvl w:val="2"/>
    </w:pPr>
    <w:rPr>
      <w:rFonts w:ascii="EC Square Sans Pro" w:eastAsia="Times New Roman" w:hAnsi="EC Square Sans Pro" w:cs="Times New Roman"/>
      <w:b/>
      <w:color w:val="003399" w:themeColor="text2"/>
      <w:kern w:val="0"/>
      <w:sz w:val="24"/>
      <w:szCs w:val="24"/>
      <w:lang w:eastAsia="en-GB"/>
      <w14:ligatures w14:val="none"/>
    </w:rPr>
  </w:style>
  <w:style w:type="paragraph" w:styleId="Heading4">
    <w:name w:val="heading 4"/>
    <w:basedOn w:val="Normal"/>
    <w:next w:val="Normal"/>
    <w:link w:val="Heading4Char"/>
    <w:uiPriority w:val="9"/>
    <w:unhideWhenUsed/>
    <w:qFormat/>
    <w:rsid w:val="00BC750E"/>
    <w:pPr>
      <w:keepNext/>
      <w:numPr>
        <w:ilvl w:val="3"/>
        <w:numId w:val="26"/>
      </w:numPr>
      <w:spacing w:before="120" w:after="120" w:line="240" w:lineRule="auto"/>
      <w:jc w:val="both"/>
      <w:outlineLvl w:val="3"/>
    </w:pPr>
    <w:rPr>
      <w:rFonts w:ascii="Times New Roman" w:eastAsiaTheme="majorEastAsia" w:hAnsi="Times New Roman" w:cs="Times New Roman"/>
      <w:bCs/>
      <w:iCs/>
      <w:sz w:val="24"/>
    </w:rPr>
  </w:style>
  <w:style w:type="paragraph" w:styleId="Heading5">
    <w:name w:val="heading 5"/>
    <w:basedOn w:val="Normal"/>
    <w:next w:val="Normal"/>
    <w:link w:val="Heading5Char"/>
    <w:uiPriority w:val="9"/>
    <w:semiHidden/>
    <w:unhideWhenUsed/>
    <w:qFormat/>
    <w:rsid w:val="00BE5E44"/>
    <w:pPr>
      <w:keepNext/>
      <w:keepLines/>
      <w:numPr>
        <w:ilvl w:val="4"/>
        <w:numId w:val="26"/>
      </w:numPr>
      <w:spacing w:before="40" w:after="0"/>
      <w:outlineLvl w:val="4"/>
    </w:pPr>
    <w:rPr>
      <w:rFonts w:asciiTheme="majorHAnsi" w:eastAsiaTheme="majorEastAsia" w:hAnsiTheme="majorHAnsi" w:cstheme="majorBidi"/>
      <w:color w:val="00602A" w:themeColor="accent1" w:themeShade="BF"/>
    </w:rPr>
  </w:style>
  <w:style w:type="paragraph" w:styleId="Heading6">
    <w:name w:val="heading 6"/>
    <w:basedOn w:val="Normal"/>
    <w:next w:val="Normal"/>
    <w:link w:val="Heading6Char"/>
    <w:uiPriority w:val="9"/>
    <w:semiHidden/>
    <w:unhideWhenUsed/>
    <w:qFormat/>
    <w:rsid w:val="00BE5E44"/>
    <w:pPr>
      <w:keepNext/>
      <w:keepLines/>
      <w:numPr>
        <w:ilvl w:val="5"/>
        <w:numId w:val="26"/>
      </w:numPr>
      <w:spacing w:before="40" w:after="0"/>
      <w:outlineLvl w:val="5"/>
    </w:pPr>
    <w:rPr>
      <w:rFonts w:asciiTheme="majorHAnsi" w:eastAsiaTheme="majorEastAsia" w:hAnsiTheme="majorHAnsi" w:cstheme="majorBidi"/>
      <w:color w:val="00401C" w:themeColor="accent1" w:themeShade="7F"/>
    </w:rPr>
  </w:style>
  <w:style w:type="paragraph" w:styleId="Heading7">
    <w:name w:val="heading 7"/>
    <w:basedOn w:val="Normal"/>
    <w:next w:val="Normal"/>
    <w:link w:val="Heading7Char"/>
    <w:uiPriority w:val="9"/>
    <w:semiHidden/>
    <w:unhideWhenUsed/>
    <w:qFormat/>
    <w:rsid w:val="00BE5E44"/>
    <w:pPr>
      <w:keepNext/>
      <w:keepLines/>
      <w:numPr>
        <w:ilvl w:val="6"/>
        <w:numId w:val="26"/>
      </w:numPr>
      <w:spacing w:before="40" w:after="0"/>
      <w:outlineLvl w:val="6"/>
    </w:pPr>
    <w:rPr>
      <w:rFonts w:asciiTheme="majorHAnsi" w:eastAsiaTheme="majorEastAsia" w:hAnsiTheme="majorHAnsi" w:cstheme="majorBidi"/>
      <w:i/>
      <w:iCs/>
      <w:color w:val="00401C" w:themeColor="accent1" w:themeShade="7F"/>
    </w:rPr>
  </w:style>
  <w:style w:type="paragraph" w:styleId="Heading8">
    <w:name w:val="heading 8"/>
    <w:basedOn w:val="Normal"/>
    <w:next w:val="Normal"/>
    <w:link w:val="Heading8Char"/>
    <w:uiPriority w:val="9"/>
    <w:semiHidden/>
    <w:unhideWhenUsed/>
    <w:qFormat/>
    <w:rsid w:val="00BE5E44"/>
    <w:pPr>
      <w:keepNext/>
      <w:keepLines/>
      <w:numPr>
        <w:ilvl w:val="7"/>
        <w:numId w:val="2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E5E44"/>
    <w:pPr>
      <w:keepNext/>
      <w:keepLines/>
      <w:numPr>
        <w:ilvl w:val="8"/>
        <w:numId w:val="2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compagnant">
    <w:name w:val="Accompagnant"/>
    <w:basedOn w:val="Normal"/>
    <w:next w:val="Normal"/>
    <w:rsid w:val="00BC750E"/>
    <w:pPr>
      <w:spacing w:line="240" w:lineRule="auto"/>
      <w:jc w:val="center"/>
    </w:pPr>
    <w:rPr>
      <w:rFonts w:ascii="Times New Roman" w:hAnsi="Times New Roman" w:cs="Times New Roman"/>
      <w:b/>
      <w:i/>
      <w:sz w:val="24"/>
    </w:rPr>
  </w:style>
  <w:style w:type="paragraph" w:customStyle="1" w:styleId="AccompagnantPagedecouverture">
    <w:name w:val="Accompagnant (Page de couverture)"/>
    <w:basedOn w:val="Accompagnant"/>
    <w:next w:val="Normal"/>
    <w:rsid w:val="00BC750E"/>
  </w:style>
  <w:style w:type="character" w:customStyle="1" w:styleId="Added">
    <w:name w:val="Added"/>
    <w:basedOn w:val="DefaultParagraphFont"/>
    <w:rsid w:val="00BC750E"/>
    <w:rPr>
      <w:b/>
      <w:u w:val="single"/>
      <w:shd w:val="clear" w:color="auto" w:fill="auto"/>
    </w:rPr>
  </w:style>
  <w:style w:type="paragraph" w:customStyle="1" w:styleId="Address">
    <w:name w:val="Address"/>
    <w:basedOn w:val="Normal"/>
    <w:next w:val="Normal"/>
    <w:rsid w:val="00BC750E"/>
    <w:pPr>
      <w:keepLines/>
      <w:spacing w:before="120" w:after="120" w:line="360" w:lineRule="auto"/>
      <w:ind w:left="3402"/>
    </w:pPr>
    <w:rPr>
      <w:rFonts w:ascii="Times New Roman" w:hAnsi="Times New Roman" w:cs="Times New Roman"/>
      <w:sz w:val="24"/>
    </w:rPr>
  </w:style>
  <w:style w:type="paragraph" w:customStyle="1" w:styleId="Annexetitre">
    <w:name w:val="Annexe titre"/>
    <w:basedOn w:val="Normal"/>
    <w:next w:val="Normal"/>
    <w:rsid w:val="00BC750E"/>
    <w:pPr>
      <w:spacing w:before="120" w:after="120" w:line="240" w:lineRule="auto"/>
      <w:jc w:val="center"/>
    </w:pPr>
    <w:rPr>
      <w:rFonts w:ascii="Times New Roman" w:hAnsi="Times New Roman" w:cs="Times New Roman"/>
      <w:b/>
      <w:sz w:val="24"/>
      <w:u w:val="single"/>
    </w:rPr>
  </w:style>
  <w:style w:type="paragraph" w:customStyle="1" w:styleId="Annexetitreexpos">
    <w:name w:val="Annexe titre (exposé)"/>
    <w:basedOn w:val="Normal"/>
    <w:next w:val="Normal"/>
    <w:rsid w:val="00BC750E"/>
    <w:pPr>
      <w:spacing w:before="120" w:after="120" w:line="240" w:lineRule="auto"/>
      <w:jc w:val="center"/>
    </w:pPr>
    <w:rPr>
      <w:rFonts w:ascii="Times New Roman" w:hAnsi="Times New Roman" w:cs="Times New Roman"/>
      <w:b/>
      <w:sz w:val="24"/>
      <w:u w:val="single"/>
    </w:rPr>
  </w:style>
  <w:style w:type="paragraph" w:customStyle="1" w:styleId="Annexetitrefichefinancire">
    <w:name w:val="Annexe titre (fiche financière)"/>
    <w:basedOn w:val="Normal"/>
    <w:next w:val="Normal"/>
    <w:rsid w:val="00BC750E"/>
    <w:pPr>
      <w:spacing w:before="120" w:after="120" w:line="240" w:lineRule="auto"/>
      <w:jc w:val="center"/>
    </w:pPr>
    <w:rPr>
      <w:rFonts w:ascii="Times New Roman" w:hAnsi="Times New Roman" w:cs="Times New Roman"/>
      <w:b/>
      <w:sz w:val="24"/>
      <w:u w:val="single"/>
    </w:rPr>
  </w:style>
  <w:style w:type="paragraph" w:customStyle="1" w:styleId="Applicationdirecte">
    <w:name w:val="Application directe"/>
    <w:basedOn w:val="Normal"/>
    <w:next w:val="Normal"/>
    <w:rsid w:val="00BC750E"/>
    <w:pPr>
      <w:spacing w:before="480" w:after="120" w:line="240" w:lineRule="auto"/>
      <w:jc w:val="both"/>
    </w:pPr>
    <w:rPr>
      <w:rFonts w:ascii="Times New Roman" w:hAnsi="Times New Roman" w:cs="Times New Roman"/>
      <w:sz w:val="24"/>
    </w:rPr>
  </w:style>
  <w:style w:type="paragraph" w:customStyle="1" w:styleId="Avertissementtitre">
    <w:name w:val="Avertissement titre"/>
    <w:basedOn w:val="Normal"/>
    <w:next w:val="Normal"/>
    <w:rsid w:val="00BC750E"/>
    <w:pPr>
      <w:keepNext/>
      <w:spacing w:before="480" w:after="120" w:line="240" w:lineRule="auto"/>
      <w:jc w:val="both"/>
    </w:pPr>
    <w:rPr>
      <w:rFonts w:ascii="Times New Roman" w:hAnsi="Times New Roman" w:cs="Times New Roman"/>
      <w:sz w:val="24"/>
      <w:u w:val="single"/>
    </w:rPr>
  </w:style>
  <w:style w:type="paragraph" w:styleId="BalloonText">
    <w:name w:val="Balloon Text"/>
    <w:basedOn w:val="Normal"/>
    <w:link w:val="BalloonTextChar"/>
    <w:uiPriority w:val="99"/>
    <w:semiHidden/>
    <w:unhideWhenUsed/>
    <w:rsid w:val="00BC750E"/>
    <w:pPr>
      <w:spacing w:after="0" w:line="240" w:lineRule="auto"/>
      <w:jc w:val="both"/>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750E"/>
    <w:rPr>
      <w:rFonts w:ascii="Tahoma" w:hAnsi="Tahoma" w:cs="Tahoma"/>
      <w:sz w:val="16"/>
      <w:szCs w:val="16"/>
      <w:lang w:val="ro-RO"/>
    </w:rPr>
  </w:style>
  <w:style w:type="paragraph" w:customStyle="1" w:styleId="Bullet0">
    <w:name w:val="Bullet 0"/>
    <w:basedOn w:val="Normal"/>
    <w:rsid w:val="00BC750E"/>
    <w:pPr>
      <w:numPr>
        <w:numId w:val="1"/>
      </w:numPr>
      <w:spacing w:before="120" w:after="120" w:line="240" w:lineRule="auto"/>
      <w:jc w:val="both"/>
    </w:pPr>
    <w:rPr>
      <w:rFonts w:ascii="Times New Roman" w:hAnsi="Times New Roman" w:cs="Times New Roman"/>
      <w:sz w:val="24"/>
    </w:rPr>
  </w:style>
  <w:style w:type="paragraph" w:customStyle="1" w:styleId="Bullet1">
    <w:name w:val="Bullet 1"/>
    <w:basedOn w:val="Normal"/>
    <w:rsid w:val="00BC750E"/>
    <w:pPr>
      <w:numPr>
        <w:numId w:val="2"/>
      </w:numPr>
      <w:spacing w:before="120" w:after="120" w:line="240" w:lineRule="auto"/>
      <w:jc w:val="both"/>
    </w:pPr>
    <w:rPr>
      <w:rFonts w:ascii="Times New Roman" w:hAnsi="Times New Roman" w:cs="Times New Roman"/>
      <w:sz w:val="24"/>
    </w:rPr>
  </w:style>
  <w:style w:type="paragraph" w:customStyle="1" w:styleId="Bullet2">
    <w:name w:val="Bullet 2"/>
    <w:basedOn w:val="Normal"/>
    <w:rsid w:val="00BC750E"/>
    <w:pPr>
      <w:numPr>
        <w:numId w:val="3"/>
      </w:numPr>
      <w:spacing w:before="120" w:after="120" w:line="240" w:lineRule="auto"/>
      <w:jc w:val="both"/>
    </w:pPr>
    <w:rPr>
      <w:rFonts w:ascii="Times New Roman" w:hAnsi="Times New Roman" w:cs="Times New Roman"/>
      <w:sz w:val="24"/>
    </w:rPr>
  </w:style>
  <w:style w:type="paragraph" w:customStyle="1" w:styleId="Bullet3">
    <w:name w:val="Bullet 3"/>
    <w:basedOn w:val="Normal"/>
    <w:rsid w:val="00BC750E"/>
    <w:pPr>
      <w:numPr>
        <w:numId w:val="4"/>
      </w:numPr>
      <w:spacing w:before="120" w:after="120" w:line="240" w:lineRule="auto"/>
      <w:jc w:val="both"/>
    </w:pPr>
    <w:rPr>
      <w:rFonts w:ascii="Times New Roman" w:hAnsi="Times New Roman" w:cs="Times New Roman"/>
      <w:sz w:val="24"/>
    </w:rPr>
  </w:style>
  <w:style w:type="paragraph" w:customStyle="1" w:styleId="Bullet4">
    <w:name w:val="Bullet 4"/>
    <w:basedOn w:val="Normal"/>
    <w:rsid w:val="00BC750E"/>
    <w:pPr>
      <w:numPr>
        <w:numId w:val="5"/>
      </w:numPr>
      <w:spacing w:before="120" w:after="120" w:line="240" w:lineRule="auto"/>
      <w:jc w:val="both"/>
    </w:pPr>
    <w:rPr>
      <w:rFonts w:ascii="Times New Roman" w:hAnsi="Times New Roman" w:cs="Times New Roman"/>
      <w:sz w:val="24"/>
    </w:rPr>
  </w:style>
  <w:style w:type="paragraph" w:styleId="Caption">
    <w:name w:val="caption"/>
    <w:basedOn w:val="Normal"/>
    <w:next w:val="Normal"/>
    <w:uiPriority w:val="35"/>
    <w:semiHidden/>
    <w:unhideWhenUsed/>
    <w:qFormat/>
    <w:rsid w:val="00BC750E"/>
    <w:pPr>
      <w:spacing w:after="200" w:line="240" w:lineRule="auto"/>
      <w:jc w:val="both"/>
    </w:pPr>
    <w:rPr>
      <w:rFonts w:ascii="Times New Roman" w:hAnsi="Times New Roman" w:cs="Times New Roman"/>
      <w:i/>
      <w:iCs/>
      <w:color w:val="003399" w:themeColor="text2"/>
      <w:sz w:val="18"/>
      <w:szCs w:val="18"/>
    </w:rPr>
  </w:style>
  <w:style w:type="paragraph" w:customStyle="1" w:styleId="ChapterTitle">
    <w:name w:val="ChapterTitle"/>
    <w:basedOn w:val="Normal"/>
    <w:next w:val="Normal"/>
    <w:rsid w:val="00BC750E"/>
    <w:pPr>
      <w:keepNext/>
      <w:spacing w:before="120" w:after="360" w:line="240" w:lineRule="auto"/>
      <w:jc w:val="center"/>
    </w:pPr>
    <w:rPr>
      <w:rFonts w:ascii="Times New Roman" w:hAnsi="Times New Roman" w:cs="Times New Roman"/>
      <w:b/>
      <w:sz w:val="32"/>
    </w:rPr>
  </w:style>
  <w:style w:type="character" w:styleId="CommentReference">
    <w:name w:val="annotation reference"/>
    <w:basedOn w:val="DefaultParagraphFont"/>
    <w:uiPriority w:val="99"/>
    <w:unhideWhenUsed/>
    <w:rsid w:val="00BC750E"/>
    <w:rPr>
      <w:sz w:val="16"/>
      <w:szCs w:val="16"/>
    </w:rPr>
  </w:style>
  <w:style w:type="paragraph" w:styleId="CommentText">
    <w:name w:val="annotation text"/>
    <w:basedOn w:val="Normal"/>
    <w:link w:val="CommentTextChar"/>
    <w:uiPriority w:val="99"/>
    <w:unhideWhenUsed/>
    <w:rsid w:val="00BC750E"/>
    <w:pPr>
      <w:spacing w:before="120" w:after="120" w:line="240" w:lineRule="auto"/>
      <w:jc w:val="both"/>
    </w:pPr>
    <w:rPr>
      <w:rFonts w:ascii="Times New Roman" w:hAnsi="Times New Roman" w:cs="Times New Roman"/>
      <w:sz w:val="20"/>
      <w:szCs w:val="20"/>
    </w:rPr>
  </w:style>
  <w:style w:type="character" w:customStyle="1" w:styleId="CommentTextChar">
    <w:name w:val="Comment Text Char"/>
    <w:basedOn w:val="DefaultParagraphFont"/>
    <w:link w:val="CommentText"/>
    <w:uiPriority w:val="99"/>
    <w:rsid w:val="00BC750E"/>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BC750E"/>
    <w:rPr>
      <w:b/>
      <w:bCs/>
    </w:rPr>
  </w:style>
  <w:style w:type="character" w:customStyle="1" w:styleId="CommentSubjectChar">
    <w:name w:val="Comment Subject Char"/>
    <w:basedOn w:val="CommentTextChar"/>
    <w:link w:val="CommentSubject"/>
    <w:uiPriority w:val="99"/>
    <w:semiHidden/>
    <w:rsid w:val="00BC750E"/>
    <w:rPr>
      <w:rFonts w:ascii="Times New Roman" w:hAnsi="Times New Roman" w:cs="Times New Roman"/>
      <w:b/>
      <w:bCs/>
      <w:sz w:val="20"/>
      <w:szCs w:val="20"/>
      <w:lang w:val="ro-RO"/>
    </w:rPr>
  </w:style>
  <w:style w:type="paragraph" w:customStyle="1" w:styleId="Confidence">
    <w:name w:val="Confidence"/>
    <w:basedOn w:val="Normal"/>
    <w:next w:val="Normal"/>
    <w:rsid w:val="00BC750E"/>
    <w:pPr>
      <w:spacing w:before="360" w:after="120" w:line="240" w:lineRule="auto"/>
      <w:jc w:val="center"/>
    </w:pPr>
    <w:rPr>
      <w:rFonts w:ascii="Times New Roman" w:hAnsi="Times New Roman" w:cs="Times New Roman"/>
      <w:sz w:val="24"/>
    </w:rPr>
  </w:style>
  <w:style w:type="paragraph" w:customStyle="1" w:styleId="Confidentialit">
    <w:name w:val="Confidentialité"/>
    <w:basedOn w:val="Normal"/>
    <w:next w:val="Normal"/>
    <w:rsid w:val="00BC750E"/>
    <w:pPr>
      <w:spacing w:line="240" w:lineRule="auto"/>
      <w:ind w:left="5103"/>
    </w:pPr>
    <w:rPr>
      <w:rFonts w:ascii="Times New Roman" w:hAnsi="Times New Roman" w:cs="Times New Roman"/>
      <w:i/>
      <w:sz w:val="32"/>
    </w:rPr>
  </w:style>
  <w:style w:type="paragraph" w:customStyle="1" w:styleId="Considrant">
    <w:name w:val="Considérant"/>
    <w:basedOn w:val="Normal"/>
    <w:rsid w:val="00BC750E"/>
    <w:pPr>
      <w:numPr>
        <w:numId w:val="6"/>
      </w:numPr>
      <w:spacing w:before="120" w:after="120" w:line="240" w:lineRule="auto"/>
      <w:jc w:val="both"/>
    </w:pPr>
    <w:rPr>
      <w:rFonts w:ascii="Times New Roman" w:hAnsi="Times New Roman" w:cs="Times New Roman"/>
      <w:sz w:val="24"/>
    </w:rPr>
  </w:style>
  <w:style w:type="paragraph" w:customStyle="1" w:styleId="Corrigendum">
    <w:name w:val="Corrigendum"/>
    <w:basedOn w:val="Normal"/>
    <w:next w:val="Normal"/>
    <w:rsid w:val="00BC750E"/>
    <w:pPr>
      <w:spacing w:line="240" w:lineRule="auto"/>
    </w:pPr>
    <w:rPr>
      <w:rFonts w:ascii="Times New Roman" w:hAnsi="Times New Roman" w:cs="Times New Roman"/>
      <w:sz w:val="24"/>
    </w:rPr>
  </w:style>
  <w:style w:type="paragraph" w:customStyle="1" w:styleId="Datedadoption">
    <w:name w:val="Date d'adoption"/>
    <w:basedOn w:val="Normal"/>
    <w:next w:val="Normal"/>
    <w:rsid w:val="00BC750E"/>
    <w:pPr>
      <w:spacing w:before="360" w:after="0" w:line="240" w:lineRule="auto"/>
      <w:jc w:val="center"/>
    </w:pPr>
    <w:rPr>
      <w:rFonts w:ascii="Times New Roman" w:hAnsi="Times New Roman" w:cs="Times New Roman"/>
      <w:b/>
      <w:sz w:val="24"/>
    </w:rPr>
  </w:style>
  <w:style w:type="paragraph" w:customStyle="1" w:styleId="DatedadoptionPagedecouverture">
    <w:name w:val="Date d'adoption (Page de couverture)"/>
    <w:basedOn w:val="Datedadoption"/>
    <w:next w:val="Normal"/>
    <w:rsid w:val="00BC750E"/>
  </w:style>
  <w:style w:type="paragraph" w:customStyle="1" w:styleId="DateMarking">
    <w:name w:val="DateMarking"/>
    <w:basedOn w:val="Normal"/>
    <w:rsid w:val="00BC750E"/>
    <w:pPr>
      <w:spacing w:after="0" w:line="276" w:lineRule="auto"/>
      <w:ind w:left="5103"/>
    </w:pPr>
    <w:rPr>
      <w:rFonts w:ascii="Times New Roman" w:hAnsi="Times New Roman" w:cs="Times New Roman"/>
      <w:i/>
      <w:sz w:val="28"/>
    </w:rPr>
  </w:style>
  <w:style w:type="paragraph" w:customStyle="1" w:styleId="Declassification">
    <w:name w:val="Declassification"/>
    <w:basedOn w:val="Normal"/>
    <w:next w:val="Normal"/>
    <w:rsid w:val="00BC750E"/>
    <w:pPr>
      <w:spacing w:after="0" w:line="240" w:lineRule="auto"/>
      <w:jc w:val="both"/>
    </w:pPr>
    <w:rPr>
      <w:rFonts w:ascii="Times New Roman" w:hAnsi="Times New Roman" w:cs="Times New Roman"/>
      <w:sz w:val="24"/>
    </w:rPr>
  </w:style>
  <w:style w:type="paragraph" w:customStyle="1" w:styleId="Default">
    <w:name w:val="Default"/>
    <w:rsid w:val="00BC750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Deleted">
    <w:name w:val="Deleted"/>
    <w:basedOn w:val="DefaultParagraphFont"/>
    <w:rsid w:val="00BC750E"/>
    <w:rPr>
      <w:strike/>
      <w:dstrike w:val="0"/>
      <w:shd w:val="clear" w:color="auto" w:fill="auto"/>
    </w:rPr>
  </w:style>
  <w:style w:type="paragraph" w:customStyle="1" w:styleId="Disclaimer">
    <w:name w:val="Disclaimer"/>
    <w:basedOn w:val="Normal"/>
    <w:rsid w:val="00BC750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Emission">
    <w:name w:val="Emission"/>
    <w:basedOn w:val="Normal"/>
    <w:next w:val="Normal"/>
    <w:rsid w:val="00BC750E"/>
    <w:pPr>
      <w:spacing w:after="0" w:line="240" w:lineRule="auto"/>
      <w:ind w:left="5103"/>
    </w:pPr>
    <w:rPr>
      <w:rFonts w:ascii="Times New Roman" w:hAnsi="Times New Roman" w:cs="Times New Roman"/>
      <w:sz w:val="24"/>
    </w:rPr>
  </w:style>
  <w:style w:type="character" w:styleId="Emphasis">
    <w:name w:val="Emphasis"/>
    <w:basedOn w:val="DefaultParagraphFont"/>
    <w:uiPriority w:val="20"/>
    <w:qFormat/>
    <w:rsid w:val="00BC750E"/>
    <w:rPr>
      <w:i/>
      <w:iCs/>
    </w:rPr>
  </w:style>
  <w:style w:type="paragraph" w:customStyle="1" w:styleId="Exposdesmotifstitre">
    <w:name w:val="Exposé des motifs titre"/>
    <w:basedOn w:val="Normal"/>
    <w:next w:val="Normal"/>
    <w:rsid w:val="00BC750E"/>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
    <w:next w:val="Normal"/>
    <w:rsid w:val="00BC750E"/>
    <w:pPr>
      <w:keepNext/>
      <w:spacing w:before="120" w:after="0" w:line="240" w:lineRule="auto"/>
      <w:jc w:val="both"/>
    </w:pPr>
    <w:rPr>
      <w:rFonts w:ascii="Times New Roman" w:hAnsi="Times New Roman" w:cs="Times New Roman"/>
      <w:sz w:val="24"/>
    </w:rPr>
  </w:style>
  <w:style w:type="paragraph" w:customStyle="1" w:styleId="Fichefinanciretitre">
    <w:name w:val="Fiche financière titre"/>
    <w:basedOn w:val="Normal"/>
    <w:next w:val="Normal"/>
    <w:rsid w:val="00BC750E"/>
    <w:pPr>
      <w:spacing w:before="120" w:after="120" w:line="240" w:lineRule="auto"/>
      <w:jc w:val="center"/>
    </w:pPr>
    <w:rPr>
      <w:rFonts w:ascii="Times New Roman" w:hAnsi="Times New Roman" w:cs="Times New Roman"/>
      <w:b/>
      <w:sz w:val="24"/>
      <w:u w:val="single"/>
    </w:rPr>
  </w:style>
  <w:style w:type="character" w:styleId="FollowedHyperlink">
    <w:name w:val="FollowedHyperlink"/>
    <w:basedOn w:val="DefaultParagraphFont"/>
    <w:uiPriority w:val="99"/>
    <w:semiHidden/>
    <w:unhideWhenUsed/>
    <w:rsid w:val="00BC750E"/>
    <w:rPr>
      <w:color w:val="003399" w:themeColor="followedHyperlink"/>
      <w:u w:val="single"/>
    </w:rPr>
  </w:style>
  <w:style w:type="paragraph" w:styleId="Footer">
    <w:name w:val="footer"/>
    <w:basedOn w:val="Normal"/>
    <w:link w:val="FooterChar"/>
    <w:uiPriority w:val="99"/>
    <w:unhideWhenUsed/>
    <w:rsid w:val="00BE5E44"/>
    <w:pPr>
      <w:tabs>
        <w:tab w:val="center" w:pos="4535"/>
        <w:tab w:val="right" w:pos="9071"/>
        <w:tab w:val="right" w:pos="9921"/>
      </w:tabs>
      <w:spacing w:before="60" w:after="0" w:line="240" w:lineRule="auto"/>
      <w:ind w:left="-851" w:right="-851"/>
    </w:pPr>
    <w:rPr>
      <w:rFonts w:ascii="EC Square Sans Pro" w:hAnsi="EC Square Sans Pro" w:cs="Times New Roman"/>
      <w:sz w:val="16"/>
    </w:rPr>
  </w:style>
  <w:style w:type="character" w:customStyle="1" w:styleId="FooterChar">
    <w:name w:val="Footer Char"/>
    <w:basedOn w:val="DefaultParagraphFont"/>
    <w:link w:val="Footer"/>
    <w:uiPriority w:val="99"/>
    <w:rsid w:val="00BE5E44"/>
    <w:rPr>
      <w:rFonts w:ascii="EC Square Sans Pro" w:hAnsi="EC Square Sans Pro" w:cs="Times New Roman"/>
      <w:sz w:val="16"/>
      <w:lang w:val="ro-RO"/>
    </w:rPr>
  </w:style>
  <w:style w:type="paragraph" w:customStyle="1" w:styleId="FooterSensitivity">
    <w:name w:val="Footer Sensitivity"/>
    <w:basedOn w:val="Normal"/>
    <w:rsid w:val="00BC750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FooterLandscape">
    <w:name w:val="FooterLandscape"/>
    <w:basedOn w:val="Normal"/>
    <w:rsid w:val="00BC750E"/>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character" w:styleId="FootnoteReference">
    <w:name w:val="footnote reference"/>
    <w:aliases w:val="Footnote symbol Char Char Char,Footnote reference number Char Char Char,Times 10 Point Char Char Char,Exposant 3 Point Char Char Char,Ref Char Char Char,de nota al pie Char Char Char,note TESI Char Char Char,SUPERS Char Char Char,fr,o"/>
    <w:basedOn w:val="DefaultParagraphFont"/>
    <w:link w:val="FootnotesymbolCharChar"/>
    <w:uiPriority w:val="99"/>
    <w:unhideWhenUsed/>
    <w:qFormat/>
    <w:rsid w:val="00BC750E"/>
    <w:rPr>
      <w:shd w:val="clear" w:color="auto" w:fill="auto"/>
      <w:vertAlign w:val="superscript"/>
    </w:rPr>
  </w:style>
  <w:style w:type="paragraph" w:styleId="FootnoteText">
    <w:name w:val="footnote text"/>
    <w:aliases w:val="Footnote,Footnote Text Char1 Char,Footnote Text Char Char Char,Footnote Text Char1 Char Char Char,Footnote Text Char Char Char Char Char,Footnote Text Char1 Char1 Char,Footnote Text Char Char Char1 Char,Char,ft, Car,Car,Fußnote,fn,Plonk,f"/>
    <w:basedOn w:val="Normal"/>
    <w:link w:val="FootnoteTextChar"/>
    <w:uiPriority w:val="99"/>
    <w:unhideWhenUsed/>
    <w:qFormat/>
    <w:rsid w:val="00BC750E"/>
    <w:pPr>
      <w:spacing w:after="0" w:line="240" w:lineRule="auto"/>
      <w:ind w:left="720" w:hanging="720"/>
      <w:jc w:val="both"/>
    </w:pPr>
    <w:rPr>
      <w:rFonts w:ascii="Times New Roman" w:hAnsi="Times New Roman" w:cs="Times New Roman"/>
      <w:sz w:val="20"/>
      <w:szCs w:val="20"/>
    </w:rPr>
  </w:style>
  <w:style w:type="character" w:customStyle="1" w:styleId="FootnoteTextChar">
    <w:name w:val="Footnote Text Char"/>
    <w:aliases w:val="Footnote Char,Footnote Text Char1 Char Char,Footnote Text Char Char Char Char,Footnote Text Char1 Char Char Char Char,Footnote Text Char Char Char Char Char Char,Footnote Text Char1 Char1 Char Char,Char Char,ft Char, Car Char,Car Char"/>
    <w:basedOn w:val="DefaultParagraphFont"/>
    <w:link w:val="FootnoteText"/>
    <w:uiPriority w:val="99"/>
    <w:qFormat/>
    <w:rsid w:val="00BC750E"/>
    <w:rPr>
      <w:rFonts w:ascii="Times New Roman" w:hAnsi="Times New Roman" w:cs="Times New Roman"/>
      <w:sz w:val="20"/>
      <w:szCs w:val="20"/>
      <w:lang w:val="ro-RO"/>
    </w:rPr>
  </w:style>
  <w:style w:type="paragraph" w:customStyle="1" w:styleId="Formuledadoption">
    <w:name w:val="Formule d'adoption"/>
    <w:basedOn w:val="Normal"/>
    <w:next w:val="Normal"/>
    <w:rsid w:val="00BC750E"/>
    <w:pPr>
      <w:keepNext/>
      <w:spacing w:before="120" w:after="12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BC750E"/>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sid w:val="00BC750E"/>
    <w:rPr>
      <w:rFonts w:ascii="Times New Roman" w:hAnsi="Times New Roman" w:cs="Times New Roman"/>
      <w:sz w:val="24"/>
      <w:lang w:val="ro-RO"/>
    </w:rPr>
  </w:style>
  <w:style w:type="paragraph" w:customStyle="1" w:styleId="HeaderSensitivity">
    <w:name w:val="Header Sensitivity"/>
    <w:basedOn w:val="Normal"/>
    <w:rsid w:val="00BC750E"/>
    <w:pPr>
      <w:pBdr>
        <w:top w:val="single" w:sz="4" w:space="1" w:color="auto"/>
        <w:left w:val="single" w:sz="4" w:space="4" w:color="auto"/>
        <w:bottom w:val="single" w:sz="4" w:space="1" w:color="auto"/>
        <w:right w:val="single" w:sz="4" w:space="4" w:color="auto"/>
      </w:pBdr>
      <w:spacing w:before="0"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BC750E"/>
    <w:pPr>
      <w:spacing w:before="0" w:after="120" w:line="240" w:lineRule="auto"/>
      <w:jc w:val="right"/>
    </w:pPr>
    <w:rPr>
      <w:rFonts w:ascii="Times New Roman" w:hAnsi="Times New Roman" w:cs="Times New Roman"/>
      <w:sz w:val="28"/>
    </w:rPr>
  </w:style>
  <w:style w:type="paragraph" w:customStyle="1" w:styleId="HeaderLandscape">
    <w:name w:val="HeaderLandscape"/>
    <w:basedOn w:val="Normal"/>
    <w:rsid w:val="00BC750E"/>
    <w:pPr>
      <w:tabs>
        <w:tab w:val="center" w:pos="7285"/>
        <w:tab w:val="right" w:pos="14003"/>
      </w:tabs>
      <w:spacing w:after="120" w:line="240" w:lineRule="auto"/>
      <w:jc w:val="both"/>
    </w:pPr>
    <w:rPr>
      <w:rFonts w:ascii="Times New Roman" w:hAnsi="Times New Roman" w:cs="Times New Roman"/>
      <w:sz w:val="24"/>
    </w:rPr>
  </w:style>
  <w:style w:type="character" w:customStyle="1" w:styleId="Heading1Char">
    <w:name w:val="Heading 1 Char"/>
    <w:basedOn w:val="DefaultParagraphFont"/>
    <w:link w:val="Heading1"/>
    <w:uiPriority w:val="9"/>
    <w:rsid w:val="00470453"/>
    <w:rPr>
      <w:rFonts w:ascii="EC Square Sans Pro" w:eastAsia="Times New Roman" w:hAnsi="EC Square Sans Pro" w:cs="Times New Roman"/>
      <w:color w:val="003399" w:themeColor="text2"/>
      <w:kern w:val="0"/>
      <w:sz w:val="48"/>
      <w:szCs w:val="28"/>
      <w:lang w:val="ro-RO" w:eastAsia="en-GB"/>
      <w14:ligatures w14:val="none"/>
    </w:rPr>
  </w:style>
  <w:style w:type="character" w:customStyle="1" w:styleId="Heading2Char">
    <w:name w:val="Heading 2 Char"/>
    <w:basedOn w:val="DefaultParagraphFont"/>
    <w:link w:val="Heading2"/>
    <w:uiPriority w:val="9"/>
    <w:rsid w:val="00470453"/>
    <w:rPr>
      <w:rFonts w:ascii="EC Square Sans Pro" w:eastAsia="Times New Roman" w:hAnsi="EC Square Sans Pro" w:cs="Times New Roman"/>
      <w:b/>
      <w:color w:val="003399" w:themeColor="text2"/>
      <w:kern w:val="0"/>
      <w:sz w:val="28"/>
      <w:szCs w:val="24"/>
      <w:lang w:val="ro-RO" w:eastAsia="en-GB"/>
      <w14:ligatures w14:val="none"/>
    </w:rPr>
  </w:style>
  <w:style w:type="character" w:customStyle="1" w:styleId="Heading3Char">
    <w:name w:val="Heading 3 Char"/>
    <w:basedOn w:val="DefaultParagraphFont"/>
    <w:link w:val="Heading3"/>
    <w:uiPriority w:val="9"/>
    <w:rsid w:val="008B7356"/>
    <w:rPr>
      <w:rFonts w:ascii="EC Square Sans Pro" w:eastAsia="Times New Roman" w:hAnsi="EC Square Sans Pro" w:cs="Times New Roman"/>
      <w:b/>
      <w:color w:val="003399" w:themeColor="text2"/>
      <w:kern w:val="0"/>
      <w:sz w:val="24"/>
      <w:szCs w:val="24"/>
      <w:lang w:val="ro-RO" w:eastAsia="en-GB"/>
      <w14:ligatures w14:val="none"/>
    </w:rPr>
  </w:style>
  <w:style w:type="character" w:customStyle="1" w:styleId="Heading4Char">
    <w:name w:val="Heading 4 Char"/>
    <w:basedOn w:val="DefaultParagraphFont"/>
    <w:link w:val="Heading4"/>
    <w:uiPriority w:val="9"/>
    <w:rsid w:val="00BC750E"/>
    <w:rPr>
      <w:rFonts w:ascii="Times New Roman" w:eastAsiaTheme="majorEastAsia" w:hAnsi="Times New Roman" w:cs="Times New Roman"/>
      <w:bCs/>
      <w:iCs/>
      <w:sz w:val="24"/>
      <w:lang w:val="ro-RO"/>
    </w:rPr>
  </w:style>
  <w:style w:type="character" w:styleId="Hyperlink">
    <w:name w:val="Hyperlink"/>
    <w:basedOn w:val="DefaultParagraphFont"/>
    <w:uiPriority w:val="99"/>
    <w:unhideWhenUsed/>
    <w:rsid w:val="00BC750E"/>
    <w:rPr>
      <w:color w:val="003399" w:themeColor="hyperlink"/>
      <w:u w:val="single"/>
    </w:rPr>
  </w:style>
  <w:style w:type="paragraph" w:customStyle="1" w:styleId="Institutionquiagit">
    <w:name w:val="Institution qui agit"/>
    <w:basedOn w:val="Normal"/>
    <w:next w:val="Normal"/>
    <w:rsid w:val="00BC750E"/>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
    <w:next w:val="Normal"/>
    <w:rsid w:val="00BC750E"/>
    <w:pPr>
      <w:keepNext/>
      <w:tabs>
        <w:tab w:val="left" w:pos="4252"/>
      </w:tabs>
      <w:spacing w:before="720" w:after="0" w:line="240" w:lineRule="auto"/>
      <w:jc w:val="both"/>
    </w:pPr>
    <w:rPr>
      <w:rFonts w:ascii="Times New Roman" w:hAnsi="Times New Roman" w:cs="Times New Roman"/>
      <w:i/>
      <w:sz w:val="24"/>
    </w:rPr>
  </w:style>
  <w:style w:type="paragraph" w:customStyle="1" w:styleId="Languesfaisantfoi">
    <w:name w:val="Langues faisant foi"/>
    <w:basedOn w:val="Normal"/>
    <w:next w:val="Normal"/>
    <w:rsid w:val="00E166AB"/>
    <w:pPr>
      <w:spacing w:before="36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E166AB"/>
    <w:pPr>
      <w:spacing w:after="0"/>
    </w:pPr>
  </w:style>
  <w:style w:type="paragraph" w:customStyle="1" w:styleId="IntrtEEEPagedecouverture">
    <w:name w:val="Intérêt EEE (Page de couverture)"/>
    <w:basedOn w:val="IntrtEEE"/>
    <w:next w:val="Normal"/>
    <w:rsid w:val="00E166AB"/>
  </w:style>
  <w:style w:type="paragraph" w:customStyle="1" w:styleId="Langue">
    <w:name w:val="Langue"/>
    <w:basedOn w:val="Normal"/>
    <w:next w:val="Normal"/>
    <w:rsid w:val="00BC750E"/>
    <w:pPr>
      <w:framePr w:wrap="around" w:vAnchor="page" w:hAnchor="text" w:xAlign="center" w:y="14741"/>
      <w:spacing w:after="600" w:line="240" w:lineRule="auto"/>
      <w:jc w:val="center"/>
    </w:pPr>
    <w:rPr>
      <w:rFonts w:ascii="Times New Roman" w:hAnsi="Times New Roman" w:cs="Times New Roman"/>
      <w:b/>
      <w:caps/>
      <w:sz w:val="24"/>
    </w:rPr>
  </w:style>
  <w:style w:type="paragraph" w:customStyle="1" w:styleId="LanguesfaisantfoiPagedecouverture">
    <w:name w:val="Langues faisant foi (Page de couverture)"/>
    <w:basedOn w:val="Normal"/>
    <w:next w:val="Rfrencecroise"/>
    <w:rsid w:val="00E166AB"/>
    <w:pPr>
      <w:spacing w:before="360" w:line="240" w:lineRule="auto"/>
      <w:jc w:val="center"/>
    </w:pPr>
    <w:rPr>
      <w:rFonts w:ascii="Times New Roman" w:hAnsi="Times New Roman" w:cs="Times New Roman"/>
      <w:kern w:val="0"/>
      <w:sz w:val="24"/>
      <w14:ligatures w14:val="none"/>
    </w:rPr>
  </w:style>
  <w:style w:type="paragraph" w:styleId="ListBullet">
    <w:name w:val="List Bullet"/>
    <w:basedOn w:val="Normal"/>
    <w:uiPriority w:val="99"/>
    <w:semiHidden/>
    <w:unhideWhenUsed/>
    <w:rsid w:val="00BC750E"/>
    <w:pPr>
      <w:numPr>
        <w:numId w:val="7"/>
      </w:numPr>
      <w:spacing w:before="120" w:after="120" w:line="240" w:lineRule="auto"/>
      <w:contextualSpacing/>
      <w:jc w:val="both"/>
    </w:pPr>
    <w:rPr>
      <w:rFonts w:ascii="Times New Roman" w:hAnsi="Times New Roman" w:cs="Times New Roman"/>
      <w:sz w:val="24"/>
    </w:rPr>
  </w:style>
  <w:style w:type="paragraph" w:styleId="ListBullet2">
    <w:name w:val="List Bullet 2"/>
    <w:basedOn w:val="Normal"/>
    <w:uiPriority w:val="99"/>
    <w:semiHidden/>
    <w:unhideWhenUsed/>
    <w:rsid w:val="00BC750E"/>
    <w:pPr>
      <w:numPr>
        <w:numId w:val="8"/>
      </w:numPr>
      <w:spacing w:before="120" w:after="120" w:line="240" w:lineRule="auto"/>
      <w:contextualSpacing/>
      <w:jc w:val="both"/>
    </w:pPr>
    <w:rPr>
      <w:rFonts w:ascii="Times New Roman" w:hAnsi="Times New Roman" w:cs="Times New Roman"/>
      <w:sz w:val="24"/>
    </w:rPr>
  </w:style>
  <w:style w:type="paragraph" w:styleId="ListBullet3">
    <w:name w:val="List Bullet 3"/>
    <w:basedOn w:val="Normal"/>
    <w:uiPriority w:val="99"/>
    <w:semiHidden/>
    <w:unhideWhenUsed/>
    <w:rsid w:val="00BC750E"/>
    <w:pPr>
      <w:spacing w:before="120" w:after="120" w:line="240" w:lineRule="auto"/>
      <w:contextualSpacing/>
      <w:jc w:val="both"/>
    </w:pPr>
    <w:rPr>
      <w:rFonts w:ascii="Times New Roman" w:hAnsi="Times New Roman" w:cs="Times New Roman"/>
      <w:sz w:val="24"/>
    </w:rPr>
  </w:style>
  <w:style w:type="paragraph" w:styleId="ListBullet4">
    <w:name w:val="List Bullet 4"/>
    <w:basedOn w:val="Normal"/>
    <w:uiPriority w:val="99"/>
    <w:semiHidden/>
    <w:unhideWhenUsed/>
    <w:rsid w:val="00BC750E"/>
    <w:pPr>
      <w:numPr>
        <w:numId w:val="9"/>
      </w:numPr>
      <w:spacing w:before="120" w:after="120" w:line="240" w:lineRule="auto"/>
      <w:contextualSpacing/>
      <w:jc w:val="both"/>
    </w:pPr>
    <w:rPr>
      <w:rFonts w:ascii="Times New Roman" w:hAnsi="Times New Roman" w:cs="Times New Roman"/>
      <w:sz w:val="24"/>
    </w:rPr>
  </w:style>
  <w:style w:type="paragraph" w:styleId="ListNumber">
    <w:name w:val="List Number"/>
    <w:basedOn w:val="Normal"/>
    <w:uiPriority w:val="99"/>
    <w:semiHidden/>
    <w:unhideWhenUsed/>
    <w:rsid w:val="00BC750E"/>
    <w:pPr>
      <w:numPr>
        <w:numId w:val="10"/>
      </w:numPr>
      <w:spacing w:before="120" w:after="120" w:line="240" w:lineRule="auto"/>
      <w:contextualSpacing/>
      <w:jc w:val="both"/>
    </w:pPr>
    <w:rPr>
      <w:rFonts w:ascii="Times New Roman" w:hAnsi="Times New Roman" w:cs="Times New Roman"/>
      <w:sz w:val="24"/>
    </w:rPr>
  </w:style>
  <w:style w:type="paragraph" w:styleId="ListNumber2">
    <w:name w:val="List Number 2"/>
    <w:basedOn w:val="Normal"/>
    <w:uiPriority w:val="99"/>
    <w:semiHidden/>
    <w:unhideWhenUsed/>
    <w:rsid w:val="00BC750E"/>
    <w:pPr>
      <w:numPr>
        <w:numId w:val="11"/>
      </w:numPr>
      <w:spacing w:before="120" w:after="120" w:line="240" w:lineRule="auto"/>
      <w:contextualSpacing/>
      <w:jc w:val="both"/>
    </w:pPr>
    <w:rPr>
      <w:rFonts w:ascii="Times New Roman" w:hAnsi="Times New Roman" w:cs="Times New Roman"/>
      <w:sz w:val="24"/>
    </w:rPr>
  </w:style>
  <w:style w:type="paragraph" w:styleId="ListNumber3">
    <w:name w:val="List Number 3"/>
    <w:basedOn w:val="Normal"/>
    <w:uiPriority w:val="99"/>
    <w:semiHidden/>
    <w:unhideWhenUsed/>
    <w:rsid w:val="00BC750E"/>
    <w:pPr>
      <w:numPr>
        <w:numId w:val="12"/>
      </w:numPr>
      <w:spacing w:before="120" w:after="120" w:line="240" w:lineRule="auto"/>
      <w:contextualSpacing/>
      <w:jc w:val="both"/>
    </w:pPr>
    <w:rPr>
      <w:rFonts w:ascii="Times New Roman" w:hAnsi="Times New Roman" w:cs="Times New Roman"/>
      <w:sz w:val="24"/>
    </w:rPr>
  </w:style>
  <w:style w:type="paragraph" w:styleId="ListNumber4">
    <w:name w:val="List Number 4"/>
    <w:basedOn w:val="Normal"/>
    <w:uiPriority w:val="99"/>
    <w:semiHidden/>
    <w:unhideWhenUsed/>
    <w:rsid w:val="00BC750E"/>
    <w:pPr>
      <w:numPr>
        <w:numId w:val="32"/>
      </w:numPr>
      <w:spacing w:before="120" w:after="120" w:line="240" w:lineRule="auto"/>
      <w:contextualSpacing/>
      <w:jc w:val="both"/>
    </w:pPr>
    <w:rPr>
      <w:rFonts w:ascii="Times New Roman" w:hAnsi="Times New Roman" w:cs="Times New Roman"/>
      <w:sz w:val="24"/>
    </w:rPr>
  </w:style>
  <w:style w:type="paragraph" w:styleId="ListParagraph">
    <w:name w:val="List Paragraph"/>
    <w:basedOn w:val="Normal"/>
    <w:uiPriority w:val="34"/>
    <w:qFormat/>
    <w:rsid w:val="00BC750E"/>
    <w:pPr>
      <w:spacing w:after="0" w:line="240" w:lineRule="auto"/>
      <w:ind w:left="720"/>
    </w:pPr>
    <w:rPr>
      <w:rFonts w:ascii="Calibri" w:hAnsi="Calibri" w:cs="Times New Roman"/>
    </w:rPr>
  </w:style>
  <w:style w:type="paragraph" w:customStyle="1" w:styleId="ManualConsidrant">
    <w:name w:val="Manual Considérant"/>
    <w:basedOn w:val="Normal"/>
    <w:rsid w:val="00BC750E"/>
    <w:pPr>
      <w:spacing w:before="120" w:after="120" w:line="240" w:lineRule="auto"/>
      <w:ind w:left="709" w:hanging="709"/>
      <w:jc w:val="both"/>
    </w:pPr>
    <w:rPr>
      <w:rFonts w:ascii="Times New Roman" w:hAnsi="Times New Roman" w:cs="Times New Roman"/>
      <w:sz w:val="24"/>
    </w:rPr>
  </w:style>
  <w:style w:type="paragraph" w:customStyle="1" w:styleId="ManualHeading1">
    <w:name w:val="Manual Heading 1"/>
    <w:basedOn w:val="Normal"/>
    <w:next w:val="Normal"/>
    <w:rsid w:val="00BC750E"/>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
    <w:next w:val="Normal"/>
    <w:rsid w:val="00BC750E"/>
    <w:pPr>
      <w:keepNext/>
      <w:tabs>
        <w:tab w:val="left" w:pos="850"/>
      </w:tabs>
      <w:spacing w:before="120" w:after="120" w:line="240" w:lineRule="auto"/>
      <w:ind w:left="850" w:hanging="850"/>
      <w:jc w:val="both"/>
      <w:outlineLvl w:val="1"/>
    </w:pPr>
    <w:rPr>
      <w:rFonts w:ascii="Times New Roman" w:hAnsi="Times New Roman" w:cs="Times New Roman"/>
      <w:b/>
      <w:sz w:val="24"/>
    </w:rPr>
  </w:style>
  <w:style w:type="paragraph" w:customStyle="1" w:styleId="ManualHeading3">
    <w:name w:val="Manual Heading 3"/>
    <w:basedOn w:val="Normal"/>
    <w:next w:val="Normal"/>
    <w:rsid w:val="00BC750E"/>
    <w:pPr>
      <w:keepNext/>
      <w:tabs>
        <w:tab w:val="left" w:pos="850"/>
      </w:tabs>
      <w:spacing w:before="120" w:after="120" w:line="240" w:lineRule="auto"/>
      <w:ind w:left="850" w:hanging="850"/>
      <w:jc w:val="both"/>
      <w:outlineLvl w:val="2"/>
    </w:pPr>
    <w:rPr>
      <w:rFonts w:ascii="Times New Roman" w:hAnsi="Times New Roman" w:cs="Times New Roman"/>
      <w:i/>
      <w:sz w:val="24"/>
    </w:rPr>
  </w:style>
  <w:style w:type="paragraph" w:customStyle="1" w:styleId="ManualHeading4">
    <w:name w:val="Manual Heading 4"/>
    <w:basedOn w:val="Normal"/>
    <w:next w:val="Normal"/>
    <w:rsid w:val="00BC750E"/>
    <w:pPr>
      <w:keepNext/>
      <w:tabs>
        <w:tab w:val="left" w:pos="850"/>
      </w:tabs>
      <w:spacing w:before="120" w:after="120" w:line="240" w:lineRule="auto"/>
      <w:ind w:left="850" w:hanging="850"/>
      <w:jc w:val="both"/>
      <w:outlineLvl w:val="3"/>
    </w:pPr>
    <w:rPr>
      <w:rFonts w:ascii="Times New Roman" w:hAnsi="Times New Roman" w:cs="Times New Roman"/>
      <w:sz w:val="24"/>
    </w:rPr>
  </w:style>
  <w:style w:type="paragraph" w:customStyle="1" w:styleId="ManualNumPar1">
    <w:name w:val="Manual NumPar 1"/>
    <w:basedOn w:val="Normal"/>
    <w:next w:val="Normal"/>
    <w:rsid w:val="00BC750E"/>
    <w:pPr>
      <w:spacing w:before="120" w:after="120" w:line="240" w:lineRule="auto"/>
      <w:ind w:left="850" w:hanging="850"/>
      <w:jc w:val="both"/>
    </w:pPr>
    <w:rPr>
      <w:rFonts w:ascii="Times New Roman" w:hAnsi="Times New Roman" w:cs="Times New Roman"/>
      <w:sz w:val="24"/>
    </w:rPr>
  </w:style>
  <w:style w:type="paragraph" w:customStyle="1" w:styleId="ManualNumPar2">
    <w:name w:val="Manual NumPar 2"/>
    <w:basedOn w:val="Normal"/>
    <w:next w:val="Normal"/>
    <w:rsid w:val="00BC750E"/>
    <w:pPr>
      <w:spacing w:before="120" w:after="120" w:line="240" w:lineRule="auto"/>
      <w:ind w:left="850" w:hanging="850"/>
      <w:jc w:val="both"/>
    </w:pPr>
    <w:rPr>
      <w:rFonts w:ascii="Times New Roman" w:hAnsi="Times New Roman" w:cs="Times New Roman"/>
      <w:sz w:val="24"/>
    </w:rPr>
  </w:style>
  <w:style w:type="paragraph" w:customStyle="1" w:styleId="ManualNumPar3">
    <w:name w:val="Manual NumPar 3"/>
    <w:basedOn w:val="Normal"/>
    <w:next w:val="Normal"/>
    <w:rsid w:val="00BC750E"/>
    <w:pPr>
      <w:spacing w:before="120" w:after="120" w:line="240" w:lineRule="auto"/>
      <w:ind w:left="850" w:hanging="850"/>
      <w:jc w:val="both"/>
    </w:pPr>
    <w:rPr>
      <w:rFonts w:ascii="Times New Roman" w:hAnsi="Times New Roman" w:cs="Times New Roman"/>
      <w:sz w:val="24"/>
    </w:rPr>
  </w:style>
  <w:style w:type="paragraph" w:customStyle="1" w:styleId="ManualNumPar4">
    <w:name w:val="Manual NumPar 4"/>
    <w:basedOn w:val="Normal"/>
    <w:next w:val="Normal"/>
    <w:rsid w:val="00BC750E"/>
    <w:pPr>
      <w:spacing w:before="120" w:after="120" w:line="240" w:lineRule="auto"/>
      <w:ind w:left="850" w:hanging="850"/>
      <w:jc w:val="both"/>
    </w:pPr>
    <w:rPr>
      <w:rFonts w:ascii="Times New Roman" w:hAnsi="Times New Roman" w:cs="Times New Roman"/>
      <w:sz w:val="24"/>
    </w:rPr>
  </w:style>
  <w:style w:type="character" w:customStyle="1" w:styleId="Marker">
    <w:name w:val="Marker"/>
    <w:basedOn w:val="DefaultParagraphFont"/>
    <w:rsid w:val="00BC750E"/>
    <w:rPr>
      <w:color w:val="0000FF"/>
      <w:shd w:val="clear" w:color="auto" w:fill="auto"/>
    </w:rPr>
  </w:style>
  <w:style w:type="character" w:customStyle="1" w:styleId="Marker1">
    <w:name w:val="Marker1"/>
    <w:basedOn w:val="DefaultParagraphFont"/>
    <w:rsid w:val="00BC750E"/>
    <w:rPr>
      <w:color w:val="008000"/>
      <w:shd w:val="clear" w:color="auto" w:fill="auto"/>
    </w:rPr>
  </w:style>
  <w:style w:type="character" w:customStyle="1" w:styleId="Marker2">
    <w:name w:val="Marker2"/>
    <w:basedOn w:val="DefaultParagraphFont"/>
    <w:rsid w:val="00BC750E"/>
    <w:rPr>
      <w:color w:val="FF0000"/>
      <w:shd w:val="clear" w:color="auto" w:fill="auto"/>
    </w:rPr>
  </w:style>
  <w:style w:type="paragraph" w:customStyle="1" w:styleId="Nomdelinstitution">
    <w:name w:val="Nom de l'institution"/>
    <w:basedOn w:val="Normal"/>
    <w:next w:val="Emission"/>
    <w:rsid w:val="00BC750E"/>
    <w:pPr>
      <w:spacing w:after="0" w:line="240" w:lineRule="auto"/>
    </w:pPr>
    <w:rPr>
      <w:rFonts w:ascii="Arial" w:hAnsi="Arial" w:cs="Arial"/>
      <w:sz w:val="24"/>
    </w:rPr>
  </w:style>
  <w:style w:type="paragraph" w:styleId="NormalWeb">
    <w:name w:val="Normal (Web)"/>
    <w:basedOn w:val="Normal"/>
    <w:uiPriority w:val="99"/>
    <w:semiHidden/>
    <w:unhideWhenUsed/>
    <w:rsid w:val="00BC750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ormalCentered">
    <w:name w:val="Normal Centered"/>
    <w:basedOn w:val="Normal"/>
    <w:rsid w:val="00BC750E"/>
    <w:pPr>
      <w:spacing w:before="120" w:after="120" w:line="240" w:lineRule="auto"/>
      <w:jc w:val="center"/>
    </w:pPr>
    <w:rPr>
      <w:rFonts w:ascii="Times New Roman" w:hAnsi="Times New Roman" w:cs="Times New Roman"/>
      <w:sz w:val="24"/>
    </w:rPr>
  </w:style>
  <w:style w:type="paragraph" w:customStyle="1" w:styleId="NormalLeft">
    <w:name w:val="Normal Left"/>
    <w:basedOn w:val="Normal"/>
    <w:rsid w:val="00BC750E"/>
    <w:pPr>
      <w:spacing w:before="120" w:after="120" w:line="240" w:lineRule="auto"/>
    </w:pPr>
    <w:rPr>
      <w:rFonts w:ascii="Times New Roman" w:hAnsi="Times New Roman" w:cs="Times New Roman"/>
      <w:sz w:val="24"/>
    </w:rPr>
  </w:style>
  <w:style w:type="paragraph" w:customStyle="1" w:styleId="NormalRight">
    <w:name w:val="Normal Right"/>
    <w:basedOn w:val="Normal"/>
    <w:rsid w:val="00BC750E"/>
    <w:pPr>
      <w:spacing w:before="120" w:after="120" w:line="240" w:lineRule="auto"/>
      <w:jc w:val="right"/>
    </w:pPr>
    <w:rPr>
      <w:rFonts w:ascii="Times New Roman" w:hAnsi="Times New Roman" w:cs="Times New Roman"/>
      <w:sz w:val="24"/>
    </w:rPr>
  </w:style>
  <w:style w:type="paragraph" w:customStyle="1" w:styleId="NumPar1">
    <w:name w:val="NumPar 1"/>
    <w:basedOn w:val="Normal"/>
    <w:next w:val="Normal"/>
    <w:rsid w:val="00BA56B8"/>
    <w:pPr>
      <w:numPr>
        <w:numId w:val="14"/>
      </w:numPr>
      <w:spacing w:before="120" w:after="120" w:line="240" w:lineRule="auto"/>
      <w:jc w:val="both"/>
    </w:pPr>
    <w:rPr>
      <w:rFonts w:ascii="EC Square Sans Pro" w:hAnsi="EC Square Sans Pro" w:cs="Times New Roman"/>
      <w:sz w:val="20"/>
      <w:szCs w:val="20"/>
    </w:rPr>
  </w:style>
  <w:style w:type="paragraph" w:customStyle="1" w:styleId="NumPar2">
    <w:name w:val="NumPar 2"/>
    <w:basedOn w:val="Normal"/>
    <w:next w:val="Normal"/>
    <w:rsid w:val="00BC750E"/>
    <w:pPr>
      <w:numPr>
        <w:ilvl w:val="1"/>
        <w:numId w:val="14"/>
      </w:numPr>
      <w:spacing w:before="120" w:after="120" w:line="240" w:lineRule="auto"/>
      <w:jc w:val="both"/>
    </w:pPr>
    <w:rPr>
      <w:rFonts w:ascii="Times New Roman" w:hAnsi="Times New Roman" w:cs="Times New Roman"/>
      <w:sz w:val="24"/>
    </w:rPr>
  </w:style>
  <w:style w:type="paragraph" w:customStyle="1" w:styleId="NumPar3">
    <w:name w:val="NumPar 3"/>
    <w:basedOn w:val="Normal"/>
    <w:next w:val="Normal"/>
    <w:rsid w:val="00BC750E"/>
    <w:pPr>
      <w:numPr>
        <w:ilvl w:val="2"/>
        <w:numId w:val="14"/>
      </w:numPr>
      <w:spacing w:before="120" w:after="120" w:line="240" w:lineRule="auto"/>
      <w:jc w:val="both"/>
    </w:pPr>
    <w:rPr>
      <w:rFonts w:ascii="Times New Roman" w:hAnsi="Times New Roman" w:cs="Times New Roman"/>
      <w:sz w:val="24"/>
    </w:rPr>
  </w:style>
  <w:style w:type="paragraph" w:customStyle="1" w:styleId="NumPar4">
    <w:name w:val="NumPar 4"/>
    <w:basedOn w:val="Normal"/>
    <w:next w:val="Normal"/>
    <w:rsid w:val="00BC750E"/>
    <w:pPr>
      <w:numPr>
        <w:ilvl w:val="3"/>
        <w:numId w:val="14"/>
      </w:numPr>
      <w:spacing w:before="120" w:after="120" w:line="240" w:lineRule="auto"/>
      <w:jc w:val="both"/>
    </w:pPr>
    <w:rPr>
      <w:rFonts w:ascii="Times New Roman" w:hAnsi="Times New Roman" w:cs="Times New Roman"/>
      <w:sz w:val="24"/>
    </w:rPr>
  </w:style>
  <w:style w:type="paragraph" w:customStyle="1" w:styleId="Objetacteprincipal">
    <w:name w:val="Objet acte principal"/>
    <w:basedOn w:val="Normal"/>
    <w:next w:val="Normal"/>
    <w:rsid w:val="00BC750E"/>
    <w:pPr>
      <w:spacing w:after="360" w:line="240" w:lineRule="auto"/>
      <w:jc w:val="center"/>
    </w:pPr>
    <w:rPr>
      <w:rFonts w:ascii="Times New Roman" w:hAnsi="Times New Roman" w:cs="Times New Roman"/>
      <w:b/>
      <w:sz w:val="24"/>
    </w:rPr>
  </w:style>
  <w:style w:type="paragraph" w:customStyle="1" w:styleId="ObjetacteprincipalPagedecouverture">
    <w:name w:val="Objet acte principal (Page de couverture)"/>
    <w:basedOn w:val="Objetacteprincipal"/>
    <w:next w:val="Normal"/>
    <w:rsid w:val="00BC750E"/>
  </w:style>
  <w:style w:type="paragraph" w:customStyle="1" w:styleId="Objetexterne">
    <w:name w:val="Objet externe"/>
    <w:basedOn w:val="Normal"/>
    <w:next w:val="Normal"/>
    <w:rsid w:val="00BC750E"/>
    <w:pPr>
      <w:spacing w:before="120" w:after="120" w:line="240" w:lineRule="auto"/>
      <w:jc w:val="both"/>
    </w:pPr>
    <w:rPr>
      <w:rFonts w:ascii="Times New Roman" w:hAnsi="Times New Roman" w:cs="Times New Roman"/>
      <w:i/>
      <w:caps/>
      <w:sz w:val="24"/>
    </w:rPr>
  </w:style>
  <w:style w:type="character" w:customStyle="1" w:styleId="outreachitemdesc">
    <w:name w:val="outreach__item__desc"/>
    <w:basedOn w:val="DefaultParagraphFont"/>
    <w:rsid w:val="00BC750E"/>
  </w:style>
  <w:style w:type="paragraph" w:customStyle="1" w:styleId="Pagedecouverture">
    <w:name w:val="Page de couverture"/>
    <w:basedOn w:val="Normal"/>
    <w:next w:val="Normal"/>
    <w:rsid w:val="00BC750E"/>
    <w:pPr>
      <w:spacing w:after="0" w:line="240" w:lineRule="auto"/>
      <w:jc w:val="both"/>
    </w:pPr>
    <w:rPr>
      <w:rFonts w:ascii="Times New Roman" w:hAnsi="Times New Roman" w:cs="Times New Roman"/>
      <w:sz w:val="24"/>
    </w:rPr>
  </w:style>
  <w:style w:type="paragraph" w:customStyle="1" w:styleId="PartTitle">
    <w:name w:val="PartTitle"/>
    <w:basedOn w:val="Normal"/>
    <w:next w:val="ChapterTitle"/>
    <w:rsid w:val="00BC750E"/>
    <w:pPr>
      <w:keepNext/>
      <w:pageBreakBefore/>
      <w:spacing w:before="120" w:after="360" w:line="240" w:lineRule="auto"/>
      <w:jc w:val="center"/>
    </w:pPr>
    <w:rPr>
      <w:rFonts w:ascii="Times New Roman" w:hAnsi="Times New Roman" w:cs="Times New Roman"/>
      <w:b/>
      <w:sz w:val="36"/>
    </w:rPr>
  </w:style>
  <w:style w:type="paragraph" w:customStyle="1" w:styleId="Personnequisigne">
    <w:name w:val="Personne qui signe"/>
    <w:basedOn w:val="Normal"/>
    <w:next w:val="Institutionquisigne"/>
    <w:rsid w:val="00BC750E"/>
    <w:pPr>
      <w:tabs>
        <w:tab w:val="left" w:pos="4252"/>
      </w:tabs>
      <w:spacing w:after="0" w:line="240" w:lineRule="auto"/>
    </w:pPr>
    <w:rPr>
      <w:rFonts w:ascii="Times New Roman" w:hAnsi="Times New Roman" w:cs="Times New Roman"/>
      <w:i/>
      <w:sz w:val="24"/>
    </w:rPr>
  </w:style>
  <w:style w:type="paragraph" w:customStyle="1" w:styleId="Point0">
    <w:name w:val="Point 0"/>
    <w:basedOn w:val="Normal"/>
    <w:rsid w:val="00BC750E"/>
    <w:pPr>
      <w:spacing w:before="120" w:after="120" w:line="240" w:lineRule="auto"/>
      <w:ind w:left="850" w:hanging="850"/>
      <w:jc w:val="both"/>
    </w:pPr>
    <w:rPr>
      <w:rFonts w:ascii="Times New Roman" w:hAnsi="Times New Roman" w:cs="Times New Roman"/>
      <w:sz w:val="24"/>
    </w:rPr>
  </w:style>
  <w:style w:type="paragraph" w:customStyle="1" w:styleId="Point0letter">
    <w:name w:val="Point 0 (letter)"/>
    <w:basedOn w:val="Normal"/>
    <w:rsid w:val="00BC750E"/>
    <w:pPr>
      <w:numPr>
        <w:ilvl w:val="1"/>
        <w:numId w:val="15"/>
      </w:numPr>
      <w:spacing w:before="120" w:after="120" w:line="240" w:lineRule="auto"/>
      <w:jc w:val="both"/>
    </w:pPr>
    <w:rPr>
      <w:rFonts w:ascii="Times New Roman" w:hAnsi="Times New Roman" w:cs="Times New Roman"/>
      <w:sz w:val="24"/>
    </w:rPr>
  </w:style>
  <w:style w:type="paragraph" w:customStyle="1" w:styleId="Point0number">
    <w:name w:val="Point 0 (number)"/>
    <w:basedOn w:val="Normal"/>
    <w:rsid w:val="00BC750E"/>
    <w:pPr>
      <w:numPr>
        <w:numId w:val="15"/>
      </w:numPr>
      <w:spacing w:before="120" w:after="120" w:line="240" w:lineRule="auto"/>
      <w:jc w:val="both"/>
    </w:pPr>
    <w:rPr>
      <w:rFonts w:ascii="Times New Roman" w:hAnsi="Times New Roman" w:cs="Times New Roman"/>
      <w:sz w:val="24"/>
    </w:rPr>
  </w:style>
  <w:style w:type="paragraph" w:customStyle="1" w:styleId="Point1">
    <w:name w:val="Point 1"/>
    <w:basedOn w:val="Normal"/>
    <w:rsid w:val="00BC750E"/>
    <w:pPr>
      <w:spacing w:before="120" w:after="120" w:line="240" w:lineRule="auto"/>
      <w:ind w:left="1417" w:hanging="567"/>
      <w:jc w:val="both"/>
    </w:pPr>
    <w:rPr>
      <w:rFonts w:ascii="Times New Roman" w:hAnsi="Times New Roman" w:cs="Times New Roman"/>
      <w:sz w:val="24"/>
    </w:rPr>
  </w:style>
  <w:style w:type="paragraph" w:customStyle="1" w:styleId="Point1letter">
    <w:name w:val="Point 1 (letter)"/>
    <w:basedOn w:val="Normal"/>
    <w:rsid w:val="00BC750E"/>
    <w:pPr>
      <w:numPr>
        <w:ilvl w:val="3"/>
        <w:numId w:val="15"/>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rsid w:val="00BC750E"/>
    <w:pPr>
      <w:numPr>
        <w:ilvl w:val="2"/>
        <w:numId w:val="15"/>
      </w:numPr>
      <w:spacing w:before="120" w:after="120" w:line="240" w:lineRule="auto"/>
      <w:jc w:val="both"/>
    </w:pPr>
    <w:rPr>
      <w:rFonts w:ascii="Times New Roman" w:hAnsi="Times New Roman" w:cs="Times New Roman"/>
      <w:sz w:val="24"/>
    </w:rPr>
  </w:style>
  <w:style w:type="paragraph" w:customStyle="1" w:styleId="Point2">
    <w:name w:val="Point 2"/>
    <w:basedOn w:val="Normal"/>
    <w:rsid w:val="00BC750E"/>
    <w:pPr>
      <w:spacing w:before="120" w:after="120" w:line="240" w:lineRule="auto"/>
      <w:ind w:left="1984" w:hanging="567"/>
      <w:jc w:val="both"/>
    </w:pPr>
    <w:rPr>
      <w:rFonts w:ascii="Times New Roman" w:hAnsi="Times New Roman" w:cs="Times New Roman"/>
      <w:sz w:val="24"/>
    </w:rPr>
  </w:style>
  <w:style w:type="paragraph" w:customStyle="1" w:styleId="Point2letter">
    <w:name w:val="Point 2 (letter)"/>
    <w:basedOn w:val="Normal"/>
    <w:rsid w:val="00BC750E"/>
    <w:pPr>
      <w:numPr>
        <w:ilvl w:val="5"/>
        <w:numId w:val="15"/>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rsid w:val="00BC750E"/>
    <w:pPr>
      <w:numPr>
        <w:ilvl w:val="4"/>
        <w:numId w:val="15"/>
      </w:numPr>
      <w:spacing w:before="120" w:after="120" w:line="240" w:lineRule="auto"/>
      <w:jc w:val="both"/>
    </w:pPr>
    <w:rPr>
      <w:rFonts w:ascii="Times New Roman" w:hAnsi="Times New Roman" w:cs="Times New Roman"/>
      <w:sz w:val="24"/>
    </w:rPr>
  </w:style>
  <w:style w:type="paragraph" w:customStyle="1" w:styleId="Point3">
    <w:name w:val="Point 3"/>
    <w:basedOn w:val="Normal"/>
    <w:rsid w:val="00BC750E"/>
    <w:pPr>
      <w:spacing w:before="120" w:after="120" w:line="240" w:lineRule="auto"/>
      <w:ind w:left="2551" w:hanging="567"/>
      <w:jc w:val="both"/>
    </w:pPr>
    <w:rPr>
      <w:rFonts w:ascii="Times New Roman" w:hAnsi="Times New Roman" w:cs="Times New Roman"/>
      <w:sz w:val="24"/>
    </w:rPr>
  </w:style>
  <w:style w:type="paragraph" w:customStyle="1" w:styleId="Point3letter">
    <w:name w:val="Point 3 (letter)"/>
    <w:basedOn w:val="Normal"/>
    <w:rsid w:val="00BC750E"/>
    <w:pPr>
      <w:numPr>
        <w:ilvl w:val="7"/>
        <w:numId w:val="15"/>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rsid w:val="00BC750E"/>
    <w:pPr>
      <w:numPr>
        <w:ilvl w:val="6"/>
        <w:numId w:val="15"/>
      </w:numPr>
      <w:spacing w:before="120" w:after="120" w:line="240" w:lineRule="auto"/>
      <w:jc w:val="both"/>
    </w:pPr>
    <w:rPr>
      <w:rFonts w:ascii="Times New Roman" w:hAnsi="Times New Roman" w:cs="Times New Roman"/>
      <w:sz w:val="24"/>
    </w:rPr>
  </w:style>
  <w:style w:type="paragraph" w:customStyle="1" w:styleId="Point4">
    <w:name w:val="Point 4"/>
    <w:basedOn w:val="Normal"/>
    <w:rsid w:val="00BC750E"/>
    <w:pPr>
      <w:spacing w:before="120" w:after="120" w:line="240" w:lineRule="auto"/>
      <w:ind w:left="3118" w:hanging="567"/>
      <w:jc w:val="both"/>
    </w:pPr>
    <w:rPr>
      <w:rFonts w:ascii="Times New Roman" w:hAnsi="Times New Roman" w:cs="Times New Roman"/>
      <w:sz w:val="24"/>
    </w:rPr>
  </w:style>
  <w:style w:type="paragraph" w:customStyle="1" w:styleId="Point4letter">
    <w:name w:val="Point 4 (letter)"/>
    <w:basedOn w:val="Normal"/>
    <w:rsid w:val="00BC750E"/>
    <w:pPr>
      <w:numPr>
        <w:ilvl w:val="8"/>
        <w:numId w:val="15"/>
      </w:numPr>
      <w:spacing w:before="120" w:after="120" w:line="240" w:lineRule="auto"/>
      <w:jc w:val="both"/>
    </w:pPr>
    <w:rPr>
      <w:rFonts w:ascii="Times New Roman" w:hAnsi="Times New Roman" w:cs="Times New Roman"/>
      <w:sz w:val="24"/>
    </w:rPr>
  </w:style>
  <w:style w:type="paragraph" w:customStyle="1" w:styleId="PointDouble0">
    <w:name w:val="PointDouble 0"/>
    <w:basedOn w:val="Normal"/>
    <w:rsid w:val="00BC750E"/>
    <w:pPr>
      <w:tabs>
        <w:tab w:val="left" w:pos="850"/>
      </w:tabs>
      <w:spacing w:before="120" w:after="120" w:line="240" w:lineRule="auto"/>
      <w:ind w:left="1417" w:hanging="1417"/>
      <w:jc w:val="both"/>
    </w:pPr>
    <w:rPr>
      <w:rFonts w:ascii="Times New Roman" w:hAnsi="Times New Roman" w:cs="Times New Roman"/>
      <w:sz w:val="24"/>
    </w:rPr>
  </w:style>
  <w:style w:type="paragraph" w:customStyle="1" w:styleId="PointDouble1">
    <w:name w:val="PointDouble 1"/>
    <w:basedOn w:val="Normal"/>
    <w:rsid w:val="00BC750E"/>
    <w:pPr>
      <w:tabs>
        <w:tab w:val="left" w:pos="1417"/>
      </w:tabs>
      <w:spacing w:before="120" w:after="120" w:line="240" w:lineRule="auto"/>
      <w:ind w:left="1984" w:hanging="1134"/>
      <w:jc w:val="both"/>
    </w:pPr>
    <w:rPr>
      <w:rFonts w:ascii="Times New Roman" w:hAnsi="Times New Roman" w:cs="Times New Roman"/>
      <w:sz w:val="24"/>
    </w:rPr>
  </w:style>
  <w:style w:type="paragraph" w:customStyle="1" w:styleId="PointDouble2">
    <w:name w:val="PointDouble 2"/>
    <w:basedOn w:val="Normal"/>
    <w:rsid w:val="00BC750E"/>
    <w:pPr>
      <w:tabs>
        <w:tab w:val="left" w:pos="1984"/>
      </w:tabs>
      <w:spacing w:before="120" w:after="120" w:line="240" w:lineRule="auto"/>
      <w:ind w:left="2551" w:hanging="1134"/>
      <w:jc w:val="both"/>
    </w:pPr>
    <w:rPr>
      <w:rFonts w:ascii="Times New Roman" w:hAnsi="Times New Roman" w:cs="Times New Roman"/>
      <w:sz w:val="24"/>
    </w:rPr>
  </w:style>
  <w:style w:type="paragraph" w:customStyle="1" w:styleId="PointDouble3">
    <w:name w:val="PointDouble 3"/>
    <w:basedOn w:val="Normal"/>
    <w:rsid w:val="00BC750E"/>
    <w:pPr>
      <w:tabs>
        <w:tab w:val="left" w:pos="2551"/>
      </w:tabs>
      <w:spacing w:before="120" w:after="120" w:line="240" w:lineRule="auto"/>
      <w:ind w:left="3118" w:hanging="1134"/>
      <w:jc w:val="both"/>
    </w:pPr>
    <w:rPr>
      <w:rFonts w:ascii="Times New Roman" w:hAnsi="Times New Roman" w:cs="Times New Roman"/>
      <w:sz w:val="24"/>
    </w:rPr>
  </w:style>
  <w:style w:type="paragraph" w:customStyle="1" w:styleId="PointDouble4">
    <w:name w:val="PointDouble 4"/>
    <w:basedOn w:val="Normal"/>
    <w:rsid w:val="00BC750E"/>
    <w:pPr>
      <w:tabs>
        <w:tab w:val="left" w:pos="3118"/>
      </w:tabs>
      <w:spacing w:before="120" w:after="120" w:line="240" w:lineRule="auto"/>
      <w:ind w:left="3685" w:hanging="1134"/>
      <w:jc w:val="both"/>
    </w:pPr>
    <w:rPr>
      <w:rFonts w:ascii="Times New Roman" w:hAnsi="Times New Roman" w:cs="Times New Roman"/>
      <w:sz w:val="24"/>
    </w:rPr>
  </w:style>
  <w:style w:type="paragraph" w:customStyle="1" w:styleId="PointTriple0">
    <w:name w:val="PointTriple 0"/>
    <w:basedOn w:val="Normal"/>
    <w:rsid w:val="00BC750E"/>
    <w:pPr>
      <w:tabs>
        <w:tab w:val="left" w:pos="850"/>
        <w:tab w:val="left" w:pos="1417"/>
      </w:tabs>
      <w:spacing w:before="120" w:after="120" w:line="240" w:lineRule="auto"/>
      <w:ind w:left="1984" w:hanging="1984"/>
      <w:jc w:val="both"/>
    </w:pPr>
    <w:rPr>
      <w:rFonts w:ascii="Times New Roman" w:hAnsi="Times New Roman" w:cs="Times New Roman"/>
      <w:sz w:val="24"/>
    </w:rPr>
  </w:style>
  <w:style w:type="paragraph" w:customStyle="1" w:styleId="PointTriple1">
    <w:name w:val="PointTriple 1"/>
    <w:basedOn w:val="Normal"/>
    <w:rsid w:val="00BC750E"/>
    <w:pPr>
      <w:tabs>
        <w:tab w:val="left" w:pos="1417"/>
        <w:tab w:val="left" w:pos="1984"/>
      </w:tabs>
      <w:spacing w:before="120" w:after="120" w:line="240" w:lineRule="auto"/>
      <w:ind w:left="2551" w:hanging="1701"/>
      <w:jc w:val="both"/>
    </w:pPr>
    <w:rPr>
      <w:rFonts w:ascii="Times New Roman" w:hAnsi="Times New Roman" w:cs="Times New Roman"/>
      <w:sz w:val="24"/>
    </w:rPr>
  </w:style>
  <w:style w:type="paragraph" w:customStyle="1" w:styleId="PointTriple2">
    <w:name w:val="PointTriple 2"/>
    <w:basedOn w:val="Normal"/>
    <w:rsid w:val="00BC750E"/>
    <w:pPr>
      <w:tabs>
        <w:tab w:val="left" w:pos="1984"/>
        <w:tab w:val="left" w:pos="2551"/>
      </w:tabs>
      <w:spacing w:before="120" w:after="120" w:line="240" w:lineRule="auto"/>
      <w:ind w:left="3118" w:hanging="1701"/>
      <w:jc w:val="both"/>
    </w:pPr>
    <w:rPr>
      <w:rFonts w:ascii="Times New Roman" w:hAnsi="Times New Roman" w:cs="Times New Roman"/>
      <w:sz w:val="24"/>
    </w:rPr>
  </w:style>
  <w:style w:type="paragraph" w:customStyle="1" w:styleId="PointTriple3">
    <w:name w:val="PointTriple 3"/>
    <w:basedOn w:val="Normal"/>
    <w:rsid w:val="00BC750E"/>
    <w:pPr>
      <w:tabs>
        <w:tab w:val="left" w:pos="2551"/>
        <w:tab w:val="left" w:pos="3118"/>
      </w:tabs>
      <w:spacing w:before="120" w:after="120" w:line="240" w:lineRule="auto"/>
      <w:ind w:left="3685" w:hanging="1701"/>
      <w:jc w:val="both"/>
    </w:pPr>
    <w:rPr>
      <w:rFonts w:ascii="Times New Roman" w:hAnsi="Times New Roman" w:cs="Times New Roman"/>
      <w:sz w:val="24"/>
    </w:rPr>
  </w:style>
  <w:style w:type="paragraph" w:customStyle="1" w:styleId="PointTriple4">
    <w:name w:val="PointTriple 4"/>
    <w:basedOn w:val="Normal"/>
    <w:rsid w:val="00BC750E"/>
    <w:pPr>
      <w:tabs>
        <w:tab w:val="left" w:pos="3118"/>
        <w:tab w:val="left" w:pos="3685"/>
      </w:tabs>
      <w:spacing w:before="120" w:after="120" w:line="240" w:lineRule="auto"/>
      <w:ind w:left="4252" w:hanging="1701"/>
      <w:jc w:val="both"/>
    </w:pPr>
    <w:rPr>
      <w:rFonts w:ascii="Times New Roman" w:hAnsi="Times New Roman" w:cs="Times New Roman"/>
      <w:sz w:val="24"/>
    </w:rPr>
  </w:style>
  <w:style w:type="paragraph" w:customStyle="1" w:styleId="QuotedNumPar">
    <w:name w:val="Quoted NumPar"/>
    <w:basedOn w:val="Normal"/>
    <w:rsid w:val="00BC750E"/>
    <w:pPr>
      <w:spacing w:before="120" w:after="120" w:line="240" w:lineRule="auto"/>
      <w:ind w:left="1417" w:hanging="567"/>
      <w:jc w:val="both"/>
    </w:pPr>
    <w:rPr>
      <w:rFonts w:ascii="Times New Roman" w:hAnsi="Times New Roman" w:cs="Times New Roman"/>
      <w:sz w:val="24"/>
    </w:rPr>
  </w:style>
  <w:style w:type="paragraph" w:customStyle="1" w:styleId="QuotedText">
    <w:name w:val="Quoted Text"/>
    <w:basedOn w:val="Normal"/>
    <w:rsid w:val="00BC750E"/>
    <w:pPr>
      <w:spacing w:before="120" w:after="120" w:line="240" w:lineRule="auto"/>
      <w:ind w:left="1417"/>
      <w:jc w:val="both"/>
    </w:pPr>
    <w:rPr>
      <w:rFonts w:ascii="Times New Roman" w:hAnsi="Times New Roman" w:cs="Times New Roman"/>
      <w:sz w:val="24"/>
    </w:rPr>
  </w:style>
  <w:style w:type="paragraph" w:customStyle="1" w:styleId="Rfrencecroise">
    <w:name w:val="Référence croisée"/>
    <w:basedOn w:val="Normal"/>
    <w:rsid w:val="00BC750E"/>
    <w:pPr>
      <w:spacing w:after="0" w:line="240" w:lineRule="auto"/>
      <w:jc w:val="center"/>
    </w:pPr>
    <w:rPr>
      <w:rFonts w:ascii="Times New Roman" w:hAnsi="Times New Roman" w:cs="Times New Roman"/>
      <w:sz w:val="24"/>
    </w:rPr>
  </w:style>
  <w:style w:type="paragraph" w:customStyle="1" w:styleId="Rfrenceinstitutionnelle">
    <w:name w:val="Référence institutionnelle"/>
    <w:basedOn w:val="Normal"/>
    <w:next w:val="Confidentialit"/>
    <w:rsid w:val="00BC750E"/>
    <w:pPr>
      <w:spacing w:line="240" w:lineRule="auto"/>
      <w:ind w:left="5103"/>
    </w:pPr>
    <w:rPr>
      <w:rFonts w:ascii="Times New Roman" w:hAnsi="Times New Roman" w:cs="Times New Roman"/>
      <w:sz w:val="24"/>
    </w:rPr>
  </w:style>
  <w:style w:type="paragraph" w:customStyle="1" w:styleId="Rfrenceinterinstitutionnelle">
    <w:name w:val="Référence interinstitutionnelle"/>
    <w:basedOn w:val="Normal"/>
    <w:next w:val="Normal"/>
    <w:rsid w:val="00BC750E"/>
    <w:pPr>
      <w:spacing w:after="0" w:line="240" w:lineRule="auto"/>
      <w:ind w:left="5103"/>
    </w:pPr>
    <w:rPr>
      <w:rFonts w:ascii="Times New Roman" w:hAnsi="Times New Roman" w:cs="Times New Roman"/>
      <w:sz w:val="24"/>
    </w:rPr>
  </w:style>
  <w:style w:type="paragraph" w:customStyle="1" w:styleId="RfrenceinterinstitutionnellePagedecouverture">
    <w:name w:val="Référence interinstitutionnelle (Page de couverture)"/>
    <w:basedOn w:val="Rfrenceinterinstitutionnelle"/>
    <w:next w:val="Confidentialit"/>
    <w:rsid w:val="00BC750E"/>
  </w:style>
  <w:style w:type="paragraph" w:customStyle="1" w:styleId="Rfrenceinterne">
    <w:name w:val="Référence interne"/>
    <w:basedOn w:val="Normal"/>
    <w:next w:val="Rfrenceinterinstitutionnelle"/>
    <w:rsid w:val="00BC750E"/>
    <w:pPr>
      <w:spacing w:after="0" w:line="240" w:lineRule="auto"/>
      <w:ind w:left="5103"/>
    </w:pPr>
    <w:rPr>
      <w:rFonts w:ascii="Times New Roman" w:hAnsi="Times New Roman" w:cs="Times New Roman"/>
      <w:sz w:val="24"/>
    </w:rPr>
  </w:style>
  <w:style w:type="paragraph" w:customStyle="1" w:styleId="ReleasableTo">
    <w:name w:val="ReleasableTo"/>
    <w:basedOn w:val="Normal"/>
    <w:rsid w:val="00BC750E"/>
    <w:pPr>
      <w:spacing w:after="0" w:line="276" w:lineRule="auto"/>
      <w:ind w:left="5103"/>
    </w:pPr>
    <w:rPr>
      <w:rFonts w:ascii="Times New Roman" w:hAnsi="Times New Roman" w:cs="Times New Roman"/>
      <w:i/>
      <w:sz w:val="28"/>
    </w:rPr>
  </w:style>
  <w:style w:type="paragraph" w:customStyle="1" w:styleId="SectionTitle">
    <w:name w:val="SectionTitle"/>
    <w:basedOn w:val="Normal"/>
    <w:next w:val="Heading1"/>
    <w:rsid w:val="00BC750E"/>
    <w:pPr>
      <w:keepNext/>
      <w:spacing w:before="120" w:after="360" w:line="240" w:lineRule="auto"/>
      <w:jc w:val="center"/>
    </w:pPr>
    <w:rPr>
      <w:rFonts w:ascii="Times New Roman" w:hAnsi="Times New Roman" w:cs="Times New Roman"/>
      <w:b/>
      <w:smallCaps/>
      <w:sz w:val="28"/>
    </w:rPr>
  </w:style>
  <w:style w:type="paragraph" w:customStyle="1" w:styleId="SecurityMarking">
    <w:name w:val="SecurityMarking"/>
    <w:basedOn w:val="Normal"/>
    <w:rsid w:val="00BC750E"/>
    <w:pPr>
      <w:spacing w:after="0" w:line="276" w:lineRule="auto"/>
      <w:ind w:left="5103"/>
    </w:pPr>
    <w:rPr>
      <w:rFonts w:ascii="Times New Roman" w:hAnsi="Times New Roman" w:cs="Times New Roman"/>
      <w:sz w:val="28"/>
    </w:rPr>
  </w:style>
  <w:style w:type="paragraph" w:customStyle="1" w:styleId="Sous-titreobjet">
    <w:name w:val="Sous-titre objet"/>
    <w:basedOn w:val="Normal"/>
    <w:rsid w:val="00BC750E"/>
    <w:pPr>
      <w:spacing w:after="0" w:line="240" w:lineRule="auto"/>
      <w:jc w:val="center"/>
    </w:pPr>
    <w:rPr>
      <w:rFonts w:ascii="Times New Roman" w:hAnsi="Times New Roman" w:cs="Times New Roman"/>
      <w:b/>
      <w:sz w:val="24"/>
    </w:rPr>
  </w:style>
  <w:style w:type="paragraph" w:customStyle="1" w:styleId="Sous-titreobjetPagedecouverture">
    <w:name w:val="Sous-titre objet (Page de couverture)"/>
    <w:basedOn w:val="Sous-titreobjet"/>
    <w:rsid w:val="00BC750E"/>
  </w:style>
  <w:style w:type="paragraph" w:customStyle="1" w:styleId="statut">
    <w:name w:val="statut"/>
    <w:basedOn w:val="Normal"/>
    <w:rsid w:val="00BC750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tut0">
    <w:name w:val="Statut"/>
    <w:basedOn w:val="Normal"/>
    <w:next w:val="Normal"/>
    <w:rsid w:val="00BC750E"/>
    <w:pPr>
      <w:spacing w:before="360" w:after="0" w:line="240" w:lineRule="auto"/>
      <w:jc w:val="center"/>
    </w:pPr>
    <w:rPr>
      <w:rFonts w:ascii="Times New Roman" w:hAnsi="Times New Roman" w:cs="Times New Roman"/>
      <w:sz w:val="24"/>
    </w:rPr>
  </w:style>
  <w:style w:type="paragraph" w:customStyle="1" w:styleId="StatutPagedecouverture">
    <w:name w:val="Statut (Page de couverture)"/>
    <w:basedOn w:val="Statut0"/>
    <w:next w:val="Normal"/>
    <w:rsid w:val="00BC750E"/>
  </w:style>
  <w:style w:type="character" w:styleId="Strong">
    <w:name w:val="Strong"/>
    <w:basedOn w:val="DefaultParagraphFont"/>
    <w:uiPriority w:val="22"/>
    <w:qFormat/>
    <w:rsid w:val="00BA56B8"/>
    <w:rPr>
      <w:b/>
      <w:bCs/>
      <w:color w:val="003399" w:themeColor="text2"/>
    </w:rPr>
  </w:style>
  <w:style w:type="paragraph" w:customStyle="1" w:styleId="Supertitre">
    <w:name w:val="Supertitre"/>
    <w:basedOn w:val="Normal"/>
    <w:next w:val="Normal"/>
    <w:rsid w:val="00BC750E"/>
    <w:pPr>
      <w:spacing w:after="600" w:line="240" w:lineRule="auto"/>
      <w:jc w:val="center"/>
    </w:pPr>
    <w:rPr>
      <w:rFonts w:ascii="Times New Roman" w:hAnsi="Times New Roman" w:cs="Times New Roman"/>
      <w:b/>
      <w:sz w:val="24"/>
    </w:rPr>
  </w:style>
  <w:style w:type="table" w:styleId="TableGrid">
    <w:name w:val="Table Grid"/>
    <w:basedOn w:val="TableNormal"/>
    <w:rsid w:val="00BC750E"/>
    <w:pPr>
      <w:spacing w:after="240" w:line="240" w:lineRule="auto"/>
      <w:jc w:val="both"/>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semiHidden/>
    <w:unhideWhenUsed/>
    <w:rsid w:val="00BC750E"/>
    <w:pPr>
      <w:spacing w:before="120" w:after="0" w:line="240" w:lineRule="auto"/>
      <w:jc w:val="both"/>
    </w:pPr>
    <w:rPr>
      <w:rFonts w:ascii="Times New Roman" w:hAnsi="Times New Roman" w:cs="Times New Roman"/>
      <w:sz w:val="24"/>
    </w:rPr>
  </w:style>
  <w:style w:type="paragraph" w:customStyle="1" w:styleId="TableTitle">
    <w:name w:val="Table Title"/>
    <w:basedOn w:val="Normal"/>
    <w:next w:val="Normal"/>
    <w:rsid w:val="00BC750E"/>
    <w:pPr>
      <w:spacing w:before="120" w:after="120" w:line="240" w:lineRule="auto"/>
      <w:jc w:val="center"/>
    </w:pPr>
    <w:rPr>
      <w:rFonts w:ascii="Times New Roman" w:hAnsi="Times New Roman" w:cs="Times New Roman"/>
      <w:b/>
      <w:sz w:val="24"/>
    </w:rPr>
  </w:style>
  <w:style w:type="paragraph" w:customStyle="1" w:styleId="Text1">
    <w:name w:val="Text 1"/>
    <w:basedOn w:val="Normal"/>
    <w:link w:val="Text1Char"/>
    <w:qFormat/>
    <w:rsid w:val="00BC750E"/>
    <w:pPr>
      <w:spacing w:before="120" w:after="120" w:line="240" w:lineRule="auto"/>
      <w:ind w:left="850"/>
      <w:jc w:val="both"/>
    </w:pPr>
    <w:rPr>
      <w:rFonts w:ascii="Times New Roman" w:hAnsi="Times New Roman" w:cs="Times New Roman"/>
      <w:sz w:val="24"/>
    </w:rPr>
  </w:style>
  <w:style w:type="paragraph" w:customStyle="1" w:styleId="Text2">
    <w:name w:val="Text 2"/>
    <w:basedOn w:val="Normal"/>
    <w:link w:val="Text2Char"/>
    <w:qFormat/>
    <w:rsid w:val="00BC750E"/>
    <w:pPr>
      <w:spacing w:before="120" w:after="120" w:line="240" w:lineRule="auto"/>
      <w:ind w:left="1417"/>
      <w:jc w:val="both"/>
    </w:pPr>
    <w:rPr>
      <w:rFonts w:ascii="Times New Roman" w:hAnsi="Times New Roman" w:cs="Times New Roman"/>
      <w:sz w:val="24"/>
    </w:rPr>
  </w:style>
  <w:style w:type="paragraph" w:customStyle="1" w:styleId="Text3">
    <w:name w:val="Text 3"/>
    <w:basedOn w:val="Normal"/>
    <w:rsid w:val="00BC750E"/>
    <w:pPr>
      <w:spacing w:before="120" w:after="120" w:line="240" w:lineRule="auto"/>
      <w:ind w:left="1984"/>
      <w:jc w:val="both"/>
    </w:pPr>
    <w:rPr>
      <w:rFonts w:ascii="Times New Roman" w:hAnsi="Times New Roman" w:cs="Times New Roman"/>
      <w:sz w:val="24"/>
    </w:rPr>
  </w:style>
  <w:style w:type="paragraph" w:customStyle="1" w:styleId="Text4">
    <w:name w:val="Text 4"/>
    <w:basedOn w:val="Normal"/>
    <w:rsid w:val="00BC750E"/>
    <w:pPr>
      <w:spacing w:before="120" w:after="120" w:line="240" w:lineRule="auto"/>
      <w:ind w:left="2551"/>
      <w:jc w:val="both"/>
    </w:pPr>
    <w:rPr>
      <w:rFonts w:ascii="Times New Roman" w:hAnsi="Times New Roman" w:cs="Times New Roman"/>
      <w:sz w:val="24"/>
    </w:rPr>
  </w:style>
  <w:style w:type="paragraph" w:customStyle="1" w:styleId="Tiret0">
    <w:name w:val="Tiret 0"/>
    <w:basedOn w:val="Point0"/>
    <w:rsid w:val="00BC750E"/>
    <w:pPr>
      <w:numPr>
        <w:numId w:val="16"/>
      </w:numPr>
    </w:pPr>
  </w:style>
  <w:style w:type="paragraph" w:customStyle="1" w:styleId="Tiret1">
    <w:name w:val="Tiret 1"/>
    <w:basedOn w:val="Point1"/>
    <w:rsid w:val="00BC750E"/>
    <w:pPr>
      <w:numPr>
        <w:numId w:val="17"/>
      </w:numPr>
    </w:pPr>
  </w:style>
  <w:style w:type="paragraph" w:customStyle="1" w:styleId="Tiret2">
    <w:name w:val="Tiret 2"/>
    <w:basedOn w:val="Point2"/>
    <w:rsid w:val="00BC750E"/>
    <w:pPr>
      <w:numPr>
        <w:numId w:val="18"/>
      </w:numPr>
    </w:pPr>
  </w:style>
  <w:style w:type="paragraph" w:customStyle="1" w:styleId="Tiret3">
    <w:name w:val="Tiret 3"/>
    <w:basedOn w:val="Point3"/>
    <w:rsid w:val="00BC750E"/>
    <w:pPr>
      <w:numPr>
        <w:numId w:val="19"/>
      </w:numPr>
    </w:pPr>
  </w:style>
  <w:style w:type="paragraph" w:customStyle="1" w:styleId="Tiret4">
    <w:name w:val="Tiret 4"/>
    <w:basedOn w:val="Point4"/>
    <w:rsid w:val="00BC750E"/>
    <w:pPr>
      <w:numPr>
        <w:numId w:val="20"/>
      </w:numPr>
    </w:pPr>
  </w:style>
  <w:style w:type="paragraph" w:customStyle="1" w:styleId="Titrearticle">
    <w:name w:val="Titre article"/>
    <w:basedOn w:val="Normal"/>
    <w:next w:val="Normal"/>
    <w:rsid w:val="00BC750E"/>
    <w:pPr>
      <w:keepNext/>
      <w:spacing w:before="360" w:after="120" w:line="240" w:lineRule="auto"/>
      <w:jc w:val="center"/>
    </w:pPr>
    <w:rPr>
      <w:rFonts w:ascii="Times New Roman" w:hAnsi="Times New Roman" w:cs="Times New Roman"/>
      <w:i/>
      <w:sz w:val="24"/>
    </w:rPr>
  </w:style>
  <w:style w:type="paragraph" w:customStyle="1" w:styleId="Titreobjet">
    <w:name w:val="Titre objet"/>
    <w:basedOn w:val="Normal"/>
    <w:next w:val="IntrtEEE"/>
    <w:rsid w:val="00BC750E"/>
    <w:pPr>
      <w:spacing w:before="360" w:after="360" w:line="240" w:lineRule="auto"/>
      <w:jc w:val="center"/>
    </w:pPr>
    <w:rPr>
      <w:rFonts w:ascii="Times New Roman" w:hAnsi="Times New Roman" w:cs="Times New Roman"/>
      <w:b/>
      <w:sz w:val="24"/>
    </w:rPr>
  </w:style>
  <w:style w:type="paragraph" w:customStyle="1" w:styleId="TitreobjetPagedecouverture">
    <w:name w:val="Titre objet (Page de couverture)"/>
    <w:basedOn w:val="Titreobjet"/>
    <w:next w:val="IntrtEEEPagedecouverture"/>
    <w:rsid w:val="00BC750E"/>
  </w:style>
  <w:style w:type="paragraph" w:styleId="TOC1">
    <w:name w:val="toc 1"/>
    <w:basedOn w:val="Normal"/>
    <w:next w:val="Normal"/>
    <w:uiPriority w:val="39"/>
    <w:unhideWhenUsed/>
    <w:rsid w:val="00203753"/>
    <w:pPr>
      <w:tabs>
        <w:tab w:val="right" w:leader="dot" w:pos="9071"/>
      </w:tabs>
      <w:spacing w:before="60" w:after="120" w:line="240" w:lineRule="auto"/>
      <w:ind w:left="170" w:hanging="170"/>
    </w:pPr>
    <w:rPr>
      <w:rFonts w:ascii="EC Square Sans Pro" w:hAnsi="EC Square Sans Pro" w:cs="Times New Roman"/>
      <w:b/>
      <w:caps/>
      <w:color w:val="003399" w:themeColor="text2"/>
      <w:sz w:val="20"/>
    </w:rPr>
  </w:style>
  <w:style w:type="paragraph" w:styleId="TOC2">
    <w:name w:val="toc 2"/>
    <w:basedOn w:val="Normal"/>
    <w:next w:val="Normal"/>
    <w:uiPriority w:val="39"/>
    <w:unhideWhenUsed/>
    <w:rsid w:val="00203753"/>
    <w:pPr>
      <w:tabs>
        <w:tab w:val="right" w:leader="dot" w:pos="9071"/>
      </w:tabs>
      <w:spacing w:before="120" w:after="120" w:line="240" w:lineRule="auto"/>
      <w:ind w:left="680" w:hanging="340"/>
    </w:pPr>
    <w:rPr>
      <w:rFonts w:ascii="EC Square Sans Pro" w:hAnsi="EC Square Sans Pro" w:cs="Times New Roman"/>
      <w:sz w:val="20"/>
    </w:rPr>
  </w:style>
  <w:style w:type="paragraph" w:styleId="TOC3">
    <w:name w:val="toc 3"/>
    <w:basedOn w:val="Normal"/>
    <w:next w:val="Normal"/>
    <w:uiPriority w:val="39"/>
    <w:unhideWhenUsed/>
    <w:rsid w:val="00203753"/>
    <w:pPr>
      <w:tabs>
        <w:tab w:val="right" w:leader="dot" w:pos="9071"/>
      </w:tabs>
      <w:spacing w:before="120" w:after="120" w:line="240" w:lineRule="auto"/>
      <w:ind w:left="1020" w:hanging="510"/>
    </w:pPr>
    <w:rPr>
      <w:rFonts w:ascii="EC Square Sans Pro" w:hAnsi="EC Square Sans Pro" w:cs="Times New Roman"/>
      <w:sz w:val="20"/>
    </w:rPr>
  </w:style>
  <w:style w:type="paragraph" w:styleId="TOC4">
    <w:name w:val="toc 4"/>
    <w:basedOn w:val="Normal"/>
    <w:next w:val="Normal"/>
    <w:uiPriority w:val="39"/>
    <w:semiHidden/>
    <w:unhideWhenUsed/>
    <w:rsid w:val="00BC750E"/>
    <w:pPr>
      <w:tabs>
        <w:tab w:val="right" w:leader="dot" w:pos="9071"/>
      </w:tabs>
      <w:spacing w:before="60" w:after="120" w:line="240" w:lineRule="auto"/>
      <w:ind w:left="850" w:hanging="850"/>
    </w:pPr>
    <w:rPr>
      <w:rFonts w:ascii="Times New Roman" w:hAnsi="Times New Roman" w:cs="Times New Roman"/>
      <w:sz w:val="24"/>
    </w:rPr>
  </w:style>
  <w:style w:type="paragraph" w:styleId="TOC5">
    <w:name w:val="toc 5"/>
    <w:basedOn w:val="Normal"/>
    <w:next w:val="Normal"/>
    <w:uiPriority w:val="39"/>
    <w:semiHidden/>
    <w:unhideWhenUsed/>
    <w:rsid w:val="00BC750E"/>
    <w:pPr>
      <w:tabs>
        <w:tab w:val="right" w:leader="dot" w:pos="9071"/>
      </w:tabs>
      <w:spacing w:before="300" w:after="120" w:line="240" w:lineRule="auto"/>
    </w:pPr>
    <w:rPr>
      <w:rFonts w:ascii="Times New Roman" w:hAnsi="Times New Roman" w:cs="Times New Roman"/>
      <w:sz w:val="24"/>
    </w:rPr>
  </w:style>
  <w:style w:type="paragraph" w:styleId="TOC6">
    <w:name w:val="toc 6"/>
    <w:basedOn w:val="Normal"/>
    <w:next w:val="Normal"/>
    <w:uiPriority w:val="39"/>
    <w:semiHidden/>
    <w:unhideWhenUsed/>
    <w:rsid w:val="00BC750E"/>
    <w:pPr>
      <w:tabs>
        <w:tab w:val="right" w:leader="dot" w:pos="9071"/>
      </w:tabs>
      <w:spacing w:after="120" w:line="240" w:lineRule="auto"/>
    </w:pPr>
    <w:rPr>
      <w:rFonts w:ascii="Times New Roman" w:hAnsi="Times New Roman" w:cs="Times New Roman"/>
      <w:sz w:val="24"/>
    </w:rPr>
  </w:style>
  <w:style w:type="paragraph" w:styleId="TOC7">
    <w:name w:val="toc 7"/>
    <w:basedOn w:val="Normal"/>
    <w:next w:val="Normal"/>
    <w:uiPriority w:val="39"/>
    <w:semiHidden/>
    <w:unhideWhenUsed/>
    <w:rsid w:val="00BC750E"/>
    <w:pPr>
      <w:tabs>
        <w:tab w:val="right" w:leader="dot" w:pos="9071"/>
      </w:tabs>
      <w:spacing w:before="180" w:after="120" w:line="240" w:lineRule="auto"/>
    </w:pPr>
    <w:rPr>
      <w:rFonts w:ascii="Times New Roman" w:hAnsi="Times New Roman" w:cs="Times New Roman"/>
      <w:sz w:val="24"/>
    </w:rPr>
  </w:style>
  <w:style w:type="paragraph" w:styleId="TOC8">
    <w:name w:val="toc 8"/>
    <w:basedOn w:val="Normal"/>
    <w:next w:val="Normal"/>
    <w:uiPriority w:val="39"/>
    <w:semiHidden/>
    <w:unhideWhenUsed/>
    <w:rsid w:val="00BC750E"/>
    <w:pPr>
      <w:tabs>
        <w:tab w:val="right" w:leader="dot" w:pos="9071"/>
      </w:tabs>
      <w:spacing w:before="120" w:after="120" w:line="240" w:lineRule="auto"/>
    </w:pPr>
    <w:rPr>
      <w:rFonts w:ascii="Times New Roman" w:hAnsi="Times New Roman" w:cs="Times New Roman"/>
      <w:sz w:val="24"/>
    </w:rPr>
  </w:style>
  <w:style w:type="paragraph" w:styleId="TOC9">
    <w:name w:val="toc 9"/>
    <w:basedOn w:val="Normal"/>
    <w:next w:val="Normal"/>
    <w:uiPriority w:val="39"/>
    <w:semiHidden/>
    <w:unhideWhenUsed/>
    <w:rsid w:val="00BC750E"/>
    <w:pPr>
      <w:tabs>
        <w:tab w:val="right" w:leader="dot" w:pos="9071"/>
      </w:tabs>
      <w:spacing w:before="120" w:after="120" w:line="240" w:lineRule="auto"/>
      <w:jc w:val="both"/>
    </w:pPr>
    <w:rPr>
      <w:rFonts w:ascii="Times New Roman" w:hAnsi="Times New Roman" w:cs="Times New Roman"/>
      <w:sz w:val="24"/>
    </w:rPr>
  </w:style>
  <w:style w:type="paragraph" w:styleId="TOCHeading">
    <w:name w:val="TOC Heading"/>
    <w:basedOn w:val="Normal"/>
    <w:next w:val="Normal"/>
    <w:uiPriority w:val="39"/>
    <w:unhideWhenUsed/>
    <w:qFormat/>
    <w:rsid w:val="00BC750E"/>
    <w:pPr>
      <w:spacing w:before="120" w:line="240" w:lineRule="auto"/>
      <w:jc w:val="center"/>
    </w:pPr>
    <w:rPr>
      <w:rFonts w:ascii="Times New Roman" w:hAnsi="Times New Roman" w:cs="Times New Roman"/>
      <w:b/>
      <w:sz w:val="28"/>
    </w:rPr>
  </w:style>
  <w:style w:type="paragraph" w:customStyle="1" w:styleId="Typeacteprincipal">
    <w:name w:val="Type acte principal"/>
    <w:basedOn w:val="Normal"/>
    <w:next w:val="Objetacteprincipal"/>
    <w:rsid w:val="00BC750E"/>
    <w:pPr>
      <w:spacing w:line="240" w:lineRule="auto"/>
      <w:jc w:val="center"/>
    </w:pPr>
    <w:rPr>
      <w:rFonts w:ascii="Times New Roman" w:hAnsi="Times New Roman" w:cs="Times New Roman"/>
      <w:b/>
      <w:sz w:val="24"/>
    </w:rPr>
  </w:style>
  <w:style w:type="paragraph" w:customStyle="1" w:styleId="TypeacteprincipalPagedecouverture">
    <w:name w:val="Type acte principal (Page de couverture)"/>
    <w:basedOn w:val="Typeacteprincipal"/>
    <w:next w:val="ObjetacteprincipalPagedecouverture"/>
    <w:rsid w:val="00BC750E"/>
  </w:style>
  <w:style w:type="paragraph" w:customStyle="1" w:styleId="Typedudocument">
    <w:name w:val="Type du document"/>
    <w:basedOn w:val="Normal"/>
    <w:next w:val="Titreobjet"/>
    <w:rsid w:val="00BC750E"/>
    <w:pPr>
      <w:spacing w:before="360" w:after="0" w:line="240" w:lineRule="auto"/>
      <w:jc w:val="center"/>
    </w:pPr>
    <w:rPr>
      <w:rFonts w:ascii="Times New Roman" w:hAnsi="Times New Roman" w:cs="Times New Roman"/>
      <w:b/>
      <w:sz w:val="24"/>
    </w:rPr>
  </w:style>
  <w:style w:type="paragraph" w:customStyle="1" w:styleId="TypedudocumentPagedecouverture">
    <w:name w:val="Type du document (Page de couverture)"/>
    <w:basedOn w:val="Typedudocument"/>
    <w:next w:val="TitreobjetPagedecouverture"/>
    <w:rsid w:val="00BC750E"/>
  </w:style>
  <w:style w:type="paragraph" w:customStyle="1" w:styleId="Volume">
    <w:name w:val="Volume"/>
    <w:basedOn w:val="Normal"/>
    <w:next w:val="Confidentialit"/>
    <w:rsid w:val="00BC750E"/>
    <w:pPr>
      <w:spacing w:line="240" w:lineRule="auto"/>
      <w:ind w:left="5103"/>
    </w:pPr>
    <w:rPr>
      <w:rFonts w:ascii="Times New Roman" w:hAnsi="Times New Roman" w:cs="Times New Roman"/>
      <w:sz w:val="24"/>
    </w:rPr>
  </w:style>
  <w:style w:type="paragraph" w:customStyle="1" w:styleId="FooterCoverPage">
    <w:name w:val="Footer Cover Page"/>
    <w:basedOn w:val="Normal"/>
    <w:link w:val="FooterCoverPageChar"/>
    <w:rsid w:val="00A270E6"/>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A270E6"/>
    <w:rPr>
      <w:rFonts w:ascii="Times New Roman" w:hAnsi="Times New Roman" w:cs="Times New Roman"/>
      <w:sz w:val="24"/>
    </w:rPr>
  </w:style>
  <w:style w:type="paragraph" w:customStyle="1" w:styleId="HeaderCoverPage">
    <w:name w:val="Header Cover Page"/>
    <w:basedOn w:val="Normal"/>
    <w:link w:val="HeaderCoverPageChar"/>
    <w:rsid w:val="00A270E6"/>
    <w:pPr>
      <w:tabs>
        <w:tab w:val="center" w:pos="4535"/>
        <w:tab w:val="right" w:pos="9071"/>
      </w:tabs>
      <w:spacing w:before="0"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A270E6"/>
    <w:rPr>
      <w:rFonts w:ascii="Times New Roman" w:hAnsi="Times New Roman" w:cs="Times New Roman"/>
      <w:sz w:val="24"/>
    </w:rPr>
  </w:style>
  <w:style w:type="paragraph" w:customStyle="1" w:styleId="FooterLine">
    <w:name w:val="Footer Line"/>
    <w:basedOn w:val="Footer"/>
    <w:next w:val="Footer"/>
    <w:uiPriority w:val="99"/>
    <w:rsid w:val="00BE5E44"/>
    <w:pPr>
      <w:tabs>
        <w:tab w:val="clear" w:pos="4535"/>
        <w:tab w:val="clear" w:pos="9071"/>
        <w:tab w:val="clear" w:pos="9921"/>
        <w:tab w:val="right" w:pos="8646"/>
      </w:tabs>
      <w:spacing w:before="120" w:line="264" w:lineRule="auto"/>
      <w:ind w:left="0" w:right="0" w:hanging="357"/>
      <w:jc w:val="both"/>
    </w:pPr>
    <w:rPr>
      <w:rFonts w:eastAsia="Times New Roman"/>
      <w:kern w:val="0"/>
      <w:szCs w:val="20"/>
      <w:lang w:eastAsia="en-GB"/>
      <w14:ligatures w14:val="none"/>
    </w:rPr>
  </w:style>
  <w:style w:type="paragraph" w:customStyle="1" w:styleId="list12">
    <w:name w:val="list 1) 2)"/>
    <w:basedOn w:val="Normal"/>
    <w:autoRedefine/>
    <w:qFormat/>
    <w:rsid w:val="00BA56B8"/>
    <w:pPr>
      <w:numPr>
        <w:numId w:val="21"/>
      </w:numPr>
      <w:spacing w:line="240" w:lineRule="auto"/>
      <w:jc w:val="both"/>
    </w:pPr>
    <w:rPr>
      <w:rFonts w:ascii="EC Square Sans Pro" w:eastAsia="Times New Roman" w:hAnsi="EC Square Sans Pro" w:cs="Times New Roman"/>
      <w:noProof/>
      <w:kern w:val="0"/>
      <w:sz w:val="20"/>
      <w:szCs w:val="20"/>
      <w:lang w:eastAsia="en-GB"/>
      <w14:ligatures w14:val="none"/>
    </w:rPr>
  </w:style>
  <w:style w:type="character" w:customStyle="1" w:styleId="Heading5Char">
    <w:name w:val="Heading 5 Char"/>
    <w:basedOn w:val="DefaultParagraphFont"/>
    <w:link w:val="Heading5"/>
    <w:uiPriority w:val="9"/>
    <w:semiHidden/>
    <w:rsid w:val="00BE5E44"/>
    <w:rPr>
      <w:rFonts w:asciiTheme="majorHAnsi" w:eastAsiaTheme="majorEastAsia" w:hAnsiTheme="majorHAnsi" w:cstheme="majorBidi"/>
      <w:color w:val="00602A" w:themeColor="accent1" w:themeShade="BF"/>
    </w:rPr>
  </w:style>
  <w:style w:type="character" w:customStyle="1" w:styleId="Heading6Char">
    <w:name w:val="Heading 6 Char"/>
    <w:basedOn w:val="DefaultParagraphFont"/>
    <w:link w:val="Heading6"/>
    <w:uiPriority w:val="9"/>
    <w:semiHidden/>
    <w:rsid w:val="00BE5E44"/>
    <w:rPr>
      <w:rFonts w:asciiTheme="majorHAnsi" w:eastAsiaTheme="majorEastAsia" w:hAnsiTheme="majorHAnsi" w:cstheme="majorBidi"/>
      <w:color w:val="00401C" w:themeColor="accent1" w:themeShade="7F"/>
    </w:rPr>
  </w:style>
  <w:style w:type="character" w:customStyle="1" w:styleId="Heading7Char">
    <w:name w:val="Heading 7 Char"/>
    <w:basedOn w:val="DefaultParagraphFont"/>
    <w:link w:val="Heading7"/>
    <w:uiPriority w:val="9"/>
    <w:semiHidden/>
    <w:rsid w:val="00BE5E44"/>
    <w:rPr>
      <w:rFonts w:asciiTheme="majorHAnsi" w:eastAsiaTheme="majorEastAsia" w:hAnsiTheme="majorHAnsi" w:cstheme="majorBidi"/>
      <w:i/>
      <w:iCs/>
      <w:color w:val="00401C" w:themeColor="accent1" w:themeShade="7F"/>
    </w:rPr>
  </w:style>
  <w:style w:type="character" w:customStyle="1" w:styleId="Heading8Char">
    <w:name w:val="Heading 8 Char"/>
    <w:basedOn w:val="DefaultParagraphFont"/>
    <w:link w:val="Heading8"/>
    <w:uiPriority w:val="9"/>
    <w:semiHidden/>
    <w:rsid w:val="00BE5E4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E5E44"/>
    <w:rPr>
      <w:rFonts w:asciiTheme="majorHAnsi" w:eastAsiaTheme="majorEastAsia" w:hAnsiTheme="majorHAnsi" w:cstheme="majorBidi"/>
      <w:i/>
      <w:iCs/>
      <w:color w:val="272727" w:themeColor="text1" w:themeTint="D8"/>
      <w:sz w:val="21"/>
      <w:szCs w:val="21"/>
    </w:rPr>
  </w:style>
  <w:style w:type="paragraph" w:customStyle="1" w:styleId="Charttitle">
    <w:name w:val="Chart title"/>
    <w:basedOn w:val="Normal"/>
    <w:qFormat/>
    <w:rsid w:val="008B7356"/>
    <w:pPr>
      <w:spacing w:after="120" w:line="240" w:lineRule="auto"/>
      <w:jc w:val="both"/>
    </w:pPr>
    <w:rPr>
      <w:rFonts w:ascii="EC Square Sans Pro" w:eastAsia="Times New Roman" w:hAnsi="EC Square Sans Pro" w:cs="Times New Roman"/>
      <w:b/>
      <w:bCs/>
      <w:color w:val="003399" w:themeColor="text2"/>
      <w:kern w:val="0"/>
      <w:sz w:val="20"/>
      <w:szCs w:val="20"/>
      <w:lang w:eastAsia="en-GB"/>
      <w14:ligatures w14:val="none"/>
    </w:rPr>
  </w:style>
  <w:style w:type="paragraph" w:customStyle="1" w:styleId="Source">
    <w:name w:val="Source"/>
    <w:basedOn w:val="Normal"/>
    <w:qFormat/>
    <w:rsid w:val="00BE5E44"/>
    <w:pPr>
      <w:spacing w:line="240" w:lineRule="auto"/>
      <w:jc w:val="both"/>
    </w:pPr>
    <w:rPr>
      <w:rFonts w:ascii="EC Square Sans Pro" w:eastAsia="Times New Roman" w:hAnsi="EC Square Sans Pro" w:cs="Times New Roman"/>
      <w:i/>
      <w:iCs/>
      <w:kern w:val="0"/>
      <w:sz w:val="16"/>
      <w:szCs w:val="16"/>
      <w:lang w:eastAsia="en-GB"/>
      <w14:ligatures w14:val="none"/>
    </w:rPr>
  </w:style>
  <w:style w:type="paragraph" w:customStyle="1" w:styleId="Paragraphtitle">
    <w:name w:val="Paragraph title"/>
    <w:basedOn w:val="Normal"/>
    <w:qFormat/>
    <w:rsid w:val="00CE0649"/>
    <w:pPr>
      <w:spacing w:line="240" w:lineRule="auto"/>
      <w:jc w:val="both"/>
    </w:pPr>
    <w:rPr>
      <w:rFonts w:ascii="EC Square Sans Pro" w:eastAsia="Times New Roman" w:hAnsi="EC Square Sans Pro" w:cs="Times New Roman"/>
      <w:b/>
      <w:bCs/>
      <w:iCs/>
      <w:caps/>
      <w:color w:val="003399" w:themeColor="text2"/>
      <w:kern w:val="0"/>
      <w:szCs w:val="20"/>
      <w:lang w:eastAsia="en-GB"/>
      <w14:ligatures w14:val="none"/>
    </w:rPr>
  </w:style>
  <w:style w:type="character" w:styleId="IntenseEmphasis">
    <w:name w:val="Intense Emphasis"/>
    <w:basedOn w:val="DefaultParagraphFont"/>
    <w:uiPriority w:val="21"/>
    <w:qFormat/>
    <w:rsid w:val="00BA56B8"/>
    <w:rPr>
      <w:i/>
      <w:iCs/>
      <w:color w:val="008139" w:themeColor="accent1"/>
    </w:rPr>
  </w:style>
  <w:style w:type="paragraph" w:customStyle="1" w:styleId="amprLISTtealbullets-L1">
    <w:name w:val="[ampr LIST teal] bullets - L1"/>
    <w:basedOn w:val="Normal"/>
    <w:uiPriority w:val="3"/>
    <w:qFormat/>
    <w:rsid w:val="0009407F"/>
    <w:pPr>
      <w:spacing w:before="60" w:after="60"/>
      <w:ind w:left="786" w:hanging="360"/>
      <w:jc w:val="both"/>
    </w:pPr>
    <w:rPr>
      <w:rFonts w:ascii="EC Square Sans Pro" w:eastAsia="Times New Roman" w:hAnsi="EC Square Sans Pro" w:cs="Tunga"/>
      <w:kern w:val="0"/>
      <w:sz w:val="20"/>
      <w:szCs w:val="20"/>
      <w:lang w:eastAsia="en-GB"/>
      <w14:ligatures w14:val="none"/>
    </w:rPr>
  </w:style>
  <w:style w:type="paragraph" w:styleId="EndnoteText">
    <w:name w:val="endnote text"/>
    <w:basedOn w:val="Normal"/>
    <w:link w:val="EndnoteTextChar"/>
    <w:uiPriority w:val="99"/>
    <w:semiHidden/>
    <w:unhideWhenUsed/>
    <w:rsid w:val="00A5025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50252"/>
    <w:rPr>
      <w:sz w:val="20"/>
      <w:szCs w:val="20"/>
    </w:rPr>
  </w:style>
  <w:style w:type="character" w:styleId="EndnoteReference">
    <w:name w:val="endnote reference"/>
    <w:basedOn w:val="DefaultParagraphFont"/>
    <w:uiPriority w:val="99"/>
    <w:semiHidden/>
    <w:unhideWhenUsed/>
    <w:rsid w:val="00A50252"/>
    <w:rPr>
      <w:vertAlign w:val="superscript"/>
    </w:rPr>
  </w:style>
  <w:style w:type="character" w:customStyle="1" w:styleId="Text2Char">
    <w:name w:val="Text 2 Char"/>
    <w:link w:val="Text2"/>
    <w:rsid w:val="00951B2F"/>
    <w:rPr>
      <w:rFonts w:ascii="Times New Roman" w:hAnsi="Times New Roman" w:cs="Times New Roman"/>
      <w:sz w:val="24"/>
      <w:lang w:val="ro-RO"/>
    </w:rPr>
  </w:style>
  <w:style w:type="paragraph" w:styleId="Revision">
    <w:name w:val="Revision"/>
    <w:hidden/>
    <w:uiPriority w:val="99"/>
    <w:semiHidden/>
    <w:rsid w:val="00E617BA"/>
    <w:pPr>
      <w:spacing w:after="0" w:line="240" w:lineRule="auto"/>
    </w:pPr>
  </w:style>
  <w:style w:type="character" w:customStyle="1" w:styleId="Text1Char">
    <w:name w:val="Text 1 Char"/>
    <w:link w:val="Text1"/>
    <w:locked/>
    <w:rsid w:val="009F714D"/>
    <w:rPr>
      <w:rFonts w:ascii="Times New Roman" w:hAnsi="Times New Roman" w:cs="Times New Roman"/>
      <w:sz w:val="24"/>
      <w:lang w:val="ro-RO"/>
    </w:rPr>
  </w:style>
  <w:style w:type="paragraph" w:customStyle="1" w:styleId="FootnotesymbolCharChar">
    <w:name w:val="Footnote symbol Char Char"/>
    <w:aliases w:val="Footnote reference number Char Char,Times 10 Point Char Char,Exposant 3 Point Char Char,Ref Char Char,de nota al pie Char Char,note TESI Char Char,SUPERS Char Char,EN Footnote Reference Char Char"/>
    <w:basedOn w:val="Normal"/>
    <w:link w:val="FootnoteReference"/>
    <w:uiPriority w:val="99"/>
    <w:rsid w:val="00CF0B60"/>
    <w:pPr>
      <w:spacing w:before="0" w:after="16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282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3.png"/><Relationship Id="rId33" Type="http://schemas.openxmlformats.org/officeDocument/2006/relationships/footer" Target="footer9.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2.png"/><Relationship Id="rId32"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image" Target="media/image5.png"/><Relationship Id="rId30" Type="http://schemas.openxmlformats.org/officeDocument/2006/relationships/footer" Target="footer7.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theiia.org/en/standards/2024-standards/global-internal-audit-standards/" TargetMode="External"/><Relationship Id="rId1" Type="http://schemas.openxmlformats.org/officeDocument/2006/relationships/hyperlink" Target="https://www.theiia.org/en/standards/2024-standards/global-internal-audit-standards/" TargetMode="External"/></Relationships>
</file>

<file path=word/theme/theme1.xml><?xml version="1.0" encoding="utf-8"?>
<a:theme xmlns:a="http://schemas.openxmlformats.org/drawingml/2006/main" name="Office Theme">
  <a:themeElements>
    <a:clrScheme name="AMPR 2026">
      <a:dk1>
        <a:srgbClr val="000000"/>
      </a:dk1>
      <a:lt1>
        <a:sysClr val="window" lastClr="FFFFFF"/>
      </a:lt1>
      <a:dk2>
        <a:srgbClr val="003399"/>
      </a:dk2>
      <a:lt2>
        <a:srgbClr val="F3F7FF"/>
      </a:lt2>
      <a:accent1>
        <a:srgbClr val="008139"/>
      </a:accent1>
      <a:accent2>
        <a:srgbClr val="DC3903"/>
      </a:accent2>
      <a:accent3>
        <a:srgbClr val="2688FE"/>
      </a:accent3>
      <a:accent4>
        <a:srgbClr val="FDAB07"/>
      </a:accent4>
      <a:accent5>
        <a:srgbClr val="DC165D"/>
      </a:accent5>
      <a:accent6>
        <a:srgbClr val="7030A0"/>
      </a:accent6>
      <a:hlink>
        <a:srgbClr val="003399"/>
      </a:hlink>
      <a:folHlink>
        <a:srgbClr val="0033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D24022E66C1540A3B1E037465E0CE3" ma:contentTypeVersion="8" ma:contentTypeDescription="Create a new document." ma:contentTypeScope="" ma:versionID="6d3a7a8b69be78fb87f56b4f1e94266a">
  <xsd:schema xmlns:xsd="http://www.w3.org/2001/XMLSchema" xmlns:xs="http://www.w3.org/2001/XMLSchema" xmlns:p="http://schemas.microsoft.com/office/2006/metadata/properties" xmlns:ns2="d07530ff-ae8d-4383-9420-67306a016191" xmlns:ns3="d0b4669b-3562-445a-a428-e501203eb641" targetNamespace="http://schemas.microsoft.com/office/2006/metadata/properties" ma:root="true" ma:fieldsID="38b76655fad3c1b26d1a007b0772cfa2" ns2:_="" ns3:_="">
    <xsd:import namespace="d07530ff-ae8d-4383-9420-67306a016191"/>
    <xsd:import namespace="d0b4669b-3562-445a-a428-e501203eb6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7530ff-ae8d-4383-9420-67306a0161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b4669b-3562-445a-a428-e501203eb64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D2F148-2BC8-4226-9EBE-D8967770F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7530ff-ae8d-4383-9420-67306a016191"/>
    <ds:schemaRef ds:uri="d0b4669b-3562-445a-a428-e501203eb6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CB654F-76E0-4CCA-A585-91B97DF29731}">
  <ds:schemaRefs>
    <ds:schemaRef ds:uri="http://schemas.microsoft.com/sharepoint/v3/contenttype/forms"/>
  </ds:schemaRefs>
</ds:datastoreItem>
</file>

<file path=customXml/itemProps3.xml><?xml version="1.0" encoding="utf-8"?>
<ds:datastoreItem xmlns:ds="http://schemas.openxmlformats.org/officeDocument/2006/customXml" ds:itemID="{674823ED-BC7A-4C05-BAC5-01ED3D34CD3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266A39D-3273-47F6-A658-62D98977B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15</Pages>
  <Words>5295</Words>
  <Characters>30188</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35413</CharactersWithSpaces>
  <SharedDoc>false</SharedDoc>
  <HLinks>
    <vt:vector size="60" baseType="variant">
      <vt:variant>
        <vt:i4>2031664</vt:i4>
      </vt:variant>
      <vt:variant>
        <vt:i4>44</vt:i4>
      </vt:variant>
      <vt:variant>
        <vt:i4>0</vt:i4>
      </vt:variant>
      <vt:variant>
        <vt:i4>5</vt:i4>
      </vt:variant>
      <vt:variant>
        <vt:lpwstr/>
      </vt:variant>
      <vt:variant>
        <vt:lpwstr>_Toc230874576</vt:lpwstr>
      </vt:variant>
      <vt:variant>
        <vt:i4>2031664</vt:i4>
      </vt:variant>
      <vt:variant>
        <vt:i4>38</vt:i4>
      </vt:variant>
      <vt:variant>
        <vt:i4>0</vt:i4>
      </vt:variant>
      <vt:variant>
        <vt:i4>5</vt:i4>
      </vt:variant>
      <vt:variant>
        <vt:lpwstr/>
      </vt:variant>
      <vt:variant>
        <vt:lpwstr>_Toc230874575</vt:lpwstr>
      </vt:variant>
      <vt:variant>
        <vt:i4>2031664</vt:i4>
      </vt:variant>
      <vt:variant>
        <vt:i4>32</vt:i4>
      </vt:variant>
      <vt:variant>
        <vt:i4>0</vt:i4>
      </vt:variant>
      <vt:variant>
        <vt:i4>5</vt:i4>
      </vt:variant>
      <vt:variant>
        <vt:lpwstr/>
      </vt:variant>
      <vt:variant>
        <vt:lpwstr>_Toc230874574</vt:lpwstr>
      </vt:variant>
      <vt:variant>
        <vt:i4>2031664</vt:i4>
      </vt:variant>
      <vt:variant>
        <vt:i4>26</vt:i4>
      </vt:variant>
      <vt:variant>
        <vt:i4>0</vt:i4>
      </vt:variant>
      <vt:variant>
        <vt:i4>5</vt:i4>
      </vt:variant>
      <vt:variant>
        <vt:lpwstr/>
      </vt:variant>
      <vt:variant>
        <vt:lpwstr>_Toc230874573</vt:lpwstr>
      </vt:variant>
      <vt:variant>
        <vt:i4>2031664</vt:i4>
      </vt:variant>
      <vt:variant>
        <vt:i4>20</vt:i4>
      </vt:variant>
      <vt:variant>
        <vt:i4>0</vt:i4>
      </vt:variant>
      <vt:variant>
        <vt:i4>5</vt:i4>
      </vt:variant>
      <vt:variant>
        <vt:lpwstr/>
      </vt:variant>
      <vt:variant>
        <vt:lpwstr>_Toc230874572</vt:lpwstr>
      </vt:variant>
      <vt:variant>
        <vt:i4>2031664</vt:i4>
      </vt:variant>
      <vt:variant>
        <vt:i4>14</vt:i4>
      </vt:variant>
      <vt:variant>
        <vt:i4>0</vt:i4>
      </vt:variant>
      <vt:variant>
        <vt:i4>5</vt:i4>
      </vt:variant>
      <vt:variant>
        <vt:lpwstr/>
      </vt:variant>
      <vt:variant>
        <vt:lpwstr>_Toc230874571</vt:lpwstr>
      </vt:variant>
      <vt:variant>
        <vt:i4>2031664</vt:i4>
      </vt:variant>
      <vt:variant>
        <vt:i4>8</vt:i4>
      </vt:variant>
      <vt:variant>
        <vt:i4>0</vt:i4>
      </vt:variant>
      <vt:variant>
        <vt:i4>5</vt:i4>
      </vt:variant>
      <vt:variant>
        <vt:lpwstr/>
      </vt:variant>
      <vt:variant>
        <vt:lpwstr>_Toc230874570</vt:lpwstr>
      </vt:variant>
      <vt:variant>
        <vt:i4>1966128</vt:i4>
      </vt:variant>
      <vt:variant>
        <vt:i4>2</vt:i4>
      </vt:variant>
      <vt:variant>
        <vt:i4>0</vt:i4>
      </vt:variant>
      <vt:variant>
        <vt:i4>5</vt:i4>
      </vt:variant>
      <vt:variant>
        <vt:lpwstr/>
      </vt:variant>
      <vt:variant>
        <vt:lpwstr>_Toc230874569</vt:lpwstr>
      </vt:variant>
      <vt:variant>
        <vt:i4>6422560</vt:i4>
      </vt:variant>
      <vt:variant>
        <vt:i4>3</vt:i4>
      </vt:variant>
      <vt:variant>
        <vt:i4>0</vt:i4>
      </vt:variant>
      <vt:variant>
        <vt:i4>5</vt:i4>
      </vt:variant>
      <vt:variant>
        <vt:lpwstr>https://www.theiia.org/en/standards/2024-standards/global-internal-audit-standards/</vt:lpwstr>
      </vt:variant>
      <vt:variant>
        <vt:lpwstr/>
      </vt:variant>
      <vt:variant>
        <vt:i4>6422560</vt:i4>
      </vt:variant>
      <vt:variant>
        <vt:i4>0</vt:i4>
      </vt:variant>
      <vt:variant>
        <vt:i4>0</vt:i4>
      </vt:variant>
      <vt:variant>
        <vt:i4>5</vt:i4>
      </vt:variant>
      <vt:variant>
        <vt:lpwstr>https://www.theiia.org/en/standards/2024-standards/global-internal-audit-standards/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121</cp:revision>
  <dcterms:created xsi:type="dcterms:W3CDTF">2026-05-29T14:51:00Z</dcterms:created>
  <dcterms:modified xsi:type="dcterms:W3CDTF">2026-08-18T09:21:00Z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CP-003</vt:lpwstr>
  </property>
  <property fmtid="{D5CDD505-2E9C-101B-9397-08002B2CF9AE}" pid="7" name="Last edited using">
    <vt:lpwstr>LW 9.2, Build 20250828</vt:lpwstr>
  </property>
  <property fmtid="{D5CDD505-2E9C-101B-9397-08002B2CF9AE}" pid="8" name="Created using">
    <vt:lpwstr>LW 9.0, Build 20230317</vt:lpwstr>
  </property>
  <property fmtid="{D5CDD505-2E9C-101B-9397-08002B2CF9AE}" pid="9" name="MSIP_Label_6bd9ddd1-4d20-43f6-abfa-fc3c07406f94_Enabled">
    <vt:lpwstr>true</vt:lpwstr>
  </property>
  <property fmtid="{D5CDD505-2E9C-101B-9397-08002B2CF9AE}" pid="10" name="MSIP_Label_6bd9ddd1-4d20-43f6-abfa-fc3c07406f94_SetDate">
    <vt:lpwstr>2025-03-31T16:17:52Z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0714c0ab-95dc-4156-a70e-c3febf6c8e20</vt:lpwstr>
  </property>
  <property fmtid="{D5CDD505-2E9C-101B-9397-08002B2CF9AE}" pid="15" name="MSIP_Label_6bd9ddd1-4d20-43f6-abfa-fc3c07406f94_ContentBits">
    <vt:lpwstr>0</vt:lpwstr>
  </property>
  <property fmtid="{D5CDD505-2E9C-101B-9397-08002B2CF9AE}" pid="16" name="ContentTypeId">
    <vt:lpwstr>0x01010043D24022E66C1540A3B1E037465E0CE3</vt:lpwstr>
  </property>
</Properties>
</file>