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FA9" w:rsidRPr="00CE6E6D" w:rsidRDefault="003C782D" w:rsidP="003C782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3475DC9-30E6-4741-A790-6628401A25AC" style="width:455.25pt;height:411.75pt">
            <v:imagedata r:id="rId11" o:title=""/>
          </v:shape>
        </w:pict>
      </w:r>
    </w:p>
    <w:p w:rsidR="00C11FA9" w:rsidRPr="00CE6E6D" w:rsidRDefault="00C11FA9" w:rsidP="00C11FA9">
      <w:pPr>
        <w:rPr>
          <w:noProof/>
        </w:rPr>
        <w:sectPr w:rsidR="00C11FA9" w:rsidRPr="00CE6E6D" w:rsidSect="003C782D">
          <w:footerReference w:type="even" r:id="rId12"/>
          <w:footerReference w:type="default" r:id="rId13"/>
          <w:pgSz w:w="11907" w:h="16839"/>
          <w:pgMar w:top="1134" w:right="1417" w:bottom="1134" w:left="1417" w:header="709" w:footer="709" w:gutter="0"/>
          <w:pgNumType w:start="0"/>
          <w:cols w:space="720"/>
          <w:docGrid w:linePitch="360"/>
        </w:sectPr>
      </w:pPr>
    </w:p>
    <w:p w:rsidR="00C11FA9" w:rsidRPr="00CE6E6D" w:rsidRDefault="00C11FA9" w:rsidP="00A52F19">
      <w:pPr>
        <w:pStyle w:val="Exposdesmotifstitre"/>
        <w:rPr>
          <w:noProof/>
        </w:rPr>
      </w:pPr>
      <w:bookmarkStart w:id="0" w:name="_GoBack"/>
      <w:bookmarkEnd w:id="0"/>
      <w:r w:rsidRPr="00CE6E6D">
        <w:rPr>
          <w:noProof/>
        </w:rPr>
        <w:lastRenderedPageBreak/>
        <w:t>EXPUNERE DE MOTIVE</w:t>
      </w:r>
    </w:p>
    <w:p w:rsidR="00423876" w:rsidRPr="00CE6E6D" w:rsidRDefault="3C452CD4"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CE6E6D">
        <w:rPr>
          <w:noProof/>
        </w:rPr>
        <w:t>Prezenta propunere se referă la semnarea Acordului dintre Uniunea Europeană și Algeria privind cooperarea dintre Agenția Uniunii Europene pentru Cooperare în Materie de Justiție Penală (Eurojust) și autoritățile din Algeria competente pentru cooperarea judiciară în materie penală (denumit în continuare „acordul”).</w:t>
      </w:r>
    </w:p>
    <w:p w:rsidR="00C11FA9" w:rsidRPr="00CE6E6D" w:rsidRDefault="00C11FA9" w:rsidP="00A52F19">
      <w:pPr>
        <w:pStyle w:val="ManualHeading1"/>
        <w:rPr>
          <w:noProof/>
        </w:rPr>
      </w:pPr>
      <w:r w:rsidRPr="00CE6E6D">
        <w:rPr>
          <w:noProof/>
        </w:rPr>
        <w:t>1.</w:t>
      </w:r>
      <w:r w:rsidRPr="00CE6E6D">
        <w:rPr>
          <w:noProof/>
        </w:rPr>
        <w:tab/>
        <w:t>CONTEXTUL PROPUNERII</w:t>
      </w:r>
    </w:p>
    <w:p w:rsidR="00C11FA9" w:rsidRPr="00CE6E6D" w:rsidRDefault="00C11FA9" w:rsidP="00A52F19">
      <w:pPr>
        <w:pStyle w:val="ManualHeading2"/>
        <w:rPr>
          <w:rFonts w:eastAsia="Arial Unicode MS"/>
          <w:noProof/>
        </w:rPr>
      </w:pPr>
      <w:r w:rsidRPr="00CE6E6D">
        <w:rPr>
          <w:noProof/>
          <w:color w:val="000000"/>
          <w:u w:color="000000"/>
          <w:bdr w:val="nil"/>
        </w:rPr>
        <w:t>•</w:t>
      </w:r>
      <w:r w:rsidRPr="00CE6E6D">
        <w:rPr>
          <w:noProof/>
        </w:rPr>
        <w:tab/>
        <w:t>Motivele și obiectivele propunerii</w:t>
      </w:r>
    </w:p>
    <w:p w:rsidR="00AB2544" w:rsidRPr="00CE6E6D" w:rsidRDefault="00AB2544" w:rsidP="00AB2544">
      <w:pPr>
        <w:widowControl w:val="0"/>
        <w:shd w:val="clear" w:color="auto" w:fill="FFFFFF"/>
        <w:autoSpaceDE w:val="0"/>
        <w:autoSpaceDN w:val="0"/>
        <w:adjustRightInd w:val="0"/>
        <w:spacing w:before="230" w:after="0" w:line="269" w:lineRule="exact"/>
        <w:ind w:right="86"/>
        <w:rPr>
          <w:noProof/>
          <w:color w:val="000000" w:themeColor="text1"/>
        </w:rPr>
      </w:pPr>
      <w:r w:rsidRPr="00CE6E6D">
        <w:rPr>
          <w:noProof/>
          <w:color w:val="000000" w:themeColor="text1"/>
        </w:rPr>
        <w:t>Agenția Uniunii Europene pentru Cooperare în Materie de Justiție Penală (Eurojust) coordonează cercetările și urmăririle penale ale formelor grave de criminalitate transfrontalieră în Europa și în afara acesteia. În calitate de centru al Uniunii Europene (UE) pentru cooperarea judiciară în materie penală, Eurojust sprijină autoritățile naționale de cercetare și urmărire penală.</w:t>
      </w:r>
    </w:p>
    <w:p w:rsidR="001529E9" w:rsidRPr="00CE6E6D" w:rsidRDefault="001529E9" w:rsidP="0034330E">
      <w:pPr>
        <w:rPr>
          <w:noProof/>
          <w:color w:val="000000" w:themeColor="text1"/>
        </w:rPr>
      </w:pPr>
      <w:r w:rsidRPr="00CE6E6D">
        <w:rPr>
          <w:noProof/>
        </w:rPr>
        <w:t xml:space="preserve">Într-o lume globalizată, necesitatea cooperării dintre autoritățile judiciare implicate în cercetarea și urmărirea penală a infracțiunilor grave nu se oprește la frontierele Uniunii. </w:t>
      </w:r>
      <w:r w:rsidRPr="00CE6E6D">
        <w:rPr>
          <w:noProof/>
          <w:color w:val="000000" w:themeColor="text1"/>
        </w:rPr>
        <w:t xml:space="preserve">Având în vedere creșterea numărului de cazuri de criminalitate transfrontalieră, este esențial să se obțină informații din afara jurisdicției proprii. </w:t>
      </w:r>
      <w:r w:rsidRPr="00CE6E6D">
        <w:rPr>
          <w:noProof/>
        </w:rPr>
        <w:t>Prin urmare, Eurojust ar trebui să poată coopera strâns și să facă schimb de date cu caracter personal cu autoritățile judiciare ale anumitor țări terțe în măsura necesară pentru îndeplinirea atribuțiilor sale, în limita cerințelor prevăzute de Regulamentul (UE) 2018/1727</w:t>
      </w:r>
      <w:r w:rsidRPr="00CE6E6D">
        <w:rPr>
          <w:rStyle w:val="FootnoteReference"/>
          <w:noProof/>
        </w:rPr>
        <w:footnoteReference w:id="2"/>
      </w:r>
      <w:r w:rsidRPr="00CE6E6D">
        <w:rPr>
          <w:noProof/>
        </w:rPr>
        <w:t xml:space="preserve"> (denumit în continuare „Regulamentul privind Eurojust”). </w:t>
      </w:r>
      <w:r w:rsidRPr="00CE6E6D">
        <w:rPr>
          <w:noProof/>
          <w:color w:val="000000" w:themeColor="text1"/>
        </w:rPr>
        <w:t>În același timp, este important să se asigure existența unor garanții adecvate în ceea ce privește protecția vieții private și a drepturilor și libertăților fundamentale ale persoanelor fizice pentru a asigura protecția datelor cu caracter personal.</w:t>
      </w:r>
    </w:p>
    <w:p w:rsidR="00AB2544" w:rsidRPr="00CE6E6D" w:rsidRDefault="15095958"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CE6E6D">
        <w:rPr>
          <w:noProof/>
          <w:color w:val="000000" w:themeColor="text1"/>
        </w:rPr>
        <w:t xml:space="preserve">Eurojust poate face schimb de date operaționale cu caracter personal cu țări terțe în cazul în care este îndeplinită una dintre cerințele prevăzute la articolul 56 alineatul (2) literele (a)-(c) din Regulamentul privind Eurojust: </w:t>
      </w:r>
    </w:p>
    <w:p w:rsidR="0067178C" w:rsidRPr="00CE6E6D" w:rsidRDefault="0067178C" w:rsidP="006D6975">
      <w:pPr>
        <w:pStyle w:val="Bullet0"/>
        <w:numPr>
          <w:ilvl w:val="0"/>
          <w:numId w:val="5"/>
        </w:numPr>
        <w:rPr>
          <w:noProof/>
        </w:rPr>
      </w:pPr>
      <w:r w:rsidRPr="00CE6E6D">
        <w:rPr>
          <w:noProof/>
        </w:rPr>
        <w:t xml:space="preserve">Comisia a decis, în temeiul articolului 57, că țara terță sau organizația internațională în cauză asigură un nivel adecvat de protecție sau, în absența unei astfel de decizii privind caracterul adecvat al nivelului de protecție, în cazul în care se oferă sau există garanții adecvate în conformitate cu articolul 58 alineatul (1) sau, în absența atât a unei decizii privind caracterul adecvat al nivelului de protecție, cât și a unor astfel de garanții adecvate, se aplică o derogare pentru situații specifice în temeiul articolului 59 alineatul (1); </w:t>
      </w:r>
    </w:p>
    <w:p w:rsidR="0067178C" w:rsidRPr="00CE6E6D" w:rsidRDefault="00D403A8" w:rsidP="0067178C">
      <w:pPr>
        <w:pStyle w:val="Bullet0"/>
        <w:rPr>
          <w:noProof/>
        </w:rPr>
      </w:pPr>
      <w:r w:rsidRPr="00CE6E6D">
        <w:rPr>
          <w:noProof/>
        </w:rPr>
        <w:t>între Eurojust și țara terță sau organizația internațională respectivă a fost încheiat înainte de 12 decembrie 2019 un acord de cooperare care permite schimbul de date operaționale cu caracter personal, în conformitate cu articolul 26a din Decizia 2002/187/JAI</w:t>
      </w:r>
      <w:r w:rsidRPr="00CE6E6D">
        <w:rPr>
          <w:rStyle w:val="FootnoteReference"/>
          <w:noProof/>
          <w:lang w:bidi="en-US"/>
        </w:rPr>
        <w:footnoteReference w:id="3"/>
      </w:r>
      <w:r w:rsidRPr="00CE6E6D">
        <w:rPr>
          <w:noProof/>
        </w:rPr>
        <w:t xml:space="preserve">; sau </w:t>
      </w:r>
    </w:p>
    <w:p w:rsidR="0067178C" w:rsidRPr="00CE6E6D" w:rsidRDefault="00D403A8" w:rsidP="0067178C">
      <w:pPr>
        <w:pStyle w:val="Bullet0"/>
        <w:rPr>
          <w:noProof/>
        </w:rPr>
      </w:pPr>
      <w:r w:rsidRPr="00CE6E6D">
        <w:rPr>
          <w:noProof/>
        </w:rPr>
        <w:t xml:space="preserve">între Uniune și țara terță sau organizația internațională a fost încheiat în temeiul articolului 218 din TFUE un acord internațional care prevede garanții adecvate în </w:t>
      </w:r>
      <w:r w:rsidRPr="00CE6E6D">
        <w:rPr>
          <w:noProof/>
        </w:rPr>
        <w:lastRenderedPageBreak/>
        <w:t>ceea ce privește protecția vieții private și a drepturilor și libertăților fundamentale ale persoanelor.</w:t>
      </w:r>
    </w:p>
    <w:p w:rsidR="00AB2544" w:rsidRPr="00CE6E6D" w:rsidRDefault="009D2327" w:rsidP="00AB2544">
      <w:pPr>
        <w:widowControl w:val="0"/>
        <w:shd w:val="clear" w:color="auto" w:fill="FFFFFF"/>
        <w:autoSpaceDE w:val="0"/>
        <w:autoSpaceDN w:val="0"/>
        <w:adjustRightInd w:val="0"/>
        <w:spacing w:before="230" w:after="0" w:line="269" w:lineRule="exact"/>
        <w:ind w:right="86"/>
        <w:rPr>
          <w:noProof/>
          <w:color w:val="000000" w:themeColor="text1"/>
        </w:rPr>
      </w:pPr>
      <w:r w:rsidRPr="00CE6E6D">
        <w:rPr>
          <w:noProof/>
          <w:color w:val="000000" w:themeColor="text1"/>
        </w:rPr>
        <w:t>În prezent, Eurojust are acorduri de cooperare, încheiate în temeiul articolului 26a din Decizia 2002/187/JAI, care permit schimbul de date cu caracter personal cu Muntenegru, Ucraina, Republica Moldova, Liechtenstein, Elveția, Macedonia de Nord, SUA, Islanda, Norvegia, Georgia, Albania și Serbia. În temeiul articolului 80 alineatul (5) din Regulamentul privind Eurojust, aceste acorduri de cooperare rămân valabile.</w:t>
      </w:r>
    </w:p>
    <w:p w:rsidR="0067178C" w:rsidRPr="00CE6E6D" w:rsidRDefault="5B5577D0"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CE6E6D">
        <w:rPr>
          <w:noProof/>
          <w:color w:val="000000" w:themeColor="text1"/>
        </w:rPr>
        <w:t>De la 12 decembrie 2019, dată de la care se aplică Regulamentul privind Eurojust, și în temeiul tratatului, Comisia este responsabilă, în numele Uniunii, de negocierea acordurilor internaționale cu țările terțe privind cooperarea și schimbul de date cu caracter personal cu Eurojust. În conformitate cu capitolul V din Regulamentul privind Eurojust, în măsura în care acest lucru este necesar pentru îndeplinirea sarcinilor sale, Eurojust poate stabili și menține relații de cooperare cu parteneri externi prin intermediul unor acorduri de lucru. Totuși, aceste acorduri de lucru nu pot constitui, în sine, un temei juridic pentru schimbul de date cu caracter personal.</w:t>
      </w:r>
    </w:p>
    <w:p w:rsidR="001075FF" w:rsidRPr="00CE6E6D" w:rsidRDefault="001075FF"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CE6E6D">
        <w:rPr>
          <w:noProof/>
          <w:color w:val="000000" w:themeColor="text1"/>
        </w:rPr>
        <w:t>Acordul prevede un temei juridic pentru schimbul de date cu caracter personal efectuat în scopul cooperării judiciare în materie penală, asigurând garanții adecvate în ceea ce privește protecția vieții private și a drepturilor și libertăților fundamentale ale persoanelor fizice.</w:t>
      </w:r>
    </w:p>
    <w:p w:rsidR="00991687" w:rsidRPr="00CE6E6D" w:rsidRDefault="0F78A9E8"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CE6E6D">
        <w:rPr>
          <w:noProof/>
          <w:color w:val="000000" w:themeColor="text1"/>
        </w:rPr>
        <w:t>În vederea consolidării cooperării judiciare dintre Eurojust și anumite țări terțe, Comisia a adoptat o Recomandare de decizie a Consiliului de autorizare a deschiderii negocierilor pentru încheierea de acorduri între Uniunea Europeană și Algeria, Armenia, Bosnia și Herțegovina, Egipt, Israel, Iordania, Liban, Maroc, Tunisia și Turcia privind cooperarea dintre Agenția Uniunii Europene pentru Cooperare în Materie de Justiție Penală (Eurojust) și autoritățile competente pentru cooperarea judiciară în materie penală din aceste state terțe</w:t>
      </w:r>
      <w:r w:rsidRPr="00CE6E6D">
        <w:rPr>
          <w:rStyle w:val="FootnoteReference"/>
          <w:noProof/>
        </w:rPr>
        <w:footnoteReference w:id="4"/>
      </w:r>
      <w:r w:rsidRPr="00CE6E6D">
        <w:rPr>
          <w:noProof/>
          <w:color w:val="000000" w:themeColor="text1"/>
        </w:rPr>
        <w:t>.</w:t>
      </w:r>
    </w:p>
    <w:p w:rsidR="004F5B5F" w:rsidRPr="00CE6E6D" w:rsidRDefault="00991687" w:rsidP="0067178C">
      <w:pPr>
        <w:widowControl w:val="0"/>
        <w:shd w:val="clear" w:color="auto" w:fill="FFFFFF"/>
        <w:autoSpaceDE w:val="0"/>
        <w:autoSpaceDN w:val="0"/>
        <w:adjustRightInd w:val="0"/>
        <w:spacing w:before="230" w:after="0" w:line="269" w:lineRule="exact"/>
        <w:ind w:right="86"/>
        <w:rPr>
          <w:noProof/>
          <w:color w:val="000000" w:themeColor="text1"/>
        </w:rPr>
      </w:pPr>
      <w:r w:rsidRPr="00CE6E6D">
        <w:rPr>
          <w:noProof/>
          <w:color w:val="000000" w:themeColor="text1"/>
        </w:rPr>
        <w:t>Consiliul a acordat autorizarea respectivă la 1 martie 2021, a adoptat un set de directive de negociere și a numit un comitet special care să asiste Consiliul la îndeplinirea acestei atribuții</w:t>
      </w:r>
      <w:r w:rsidRPr="00CE6E6D">
        <w:rPr>
          <w:rStyle w:val="FootnoteReference"/>
          <w:noProof/>
        </w:rPr>
        <w:footnoteReference w:id="5"/>
      </w:r>
      <w:r w:rsidRPr="00CE6E6D">
        <w:rPr>
          <w:noProof/>
          <w:color w:val="000000" w:themeColor="text1"/>
        </w:rPr>
        <w:t>.</w:t>
      </w:r>
    </w:p>
    <w:p w:rsidR="73CC3DE7" w:rsidRPr="00CE6E6D" w:rsidRDefault="00B5112F" w:rsidP="001075FF">
      <w:pPr>
        <w:widowControl w:val="0"/>
        <w:shd w:val="clear" w:color="auto" w:fill="FFFFFF"/>
        <w:autoSpaceDE w:val="0"/>
        <w:autoSpaceDN w:val="0"/>
        <w:adjustRightInd w:val="0"/>
        <w:spacing w:before="230" w:after="0" w:line="269" w:lineRule="exact"/>
        <w:rPr>
          <w:rFonts w:eastAsia="Arial Unicode MS"/>
          <w:noProof/>
          <w:color w:val="000000" w:themeColor="text1"/>
        </w:rPr>
      </w:pPr>
      <w:bookmarkStart w:id="1" w:name="_Hlk149559778"/>
      <w:r w:rsidRPr="00CE6E6D">
        <w:rPr>
          <w:noProof/>
        </w:rPr>
        <w:t xml:space="preserve">În perioada aprilie 2022-august 2025 au avut loc mai multe runde de negocieri </w:t>
      </w:r>
      <w:bookmarkStart w:id="2" w:name="_Hlk226985527"/>
      <w:r w:rsidRPr="00CE6E6D">
        <w:rPr>
          <w:noProof/>
        </w:rPr>
        <w:t>și schimburi scrise</w:t>
      </w:r>
      <w:bookmarkEnd w:id="2"/>
      <w:r w:rsidRPr="00CE6E6D">
        <w:rPr>
          <w:noProof/>
        </w:rPr>
        <w:t>, în urma cărora negociatorii au ajuns la un acord la nivel tehnic cu privire la un text.</w:t>
      </w:r>
      <w:r w:rsidRPr="00CE6E6D">
        <w:rPr>
          <w:noProof/>
          <w:color w:val="000000" w:themeColor="text1"/>
        </w:rPr>
        <w:t xml:space="preserve"> </w:t>
      </w:r>
      <w:bookmarkEnd w:id="1"/>
      <w:r w:rsidRPr="00CE6E6D">
        <w:rPr>
          <w:noProof/>
          <w:color w:val="000000" w:themeColor="text1"/>
        </w:rPr>
        <w:t>Această propunere a fost discutată cu statele membre ale UE în cadrul Grupului de lucru pentru cooperare judiciară în materie penală (COPEN). Algeria și-a dat acordul final la 3 februarie 2026.</w:t>
      </w:r>
    </w:p>
    <w:p w:rsidR="001075FF" w:rsidRPr="00CE6E6D" w:rsidRDefault="001075FF" w:rsidP="001075FF">
      <w:pPr>
        <w:widowControl w:val="0"/>
        <w:shd w:val="clear" w:color="auto" w:fill="FFFFFF"/>
        <w:autoSpaceDE w:val="0"/>
        <w:autoSpaceDN w:val="0"/>
        <w:adjustRightInd w:val="0"/>
        <w:spacing w:before="230" w:after="0" w:line="269" w:lineRule="exact"/>
        <w:rPr>
          <w:rFonts w:eastAsia="Arial Unicode MS"/>
          <w:noProof/>
          <w:color w:val="000000" w:themeColor="text1"/>
        </w:rPr>
      </w:pPr>
    </w:p>
    <w:p w:rsidR="00C11FA9" w:rsidRPr="00CE6E6D" w:rsidRDefault="30AC0B55" w:rsidP="00A52F19">
      <w:pPr>
        <w:pStyle w:val="ManualHeading2"/>
        <w:rPr>
          <w:rFonts w:eastAsia="Arial Unicode MS"/>
          <w:noProof/>
          <w:color w:val="000000" w:themeColor="text1"/>
          <w:bdr w:val="nil"/>
        </w:rPr>
      </w:pPr>
      <w:r w:rsidRPr="00CE6E6D">
        <w:rPr>
          <w:noProof/>
          <w:color w:val="000000" w:themeColor="text1"/>
          <w:bdr w:val="nil"/>
        </w:rPr>
        <w:lastRenderedPageBreak/>
        <w:t>•</w:t>
      </w:r>
      <w:r w:rsidRPr="00CE6E6D">
        <w:rPr>
          <w:noProof/>
        </w:rPr>
        <w:tab/>
      </w:r>
      <w:bookmarkStart w:id="3" w:name="_Hlk224658754"/>
      <w:r w:rsidRPr="00CE6E6D">
        <w:rPr>
          <w:noProof/>
          <w:color w:val="000000" w:themeColor="text1"/>
        </w:rPr>
        <w:t>Coerența cu dispozițiile de politică existente privind cooperarea judiciară dintre Eurojust și țările terțe</w:t>
      </w:r>
      <w:bookmarkEnd w:id="3"/>
    </w:p>
    <w:p w:rsidR="00912659" w:rsidRPr="00CE6E6D" w:rsidRDefault="0D3F8E48">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 xml:space="preserve">Acordul a fost negociat ținând seama de directivele de negociere cuprinzătoare adoptate de Consiliu împreună cu autorizația de negociere la 1 martie 2021. Acordul este, de asemenea, consecvent cu politica existentă a Uniunii în domeniul cooperării judiciare. </w:t>
      </w:r>
    </w:p>
    <w:p w:rsidR="001437FA" w:rsidRPr="00CE6E6D" w:rsidRDefault="001437FA">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În ultimii ani, s-au înregistrat progrese în ceea ce privește îmbunătățirea cooperării referitoare la schimbul de informații între statele membre, precum și între agențiile Uniunii și țările terțe. Regulamentul (UE) 2023/2131 de modificare a Regulamentului (UE) 2018/1727 și a Deciziei 2005/671/JAI a Consiliului în ceea ce privește schimbul de informații digitale în cazurile de terorism</w:t>
      </w:r>
      <w:r w:rsidRPr="00CE6E6D">
        <w:rPr>
          <w:rStyle w:val="FootnoteReference"/>
          <w:rFonts w:eastAsia="Arial Unicode MS"/>
          <w:noProof/>
          <w:color w:val="000000" w:themeColor="text1"/>
        </w:rPr>
        <w:footnoteReference w:id="6"/>
      </w:r>
      <w:r w:rsidRPr="00CE6E6D">
        <w:rPr>
          <w:noProof/>
          <w:color w:val="000000" w:themeColor="text1"/>
        </w:rPr>
        <w:t xml:space="preserve"> consolidează cadrul de cooperare al Eurojust cu țările terțe, oferind un temei juridic solid pentru detașarea unui procuror de legătură dintr-o țară terță la Eurojust și pentru cooperarea cu Eurojust. </w:t>
      </w:r>
    </w:p>
    <w:p w:rsidR="001437FA" w:rsidRPr="00CE6E6D" w:rsidRDefault="001437FA">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De asemenea, Regulamentul (UE) 2022/838 de modificare a Regulamentului (UE) 2018/1727 în ceea ce privește colectarea, conservarea și analizarea în cadrul Eurojust a probelor referitoare la genocid, la crime împotriva umanității și la crime de război</w:t>
      </w:r>
      <w:r w:rsidRPr="00CE6E6D">
        <w:rPr>
          <w:rStyle w:val="FootnoteReference"/>
          <w:rFonts w:eastAsia="Arial Unicode MS"/>
          <w:noProof/>
          <w:color w:val="000000" w:themeColor="text1"/>
        </w:rPr>
        <w:footnoteReference w:id="7"/>
      </w:r>
      <w:r w:rsidRPr="00CE6E6D">
        <w:rPr>
          <w:noProof/>
          <w:color w:val="000000" w:themeColor="text1"/>
        </w:rPr>
        <w:t xml:space="preserve"> are o legătură puternică cu țările terțe. Ambele acte legislative subliniază importanța unei cooperări strânse cu țările terțe în vederea cercetării și urmăririi penale a infracțiunilor grave. </w:t>
      </w:r>
    </w:p>
    <w:p w:rsidR="00C11FA9" w:rsidRPr="00CE6E6D" w:rsidRDefault="00C11FA9" w:rsidP="00A52F19">
      <w:pPr>
        <w:pStyle w:val="ManualHeading2"/>
        <w:rPr>
          <w:rFonts w:eastAsia="Arial Unicode MS"/>
          <w:noProof/>
        </w:rPr>
      </w:pPr>
      <w:r w:rsidRPr="00CE6E6D">
        <w:rPr>
          <w:noProof/>
          <w:color w:val="000000"/>
          <w:u w:color="000000"/>
          <w:bdr w:val="nil"/>
        </w:rPr>
        <w:t>•</w:t>
      </w:r>
      <w:r w:rsidRPr="00CE6E6D">
        <w:rPr>
          <w:noProof/>
        </w:rPr>
        <w:tab/>
        <w:t>Coerența cu alte politici ale Uniunii</w:t>
      </w:r>
    </w:p>
    <w:p w:rsidR="00486F02" w:rsidRPr="00CE6E6D" w:rsidRDefault="00712040" w:rsidP="7AB98803">
      <w:pPr>
        <w:pBdr>
          <w:top w:val="nil"/>
          <w:left w:val="nil"/>
          <w:bottom w:val="nil"/>
          <w:right w:val="nil"/>
          <w:between w:val="nil"/>
          <w:bar w:val="nil"/>
        </w:pBdr>
        <w:spacing w:before="0" w:after="240"/>
        <w:rPr>
          <w:rFonts w:eastAsia="Arial Unicode MS"/>
          <w:noProof/>
          <w:color w:val="000000" w:themeColor="text1"/>
          <w:szCs w:val="24"/>
        </w:rPr>
      </w:pPr>
      <w:r w:rsidRPr="00CE6E6D">
        <w:rPr>
          <w:noProof/>
          <w:color w:val="000000" w:themeColor="text1"/>
        </w:rPr>
        <w:t xml:space="preserve">Propunerea este, de asemenea, coerentă cu alte politici ale Uniunii. </w:t>
      </w:r>
    </w:p>
    <w:p w:rsidR="00C92768" w:rsidRPr="00CE6E6D" w:rsidRDefault="36F4EEA6" w:rsidP="0E9644BB">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 xml:space="preserve">Relațiile dintre UE și Algeria se bazează pe Acordul de asociere, care a intrat în vigoare în 2005. Prioritățile parteneriatului adoptate în 2017 ghidează relația dintre cele două părți pentru perioada 2021-2027, și includ dialogul politic, guvernanța, statul de drept și promovarea drepturilor fundamentale, precum și dialogul strategic și în materie de securitate. </w:t>
      </w:r>
    </w:p>
    <w:p w:rsidR="00912659" w:rsidRPr="00CE6E6D" w:rsidRDefault="786E1FCC" w:rsidP="0E9644BB">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 xml:space="preserve">Documentele strategice existente ale Comisiei susțin necesitatea îmbunătățirii eficienței și a eficacității cooperării în materie de asigurare a respectării legii și a cooperării judiciare în Uniunea Europeană (UE), precum și a extinderii cooperării cu țările terțe. </w:t>
      </w:r>
      <w:r w:rsidRPr="00CE6E6D">
        <w:rPr>
          <w:noProof/>
        </w:rPr>
        <w:t>Printre aceste documente strategice se numără Strategia europeană de securitate internă (ProtectEU)</w:t>
      </w:r>
      <w:r w:rsidRPr="00CE6E6D">
        <w:rPr>
          <w:rStyle w:val="FootnoteReference"/>
          <w:rFonts w:eastAsia="Arial Unicode MS"/>
          <w:noProof/>
        </w:rPr>
        <w:footnoteReference w:id="8"/>
      </w:r>
      <w:r w:rsidRPr="00CE6E6D">
        <w:rPr>
          <w:noProof/>
        </w:rPr>
        <w:t>, Agenda UE privind prevenirea și combaterea terorismului</w:t>
      </w:r>
      <w:r w:rsidRPr="00CE6E6D">
        <w:rPr>
          <w:rStyle w:val="FootnoteReference"/>
          <w:rFonts w:eastAsia="Arial Unicode MS"/>
          <w:noProof/>
        </w:rPr>
        <w:footnoteReference w:id="9"/>
      </w:r>
      <w:r w:rsidRPr="00CE6E6D">
        <w:rPr>
          <w:noProof/>
        </w:rPr>
        <w:t xml:space="preserve"> și Strategia UE de combatere a criminalității organizate</w:t>
      </w:r>
      <w:r w:rsidRPr="00CE6E6D">
        <w:rPr>
          <w:rStyle w:val="FootnoteReference"/>
          <w:rFonts w:eastAsia="Arial Unicode MS"/>
          <w:noProof/>
        </w:rPr>
        <w:footnoteReference w:id="10"/>
      </w:r>
      <w:r w:rsidRPr="00CE6E6D">
        <w:rPr>
          <w:noProof/>
        </w:rPr>
        <w:t xml:space="preserve">. </w:t>
      </w:r>
    </w:p>
    <w:p w:rsidR="07EDB4C4" w:rsidRPr="00CE6E6D" w:rsidRDefault="07EDB4C4" w:rsidP="181C8758">
      <w:pPr>
        <w:spacing w:before="0" w:after="240"/>
        <w:rPr>
          <w:rFonts w:eastAsia="Times New Roman"/>
          <w:noProof/>
          <w:szCs w:val="24"/>
        </w:rPr>
      </w:pPr>
      <w:r w:rsidRPr="00CE6E6D">
        <w:rPr>
          <w:noProof/>
        </w:rPr>
        <w:t>În conformitate cu aceste documente strategice, cooperarea internațională a fost consolidată și în domeniul asigurării respectării legii. Pe baza autorizației acordate de Consiliu</w:t>
      </w:r>
      <w:r w:rsidRPr="00CE6E6D">
        <w:rPr>
          <w:rStyle w:val="FootnoteReference"/>
          <w:rFonts w:eastAsia="Arial Unicode MS"/>
          <w:noProof/>
        </w:rPr>
        <w:footnoteReference w:id="11"/>
      </w:r>
      <w:r w:rsidRPr="00CE6E6D">
        <w:rPr>
          <w:noProof/>
        </w:rPr>
        <w:t xml:space="preserve">, Comisia a </w:t>
      </w:r>
      <w:r w:rsidRPr="00CE6E6D">
        <w:rPr>
          <w:noProof/>
        </w:rPr>
        <w:lastRenderedPageBreak/>
        <w:t>negociat un acord cu Noua Zeelandă privind schimbul de date cu caracter personal cu Agenția Uniunii Europene pentru Cooperare în Materie de Aplicare a Legii (Europol).</w:t>
      </w:r>
    </w:p>
    <w:p w:rsidR="00C11FA9" w:rsidRPr="00CE6E6D" w:rsidRDefault="00C11FA9" w:rsidP="00A52F19">
      <w:pPr>
        <w:pStyle w:val="ManualHeading1"/>
        <w:rPr>
          <w:noProof/>
        </w:rPr>
      </w:pPr>
      <w:r w:rsidRPr="00CE6E6D">
        <w:rPr>
          <w:noProof/>
        </w:rPr>
        <w:t>2.</w:t>
      </w:r>
      <w:r w:rsidRPr="00CE6E6D">
        <w:rPr>
          <w:noProof/>
        </w:rPr>
        <w:tab/>
        <w:t>TEMEI JURIDIC, SUBSIDIARITATE ȘI PROPORȚIONALITATE</w:t>
      </w:r>
    </w:p>
    <w:p w:rsidR="00474E71" w:rsidRPr="00CE6E6D" w:rsidRDefault="00C11FA9" w:rsidP="00CC1B11">
      <w:pPr>
        <w:pStyle w:val="ManualHeading2"/>
        <w:rPr>
          <w:rFonts w:eastAsia="Arial Unicode MS"/>
          <w:noProof/>
          <w:u w:color="000000"/>
          <w:bdr w:val="nil"/>
        </w:rPr>
      </w:pPr>
      <w:r w:rsidRPr="00CE6E6D">
        <w:rPr>
          <w:noProof/>
          <w:u w:color="000000"/>
          <w:bdr w:val="nil"/>
        </w:rPr>
        <w:t>•</w:t>
      </w:r>
      <w:r w:rsidRPr="00CE6E6D">
        <w:rPr>
          <w:noProof/>
        </w:rPr>
        <w:tab/>
      </w:r>
      <w:r w:rsidRPr="00CE6E6D">
        <w:rPr>
          <w:noProof/>
          <w:u w:color="000000"/>
          <w:bdr w:val="nil"/>
        </w:rPr>
        <w:t>Temeiul juridic material</w:t>
      </w:r>
    </w:p>
    <w:p w:rsidR="009E5643" w:rsidRPr="00CE6E6D" w:rsidRDefault="00474E71" w:rsidP="00516E16">
      <w:pPr>
        <w:rPr>
          <w:rFonts w:eastAsia="Arial Unicode MS"/>
          <w:noProof/>
          <w:color w:val="000000" w:themeColor="text1"/>
        </w:rPr>
      </w:pPr>
      <w:r w:rsidRPr="00CE6E6D">
        <w:rPr>
          <w:noProof/>
        </w:rPr>
        <w:t>Având în vedere că principalele obiective și componente ale acordului sunt cooperarea dintre Eurojust și Algeria în materie penală și stabilirea unor garanții adecvate în ceea ce privește protecția vieții private și a altor drepturi și libertăți fundamentale ale persoanelor fizice pentru această cooperare, temeiurile juridice materiale sunt articolul 16 alineatul (2) și articolul 85 din TFUE.</w:t>
      </w:r>
    </w:p>
    <w:p w:rsidR="00474E71" w:rsidRPr="00CE6E6D" w:rsidRDefault="00474E71" w:rsidP="00474E71">
      <w:pPr>
        <w:pStyle w:val="ManualHeading2"/>
        <w:rPr>
          <w:rFonts w:eastAsia="Arial Unicode MS"/>
          <w:noProof/>
          <w:u w:color="000000"/>
          <w:bdr w:val="nil"/>
        </w:rPr>
      </w:pPr>
      <w:r w:rsidRPr="00CE6E6D">
        <w:rPr>
          <w:noProof/>
          <w:u w:color="000000"/>
          <w:bdr w:val="nil"/>
        </w:rPr>
        <w:t>•</w:t>
      </w:r>
      <w:r w:rsidRPr="00CE6E6D">
        <w:rPr>
          <w:noProof/>
        </w:rPr>
        <w:tab/>
      </w:r>
      <w:r w:rsidRPr="00CE6E6D">
        <w:rPr>
          <w:noProof/>
          <w:u w:color="000000"/>
          <w:bdr w:val="nil"/>
        </w:rPr>
        <w:t>Temeiul juridic procedural</w:t>
      </w:r>
    </w:p>
    <w:p w:rsidR="00474E71" w:rsidRPr="00CE6E6D" w:rsidRDefault="00474E71" w:rsidP="00474E71">
      <w:pPr>
        <w:pBdr>
          <w:top w:val="nil"/>
          <w:left w:val="nil"/>
          <w:bottom w:val="nil"/>
          <w:right w:val="nil"/>
          <w:between w:val="nil"/>
          <w:bar w:val="nil"/>
        </w:pBdr>
        <w:spacing w:after="240"/>
        <w:rPr>
          <w:rFonts w:eastAsia="Arial Unicode MS"/>
          <w:noProof/>
          <w:szCs w:val="24"/>
        </w:rPr>
      </w:pPr>
      <w:r w:rsidRPr="00CE6E6D">
        <w:rPr>
          <w:noProof/>
        </w:rPr>
        <w:t xml:space="preserve">Articolul 218 alineatul (5) din TFUE prevede că, în cazul în care acordul preconizat nu se referă exclusiv sau în principal la politica externă și de securitate comună, Comisia prezintă o propunere Consiliului. Consiliul adoptă o decizie de autorizare a semnării acordului. </w:t>
      </w:r>
    </w:p>
    <w:p w:rsidR="00474E71" w:rsidRPr="00CE6E6D" w:rsidRDefault="00474E71" w:rsidP="009E5643">
      <w:pPr>
        <w:pBdr>
          <w:top w:val="nil"/>
          <w:left w:val="nil"/>
          <w:bottom w:val="nil"/>
          <w:right w:val="nil"/>
          <w:between w:val="nil"/>
          <w:bar w:val="nil"/>
        </w:pBdr>
        <w:spacing w:before="0" w:after="240"/>
        <w:rPr>
          <w:rFonts w:eastAsia="Arial Unicode MS"/>
          <w:noProof/>
          <w:szCs w:val="24"/>
        </w:rPr>
      </w:pPr>
      <w:r w:rsidRPr="00CE6E6D">
        <w:rPr>
          <w:noProof/>
        </w:rPr>
        <w:t>Comisia propune autorizarea semnării Acordului dintre Uniunea Europeană și Algeria privind cooperarea dintre Agenția Uniunii Europene pentru Cooperare în Materie de Justiție Penală (Eurojust) și autoritățile din Algeria competente pentru cooperarea judiciară în materie penală (denumit în continuare „acordul”), sub rezerva încheierii sale la o dată ulterioară.</w:t>
      </w:r>
    </w:p>
    <w:p w:rsidR="00474E71" w:rsidRPr="00CE6E6D" w:rsidRDefault="00474E71" w:rsidP="009E5643">
      <w:pPr>
        <w:pBdr>
          <w:top w:val="nil"/>
          <w:left w:val="nil"/>
          <w:bottom w:val="nil"/>
          <w:right w:val="nil"/>
          <w:between w:val="nil"/>
          <w:bar w:val="nil"/>
        </w:pBdr>
        <w:spacing w:before="0" w:after="240"/>
        <w:rPr>
          <w:rFonts w:eastAsia="Arial Unicode MS"/>
          <w:noProof/>
          <w:color w:val="000000" w:themeColor="text1"/>
        </w:rPr>
      </w:pPr>
      <w:r w:rsidRPr="00CE6E6D">
        <w:rPr>
          <w:noProof/>
        </w:rPr>
        <w:t>Temeiul juridic procedural al deciziei propuse de autorizare a semnării acordului avut în vedere este articolul 218 alineatul (5) din TFUE.</w:t>
      </w:r>
    </w:p>
    <w:p w:rsidR="00AF08A8" w:rsidRPr="00CE6E6D" w:rsidRDefault="129D4BDB">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Prin urmare, prezenta propunere se întemeiază pe articolul 16 alineatul (2) și pe articolul 85 din TFUE, coroborate cu articolul 218 alineatul (5) din TFUE.</w:t>
      </w:r>
    </w:p>
    <w:p w:rsidR="00501C46" w:rsidRPr="00CE6E6D" w:rsidRDefault="00501C46" w:rsidP="00501C46">
      <w:pPr>
        <w:pStyle w:val="paragraph"/>
        <w:spacing w:before="360" w:beforeAutospacing="0" w:after="360" w:afterAutospacing="0"/>
        <w:jc w:val="both"/>
        <w:textAlignment w:val="baseline"/>
        <w:rPr>
          <w:rStyle w:val="normaltextrun"/>
          <w:b/>
          <w:bCs/>
          <w:noProof/>
        </w:rPr>
      </w:pPr>
      <w:r w:rsidRPr="00CE6E6D">
        <w:rPr>
          <w:rStyle w:val="normaltextrun"/>
          <w:b/>
          <w:noProof/>
        </w:rPr>
        <w:t>•</w:t>
      </w:r>
      <w:r w:rsidRPr="00CE6E6D">
        <w:rPr>
          <w:noProof/>
        </w:rPr>
        <w:tab/>
      </w:r>
      <w:r w:rsidRPr="00CE6E6D">
        <w:rPr>
          <w:rStyle w:val="normaltextrun"/>
          <w:b/>
          <w:noProof/>
        </w:rPr>
        <w:t>Competența Uniunii</w:t>
      </w:r>
    </w:p>
    <w:p w:rsidR="00501C46" w:rsidRPr="00CE6E6D" w:rsidRDefault="00501C46">
      <w:pPr>
        <w:pBdr>
          <w:top w:val="nil"/>
          <w:left w:val="nil"/>
          <w:bottom w:val="nil"/>
          <w:right w:val="nil"/>
          <w:between w:val="nil"/>
          <w:bar w:val="nil"/>
        </w:pBdr>
        <w:spacing w:before="0" w:after="240"/>
        <w:rPr>
          <w:rFonts w:eastAsia="Arial Unicode MS"/>
          <w:noProof/>
          <w:color w:val="000000" w:themeColor="text1"/>
        </w:rPr>
      </w:pPr>
      <w:r w:rsidRPr="00CE6E6D">
        <w:rPr>
          <w:noProof/>
        </w:rPr>
        <w:t xml:space="preserve">Uniunea are competența de a determina structura, funcționarea, domeniul de acțiune și atribuțiile Eurojust, precum și de a prevedea garanții privind protecția datelor cu caracter personal. </w:t>
      </w:r>
    </w:p>
    <w:p w:rsidR="00C11FA9" w:rsidRPr="00CE6E6D" w:rsidRDefault="00C11FA9" w:rsidP="00A52F19">
      <w:pPr>
        <w:pStyle w:val="ManualHeading2"/>
        <w:rPr>
          <w:rFonts w:eastAsia="Arial Unicode MS"/>
          <w:noProof/>
          <w:u w:color="000000"/>
          <w:bdr w:val="nil"/>
        </w:rPr>
      </w:pPr>
      <w:r w:rsidRPr="00CE6E6D">
        <w:rPr>
          <w:noProof/>
          <w:u w:color="000000"/>
          <w:bdr w:val="nil"/>
        </w:rPr>
        <w:t>•</w:t>
      </w:r>
      <w:r w:rsidRPr="00CE6E6D">
        <w:rPr>
          <w:noProof/>
        </w:rPr>
        <w:tab/>
      </w:r>
      <w:r w:rsidRPr="00CE6E6D">
        <w:rPr>
          <w:noProof/>
          <w:u w:color="000000"/>
          <w:bdr w:val="nil"/>
        </w:rPr>
        <w:t xml:space="preserve">Subsidiaritatea (în cazul competențelor neexclusive) </w:t>
      </w:r>
    </w:p>
    <w:p w:rsidR="00C11FA9" w:rsidRPr="00CE6E6D" w:rsidRDefault="00501C46" w:rsidP="005F6193">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Nu se aplică.</w:t>
      </w:r>
    </w:p>
    <w:p w:rsidR="00C11FA9" w:rsidRPr="00CE6E6D" w:rsidRDefault="00C11FA9" w:rsidP="00A52F19">
      <w:pPr>
        <w:pStyle w:val="ManualHeading2"/>
        <w:rPr>
          <w:rFonts w:eastAsia="Arial Unicode MS"/>
          <w:noProof/>
          <w:u w:color="000000"/>
          <w:bdr w:val="nil"/>
        </w:rPr>
      </w:pPr>
      <w:r w:rsidRPr="00CE6E6D">
        <w:rPr>
          <w:noProof/>
          <w:u w:color="000000"/>
          <w:bdr w:val="nil"/>
        </w:rPr>
        <w:t>•</w:t>
      </w:r>
      <w:r w:rsidRPr="00CE6E6D">
        <w:rPr>
          <w:noProof/>
        </w:rPr>
        <w:tab/>
      </w:r>
      <w:r w:rsidRPr="00CE6E6D">
        <w:rPr>
          <w:noProof/>
          <w:u w:color="000000"/>
          <w:bdr w:val="nil"/>
        </w:rPr>
        <w:t>Proporționalitatea</w:t>
      </w:r>
    </w:p>
    <w:p w:rsidR="00C11FA9" w:rsidRPr="00CE6E6D" w:rsidRDefault="60EFB503" w:rsidP="00A52F19">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 xml:space="preserve">Obiectivele Uniunii în ceea ce privește prezenta propunere, astfel cum sunt prezentate mai sus, pot fi îndeplinite numai prin încheierea unui acord internațional cu caracter obligatoriu, care să prevadă măsurile de cooperare necesare și să asigure, în același timp, protecția adecvată a drepturilor fundamentale. Dispozițiile acordului se limitează la ceea ce este necesar în vederea atingerii obiectivelor principale ale acestuia. Acțiunile unilaterale ale statelor membre în relația cu Algeria nu reprezintă o alternativă, deoarece Eurojust are un rol unic. De asemenea, acțiunile unilaterale nu ar oferi o bază suficientă pentru cooperarea judiciară dintre Eurojust și țările terțe și nu ar asigura protecția necesară a drepturilor fundamentale. </w:t>
      </w:r>
    </w:p>
    <w:p w:rsidR="00C11FA9" w:rsidRPr="00CE6E6D" w:rsidRDefault="00C11FA9" w:rsidP="00A52F19">
      <w:pPr>
        <w:pStyle w:val="ManualHeading2"/>
        <w:rPr>
          <w:rFonts w:eastAsia="Arial Unicode MS"/>
          <w:noProof/>
          <w:u w:color="000000"/>
          <w:bdr w:val="nil"/>
        </w:rPr>
      </w:pPr>
      <w:r w:rsidRPr="00CE6E6D">
        <w:rPr>
          <w:noProof/>
          <w:u w:color="000000"/>
          <w:bdr w:val="nil"/>
        </w:rPr>
        <w:lastRenderedPageBreak/>
        <w:t>•</w:t>
      </w:r>
      <w:r w:rsidRPr="00CE6E6D">
        <w:rPr>
          <w:noProof/>
        </w:rPr>
        <w:tab/>
      </w:r>
      <w:r w:rsidRPr="00CE6E6D">
        <w:rPr>
          <w:noProof/>
          <w:u w:color="000000"/>
          <w:bdr w:val="nil"/>
        </w:rPr>
        <w:t>Alegerea instrumentului</w:t>
      </w:r>
    </w:p>
    <w:p w:rsidR="00C11FA9" w:rsidRPr="00CE6E6D" w:rsidRDefault="00501C46" w:rsidP="00A52F19">
      <w:pPr>
        <w:pBdr>
          <w:top w:val="nil"/>
          <w:left w:val="nil"/>
          <w:bottom w:val="nil"/>
          <w:right w:val="nil"/>
          <w:between w:val="nil"/>
          <w:bar w:val="nil"/>
        </w:pBdr>
        <w:spacing w:before="0" w:after="240"/>
        <w:rPr>
          <w:rFonts w:eastAsia="Arial Unicode MS"/>
          <w:noProof/>
        </w:rPr>
      </w:pPr>
      <w:r w:rsidRPr="00CE6E6D">
        <w:rPr>
          <w:noProof/>
        </w:rPr>
        <w:t xml:space="preserve">Prezenta propunere de decizie a Consiliului este prezentată în conformitate cu articolul 218 alineatul (5) din TFUE, care prevede adoptarea de către Consiliu a unei decizii de autorizare a semnării și a aplicării cu titlu provizoriu a acordului. Nu există un alt instrument juridic care ar putea fi folosit în scopul realizării obiectivului exprimat în prezenta propunere. </w:t>
      </w:r>
    </w:p>
    <w:p w:rsidR="00C11FA9" w:rsidRPr="00CE6E6D" w:rsidRDefault="00C11FA9" w:rsidP="00A52F19">
      <w:pPr>
        <w:pStyle w:val="ManualHeading1"/>
        <w:rPr>
          <w:noProof/>
        </w:rPr>
      </w:pPr>
      <w:r w:rsidRPr="00CE6E6D">
        <w:rPr>
          <w:noProof/>
        </w:rPr>
        <w:t>3.</w:t>
      </w:r>
      <w:r w:rsidRPr="00CE6E6D">
        <w:rPr>
          <w:noProof/>
        </w:rPr>
        <w:tab/>
        <w:t xml:space="preserve">REZULTATELE EVALUĂRILOR </w:t>
      </w:r>
      <w:r w:rsidRPr="00CE6E6D">
        <w:rPr>
          <w:i/>
          <w:iCs/>
          <w:noProof/>
        </w:rPr>
        <w:t>EX POST</w:t>
      </w:r>
      <w:r w:rsidRPr="00CE6E6D">
        <w:rPr>
          <w:noProof/>
        </w:rPr>
        <w:t>, ALE CONSULTĂRILOR CU PĂRȚILE INTERESATE ȘI ALE EVALUĂRILOR IMPACTULUI</w:t>
      </w:r>
    </w:p>
    <w:p w:rsidR="00C11FA9" w:rsidRPr="00CE6E6D" w:rsidRDefault="00C11FA9" w:rsidP="00A52F19">
      <w:pPr>
        <w:pStyle w:val="ManualHeading2"/>
        <w:rPr>
          <w:rFonts w:eastAsia="Arial Unicode MS"/>
          <w:noProof/>
          <w:u w:color="000000"/>
          <w:bdr w:val="nil"/>
        </w:rPr>
      </w:pPr>
      <w:r w:rsidRPr="00CE6E6D">
        <w:rPr>
          <w:noProof/>
          <w:u w:color="000000"/>
          <w:bdr w:val="nil"/>
        </w:rPr>
        <w:t>•</w:t>
      </w:r>
      <w:r w:rsidRPr="00CE6E6D">
        <w:rPr>
          <w:noProof/>
        </w:rPr>
        <w:tab/>
      </w:r>
      <w:r w:rsidRPr="00CE6E6D">
        <w:rPr>
          <w:noProof/>
          <w:u w:color="000000"/>
          <w:bdr w:val="nil"/>
        </w:rPr>
        <w:t xml:space="preserve">Evaluările </w:t>
      </w:r>
      <w:r w:rsidRPr="00CE6E6D">
        <w:rPr>
          <w:i/>
          <w:iCs/>
          <w:noProof/>
          <w:u w:color="000000"/>
          <w:bdr w:val="nil"/>
        </w:rPr>
        <w:t>ex post</w:t>
      </w:r>
      <w:r w:rsidRPr="00CE6E6D">
        <w:rPr>
          <w:noProof/>
          <w:u w:color="000000"/>
          <w:bdr w:val="nil"/>
        </w:rPr>
        <w:t>/verificarea adecvării legislației existente</w:t>
      </w:r>
    </w:p>
    <w:p w:rsidR="00C11FA9" w:rsidRPr="00CE6E6D" w:rsidRDefault="009D60F8" w:rsidP="00A52F19">
      <w:pPr>
        <w:pBdr>
          <w:top w:val="nil"/>
          <w:left w:val="nil"/>
          <w:bottom w:val="nil"/>
          <w:right w:val="nil"/>
          <w:between w:val="nil"/>
          <w:bar w:val="nil"/>
        </w:pBdr>
        <w:spacing w:before="0" w:after="240"/>
        <w:rPr>
          <w:rFonts w:eastAsia="Arial Unicode MS"/>
          <w:noProof/>
          <w:color w:val="000000" w:themeColor="text1"/>
        </w:rPr>
      </w:pPr>
      <w:r w:rsidRPr="00CE6E6D">
        <w:rPr>
          <w:noProof/>
        </w:rPr>
        <w:t xml:space="preserve">Nu se aplică. </w:t>
      </w:r>
    </w:p>
    <w:p w:rsidR="00C11FA9" w:rsidRPr="00CE6E6D" w:rsidRDefault="00C11FA9" w:rsidP="00A52F19">
      <w:pPr>
        <w:pStyle w:val="ManualHeading2"/>
        <w:rPr>
          <w:rFonts w:eastAsia="Arial Unicode MS"/>
          <w:noProof/>
          <w:color w:val="000000" w:themeColor="text1"/>
          <w:u w:color="000000"/>
          <w:bdr w:val="nil"/>
        </w:rPr>
      </w:pPr>
      <w:r w:rsidRPr="00CE6E6D">
        <w:rPr>
          <w:noProof/>
          <w:color w:val="000000" w:themeColor="text1"/>
          <w:u w:color="000000"/>
          <w:bdr w:val="nil"/>
        </w:rPr>
        <w:t>•</w:t>
      </w:r>
      <w:r w:rsidRPr="00CE6E6D">
        <w:rPr>
          <w:noProof/>
        </w:rPr>
        <w:tab/>
      </w:r>
      <w:r w:rsidRPr="00CE6E6D">
        <w:rPr>
          <w:noProof/>
          <w:color w:val="000000" w:themeColor="text1"/>
          <w:u w:color="000000"/>
          <w:bdr w:val="nil"/>
        </w:rPr>
        <w:t>Consultările cu părțile interesate</w:t>
      </w:r>
    </w:p>
    <w:p w:rsidR="00C11FA9" w:rsidRPr="00CE6E6D" w:rsidRDefault="009D60F8" w:rsidP="00A52F19">
      <w:pPr>
        <w:pBdr>
          <w:top w:val="nil"/>
          <w:left w:val="nil"/>
          <w:bottom w:val="nil"/>
          <w:right w:val="nil"/>
          <w:between w:val="nil"/>
          <w:bar w:val="nil"/>
        </w:pBdr>
        <w:spacing w:before="0" w:after="240"/>
        <w:rPr>
          <w:rFonts w:eastAsia="Arial Unicode MS"/>
          <w:noProof/>
          <w:color w:val="000000" w:themeColor="text1"/>
        </w:rPr>
      </w:pPr>
      <w:r w:rsidRPr="00CE6E6D">
        <w:rPr>
          <w:noProof/>
        </w:rPr>
        <w:t xml:space="preserve">Nu se aplică. </w:t>
      </w:r>
    </w:p>
    <w:p w:rsidR="00C11FA9" w:rsidRPr="00CE6E6D" w:rsidRDefault="00C11FA9" w:rsidP="00A52F19">
      <w:pPr>
        <w:pStyle w:val="ManualHeading2"/>
        <w:rPr>
          <w:rFonts w:eastAsia="Arial Unicode MS"/>
          <w:noProof/>
          <w:color w:val="000000" w:themeColor="text1"/>
          <w:u w:color="000000"/>
          <w:bdr w:val="nil"/>
        </w:rPr>
      </w:pPr>
      <w:r w:rsidRPr="00CE6E6D">
        <w:rPr>
          <w:noProof/>
          <w:color w:val="000000" w:themeColor="text1"/>
          <w:u w:color="000000"/>
          <w:bdr w:val="nil"/>
        </w:rPr>
        <w:t>•</w:t>
      </w:r>
      <w:r w:rsidRPr="00CE6E6D">
        <w:rPr>
          <w:noProof/>
        </w:rPr>
        <w:tab/>
      </w:r>
      <w:r w:rsidRPr="00CE6E6D">
        <w:rPr>
          <w:noProof/>
          <w:color w:val="000000" w:themeColor="text1"/>
          <w:u w:color="000000"/>
          <w:bdr w:val="nil"/>
        </w:rPr>
        <w:t>Obținerea și utilizarea cunoștințelor de specialitate</w:t>
      </w:r>
    </w:p>
    <w:p w:rsidR="00C11FA9" w:rsidRPr="00CE6E6D" w:rsidRDefault="009D60F8" w:rsidP="00A52F19">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În cadrul procesului de negociere, Comisia nu a recurs la experți externi.</w:t>
      </w:r>
    </w:p>
    <w:p w:rsidR="00C11FA9" w:rsidRPr="00CE6E6D" w:rsidRDefault="00C11FA9" w:rsidP="00A52F19">
      <w:pPr>
        <w:pStyle w:val="ManualHeading2"/>
        <w:rPr>
          <w:rFonts w:eastAsia="Arial Unicode MS"/>
          <w:noProof/>
          <w:u w:color="000000"/>
          <w:bdr w:val="nil"/>
        </w:rPr>
      </w:pPr>
      <w:r w:rsidRPr="00CE6E6D">
        <w:rPr>
          <w:noProof/>
          <w:u w:color="000000"/>
          <w:bdr w:val="nil"/>
        </w:rPr>
        <w:t>•</w:t>
      </w:r>
      <w:r w:rsidRPr="00CE6E6D">
        <w:rPr>
          <w:noProof/>
        </w:rPr>
        <w:tab/>
      </w:r>
      <w:r w:rsidRPr="00CE6E6D">
        <w:rPr>
          <w:noProof/>
          <w:u w:color="000000"/>
          <w:bdr w:val="nil"/>
        </w:rPr>
        <w:t>Evaluarea impactului</w:t>
      </w:r>
    </w:p>
    <w:p w:rsidR="009D60F8" w:rsidRPr="00CE6E6D" w:rsidRDefault="009D60F8" w:rsidP="009D60F8">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 xml:space="preserve">Nu se aplică. </w:t>
      </w:r>
    </w:p>
    <w:p w:rsidR="00C11FA9" w:rsidRPr="00CE6E6D" w:rsidRDefault="00C11FA9" w:rsidP="00A52F19">
      <w:pPr>
        <w:pStyle w:val="ManualHeading2"/>
        <w:rPr>
          <w:rFonts w:eastAsia="Arial Unicode MS"/>
          <w:noProof/>
          <w:color w:val="000000" w:themeColor="text1"/>
          <w:u w:color="000000"/>
          <w:bdr w:val="nil"/>
        </w:rPr>
      </w:pPr>
      <w:r w:rsidRPr="00CE6E6D">
        <w:rPr>
          <w:noProof/>
          <w:color w:val="000000" w:themeColor="text1"/>
          <w:u w:color="000000"/>
          <w:bdr w:val="nil"/>
        </w:rPr>
        <w:t>•</w:t>
      </w:r>
      <w:r w:rsidRPr="00CE6E6D">
        <w:rPr>
          <w:noProof/>
        </w:rPr>
        <w:tab/>
      </w:r>
      <w:r w:rsidRPr="00CE6E6D">
        <w:rPr>
          <w:noProof/>
          <w:color w:val="000000" w:themeColor="text1"/>
          <w:u w:color="000000"/>
          <w:bdr w:val="nil"/>
        </w:rPr>
        <w:t>Adecvarea reglementărilor și simplificarea</w:t>
      </w:r>
    </w:p>
    <w:p w:rsidR="00C11FA9" w:rsidRPr="00CE6E6D" w:rsidRDefault="009D60F8" w:rsidP="00A52F19">
      <w:pPr>
        <w:pBdr>
          <w:top w:val="nil"/>
          <w:left w:val="nil"/>
          <w:bottom w:val="nil"/>
          <w:right w:val="nil"/>
          <w:between w:val="nil"/>
          <w:bar w:val="nil"/>
        </w:pBdr>
        <w:spacing w:before="0" w:after="240"/>
        <w:rPr>
          <w:rFonts w:eastAsia="Arial Unicode MS"/>
          <w:noProof/>
          <w:color w:val="000000" w:themeColor="text1"/>
        </w:rPr>
      </w:pPr>
      <w:r w:rsidRPr="00CE6E6D">
        <w:rPr>
          <w:noProof/>
        </w:rPr>
        <w:t xml:space="preserve">Nu se aplică. </w:t>
      </w:r>
    </w:p>
    <w:p w:rsidR="00C11FA9" w:rsidRPr="00CE6E6D" w:rsidRDefault="00C11FA9" w:rsidP="00A52F19">
      <w:pPr>
        <w:pStyle w:val="ManualHeading2"/>
        <w:rPr>
          <w:rFonts w:eastAsia="Arial Unicode MS"/>
          <w:noProof/>
          <w:u w:color="000000"/>
          <w:bdr w:val="nil"/>
        </w:rPr>
      </w:pPr>
      <w:r w:rsidRPr="00CE6E6D">
        <w:rPr>
          <w:noProof/>
          <w:u w:color="000000"/>
          <w:bdr w:val="nil"/>
        </w:rPr>
        <w:t>•</w:t>
      </w:r>
      <w:r w:rsidRPr="00CE6E6D">
        <w:rPr>
          <w:noProof/>
        </w:rPr>
        <w:tab/>
      </w:r>
      <w:r w:rsidRPr="00CE6E6D">
        <w:rPr>
          <w:noProof/>
          <w:u w:color="000000"/>
          <w:bdr w:val="nil"/>
        </w:rPr>
        <w:t>Drepturile fundamentale</w:t>
      </w:r>
    </w:p>
    <w:p w:rsidR="009D60F8" w:rsidRPr="00CE6E6D" w:rsidRDefault="60EFB503" w:rsidP="00A52F19">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 xml:space="preserve">Schimbul de date cu caracter personal și prelucrarea acestora de către autoritățile unei țări terțe vizează drepturile fundamentale la viață privată și la protecția datelor. În această privință, acordul asigură aplicarea unor garanții adecvate pentru prelucrarea datelor cu caracter personal transferate în temeiul acordului, în conformitate cu dreptul Uniunii. </w:t>
      </w:r>
    </w:p>
    <w:p w:rsidR="005B49ED" w:rsidRPr="00CE6E6D" w:rsidRDefault="0005635E" w:rsidP="00A52F19">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 xml:space="preserve">Mai precis, protecția datelor cu caracter personal este prevăzută în capitolul II. Pe această bază, articolele 10-20 stabilesc dispoziții care prevăd principii de protecție a datelor (inclusiv limitarea scopului și reducerea la minimum a datelor), garanții pentru prelucrarea categoriilor speciale de date, obligații aplicabile operatorilor (inclusiv în ceea ce privește păstrarea, menținerea evidențelor, securitatea datelor și în ceea ce privește transferurile ulterioare), drepturi individuale opozabile (inclusiv în ceea ce privește accesul, rectificarea și reparațiile pe cale judiciară) și o supraveghere independentă, întrucât, de fiecare parte, una sau mai multe autorități publice independente responsabile cu protecția datelor (autoritatea de supraveghere) trebuie să supravegheze punerea în aplicare a acordului pentru a proteja drepturile și libertățile fundamentale ale persoanelor fizice în ceea ce privește prelucrarea datelor cu caracter personal. </w:t>
      </w:r>
    </w:p>
    <w:p w:rsidR="00322586" w:rsidRPr="00CE6E6D" w:rsidRDefault="00727F80" w:rsidP="00A52F19">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 xml:space="preserve">În conformitate cu dreptul Uniunii, exercitarea anumitor drepturi individuale poate fi amânată, limitată sau refuzată numai în măsura în care acest lucru este necesar și proporțional, ținând seama de drepturile și interesele fundamentale ale persoanei vizate, din motive importante de interes public, în special pentru a nu aduce atingere unei cercetări sau urmăriri penale în curs. </w:t>
      </w:r>
    </w:p>
    <w:p w:rsidR="002A39A6" w:rsidRPr="00CE6E6D" w:rsidRDefault="002A39A6" w:rsidP="00A52F19">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lastRenderedPageBreak/>
        <w:t xml:space="preserve">Articolul 10 alineatul (6) din acord garantează că nicio informație partajată în temeiul acordului nu poate fi utilizată în legătură cu pedeapsa cu moartea sau cu încălcări ale drepturilor omului la nivel general. </w:t>
      </w:r>
    </w:p>
    <w:p w:rsidR="00E75BAE" w:rsidRPr="00CE6E6D" w:rsidRDefault="00E75BAE" w:rsidP="00E75BAE">
      <w:pPr>
        <w:rPr>
          <w:rFonts w:eastAsia="Arial Unicode MS"/>
          <w:noProof/>
          <w:color w:val="000000" w:themeColor="text1"/>
        </w:rPr>
      </w:pPr>
      <w:r w:rsidRPr="00CE6E6D">
        <w:rPr>
          <w:noProof/>
          <w:color w:val="000000" w:themeColor="text1"/>
        </w:rPr>
        <w:t xml:space="preserve">În conformitate cu articolul 31 alineatul (3) din acord, acordul nu se aplică decât din momentul în care ambele părți și-au notificat reciproc îndeplinirea obligațiilor prevăzute în acord, inclusiv a celor legate de protecția datelor cu caracter personal, iar notificarea este acceptată. De asemenea, și în scopul de a consolida în continuare garanțiile pentru protecția datelor cu caracter personal, articolul 34 alineatul (4) din acord prevede că o parte poate să amâne transferul de date cu caracter personal atât timp cât cealaltă parte nu a prevăzut prin lege și nu a pus în aplicare garanțiile și obligațiile prevăzute în capitolul II din acord (Schimbul de informații și protecția datelor). </w:t>
      </w:r>
    </w:p>
    <w:p w:rsidR="00C11FA9" w:rsidRPr="00CE6E6D" w:rsidRDefault="60EFB503" w:rsidP="00A52F19">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De asemenea, acordul garantează că schimbul de date cu caracter personal dintre Eurojust și Algeria este conform atât cu principiul nediscriminării, cât și cu articolul 52 alineatul (1) din cartă, care asigură faptul că ingerințele în drepturile fundamentale garantate de cartă sunt limitate la ceea ce este necesar pentru a îndeplini în mod efectiv obiectivele de interes general urmărite, sub rezerva principiului proporționalității.</w:t>
      </w:r>
    </w:p>
    <w:p w:rsidR="00C11FA9" w:rsidRPr="00CE6E6D" w:rsidRDefault="00C11FA9" w:rsidP="00A52F19">
      <w:pPr>
        <w:pStyle w:val="ManualHeading1"/>
        <w:rPr>
          <w:noProof/>
          <w:color w:val="000000" w:themeColor="text1"/>
        </w:rPr>
      </w:pPr>
      <w:r w:rsidRPr="00CE6E6D">
        <w:rPr>
          <w:noProof/>
          <w:color w:val="000000" w:themeColor="text1"/>
        </w:rPr>
        <w:t>4.</w:t>
      </w:r>
      <w:r w:rsidRPr="00CE6E6D">
        <w:rPr>
          <w:noProof/>
        </w:rPr>
        <w:tab/>
      </w:r>
      <w:r w:rsidRPr="00CE6E6D">
        <w:rPr>
          <w:noProof/>
          <w:color w:val="000000" w:themeColor="text1"/>
        </w:rPr>
        <w:t>IMPLICAȚII BUGETARE</w:t>
      </w:r>
    </w:p>
    <w:p w:rsidR="00C11FA9" w:rsidRPr="00CE6E6D" w:rsidRDefault="005B49ED" w:rsidP="7487EB6C">
      <w:pPr>
        <w:pBdr>
          <w:top w:val="nil"/>
          <w:left w:val="nil"/>
          <w:bottom w:val="nil"/>
          <w:right w:val="nil"/>
          <w:between w:val="nil"/>
          <w:bar w:val="nil"/>
        </w:pBdr>
        <w:spacing w:before="0" w:after="240"/>
        <w:rPr>
          <w:rFonts w:eastAsia="Arial Unicode MS"/>
          <w:noProof/>
          <w:color w:val="000000" w:themeColor="text1"/>
        </w:rPr>
      </w:pPr>
      <w:r w:rsidRPr="00CE6E6D">
        <w:rPr>
          <w:noProof/>
        </w:rPr>
        <w:t>Propunerea nu are implicații asupra bugetului Uniunii.</w:t>
      </w:r>
    </w:p>
    <w:p w:rsidR="00C11FA9" w:rsidRPr="00CE6E6D" w:rsidRDefault="00C11FA9" w:rsidP="00A52F19">
      <w:pPr>
        <w:pStyle w:val="ManualHeading1"/>
        <w:rPr>
          <w:noProof/>
        </w:rPr>
      </w:pPr>
      <w:r w:rsidRPr="00CE6E6D">
        <w:rPr>
          <w:noProof/>
        </w:rPr>
        <w:t>5.</w:t>
      </w:r>
      <w:r w:rsidRPr="00CE6E6D">
        <w:rPr>
          <w:noProof/>
        </w:rPr>
        <w:tab/>
        <w:t>ALTE ELEMENTE</w:t>
      </w:r>
    </w:p>
    <w:p w:rsidR="00C11FA9" w:rsidRPr="00CE6E6D" w:rsidRDefault="00C11FA9" w:rsidP="00A52F19">
      <w:pPr>
        <w:pStyle w:val="ManualHeading2"/>
        <w:rPr>
          <w:rFonts w:eastAsia="Arial Unicode MS"/>
          <w:noProof/>
          <w:u w:color="000000"/>
          <w:bdr w:val="nil"/>
        </w:rPr>
      </w:pPr>
      <w:r w:rsidRPr="00CE6E6D">
        <w:rPr>
          <w:noProof/>
          <w:u w:color="000000"/>
          <w:bdr w:val="nil"/>
        </w:rPr>
        <w:t>•</w:t>
      </w:r>
      <w:r w:rsidRPr="00CE6E6D">
        <w:rPr>
          <w:noProof/>
        </w:rPr>
        <w:tab/>
      </w:r>
      <w:r w:rsidRPr="00CE6E6D">
        <w:rPr>
          <w:noProof/>
          <w:u w:color="000000"/>
          <w:bdr w:val="nil"/>
        </w:rPr>
        <w:t>Planurile de punere în aplicare și măsurile de monitorizare, evaluare și raportare</w:t>
      </w:r>
    </w:p>
    <w:p w:rsidR="005B49ED" w:rsidRPr="00CE6E6D" w:rsidRDefault="5090BB18" w:rsidP="005B49ED">
      <w:pPr>
        <w:pBdr>
          <w:top w:val="nil"/>
          <w:left w:val="nil"/>
          <w:bottom w:val="nil"/>
          <w:right w:val="nil"/>
          <w:between w:val="nil"/>
          <w:bar w:val="nil"/>
        </w:pBdr>
        <w:spacing w:before="0" w:after="240"/>
        <w:rPr>
          <w:rFonts w:eastAsia="Arial Unicode MS"/>
          <w:noProof/>
          <w:color w:val="000000" w:themeColor="text1"/>
        </w:rPr>
      </w:pPr>
      <w:r w:rsidRPr="00CE6E6D">
        <w:rPr>
          <w:noProof/>
          <w:color w:val="000000" w:themeColor="text1"/>
        </w:rPr>
        <w:t xml:space="preserve">Nu este necesar un plan de punere în aplicare deoarece acordul va intra în vigoare în prima zi a celei de a doua luni care urmează lunii în care ambele părți și-au notificat reciproc încheierea procedurilor aferente. </w:t>
      </w:r>
    </w:p>
    <w:p w:rsidR="00C11FA9" w:rsidRPr="00CE6E6D" w:rsidRDefault="5090BB18" w:rsidP="005B49ED">
      <w:pPr>
        <w:pBdr>
          <w:top w:val="nil"/>
          <w:left w:val="nil"/>
          <w:bottom w:val="nil"/>
          <w:right w:val="nil"/>
          <w:between w:val="nil"/>
          <w:bar w:val="nil"/>
        </w:pBdr>
        <w:spacing w:before="0" w:after="240"/>
        <w:rPr>
          <w:rFonts w:eastAsia="Arial Unicode MS"/>
          <w:noProof/>
        </w:rPr>
      </w:pPr>
      <w:r w:rsidRPr="00CE6E6D">
        <w:rPr>
          <w:noProof/>
        </w:rPr>
        <w:t>În ceea ce privește monitorizarea, Uniunea Europeană și Algeria vor examina în comun punerea în aplicare a acordului la un an de la intrarea sa în aplicare și, ulterior, la intervale regulate, precum și la cererea uneia dintre părți și în baza unei decizii comune. De asemenea, părțile vor evalua împreună acordul la patru ani de la data de la care a devenit aplicabil.</w:t>
      </w:r>
    </w:p>
    <w:p w:rsidR="00C11FA9" w:rsidRPr="00CE6E6D" w:rsidRDefault="00C11FA9" w:rsidP="00A52F19">
      <w:pPr>
        <w:pStyle w:val="ManualHeading2"/>
        <w:rPr>
          <w:rFonts w:eastAsia="Arial Unicode MS"/>
          <w:noProof/>
          <w:u w:color="000000"/>
          <w:bdr w:val="nil"/>
        </w:rPr>
      </w:pPr>
      <w:r w:rsidRPr="00CE6E6D">
        <w:rPr>
          <w:noProof/>
          <w:u w:color="000000"/>
          <w:bdr w:val="nil"/>
        </w:rPr>
        <w:t>•</w:t>
      </w:r>
      <w:r w:rsidRPr="00CE6E6D">
        <w:rPr>
          <w:noProof/>
        </w:rPr>
        <w:tab/>
      </w:r>
      <w:r w:rsidRPr="00CE6E6D">
        <w:rPr>
          <w:noProof/>
          <w:u w:color="000000"/>
          <w:bdr w:val="nil"/>
        </w:rPr>
        <w:t>Explicarea detaliată a dispozițiilor specifice ale propunerii</w:t>
      </w:r>
    </w:p>
    <w:p w:rsidR="00053C7C" w:rsidRPr="00CE6E6D" w:rsidRDefault="00053C7C" w:rsidP="00053C7C">
      <w:pPr>
        <w:rPr>
          <w:noProof/>
        </w:rPr>
      </w:pPr>
      <w:r w:rsidRPr="00CE6E6D">
        <w:rPr>
          <w:noProof/>
        </w:rPr>
        <w:t>Articolul 1 conține definițiile unor termeni importanți din acord.</w:t>
      </w:r>
    </w:p>
    <w:p w:rsidR="00053C7C" w:rsidRPr="00CE6E6D" w:rsidRDefault="00053C7C" w:rsidP="00053C7C">
      <w:pPr>
        <w:rPr>
          <w:noProof/>
        </w:rPr>
      </w:pPr>
      <w:r w:rsidRPr="00CE6E6D">
        <w:rPr>
          <w:noProof/>
        </w:rPr>
        <w:t>Articolul 2 definește obiectivele acordului.</w:t>
      </w:r>
    </w:p>
    <w:p w:rsidR="00053C7C" w:rsidRPr="00CE6E6D" w:rsidRDefault="00053C7C" w:rsidP="00053C7C">
      <w:pPr>
        <w:rPr>
          <w:noProof/>
        </w:rPr>
      </w:pPr>
      <w:r w:rsidRPr="00CE6E6D">
        <w:rPr>
          <w:noProof/>
        </w:rPr>
        <w:t>Articolul 3 definește domeniul de aplicare al acordului.</w:t>
      </w:r>
    </w:p>
    <w:p w:rsidR="00053C7C" w:rsidRPr="00CE6E6D" w:rsidRDefault="00053C7C" w:rsidP="00053C7C">
      <w:pPr>
        <w:rPr>
          <w:noProof/>
        </w:rPr>
      </w:pPr>
      <w:r w:rsidRPr="00CE6E6D">
        <w:rPr>
          <w:noProof/>
        </w:rPr>
        <w:t xml:space="preserve">Articolul 4 stabilește obligația Algeriei de a desemna cel puțin un punct de contact în cadrul autorităților sale naționale competente, care nu poate fi identic cu procurorul de legătură. Se va desemna un punct de contact și pentru chestiunile legate de terorism. </w:t>
      </w:r>
    </w:p>
    <w:p w:rsidR="00053C7C" w:rsidRPr="00CE6E6D" w:rsidRDefault="00053C7C" w:rsidP="00053C7C">
      <w:pPr>
        <w:rPr>
          <w:noProof/>
        </w:rPr>
      </w:pPr>
      <w:r w:rsidRPr="00CE6E6D">
        <w:rPr>
          <w:noProof/>
        </w:rPr>
        <w:t xml:space="preserve">Articolul 5 prevede detașarea procurorului de legătură la Eurojust. </w:t>
      </w:r>
    </w:p>
    <w:p w:rsidR="00053C7C" w:rsidRPr="00CE6E6D" w:rsidRDefault="00053C7C" w:rsidP="00053C7C">
      <w:pPr>
        <w:rPr>
          <w:noProof/>
        </w:rPr>
      </w:pPr>
      <w:r w:rsidRPr="00CE6E6D">
        <w:rPr>
          <w:noProof/>
        </w:rPr>
        <w:t xml:space="preserve">Articolul 6 prevede condițiile de participare a procurorului de legătură și a reprezentanților Algeriei la reuniunile operaționale și strategice ale Eurojust. </w:t>
      </w:r>
    </w:p>
    <w:p w:rsidR="00053C7C" w:rsidRPr="00CE6E6D" w:rsidRDefault="00053C7C" w:rsidP="00053C7C">
      <w:pPr>
        <w:rPr>
          <w:noProof/>
        </w:rPr>
      </w:pPr>
      <w:r w:rsidRPr="00CE6E6D">
        <w:rPr>
          <w:noProof/>
        </w:rPr>
        <w:t>Articolul 7 prevede faptul că Eurojust poate detașa un magistrat de legătură în Algeria.</w:t>
      </w:r>
    </w:p>
    <w:p w:rsidR="00053C7C" w:rsidRPr="00CE6E6D" w:rsidRDefault="00053C7C" w:rsidP="00053C7C">
      <w:pPr>
        <w:rPr>
          <w:noProof/>
        </w:rPr>
      </w:pPr>
      <w:r w:rsidRPr="00CE6E6D">
        <w:rPr>
          <w:noProof/>
        </w:rPr>
        <w:lastRenderedPageBreak/>
        <w:t>Articolul 8 prevede că Eurojust poate asista Algeria la instituirea de echipe comune de anchetă și că i se poate solicita să furnizeze asistență financiară sau tehnică.</w:t>
      </w:r>
    </w:p>
    <w:p w:rsidR="00053C7C" w:rsidRPr="00CE6E6D" w:rsidRDefault="00053C7C" w:rsidP="00053C7C">
      <w:pPr>
        <w:rPr>
          <w:noProof/>
        </w:rPr>
      </w:pPr>
      <w:r w:rsidRPr="00CE6E6D">
        <w:rPr>
          <w:noProof/>
        </w:rPr>
        <w:t xml:space="preserve">Articolul 9 stabilește scopurile prelucrării datelor în temeiul acordului. </w:t>
      </w:r>
    </w:p>
    <w:p w:rsidR="00053C7C" w:rsidRPr="00CE6E6D" w:rsidRDefault="00053C7C" w:rsidP="00053C7C">
      <w:pPr>
        <w:rPr>
          <w:noProof/>
        </w:rPr>
      </w:pPr>
      <w:r w:rsidRPr="00CE6E6D">
        <w:rPr>
          <w:noProof/>
        </w:rPr>
        <w:t xml:space="preserve">Articolul 10 enumeră principiile generale de protecție a datelor aplicabile în temeiul acordului și consacră interdicția de a utiliza datele transferate în temeiul acordului în legătură cu pedeapsa cu moartea sau cu încălcări ale drepturilor omului. </w:t>
      </w:r>
    </w:p>
    <w:p w:rsidR="00053C7C" w:rsidRPr="00CE6E6D" w:rsidRDefault="00053C7C" w:rsidP="00053C7C">
      <w:pPr>
        <w:rPr>
          <w:noProof/>
        </w:rPr>
      </w:pPr>
      <w:r w:rsidRPr="00CE6E6D">
        <w:rPr>
          <w:noProof/>
        </w:rPr>
        <w:t xml:space="preserve">Articolul 11 asigură garanții suplimentare în ceea ce privește prelucrarea categoriilor speciale de date cu caracter personal și diferitele categorii de persoane vizate. </w:t>
      </w:r>
    </w:p>
    <w:p w:rsidR="00053C7C" w:rsidRPr="00CE6E6D" w:rsidRDefault="00053C7C" w:rsidP="00053C7C">
      <w:pPr>
        <w:rPr>
          <w:noProof/>
        </w:rPr>
      </w:pPr>
      <w:r w:rsidRPr="00CE6E6D">
        <w:rPr>
          <w:noProof/>
        </w:rPr>
        <w:t>Articolul 12 limitează procesul decizional complet automatizat care utilizează date cu caracter personal transferate în temeiul acordului.</w:t>
      </w:r>
    </w:p>
    <w:p w:rsidR="00053C7C" w:rsidRPr="00CE6E6D" w:rsidRDefault="00053C7C" w:rsidP="00053C7C">
      <w:pPr>
        <w:rPr>
          <w:noProof/>
        </w:rPr>
      </w:pPr>
      <w:r w:rsidRPr="00CE6E6D">
        <w:rPr>
          <w:noProof/>
        </w:rPr>
        <w:t>Articolul 13 restricționează transferul ulterior al datelor cu caracter personal primite.</w:t>
      </w:r>
    </w:p>
    <w:p w:rsidR="00053C7C" w:rsidRPr="00CE6E6D" w:rsidRDefault="00053C7C" w:rsidP="00053C7C">
      <w:pPr>
        <w:rPr>
          <w:noProof/>
        </w:rPr>
      </w:pPr>
      <w:r w:rsidRPr="00CE6E6D">
        <w:rPr>
          <w:noProof/>
        </w:rPr>
        <w:t>Articolul 14 prevede dreptul de acces, inclusiv dreptul de a obține confirmarea că datele cu caracter personal aferente persoanei vizate sunt prelucrate în temeiul acordului, precum și informații esențiale privind prelucrarea.</w:t>
      </w:r>
    </w:p>
    <w:p w:rsidR="00053C7C" w:rsidRPr="00CE6E6D" w:rsidRDefault="00053C7C" w:rsidP="00053C7C">
      <w:pPr>
        <w:rPr>
          <w:noProof/>
        </w:rPr>
      </w:pPr>
      <w:r w:rsidRPr="00CE6E6D">
        <w:rPr>
          <w:noProof/>
        </w:rPr>
        <w:t>Articolul 15 prevede dreptul la rectificarea și ștergerea datelor, precum și la restricționarea prelucrării acestora, în anumite condiții.</w:t>
      </w:r>
    </w:p>
    <w:p w:rsidR="00053C7C" w:rsidRPr="00CE6E6D" w:rsidRDefault="00053C7C" w:rsidP="00053C7C">
      <w:pPr>
        <w:rPr>
          <w:noProof/>
        </w:rPr>
      </w:pPr>
      <w:r w:rsidRPr="00CE6E6D">
        <w:rPr>
          <w:noProof/>
        </w:rPr>
        <w:t>Articolul 16 prevede notificarea încălcării securității datelor cu caracter personal care afectează datele cu caracter personal transferate în temeiul acordului, garantând că respectivele autorități competente își notifică reciproc fără întârziere încălcarea și că notifică încălcarea fără întârziere autorității lor de supraveghere, precum și că iau măsuri pentru a atenua eventualele efecte negative ale încălcării.</w:t>
      </w:r>
    </w:p>
    <w:p w:rsidR="00053C7C" w:rsidRPr="00CE6E6D" w:rsidRDefault="00053C7C" w:rsidP="00053C7C">
      <w:pPr>
        <w:rPr>
          <w:noProof/>
        </w:rPr>
      </w:pPr>
      <w:r w:rsidRPr="00CE6E6D">
        <w:rPr>
          <w:noProof/>
        </w:rPr>
        <w:t xml:space="preserve">Articolul 17 prevede informarea persoanei vizate cu privire la o încălcare a securității datelor cu caracter personal care este susceptibilă să afecteze grav drepturile și libertățile sale. </w:t>
      </w:r>
    </w:p>
    <w:p w:rsidR="00053C7C" w:rsidRPr="00CE6E6D" w:rsidRDefault="00053C7C" w:rsidP="00053C7C">
      <w:pPr>
        <w:rPr>
          <w:noProof/>
        </w:rPr>
      </w:pPr>
      <w:r w:rsidRPr="00CE6E6D">
        <w:rPr>
          <w:noProof/>
        </w:rPr>
        <w:t>Articolul 18 include norme privind stocarea, examinarea, corectarea și ștergerea datelor cu caracter personal.</w:t>
      </w:r>
    </w:p>
    <w:p w:rsidR="00053C7C" w:rsidRPr="00CE6E6D" w:rsidRDefault="00053C7C" w:rsidP="00053C7C">
      <w:pPr>
        <w:rPr>
          <w:noProof/>
        </w:rPr>
      </w:pPr>
      <w:r w:rsidRPr="00CE6E6D">
        <w:rPr>
          <w:noProof/>
        </w:rPr>
        <w:t xml:space="preserve">Articolul 19 impune păstrarea evidențelor privind colectarea, modificarea, accesarea, divulgarea, inclusiv transferurile ulterioare, combinarea și ștergerea datelor cu caracter personal. </w:t>
      </w:r>
    </w:p>
    <w:p w:rsidR="00053C7C" w:rsidRPr="00CE6E6D" w:rsidRDefault="00053C7C" w:rsidP="00053C7C">
      <w:pPr>
        <w:rPr>
          <w:noProof/>
        </w:rPr>
      </w:pPr>
      <w:r w:rsidRPr="00CE6E6D">
        <w:rPr>
          <w:noProof/>
        </w:rPr>
        <w:t>Articolul 20 include obligații privind securitatea datelor, asigurând punerea în aplicare a unor măsuri tehnice și organizaționale de protecție a datelor cu caracter personal partajate în temeiul acordului.</w:t>
      </w:r>
    </w:p>
    <w:p w:rsidR="00053C7C" w:rsidRPr="00CE6E6D" w:rsidRDefault="00053C7C" w:rsidP="00053C7C">
      <w:pPr>
        <w:rPr>
          <w:noProof/>
        </w:rPr>
      </w:pPr>
      <w:r w:rsidRPr="00CE6E6D">
        <w:rPr>
          <w:noProof/>
        </w:rPr>
        <w:t>Articolul 21 impune supravegherea eficace și asigurarea respectării garanțiilor prevăzute în acord, asigurând faptul că există o autoritate publică independentă responsabilă cu protecția datelor (autoritatea de supraveghere) care să monitorizeze aspectele care afectează viața privată a persoanelor fizice, inclusiv normele interne relevante în temeiul acordului, pentru a proteja drepturile și libertățile fundamentale ale persoanelor fizice în ceea ce privește prelucrarea datelor cu caracter personal.</w:t>
      </w:r>
    </w:p>
    <w:p w:rsidR="00053C7C" w:rsidRPr="00CE6E6D" w:rsidRDefault="00053C7C" w:rsidP="00053C7C">
      <w:pPr>
        <w:rPr>
          <w:noProof/>
        </w:rPr>
      </w:pPr>
      <w:r w:rsidRPr="00CE6E6D">
        <w:rPr>
          <w:noProof/>
        </w:rPr>
        <w:t>Articolul 22 prevede căi de atac judiciare, asigurând faptul că persoanele vizate au dreptul la reparații efective pe cale judiciară în cazul în care, în urma prelucrării datelor lor cu caracter personal, le-au fost încălcate drepturile și garanțiile recunoscute în acord.</w:t>
      </w:r>
    </w:p>
    <w:p w:rsidR="00053C7C" w:rsidRPr="00CE6E6D" w:rsidRDefault="00053C7C" w:rsidP="00053C7C">
      <w:pPr>
        <w:rPr>
          <w:noProof/>
        </w:rPr>
      </w:pPr>
      <w:r w:rsidRPr="00CE6E6D">
        <w:rPr>
          <w:noProof/>
        </w:rPr>
        <w:t>Articolul 23 prevede publicarea datelor de contact și a unui document în care să fie prezentate garanțiile aplicabile datelor cu caracter personal în temeiul acordului.</w:t>
      </w:r>
    </w:p>
    <w:p w:rsidR="00053C7C" w:rsidRPr="00CE6E6D" w:rsidRDefault="00053C7C" w:rsidP="00053C7C">
      <w:pPr>
        <w:rPr>
          <w:noProof/>
        </w:rPr>
      </w:pPr>
      <w:r w:rsidRPr="00CE6E6D">
        <w:rPr>
          <w:noProof/>
        </w:rPr>
        <w:t xml:space="preserve">Articolul 24 prevede confidențialitatea informațiilor partajate între autoritățile competente din Algeria și Eurojust. </w:t>
      </w:r>
    </w:p>
    <w:p w:rsidR="00053C7C" w:rsidRPr="00CE6E6D" w:rsidRDefault="00053C7C" w:rsidP="00053C7C">
      <w:pPr>
        <w:rPr>
          <w:noProof/>
        </w:rPr>
      </w:pPr>
      <w:r w:rsidRPr="00CE6E6D">
        <w:rPr>
          <w:noProof/>
        </w:rPr>
        <w:lastRenderedPageBreak/>
        <w:t xml:space="preserve">Articolul 25 prevede că schimbul de informații clasificate și sensibile neclasificate ale UE și protecția acestora sunt reglementate de un acord de lucru privind confidențialitatea încheiat între Eurojust și autoritățile competente din Algeria. </w:t>
      </w:r>
    </w:p>
    <w:p w:rsidR="00053C7C" w:rsidRPr="00CE6E6D" w:rsidRDefault="00053C7C" w:rsidP="00053C7C">
      <w:pPr>
        <w:rPr>
          <w:noProof/>
        </w:rPr>
      </w:pPr>
      <w:r w:rsidRPr="00CE6E6D">
        <w:rPr>
          <w:noProof/>
        </w:rPr>
        <w:t xml:space="preserve">Articolul 26 prevede responsabilitatea autorităților competente. De exemplu, autoritățile competente răspund de orice prejudiciu cauzat unei persoane fizice ca urmare a unor erori de drept sau de fapt în informațiile partajate. </w:t>
      </w:r>
    </w:p>
    <w:p w:rsidR="00053C7C" w:rsidRPr="00CE6E6D" w:rsidRDefault="00053C7C" w:rsidP="00053C7C">
      <w:pPr>
        <w:rPr>
          <w:noProof/>
        </w:rPr>
      </w:pPr>
      <w:r w:rsidRPr="00CE6E6D">
        <w:rPr>
          <w:noProof/>
        </w:rPr>
        <w:t>Articolul 27 prevede că, în principiu, fiecare parte suportă propriile cheltuieli legate de punerea în aplicare a acordului.</w:t>
      </w:r>
    </w:p>
    <w:p w:rsidR="00053C7C" w:rsidRPr="00CE6E6D" w:rsidRDefault="00053C7C" w:rsidP="00053C7C">
      <w:pPr>
        <w:rPr>
          <w:noProof/>
        </w:rPr>
      </w:pPr>
      <w:r w:rsidRPr="00CE6E6D">
        <w:rPr>
          <w:noProof/>
        </w:rPr>
        <w:t xml:space="preserve">Articolul 28 prevede încheierea unui acord de lucru între Eurojust și autoritățile competente ale Ministerul Justiției din Algeria. </w:t>
      </w:r>
    </w:p>
    <w:p w:rsidR="00053C7C" w:rsidRPr="00CE6E6D" w:rsidRDefault="00053C7C" w:rsidP="00053C7C">
      <w:pPr>
        <w:rPr>
          <w:noProof/>
        </w:rPr>
      </w:pPr>
      <w:r w:rsidRPr="00CE6E6D">
        <w:rPr>
          <w:noProof/>
        </w:rPr>
        <w:t>Articolul 29 prevede notificarea măsurilor prealabile punerii în aplicare a acordului.</w:t>
      </w:r>
    </w:p>
    <w:p w:rsidR="00053C7C" w:rsidRPr="00CE6E6D" w:rsidRDefault="00053C7C" w:rsidP="00053C7C">
      <w:pPr>
        <w:rPr>
          <w:noProof/>
        </w:rPr>
      </w:pPr>
      <w:r w:rsidRPr="00CE6E6D">
        <w:rPr>
          <w:noProof/>
        </w:rPr>
        <w:t>Articolul 30 prevede notificarea autorității de supraveghere responsabile cu supravegherea și asigurarea respectării punerii în aplicare a acordului.</w:t>
      </w:r>
    </w:p>
    <w:p w:rsidR="00053C7C" w:rsidRPr="00CE6E6D" w:rsidRDefault="00053C7C" w:rsidP="00053C7C">
      <w:pPr>
        <w:rPr>
          <w:noProof/>
        </w:rPr>
      </w:pPr>
      <w:r w:rsidRPr="00CE6E6D">
        <w:rPr>
          <w:noProof/>
        </w:rPr>
        <w:t>Articolul 31 prevede dispoziții privind intrarea în vigoare și aplicarea acordului.</w:t>
      </w:r>
    </w:p>
    <w:p w:rsidR="00053C7C" w:rsidRPr="00CE6E6D" w:rsidRDefault="00053C7C" w:rsidP="00053C7C">
      <w:pPr>
        <w:rPr>
          <w:noProof/>
        </w:rPr>
      </w:pPr>
      <w:r w:rsidRPr="00CE6E6D">
        <w:rPr>
          <w:noProof/>
        </w:rPr>
        <w:t>Articolul 32 prevede modul în care pot fi aduse modificări acordului.</w:t>
      </w:r>
    </w:p>
    <w:p w:rsidR="00053C7C" w:rsidRPr="00CE6E6D" w:rsidRDefault="00053C7C" w:rsidP="00053C7C">
      <w:pPr>
        <w:rPr>
          <w:noProof/>
        </w:rPr>
      </w:pPr>
      <w:r w:rsidRPr="00CE6E6D">
        <w:rPr>
          <w:noProof/>
        </w:rPr>
        <w:t>Articolul 33 prevede modalitățile de examinare și evaluare a acordului.</w:t>
      </w:r>
    </w:p>
    <w:p w:rsidR="00053C7C" w:rsidRPr="00CE6E6D" w:rsidRDefault="00053C7C" w:rsidP="00053C7C">
      <w:pPr>
        <w:rPr>
          <w:noProof/>
        </w:rPr>
      </w:pPr>
      <w:r w:rsidRPr="00CE6E6D">
        <w:rPr>
          <w:noProof/>
        </w:rPr>
        <w:t xml:space="preserve">Articolul 34 prevede un mecanism de soluționare a litigiilor și condițiile de suspendare a acordului. </w:t>
      </w:r>
    </w:p>
    <w:p w:rsidR="00053C7C" w:rsidRPr="00CE6E6D" w:rsidRDefault="00053C7C" w:rsidP="00053C7C">
      <w:pPr>
        <w:jc w:val="left"/>
        <w:rPr>
          <w:noProof/>
        </w:rPr>
      </w:pPr>
      <w:r w:rsidRPr="00CE6E6D">
        <w:rPr>
          <w:noProof/>
        </w:rPr>
        <w:t>Articolul 35 prevede condițiile de denunțare a acordului.</w:t>
      </w:r>
    </w:p>
    <w:p w:rsidR="00053C7C" w:rsidRPr="00CE6E6D" w:rsidRDefault="00053C7C" w:rsidP="00053C7C">
      <w:pPr>
        <w:jc w:val="left"/>
        <w:rPr>
          <w:noProof/>
        </w:rPr>
      </w:pPr>
      <w:r w:rsidRPr="00CE6E6D">
        <w:rPr>
          <w:noProof/>
        </w:rPr>
        <w:t>Articolul 36 prevede modul de efectuare a notificărilor în temeiul acordului.</w:t>
      </w:r>
    </w:p>
    <w:p w:rsidR="00053C7C" w:rsidRPr="00CE6E6D" w:rsidRDefault="00053C7C" w:rsidP="00932D9E">
      <w:pPr>
        <w:jc w:val="left"/>
        <w:rPr>
          <w:noProof/>
        </w:rPr>
      </w:pPr>
      <w:r w:rsidRPr="00CE6E6D">
        <w:rPr>
          <w:noProof/>
        </w:rPr>
        <w:t>Articolul 37 prevede relația cu alte instrumente internaționale, asigurând faptul că acordul nu va aduce atingere și nici nu va afecta dispozițiile legale privind cooperarea judiciară prevăzute în orice tratat, acord sau înțelegere dintre Algeria și orice stat membru al Uniunii Europene.</w:t>
      </w:r>
    </w:p>
    <w:p w:rsidR="00816C51" w:rsidRPr="00CE6E6D" w:rsidRDefault="00816C51" w:rsidP="001F140D">
      <w:pPr>
        <w:rPr>
          <w:noProof/>
        </w:rPr>
      </w:pPr>
      <w:bookmarkStart w:id="4" w:name="_Hlk224042672"/>
      <w:r w:rsidRPr="00CE6E6D">
        <w:rPr>
          <w:noProof/>
        </w:rPr>
        <w:t>Teza finală se referă la textele autentice.</w:t>
      </w:r>
    </w:p>
    <w:p w:rsidR="00481DFB" w:rsidRPr="00CE6E6D" w:rsidRDefault="00481DFB" w:rsidP="001F140D">
      <w:pPr>
        <w:rPr>
          <w:noProof/>
        </w:rPr>
      </w:pPr>
    </w:p>
    <w:bookmarkEnd w:id="4"/>
    <w:p w:rsidR="00501C46" w:rsidRPr="00CE6E6D" w:rsidRDefault="00501C46" w:rsidP="00501C46">
      <w:pPr>
        <w:pStyle w:val="paragraph"/>
        <w:spacing w:before="0" w:beforeAutospacing="0" w:after="0" w:afterAutospacing="0"/>
        <w:ind w:left="840" w:hanging="840"/>
        <w:jc w:val="both"/>
        <w:textAlignment w:val="baseline"/>
        <w:rPr>
          <w:rStyle w:val="eop"/>
          <w:b/>
          <w:bCs/>
          <w:noProof/>
        </w:rPr>
      </w:pPr>
      <w:r w:rsidRPr="00CE6E6D">
        <w:rPr>
          <w:rStyle w:val="normaltextrun"/>
          <w:b/>
          <w:noProof/>
        </w:rPr>
        <w:t>•</w:t>
      </w:r>
      <w:r w:rsidRPr="00CE6E6D">
        <w:rPr>
          <w:noProof/>
        </w:rPr>
        <w:tab/>
      </w:r>
      <w:r w:rsidRPr="00CE6E6D">
        <w:rPr>
          <w:rStyle w:val="normaltextrun"/>
          <w:b/>
          <w:noProof/>
        </w:rPr>
        <w:t>Semnare și textul acordului</w:t>
      </w:r>
      <w:r w:rsidRPr="00CE6E6D">
        <w:rPr>
          <w:rStyle w:val="eop"/>
          <w:b/>
          <w:noProof/>
        </w:rPr>
        <w:t xml:space="preserve"> </w:t>
      </w:r>
    </w:p>
    <w:p w:rsidR="00481DFB" w:rsidRPr="00CE6E6D" w:rsidRDefault="00481DFB" w:rsidP="00501C46">
      <w:pPr>
        <w:pStyle w:val="paragraph"/>
        <w:spacing w:before="0" w:beforeAutospacing="0" w:after="0" w:afterAutospacing="0"/>
        <w:ind w:left="840" w:hanging="840"/>
        <w:jc w:val="both"/>
        <w:textAlignment w:val="baseline"/>
        <w:rPr>
          <w:b/>
          <w:bCs/>
          <w:noProof/>
          <w:sz w:val="18"/>
          <w:szCs w:val="18"/>
        </w:rPr>
      </w:pPr>
    </w:p>
    <w:p w:rsidR="00501C46" w:rsidRPr="00CE6E6D" w:rsidRDefault="00501C46" w:rsidP="00481DFB">
      <w:pPr>
        <w:pStyle w:val="paragraph"/>
        <w:spacing w:before="0" w:beforeAutospacing="0" w:after="0" w:afterAutospacing="0"/>
        <w:jc w:val="both"/>
        <w:textAlignment w:val="baseline"/>
        <w:rPr>
          <w:noProof/>
        </w:rPr>
      </w:pPr>
      <w:r w:rsidRPr="00CE6E6D">
        <w:rPr>
          <w:rStyle w:val="eop"/>
          <w:noProof/>
        </w:rPr>
        <w:t xml:space="preserve"> </w:t>
      </w:r>
      <w:r w:rsidRPr="00CE6E6D">
        <w:rPr>
          <w:noProof/>
        </w:rPr>
        <w:t>Textul acordului este transmis Consiliului împreună cu prezenta propunere.</w:t>
      </w:r>
    </w:p>
    <w:p w:rsidR="00501C46" w:rsidRPr="00CE6E6D" w:rsidRDefault="00501C46" w:rsidP="00516E16">
      <w:pPr>
        <w:rPr>
          <w:noProof/>
        </w:rPr>
      </w:pPr>
      <w:r w:rsidRPr="00CE6E6D">
        <w:rPr>
          <w:noProof/>
        </w:rPr>
        <w:t>În conformitate cu tratatele, Comisiei îi revine sarcina de a asigura semnarea acordului, sub rezerva încheierii sale la o dată ulterioară.</w:t>
      </w:r>
    </w:p>
    <w:p w:rsidR="00053C7C" w:rsidRPr="00CE6E6D" w:rsidRDefault="00053C7C" w:rsidP="001F140D">
      <w:pPr>
        <w:rPr>
          <w:noProof/>
        </w:rPr>
      </w:pPr>
    </w:p>
    <w:p w:rsidR="00990B1A" w:rsidRPr="00CE6E6D" w:rsidRDefault="00990B1A" w:rsidP="001F140D">
      <w:pPr>
        <w:rPr>
          <w:noProof/>
        </w:rPr>
      </w:pPr>
    </w:p>
    <w:p w:rsidR="00221330" w:rsidRPr="00CE6E6D" w:rsidRDefault="00221330">
      <w:pPr>
        <w:spacing w:before="0" w:after="200" w:line="276" w:lineRule="auto"/>
        <w:jc w:val="left"/>
        <w:rPr>
          <w:noProof/>
        </w:rPr>
      </w:pPr>
      <w:r w:rsidRPr="00CE6E6D">
        <w:rPr>
          <w:noProof/>
        </w:rPr>
        <w:br w:type="page"/>
      </w:r>
    </w:p>
    <w:p w:rsidR="00990B1A" w:rsidRPr="00CE6E6D" w:rsidRDefault="00990B1A" w:rsidP="001F140D">
      <w:pPr>
        <w:rPr>
          <w:noProof/>
        </w:rPr>
      </w:pPr>
    </w:p>
    <w:p w:rsidR="008577E7" w:rsidRDefault="00FF2DF4">
      <w:pPr>
        <w:pStyle w:val="Rfrenceinterinstitutionnelle"/>
        <w:rPr>
          <w:noProof/>
        </w:rPr>
      </w:pPr>
      <w:r>
        <w:rPr>
          <w:noProof/>
        </w:rPr>
        <w:t>2026/0151 (NLE)</w:t>
      </w:r>
    </w:p>
    <w:p w:rsidR="00C11FA9" w:rsidRPr="00CE6E6D" w:rsidRDefault="00CD0EEA" w:rsidP="00CD0EEA">
      <w:pPr>
        <w:pStyle w:val="Statut"/>
        <w:rPr>
          <w:noProof/>
        </w:rPr>
      </w:pPr>
      <w:r w:rsidRPr="00CD0EEA">
        <w:rPr>
          <w:noProof/>
        </w:rPr>
        <w:t>Propunere de</w:t>
      </w:r>
    </w:p>
    <w:p w:rsidR="00C11FA9" w:rsidRPr="00CE6E6D" w:rsidRDefault="00CD0EEA" w:rsidP="00CD0EEA">
      <w:pPr>
        <w:pStyle w:val="Typedudocument"/>
        <w:rPr>
          <w:noProof/>
        </w:rPr>
      </w:pPr>
      <w:r w:rsidRPr="00CD0EEA">
        <w:rPr>
          <w:noProof/>
        </w:rPr>
        <w:t>DECIZIE A CONSILIULUI</w:t>
      </w:r>
    </w:p>
    <w:p w:rsidR="00C11FA9" w:rsidRPr="00CE6E6D" w:rsidRDefault="00CD0EEA" w:rsidP="00CD0EEA">
      <w:pPr>
        <w:pStyle w:val="Titreobjet"/>
        <w:rPr>
          <w:noProof/>
        </w:rPr>
      </w:pPr>
      <w:r w:rsidRPr="00CD0EEA">
        <w:rPr>
          <w:noProof/>
        </w:rPr>
        <w:t xml:space="preserve">privind semnarea Acordului dintre Uniunea Europeană și Republica Algeriană Democratică și Populară privind cooperarea dintre Agenția Uniunii Europene pentru Cooperare în Materie de Justiție Penală (Eurojust) și autoritățile din Republica Algeriană Democratică și Populară competente pentru cooperarea judiciară în materie penală </w:t>
      </w:r>
      <w:r w:rsidRPr="00CD0EEA">
        <w:rPr>
          <w:noProof/>
        </w:rPr>
        <w:br/>
        <w:t xml:space="preserve"> </w:t>
      </w:r>
      <w:r w:rsidRPr="00CD0EEA">
        <w:rPr>
          <w:noProof/>
        </w:rPr>
        <w:br/>
      </w:r>
    </w:p>
    <w:p w:rsidR="00C11FA9" w:rsidRPr="00CE6E6D" w:rsidRDefault="00C11FA9" w:rsidP="00A52F19">
      <w:pPr>
        <w:pStyle w:val="Institutionquiagit"/>
        <w:rPr>
          <w:noProof/>
        </w:rPr>
      </w:pPr>
      <w:r w:rsidRPr="00CE6E6D">
        <w:rPr>
          <w:noProof/>
        </w:rPr>
        <w:t>CONSILIUL UNIUNII EUROPENE,</w:t>
      </w:r>
    </w:p>
    <w:p w:rsidR="00C11FA9" w:rsidRPr="00CE6E6D" w:rsidRDefault="00C11FA9" w:rsidP="00A52F19">
      <w:pPr>
        <w:rPr>
          <w:noProof/>
        </w:rPr>
      </w:pPr>
      <w:r w:rsidRPr="00CE6E6D">
        <w:rPr>
          <w:noProof/>
        </w:rPr>
        <w:t>având în vedere Tratatul privind funcționarea Uniunii Europene, în special articolul 16 alineatul (2) și articolul 85, coroborate cu articolul 218 alineatul (5),</w:t>
      </w:r>
    </w:p>
    <w:p w:rsidR="00C11FA9" w:rsidRPr="00CE6E6D" w:rsidRDefault="00C11FA9" w:rsidP="00A52F19">
      <w:pPr>
        <w:rPr>
          <w:noProof/>
        </w:rPr>
      </w:pPr>
      <w:r w:rsidRPr="00CE6E6D">
        <w:rPr>
          <w:noProof/>
        </w:rPr>
        <w:t>având în vedere propunerea Comisiei Europene,</w:t>
      </w:r>
    </w:p>
    <w:p w:rsidR="00C11FA9" w:rsidRPr="00CE6E6D" w:rsidRDefault="00C11FA9" w:rsidP="00A52F19">
      <w:pPr>
        <w:rPr>
          <w:noProof/>
        </w:rPr>
      </w:pPr>
      <w:r w:rsidRPr="00CE6E6D">
        <w:rPr>
          <w:noProof/>
        </w:rPr>
        <w:t>întrucât:</w:t>
      </w:r>
    </w:p>
    <w:p w:rsidR="008860A7" w:rsidRPr="00CE6E6D" w:rsidRDefault="00577AC2" w:rsidP="006D6975">
      <w:pPr>
        <w:pStyle w:val="ManualConsidrant"/>
        <w:rPr>
          <w:noProof/>
        </w:rPr>
      </w:pPr>
      <w:r>
        <w:rPr>
          <w:noProof/>
        </w:rPr>
        <w:t>(1)</w:t>
      </w:r>
      <w:r>
        <w:rPr>
          <w:noProof/>
        </w:rPr>
        <w:tab/>
      </w:r>
      <w:r w:rsidRPr="00CE6E6D">
        <w:rPr>
          <w:noProof/>
        </w:rPr>
        <w:t>La articolul 47 alineatul (1) și la articolul 52 alineatul (1) din Regulamentul (UE) 2018/1727 al Parlamentului European și al Consiliului</w:t>
      </w:r>
      <w:r w:rsidR="008458ED">
        <w:rPr>
          <w:rStyle w:val="FootnoteReference"/>
          <w:noProof/>
        </w:rPr>
        <w:footnoteReference w:customMarkFollows="1" w:id="12"/>
        <w:t>1</w:t>
      </w:r>
      <w:r w:rsidRPr="00CE6E6D">
        <w:rPr>
          <w:noProof/>
        </w:rPr>
        <w:t xml:space="preserve"> se prevede că Eurojust poate stabili și menține cooperarea cu autoritățile țărilor terțe pe baza unei strategii de cooperare. </w:t>
      </w:r>
    </w:p>
    <w:p w:rsidR="006920B6" w:rsidRPr="00CE6E6D" w:rsidRDefault="00634496" w:rsidP="00C11FA9">
      <w:pPr>
        <w:pStyle w:val="ManualConsidrant"/>
        <w:rPr>
          <w:noProof/>
        </w:rPr>
      </w:pPr>
      <w:r>
        <w:rPr>
          <w:noProof/>
        </w:rPr>
        <w:t>(2)</w:t>
      </w:r>
      <w:r>
        <w:rPr>
          <w:noProof/>
        </w:rPr>
        <w:tab/>
      </w:r>
      <w:r w:rsidRPr="00CE6E6D">
        <w:rPr>
          <w:noProof/>
        </w:rPr>
        <w:t>În temeiul articolului 56 alineatul (2) litera (c) din Regulamentul (UE) 2018/1727, Eurojust poate transfera date cu caracter personal unei autorități dintr-o țară terță pe baza, printre altele, a unui acord internațional încheiat între Uniune și țara terță respectivă în temeiul articolului 218 din Tratatul privind funcționarea Uniunii Europene (TFUE) care să prevadă garanții adecvate în ceea ce privește protecția vieții private și a drepturilor și libertăților fundamentale ale persoanelor.</w:t>
      </w:r>
    </w:p>
    <w:p w:rsidR="00F0531E" w:rsidRPr="00CE6E6D" w:rsidRDefault="09987C29" w:rsidP="001136C9">
      <w:pPr>
        <w:pStyle w:val="ManualConsidrant"/>
        <w:rPr>
          <w:noProof/>
        </w:rPr>
      </w:pPr>
      <w:r>
        <w:rPr>
          <w:noProof/>
        </w:rPr>
        <w:t>(3)</w:t>
      </w:r>
      <w:r>
        <w:rPr>
          <w:noProof/>
        </w:rPr>
        <w:tab/>
      </w:r>
      <w:r w:rsidRPr="00CE6E6D">
        <w:rPr>
          <w:noProof/>
        </w:rPr>
        <w:t>La data de 1 martie 2021, Consiliul a autorizat Comisia să înceapă negocieri cu Algeria în vederea încheierii unui acord privind cooperarea dintre Agenția Uniunii Europene pentru Cooperare în Materie de Justiție Penală (Eurojust) și autoritățile din Algeria competente pentru cooperarea judiciară în materie penală.</w:t>
      </w:r>
    </w:p>
    <w:p w:rsidR="006920B6" w:rsidRPr="00CE6E6D" w:rsidRDefault="09987C29" w:rsidP="001136C9">
      <w:pPr>
        <w:pStyle w:val="ManualConsidrant"/>
        <w:rPr>
          <w:noProof/>
        </w:rPr>
      </w:pPr>
      <w:r>
        <w:rPr>
          <w:noProof/>
        </w:rPr>
        <w:t>(4)</w:t>
      </w:r>
      <w:r>
        <w:rPr>
          <w:noProof/>
        </w:rPr>
        <w:tab/>
      </w:r>
      <w:r w:rsidRPr="00CE6E6D">
        <w:rPr>
          <w:noProof/>
        </w:rPr>
        <w:t>Negocierile privind acordul dintre Uniunea Europeană și Algeria au fost finalizate cu succes, la nivelul echipelor de negociere, în august 2025. Statele membre au aprobat textul la nivel tehnic la 9 martie 2026. Algeria și-a dat acordul final la 3 februarie 2026.</w:t>
      </w:r>
    </w:p>
    <w:p w:rsidR="006920B6" w:rsidRPr="00CE6E6D" w:rsidRDefault="644839D4" w:rsidP="00C11FA9">
      <w:pPr>
        <w:pStyle w:val="ManualConsidrant"/>
        <w:rPr>
          <w:noProof/>
        </w:rPr>
      </w:pPr>
      <w:r>
        <w:rPr>
          <w:noProof/>
        </w:rPr>
        <w:lastRenderedPageBreak/>
        <w:t>(5)</w:t>
      </w:r>
      <w:r>
        <w:rPr>
          <w:noProof/>
        </w:rPr>
        <w:tab/>
      </w:r>
      <w:r w:rsidRPr="00CE6E6D">
        <w:rPr>
          <w:noProof/>
        </w:rPr>
        <w:t>Acordul permite transferul de date cu caracter personal între Eurojust și autoritățile competente din Algeria în vederea combaterii criminalității grave și a terorismului și a protejării securității Uniunii și a cetățenilor săi.</w:t>
      </w:r>
    </w:p>
    <w:p w:rsidR="006920B6" w:rsidRPr="00CE6E6D" w:rsidRDefault="644839D4" w:rsidP="00C11FA9">
      <w:pPr>
        <w:pStyle w:val="ManualConsidrant"/>
        <w:rPr>
          <w:noProof/>
        </w:rPr>
      </w:pPr>
      <w:r>
        <w:rPr>
          <w:noProof/>
        </w:rPr>
        <w:t>(6)</w:t>
      </w:r>
      <w:r>
        <w:rPr>
          <w:noProof/>
        </w:rPr>
        <w:tab/>
      </w:r>
      <w:r w:rsidRPr="00CE6E6D">
        <w:rPr>
          <w:noProof/>
        </w:rPr>
        <w:t>Acordul asigură respectarea deplină a Cartei drepturilor fundamentale a Uniunii Europene</w:t>
      </w:r>
      <w:r w:rsidRPr="00CE6E6D">
        <w:rPr>
          <w:rStyle w:val="FootnoteReference"/>
          <w:noProof/>
        </w:rPr>
        <w:footnoteReference w:id="13"/>
      </w:r>
      <w:r w:rsidRPr="00CE6E6D">
        <w:rPr>
          <w:noProof/>
        </w:rPr>
        <w:t>, în special a dreptului la respectarea vieții private și de familie, recunoscut la articolul 7, a dreptului la protecția datelor cu caracter personal, recunoscut la articolul 8, precum și a dreptului la o cale de atac eficientă și la un proces echitabil, recunoscut la articolul 47 din cartă. Mai precis, acordul include garanții adecvate pentru protecția datelor cu caracter personal transferate de Eurojust în temeiul acordului.</w:t>
      </w:r>
    </w:p>
    <w:p w:rsidR="006920B6" w:rsidRPr="00CE6E6D" w:rsidRDefault="0056708E" w:rsidP="000B4201">
      <w:pPr>
        <w:pStyle w:val="ManualConsidrant"/>
        <w:rPr>
          <w:noProof/>
        </w:rPr>
      </w:pPr>
      <w:r>
        <w:rPr>
          <w:noProof/>
        </w:rPr>
        <w:t>(7)</w:t>
      </w:r>
      <w:r>
        <w:rPr>
          <w:noProof/>
        </w:rPr>
        <w:tab/>
      </w:r>
      <w:r w:rsidRPr="00CE6E6D">
        <w:rPr>
          <w:noProof/>
        </w:rPr>
        <w:t>Irlanda are obligații în temeiul Regulamentului (UE) 2018/1727 și, prin urmare, participă la adoptarea prezentei decizii.</w:t>
      </w:r>
    </w:p>
    <w:p w:rsidR="006920B6" w:rsidRPr="00CE6E6D" w:rsidRDefault="644839D4" w:rsidP="00C11FA9">
      <w:pPr>
        <w:pStyle w:val="ManualConsidrant"/>
        <w:rPr>
          <w:noProof/>
        </w:rPr>
      </w:pPr>
      <w:r>
        <w:rPr>
          <w:noProof/>
        </w:rPr>
        <w:t>(8)</w:t>
      </w:r>
      <w:r>
        <w:rPr>
          <w:noProof/>
        </w:rPr>
        <w:tab/>
      </w:r>
      <w:r w:rsidRPr="00CE6E6D">
        <w:rPr>
          <w:noProof/>
        </w:rPr>
        <w:t>În conformitate cu articolele 1 și 2 din Protocolul nr. 22 privind poziția Danemarcei, anexat la Tratatul privind Uniunea Europeană și la Tratatul privind funcționarea Uniunii Europene, Danemarca nu participă la adoptarea prezentei decizii, aceasta nu este obligatorie pentru respectivul stat membru și nu i se aplică.</w:t>
      </w:r>
    </w:p>
    <w:p w:rsidR="00BC124D" w:rsidRPr="00CE6E6D" w:rsidRDefault="00BC124D" w:rsidP="00C11FA9">
      <w:pPr>
        <w:pStyle w:val="ManualConsidrant"/>
        <w:rPr>
          <w:noProof/>
        </w:rPr>
      </w:pPr>
      <w:r>
        <w:rPr>
          <w:noProof/>
        </w:rPr>
        <w:t>(9)</w:t>
      </w:r>
      <w:r>
        <w:rPr>
          <w:noProof/>
        </w:rPr>
        <w:tab/>
      </w:r>
      <w:r w:rsidRPr="00CE6E6D">
        <w:rPr>
          <w:noProof/>
        </w:rPr>
        <w:t>Autoritatea Europeană pentru Protecția Datelor a emis avizul [xxx] la data de [xx.xx.xxxx].</w:t>
      </w:r>
    </w:p>
    <w:p w:rsidR="181C8758" w:rsidRPr="00CE6E6D" w:rsidRDefault="08F99EAE" w:rsidP="181C8758">
      <w:pPr>
        <w:pStyle w:val="ManualConsidrant"/>
        <w:rPr>
          <w:noProof/>
        </w:rPr>
      </w:pPr>
      <w:r>
        <w:rPr>
          <w:noProof/>
        </w:rPr>
        <w:t>(10)</w:t>
      </w:r>
      <w:r>
        <w:rPr>
          <w:noProof/>
        </w:rPr>
        <w:tab/>
      </w:r>
      <w:r w:rsidRPr="00CE6E6D">
        <w:rPr>
          <w:noProof/>
        </w:rPr>
        <w:t>Prin urmare, acordul ar trebui să fie semnat, sub rezerva încheierii sale la o dată ulterioară,</w:t>
      </w:r>
    </w:p>
    <w:p w:rsidR="00C11FA9" w:rsidRPr="00CE6E6D" w:rsidRDefault="00C11FA9" w:rsidP="00A52F19">
      <w:pPr>
        <w:pStyle w:val="Formuledadoption"/>
        <w:rPr>
          <w:noProof/>
        </w:rPr>
      </w:pPr>
      <w:r w:rsidRPr="00CE6E6D">
        <w:rPr>
          <w:noProof/>
        </w:rPr>
        <w:t xml:space="preserve">ADOPTĂ PREZENTA DECIZIE: </w:t>
      </w:r>
    </w:p>
    <w:p w:rsidR="00C11FA9" w:rsidRPr="00CE6E6D" w:rsidRDefault="00C11FA9" w:rsidP="00A52F19">
      <w:pPr>
        <w:pStyle w:val="Titrearticle"/>
        <w:rPr>
          <w:noProof/>
        </w:rPr>
      </w:pPr>
      <w:r w:rsidRPr="00CE6E6D">
        <w:rPr>
          <w:noProof/>
        </w:rPr>
        <w:t>Articolul 1</w:t>
      </w:r>
    </w:p>
    <w:p w:rsidR="00C70836" w:rsidRPr="00CE6E6D" w:rsidRDefault="00C70836" w:rsidP="00A52F19">
      <w:pPr>
        <w:rPr>
          <w:noProof/>
          <w:color w:val="000000" w:themeColor="text1"/>
        </w:rPr>
      </w:pPr>
      <w:r w:rsidRPr="00CE6E6D">
        <w:rPr>
          <w:noProof/>
        </w:rPr>
        <w:t>Se aprobă, în numele Uniunii, semnarea Acordului dintre Uniunea Europeană și Algeria privind cooperarea dintre Agenția Uniunii Europene pentru Cooperare în Materie de Justiție Penală (Eurojust) și autoritățile din Algeria competente pentru cooperarea judiciară în materie penală („acordul”), sub rezerva încheierii acordului menționa</w:t>
      </w:r>
      <w:r w:rsidR="006A59CA">
        <w:rPr>
          <w:noProof/>
        </w:rPr>
        <w:t>t.</w:t>
      </w:r>
      <w:r w:rsidR="006A59CA">
        <w:rPr>
          <w:rStyle w:val="FootnoteReference"/>
          <w:noProof/>
        </w:rPr>
        <w:footnoteReference w:customMarkFollows="1" w:id="14"/>
        <w:t>2</w:t>
      </w:r>
    </w:p>
    <w:p w:rsidR="00C70836" w:rsidRPr="00CE6E6D" w:rsidRDefault="00C11FA9" w:rsidP="00A52F19">
      <w:pPr>
        <w:pStyle w:val="Titrearticle"/>
        <w:keepNext w:val="0"/>
        <w:rPr>
          <w:noProof/>
        </w:rPr>
      </w:pPr>
      <w:r w:rsidRPr="00CE6E6D">
        <w:rPr>
          <w:noProof/>
        </w:rPr>
        <w:t>Articolul 2</w:t>
      </w:r>
    </w:p>
    <w:p w:rsidR="00C70836" w:rsidRPr="00CE6E6D" w:rsidRDefault="00825C9B" w:rsidP="00C70836">
      <w:pPr>
        <w:rPr>
          <w:noProof/>
        </w:rPr>
      </w:pPr>
      <w:r w:rsidRPr="00CE6E6D">
        <w:rPr>
          <w:noProof/>
        </w:rPr>
        <w:t>Secretariatul General al Consiliului stabilește instrumentul prin care se acordă puteri depline pentru semnarea acordului, sub rezerva încheierii acestuia, persoanei (persoanelor) indicate de Comisie.</w:t>
      </w:r>
    </w:p>
    <w:p w:rsidR="00C70836" w:rsidRPr="00CE6E6D" w:rsidRDefault="00C70836" w:rsidP="00A52F19">
      <w:pPr>
        <w:pStyle w:val="Titrearticle"/>
        <w:keepNext w:val="0"/>
        <w:rPr>
          <w:noProof/>
        </w:rPr>
      </w:pPr>
      <w:r w:rsidRPr="00CE6E6D">
        <w:rPr>
          <w:noProof/>
        </w:rPr>
        <w:t>Articolul 3</w:t>
      </w:r>
    </w:p>
    <w:p w:rsidR="00871B4A" w:rsidRPr="00CE6E6D" w:rsidRDefault="00871B4A" w:rsidP="00871B4A">
      <w:pPr>
        <w:rPr>
          <w:noProof/>
        </w:rPr>
      </w:pPr>
      <w:r w:rsidRPr="00CE6E6D">
        <w:rPr>
          <w:noProof/>
        </w:rPr>
        <w:t>Prezenta decizie intră în vigoare la data adoptării.</w:t>
      </w:r>
    </w:p>
    <w:p w:rsidR="00871B4A" w:rsidRPr="00CE6E6D" w:rsidRDefault="00871B4A" w:rsidP="00871B4A">
      <w:pPr>
        <w:rPr>
          <w:noProof/>
        </w:rPr>
      </w:pPr>
    </w:p>
    <w:p w:rsidR="00C11FA9" w:rsidRPr="00CE6E6D" w:rsidRDefault="00CD0EEA" w:rsidP="00F32BA6">
      <w:pPr>
        <w:pStyle w:val="Fait"/>
        <w:rPr>
          <w:noProof/>
        </w:rPr>
      </w:pPr>
      <w:r>
        <w:rPr>
          <w:noProof/>
        </w:rPr>
        <w:t>Adoptată la Bruxelles,</w:t>
      </w:r>
    </w:p>
    <w:p w:rsidR="00C11FA9" w:rsidRPr="00CE6E6D" w:rsidRDefault="00C11FA9" w:rsidP="00F32BA6">
      <w:pPr>
        <w:pStyle w:val="Institutionquisigne"/>
        <w:rPr>
          <w:noProof/>
        </w:rPr>
      </w:pPr>
      <w:r w:rsidRPr="00CE6E6D">
        <w:rPr>
          <w:noProof/>
        </w:rPr>
        <w:tab/>
        <w:t>Pentru Consiliu</w:t>
      </w:r>
    </w:p>
    <w:p w:rsidR="00C11FA9" w:rsidRPr="00CE6E6D" w:rsidRDefault="00C11FA9" w:rsidP="00C11FA9">
      <w:pPr>
        <w:pStyle w:val="Personnequisigne"/>
        <w:rPr>
          <w:noProof/>
        </w:rPr>
      </w:pPr>
      <w:r w:rsidRPr="00CE6E6D">
        <w:rPr>
          <w:noProof/>
        </w:rPr>
        <w:tab/>
        <w:t>Președintele</w:t>
      </w:r>
    </w:p>
    <w:sectPr w:rsidR="00C11FA9" w:rsidRPr="00CE6E6D" w:rsidSect="003C782D">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D66" w:rsidRDefault="00D10D66" w:rsidP="00C11FA9">
      <w:pPr>
        <w:spacing w:before="0" w:after="0"/>
      </w:pPr>
      <w:r>
        <w:separator/>
      </w:r>
    </w:p>
  </w:endnote>
  <w:endnote w:type="continuationSeparator" w:id="0">
    <w:p w:rsidR="00D10D66" w:rsidRDefault="00D10D66" w:rsidP="00C11FA9">
      <w:pPr>
        <w:spacing w:before="0" w:after="0"/>
      </w:pPr>
      <w:r>
        <w:continuationSeparator/>
      </w:r>
    </w:p>
  </w:endnote>
  <w:endnote w:type="continuationNotice" w:id="1">
    <w:p w:rsidR="00D10D66" w:rsidRDefault="00D10D6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2D" w:rsidRPr="003C782D" w:rsidRDefault="003C782D" w:rsidP="003C782D">
    <w:pPr>
      <w:pStyle w:val="Footer"/>
      <w:rPr>
        <w:rFonts w:ascii="Arial" w:hAnsi="Arial" w:cs="Arial"/>
        <w:b/>
        <w:sz w:val="48"/>
      </w:rPr>
    </w:pPr>
    <w:r w:rsidRPr="003C782D">
      <w:rPr>
        <w:rFonts w:ascii="Arial" w:hAnsi="Arial" w:cs="Arial"/>
        <w:b/>
        <w:sz w:val="48"/>
      </w:rPr>
      <w:t>RO</w:t>
    </w:r>
    <w:r w:rsidRPr="003C782D">
      <w:rPr>
        <w:rFonts w:ascii="Arial" w:hAnsi="Arial" w:cs="Arial"/>
        <w:b/>
        <w:sz w:val="48"/>
      </w:rPr>
      <w:tab/>
    </w:r>
    <w:r w:rsidRPr="003C782D">
      <w:rPr>
        <w:rFonts w:ascii="Arial" w:hAnsi="Arial" w:cs="Arial"/>
        <w:b/>
        <w:sz w:val="48"/>
      </w:rPr>
      <w:tab/>
    </w:r>
    <w:r w:rsidRPr="003C782D">
      <w:tab/>
    </w:r>
    <w:r w:rsidRPr="003C782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2D" w:rsidRPr="003C782D" w:rsidRDefault="003C782D" w:rsidP="003C782D">
    <w:pPr>
      <w:pStyle w:val="Footer"/>
      <w:rPr>
        <w:rFonts w:ascii="Arial" w:hAnsi="Arial" w:cs="Arial"/>
        <w:b/>
        <w:sz w:val="48"/>
      </w:rPr>
    </w:pPr>
    <w:r w:rsidRPr="003C782D">
      <w:rPr>
        <w:rFonts w:ascii="Arial" w:hAnsi="Arial" w:cs="Arial"/>
        <w:b/>
        <w:sz w:val="48"/>
      </w:rPr>
      <w:t>RO</w:t>
    </w:r>
    <w:r w:rsidRPr="003C782D">
      <w:rPr>
        <w:rFonts w:ascii="Arial" w:hAnsi="Arial" w:cs="Arial"/>
        <w:b/>
        <w:sz w:val="48"/>
      </w:rPr>
      <w:tab/>
    </w:r>
    <w:r w:rsidRPr="003C782D">
      <w:rPr>
        <w:rFonts w:ascii="Arial" w:hAnsi="Arial" w:cs="Arial"/>
        <w:b/>
        <w:sz w:val="48"/>
      </w:rPr>
      <w:tab/>
    </w:r>
    <w:r w:rsidRPr="003C782D">
      <w:tab/>
    </w:r>
    <w:r w:rsidRPr="003C782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2D" w:rsidRDefault="003C78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2D" w:rsidRPr="003C782D" w:rsidRDefault="003C782D" w:rsidP="003C782D">
    <w:pPr>
      <w:pStyle w:val="Footer"/>
      <w:rPr>
        <w:rFonts w:ascii="Arial" w:hAnsi="Arial" w:cs="Arial"/>
        <w:b/>
        <w:sz w:val="48"/>
      </w:rPr>
    </w:pPr>
    <w:r w:rsidRPr="003C782D">
      <w:rPr>
        <w:rFonts w:ascii="Arial" w:hAnsi="Arial" w:cs="Arial"/>
        <w:b/>
        <w:sz w:val="48"/>
      </w:rPr>
      <w:t>RO</w:t>
    </w:r>
    <w:r w:rsidRPr="003C782D">
      <w:rPr>
        <w:rFonts w:ascii="Arial" w:hAnsi="Arial" w:cs="Arial"/>
        <w:b/>
        <w:sz w:val="48"/>
      </w:rPr>
      <w:tab/>
    </w:r>
    <w:r>
      <w:fldChar w:fldCharType="begin"/>
    </w:r>
    <w:r>
      <w:instrText xml:space="preserve"> PAGE  \* MERGEFORMAT </w:instrText>
    </w:r>
    <w:r>
      <w:fldChar w:fldCharType="separate"/>
    </w:r>
    <w:r w:rsidR="00F32BA6">
      <w:rPr>
        <w:noProof/>
      </w:rPr>
      <w:t>10</w:t>
    </w:r>
    <w:r>
      <w:fldChar w:fldCharType="end"/>
    </w:r>
    <w:r>
      <w:tab/>
    </w:r>
    <w:r w:rsidRPr="003C782D">
      <w:tab/>
    </w:r>
    <w:r w:rsidRPr="003C782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2D" w:rsidRDefault="003C782D" w:rsidP="003C7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D66" w:rsidRDefault="00D10D66" w:rsidP="00C11FA9">
      <w:pPr>
        <w:spacing w:before="0" w:after="0"/>
      </w:pPr>
      <w:r>
        <w:separator/>
      </w:r>
    </w:p>
  </w:footnote>
  <w:footnote w:type="continuationSeparator" w:id="0">
    <w:p w:rsidR="00D10D66" w:rsidRDefault="00D10D66" w:rsidP="00C11FA9">
      <w:pPr>
        <w:spacing w:before="0" w:after="0"/>
      </w:pPr>
      <w:r>
        <w:continuationSeparator/>
      </w:r>
    </w:p>
  </w:footnote>
  <w:footnote w:type="continuationNotice" w:id="1">
    <w:p w:rsidR="00D10D66" w:rsidRDefault="00D10D66">
      <w:pPr>
        <w:spacing w:before="0" w:after="0"/>
      </w:pPr>
    </w:p>
  </w:footnote>
  <w:footnote w:id="2">
    <w:p w:rsidR="00A52F19" w:rsidRPr="00001E5C" w:rsidRDefault="00A52F19">
      <w:pPr>
        <w:pStyle w:val="FootnoteText"/>
      </w:pPr>
      <w:r>
        <w:rPr>
          <w:rStyle w:val="FootnoteReference"/>
        </w:rPr>
        <w:footnoteRef/>
      </w:r>
      <w:r>
        <w:tab/>
        <w:t>Regulamentul (UE) 2018/1727 al Parlamentului European și al Consiliului din 14 noiembrie 2018 privind Agenția Uniunii Europene pentru Cooperare în Materie de Justiție Penală (Eurojust) și de înlocuire și abrogare a Deciziei 2002/187/JAI a Consiliului (JO L 295, 21.11.2018, p. 138).</w:t>
      </w:r>
    </w:p>
  </w:footnote>
  <w:footnote w:id="3">
    <w:p w:rsidR="00007496" w:rsidRPr="00007496" w:rsidRDefault="00007496">
      <w:pPr>
        <w:pStyle w:val="FootnoteText"/>
      </w:pPr>
      <w:r>
        <w:rPr>
          <w:rStyle w:val="FootnoteReference"/>
        </w:rPr>
        <w:footnoteRef/>
      </w:r>
      <w:r>
        <w:tab/>
        <w:t>JO L 063, 6.3.2002, p. 1.</w:t>
      </w:r>
    </w:p>
  </w:footnote>
  <w:footnote w:id="4">
    <w:p w:rsidR="00991687" w:rsidRPr="007773A3" w:rsidRDefault="00991687" w:rsidP="00991687">
      <w:pPr>
        <w:pStyle w:val="FootnoteText"/>
      </w:pPr>
      <w:r>
        <w:rPr>
          <w:rStyle w:val="FootnoteReference"/>
        </w:rPr>
        <w:footnoteRef/>
      </w:r>
      <w:r>
        <w:tab/>
        <w:t>Recomandare de decizie a Consiliului de autorizare a deschiderii negocierilor pentru încheierea de acorduri între Uniunea Europeană și Algeria, Armenia, Bosnia și Herțegovina, Egipt, Israel, Iordania, Liban, Maroc, Tunisia și Turcia privind cooperarea dintre Agenția Uniunii Europene pentru Cooperare în Materie de Justiție Penală (Eurojust) și autoritățile competente pentru cooperarea judiciară în materie penală din aceste state terțe, 19 noiembrie 2020, COM(2020) 743 final.</w:t>
      </w:r>
    </w:p>
  </w:footnote>
  <w:footnote w:id="5">
    <w:p w:rsidR="00991687" w:rsidRPr="007773A3" w:rsidRDefault="00991687" w:rsidP="00991687">
      <w:pPr>
        <w:pStyle w:val="FootnoteText"/>
      </w:pPr>
      <w:r>
        <w:rPr>
          <w:rStyle w:val="FootnoteReference"/>
        </w:rPr>
        <w:footnoteRef/>
      </w:r>
      <w:r>
        <w:tab/>
        <w:t xml:space="preserve">Decizia Consiliului de autorizare a începerii negocierilor în vederea încheierii unor acorduri între Uniunea Europeană și Algeria, Argentina, Armenia, Bosnia și Herțegovina, Brazilia, Columbia, Egipt, Israel, Iordania, Liban, Maroc, Tunisia și Turcia privind cooperarea dintre Agenția Uniunii Europene pentru Cooperare în Materie de Justiție Penală (Eurojust) și autoritățile competente pentru cooperarea judiciară în materie penală din aceste state terțe; a se vedea 6153/21 + ADD 1, decizie a Consiliului adoptată prin procedură scrisă la data de 1 martie 2021 (CM 1990/21). </w:t>
      </w:r>
    </w:p>
  </w:footnote>
  <w:footnote w:id="6">
    <w:p w:rsidR="001437FA" w:rsidRPr="00E07532" w:rsidRDefault="001437FA" w:rsidP="001437FA">
      <w:pPr>
        <w:pStyle w:val="FootnoteText"/>
      </w:pPr>
      <w:r>
        <w:rPr>
          <w:rStyle w:val="FootnoteReference"/>
        </w:rPr>
        <w:footnoteRef/>
      </w:r>
      <w:r>
        <w:tab/>
      </w:r>
      <w:r w:rsidRPr="00E07532">
        <w:t>Regulamentul (UE) 2023/2131 al Parlamentului European și al Consiliului din 4 octombrie 2023 de modificare a Regulamentului (UE) 2018/1727 al Parlamentului European și al Consiliului și a Deciziei 2005/671/JAI a Consiliului în ceea ce privește schimbul de informații digitale în cazurile de terorism.</w:t>
      </w:r>
    </w:p>
  </w:footnote>
  <w:footnote w:id="7">
    <w:p w:rsidR="001437FA" w:rsidRPr="00E07532" w:rsidRDefault="001437FA" w:rsidP="001437FA">
      <w:pPr>
        <w:pStyle w:val="FootnoteText"/>
      </w:pPr>
      <w:r w:rsidRPr="00E07532">
        <w:rPr>
          <w:rStyle w:val="FootnoteReference"/>
        </w:rPr>
        <w:footnoteRef/>
      </w:r>
      <w:r w:rsidRPr="00E07532">
        <w:tab/>
        <w:t>Regulamentul (UE) 2022/838 al Parlamentului European și al Consiliului din 30 mai 2022 de modificare a Regulamentului (UE) 2018/1727 în ceea ce privește conservarea, analizarea și stocarea în cadrul Eurojust a probelor referitoare la genocid, la crime împotriva umanității, la crime de război și la infracțiuni conexe.</w:t>
      </w:r>
    </w:p>
  </w:footnote>
  <w:footnote w:id="8">
    <w:p w:rsidR="00912659" w:rsidRPr="00E07532" w:rsidRDefault="00912659" w:rsidP="00912659">
      <w:pPr>
        <w:pStyle w:val="FootnoteText"/>
      </w:pPr>
      <w:r w:rsidRPr="00E07532">
        <w:rPr>
          <w:rStyle w:val="FootnoteReference"/>
        </w:rPr>
        <w:footnoteRef/>
      </w:r>
      <w:r w:rsidRPr="00E07532">
        <w:tab/>
        <w:t>COM(2025)148 final, 1.4.2025.</w:t>
      </w:r>
    </w:p>
  </w:footnote>
  <w:footnote w:id="9">
    <w:p w:rsidR="00912659" w:rsidRPr="00E07532" w:rsidRDefault="00912659" w:rsidP="00912659">
      <w:pPr>
        <w:pStyle w:val="FootnoteText"/>
      </w:pPr>
      <w:r w:rsidRPr="00E07532">
        <w:rPr>
          <w:rStyle w:val="FootnoteReference"/>
        </w:rPr>
        <w:footnoteRef/>
      </w:r>
      <w:r w:rsidRPr="00E07532">
        <w:tab/>
        <w:t>Comunicarea Comisiei intitulată „ProtectEU: Agenda privind prevenirea și combaterea terorismului”, COM(2026) 101 final, 26.2.2026.</w:t>
      </w:r>
    </w:p>
  </w:footnote>
  <w:footnote w:id="10">
    <w:p w:rsidR="00912659" w:rsidRPr="00E07532" w:rsidRDefault="00912659" w:rsidP="00912659">
      <w:pPr>
        <w:pStyle w:val="FootnoteText"/>
      </w:pPr>
      <w:r w:rsidRPr="00E07532">
        <w:rPr>
          <w:rStyle w:val="FootnoteReference"/>
        </w:rPr>
        <w:footnoteRef/>
      </w:r>
      <w:r w:rsidRPr="00E07532">
        <w:tab/>
        <w:t>Comunicarea Comisiei referitoare la Strategia UE de combatere a criminalității organizate 2021-2025, COM(2021) 170 final, 14.4.2021.</w:t>
      </w:r>
    </w:p>
  </w:footnote>
  <w:footnote w:id="11">
    <w:p w:rsidR="00CD684E" w:rsidRPr="00CE6E6D" w:rsidRDefault="00CD684E">
      <w:pPr>
        <w:pStyle w:val="FootnoteText"/>
        <w:rPr>
          <w:lang w:val="fr-BE"/>
        </w:rPr>
      </w:pPr>
      <w:r w:rsidRPr="00E07532">
        <w:rPr>
          <w:rStyle w:val="FootnoteReference"/>
        </w:rPr>
        <w:footnoteRef/>
      </w:r>
      <w:r w:rsidRPr="00E07532">
        <w:tab/>
        <w:t>Decizia 7047/20 a Consiliului din 23 aprilie 2020 și documentul CM 2178/20 al Consiliului din 13 mai 2020.</w:t>
      </w:r>
    </w:p>
  </w:footnote>
  <w:footnote w:id="12">
    <w:p w:rsidR="008458ED" w:rsidRPr="004E44A1" w:rsidRDefault="008458ED" w:rsidP="008458ED">
      <w:pPr>
        <w:pStyle w:val="FootnoteText"/>
        <w:ind w:left="709" w:hanging="567"/>
      </w:pPr>
      <w:r w:rsidRPr="00E84CE9">
        <w:rPr>
          <w:rStyle w:val="FootnoteReference"/>
        </w:rPr>
        <w:t>1</w:t>
      </w:r>
      <w:r w:rsidRPr="008458ED">
        <w:rPr>
          <w:lang w:val="fr-BE"/>
        </w:rPr>
        <w:tab/>
      </w:r>
      <w:r w:rsidRPr="004E44A1">
        <w:t>Regulamentul (UE) 2018/1727 al Parlamentului European și al Consiliului din 14 noiembrie 2018 privind Agenția Uniunii Europene pentru Cooperare în Materie de Justiție Penală (Eurojust) și de înlocuire și abrogare a Deciziei 2002/187/JAI a Consiliului (JO L 295, 21.11.2018, p. 138).</w:t>
      </w:r>
    </w:p>
  </w:footnote>
  <w:footnote w:id="13">
    <w:p w:rsidR="00E024E2" w:rsidRPr="004E44A1" w:rsidRDefault="00E024E2" w:rsidP="00E024E2">
      <w:pPr>
        <w:pStyle w:val="FootnoteText"/>
      </w:pPr>
      <w:r w:rsidRPr="004E44A1">
        <w:rPr>
          <w:rStyle w:val="FootnoteReference"/>
        </w:rPr>
        <w:footnoteRef/>
      </w:r>
      <w:r w:rsidRPr="004E44A1">
        <w:tab/>
        <w:t>JO C 326, 26.10.2012, p. 391.</w:t>
      </w:r>
    </w:p>
  </w:footnote>
  <w:footnote w:id="14">
    <w:p w:rsidR="006A59CA" w:rsidRPr="004E44A1" w:rsidRDefault="006A59CA">
      <w:pPr>
        <w:pStyle w:val="FootnoteText"/>
      </w:pPr>
      <w:r w:rsidRPr="004E44A1">
        <w:rPr>
          <w:rStyle w:val="FootnoteReference"/>
        </w:rPr>
        <w:t>2</w:t>
      </w:r>
      <w:r w:rsidR="00515929" w:rsidRPr="004E44A1">
        <w:tab/>
        <w:t>Textul acordului se publică împreună cu decizia privind încheierea acestuia.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2D" w:rsidRDefault="003C78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2D" w:rsidRDefault="003C78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A7E316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B6AD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2A4BF9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9185F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F181BE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7462A8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7E826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470411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5"/>
    <w:lvlOverride w:ilvl="0">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8:53: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3475DC9-30E6-4741-A790-6628401A25AC"/>
    <w:docVar w:name="LW_COVERPAGE_TYPE" w:val="1"/>
    <w:docVar w:name="LW_CROSSREFERENCE" w:val="&lt;UNUSED&gt;"/>
    <w:docVar w:name="LW_DocType" w:val="COM"/>
    <w:docVar w:name="LW_EMISSION" w:val="25.6.2026"/>
    <w:docVar w:name="LW_EMISSION_ISODATE" w:val="2026-06-25"/>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51"/>
    <w:docVar w:name="LW_REF.II.NEW.CP_YEAR" w:val="2026"/>
    <w:docVar w:name="LW_REF.INST.NEW" w:val="COM"/>
    <w:docVar w:name="LW_REF.INST.NEW_ADOPTED" w:val="final"/>
    <w:docVar w:name="LW_REF.INST.NEW_TEXT" w:val="(2026) 2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Acordului dintre Uniunea European\u259? \u537?i Republica Algerian\u259? Democratic\u259? \u537?i Popular\u259? privind cooperarea dintre Agen\u539?ia Uniunii Europene pentru Cooperare în Materie de Justi\u539?ie Penal\u259? (Eurojust) \u537?i autorit\u259?\u539?ile din Republica Algerian\u259? Democratic\u259? \u537?i Popular\u259? competente pentru cooperarea judiciar\u259? în materie penal\u259? _x000b_ _x000b_"/>
    <w:docVar w:name="LW_TYPE.DOC.CP" w:val="DECIZIE A CONSILIULUI"/>
    <w:docVar w:name="LwApiVersions" w:val="LW4CoDe 1.24.5.0; LW 9.2, Build 20251112"/>
  </w:docVars>
  <w:rsids>
    <w:rsidRoot w:val="00C11FA9"/>
    <w:rsid w:val="00001E5C"/>
    <w:rsid w:val="00002462"/>
    <w:rsid w:val="00007496"/>
    <w:rsid w:val="00011F7F"/>
    <w:rsid w:val="0001241A"/>
    <w:rsid w:val="00021EB3"/>
    <w:rsid w:val="000223AD"/>
    <w:rsid w:val="00022676"/>
    <w:rsid w:val="00023B7B"/>
    <w:rsid w:val="00035A93"/>
    <w:rsid w:val="00036EC2"/>
    <w:rsid w:val="0004571C"/>
    <w:rsid w:val="00053C7C"/>
    <w:rsid w:val="0005635E"/>
    <w:rsid w:val="000602CA"/>
    <w:rsid w:val="00061F6D"/>
    <w:rsid w:val="00082007"/>
    <w:rsid w:val="00082F52"/>
    <w:rsid w:val="00084968"/>
    <w:rsid w:val="00093098"/>
    <w:rsid w:val="00094767"/>
    <w:rsid w:val="000A3007"/>
    <w:rsid w:val="000A4A6C"/>
    <w:rsid w:val="000A5360"/>
    <w:rsid w:val="000A5C4F"/>
    <w:rsid w:val="000A7629"/>
    <w:rsid w:val="000A7CD5"/>
    <w:rsid w:val="000B3B6F"/>
    <w:rsid w:val="000B4201"/>
    <w:rsid w:val="000C70D7"/>
    <w:rsid w:val="000D2A21"/>
    <w:rsid w:val="000E0A3B"/>
    <w:rsid w:val="000F40BD"/>
    <w:rsid w:val="000F5F15"/>
    <w:rsid w:val="0010451F"/>
    <w:rsid w:val="001047FE"/>
    <w:rsid w:val="001065F5"/>
    <w:rsid w:val="001075FF"/>
    <w:rsid w:val="001136C9"/>
    <w:rsid w:val="0011491E"/>
    <w:rsid w:val="001238EF"/>
    <w:rsid w:val="00125720"/>
    <w:rsid w:val="001258D1"/>
    <w:rsid w:val="00131EF4"/>
    <w:rsid w:val="00136F58"/>
    <w:rsid w:val="0014037F"/>
    <w:rsid w:val="001437FA"/>
    <w:rsid w:val="00143CA2"/>
    <w:rsid w:val="001472C2"/>
    <w:rsid w:val="00147A3A"/>
    <w:rsid w:val="00147E01"/>
    <w:rsid w:val="00150477"/>
    <w:rsid w:val="001529E9"/>
    <w:rsid w:val="001553FF"/>
    <w:rsid w:val="001560AA"/>
    <w:rsid w:val="00157116"/>
    <w:rsid w:val="001635B6"/>
    <w:rsid w:val="00166023"/>
    <w:rsid w:val="00166332"/>
    <w:rsid w:val="00166668"/>
    <w:rsid w:val="00166A02"/>
    <w:rsid w:val="00172389"/>
    <w:rsid w:val="001964E9"/>
    <w:rsid w:val="0019668A"/>
    <w:rsid w:val="00197613"/>
    <w:rsid w:val="00197DF1"/>
    <w:rsid w:val="001B3B80"/>
    <w:rsid w:val="001C5E4C"/>
    <w:rsid w:val="001D5619"/>
    <w:rsid w:val="001E4976"/>
    <w:rsid w:val="001E5CF9"/>
    <w:rsid w:val="001E63DB"/>
    <w:rsid w:val="001F140D"/>
    <w:rsid w:val="00201603"/>
    <w:rsid w:val="00205041"/>
    <w:rsid w:val="00211C0C"/>
    <w:rsid w:val="002151B0"/>
    <w:rsid w:val="00221330"/>
    <w:rsid w:val="00223C73"/>
    <w:rsid w:val="002240FC"/>
    <w:rsid w:val="00233DC7"/>
    <w:rsid w:val="00236A09"/>
    <w:rsid w:val="00242A0D"/>
    <w:rsid w:val="002437EF"/>
    <w:rsid w:val="002473FE"/>
    <w:rsid w:val="00247779"/>
    <w:rsid w:val="00247B0A"/>
    <w:rsid w:val="002545A0"/>
    <w:rsid w:val="00254BF6"/>
    <w:rsid w:val="0025525C"/>
    <w:rsid w:val="002639AC"/>
    <w:rsid w:val="002669CB"/>
    <w:rsid w:val="002760D2"/>
    <w:rsid w:val="00281516"/>
    <w:rsid w:val="00285BEE"/>
    <w:rsid w:val="002949F7"/>
    <w:rsid w:val="0029533F"/>
    <w:rsid w:val="002963B7"/>
    <w:rsid w:val="002975CC"/>
    <w:rsid w:val="00297C50"/>
    <w:rsid w:val="00297D6F"/>
    <w:rsid w:val="002A39A6"/>
    <w:rsid w:val="002A406D"/>
    <w:rsid w:val="002A5F69"/>
    <w:rsid w:val="002A642F"/>
    <w:rsid w:val="002B30AF"/>
    <w:rsid w:val="002C09E2"/>
    <w:rsid w:val="002C104F"/>
    <w:rsid w:val="002C2472"/>
    <w:rsid w:val="002C2FF3"/>
    <w:rsid w:val="002C3FFC"/>
    <w:rsid w:val="002C7397"/>
    <w:rsid w:val="002C747B"/>
    <w:rsid w:val="002D2DDF"/>
    <w:rsid w:val="002D4C63"/>
    <w:rsid w:val="002E451D"/>
    <w:rsid w:val="002E65A6"/>
    <w:rsid w:val="002F1A0F"/>
    <w:rsid w:val="00305EB2"/>
    <w:rsid w:val="00322586"/>
    <w:rsid w:val="00326627"/>
    <w:rsid w:val="00331080"/>
    <w:rsid w:val="00333242"/>
    <w:rsid w:val="0033344A"/>
    <w:rsid w:val="003371D6"/>
    <w:rsid w:val="0034330E"/>
    <w:rsid w:val="00344A23"/>
    <w:rsid w:val="00361310"/>
    <w:rsid w:val="00365324"/>
    <w:rsid w:val="00370A6C"/>
    <w:rsid w:val="00373E5A"/>
    <w:rsid w:val="00380A61"/>
    <w:rsid w:val="003851F7"/>
    <w:rsid w:val="003904F2"/>
    <w:rsid w:val="00397B90"/>
    <w:rsid w:val="003B18FA"/>
    <w:rsid w:val="003B1E6A"/>
    <w:rsid w:val="003C2339"/>
    <w:rsid w:val="003C369F"/>
    <w:rsid w:val="003C528D"/>
    <w:rsid w:val="003C5DA3"/>
    <w:rsid w:val="003C5E7A"/>
    <w:rsid w:val="003C6397"/>
    <w:rsid w:val="003C6E92"/>
    <w:rsid w:val="003C782D"/>
    <w:rsid w:val="003D18D1"/>
    <w:rsid w:val="003D4DFD"/>
    <w:rsid w:val="003E0019"/>
    <w:rsid w:val="003E0D23"/>
    <w:rsid w:val="003E239A"/>
    <w:rsid w:val="003E4FC7"/>
    <w:rsid w:val="003E5501"/>
    <w:rsid w:val="003F045A"/>
    <w:rsid w:val="003F7383"/>
    <w:rsid w:val="004003C0"/>
    <w:rsid w:val="00402472"/>
    <w:rsid w:val="00410341"/>
    <w:rsid w:val="0041084F"/>
    <w:rsid w:val="00423876"/>
    <w:rsid w:val="0042648E"/>
    <w:rsid w:val="00427756"/>
    <w:rsid w:val="004320EC"/>
    <w:rsid w:val="00433496"/>
    <w:rsid w:val="004374B5"/>
    <w:rsid w:val="00440EE3"/>
    <w:rsid w:val="00442E4A"/>
    <w:rsid w:val="00444F7A"/>
    <w:rsid w:val="004468C3"/>
    <w:rsid w:val="00447989"/>
    <w:rsid w:val="00447F02"/>
    <w:rsid w:val="0045286B"/>
    <w:rsid w:val="004543C1"/>
    <w:rsid w:val="00455B7D"/>
    <w:rsid w:val="00460DD5"/>
    <w:rsid w:val="00461EFB"/>
    <w:rsid w:val="00465586"/>
    <w:rsid w:val="00470B35"/>
    <w:rsid w:val="00471DFD"/>
    <w:rsid w:val="00472B07"/>
    <w:rsid w:val="00474E71"/>
    <w:rsid w:val="00475E4B"/>
    <w:rsid w:val="00481DFB"/>
    <w:rsid w:val="00486F02"/>
    <w:rsid w:val="004936D2"/>
    <w:rsid w:val="00497749"/>
    <w:rsid w:val="004A315F"/>
    <w:rsid w:val="004A41DD"/>
    <w:rsid w:val="004A44DE"/>
    <w:rsid w:val="004B3F6A"/>
    <w:rsid w:val="004C67B5"/>
    <w:rsid w:val="004C6EA7"/>
    <w:rsid w:val="004D0D6F"/>
    <w:rsid w:val="004E1E3A"/>
    <w:rsid w:val="004E44A1"/>
    <w:rsid w:val="004E61F3"/>
    <w:rsid w:val="004F5B5F"/>
    <w:rsid w:val="004F6924"/>
    <w:rsid w:val="00500DE2"/>
    <w:rsid w:val="00501C46"/>
    <w:rsid w:val="00503F65"/>
    <w:rsid w:val="00505895"/>
    <w:rsid w:val="00506652"/>
    <w:rsid w:val="0051312C"/>
    <w:rsid w:val="00513AE5"/>
    <w:rsid w:val="0051515B"/>
    <w:rsid w:val="00515929"/>
    <w:rsid w:val="00516E16"/>
    <w:rsid w:val="00521CE2"/>
    <w:rsid w:val="00527712"/>
    <w:rsid w:val="00527DC6"/>
    <w:rsid w:val="00537005"/>
    <w:rsid w:val="00537724"/>
    <w:rsid w:val="00537C29"/>
    <w:rsid w:val="005402B7"/>
    <w:rsid w:val="00541180"/>
    <w:rsid w:val="00542CE1"/>
    <w:rsid w:val="0054521B"/>
    <w:rsid w:val="00562570"/>
    <w:rsid w:val="00564685"/>
    <w:rsid w:val="0056708E"/>
    <w:rsid w:val="0057017D"/>
    <w:rsid w:val="00570F07"/>
    <w:rsid w:val="00571C75"/>
    <w:rsid w:val="00571D97"/>
    <w:rsid w:val="00577998"/>
    <w:rsid w:val="00577AC2"/>
    <w:rsid w:val="00583250"/>
    <w:rsid w:val="005938D3"/>
    <w:rsid w:val="005973A6"/>
    <w:rsid w:val="005B1EB6"/>
    <w:rsid w:val="005B49ED"/>
    <w:rsid w:val="005B7467"/>
    <w:rsid w:val="005B7A59"/>
    <w:rsid w:val="005C0503"/>
    <w:rsid w:val="005C3E6A"/>
    <w:rsid w:val="005E3FDF"/>
    <w:rsid w:val="005F289E"/>
    <w:rsid w:val="005F6193"/>
    <w:rsid w:val="005F7A63"/>
    <w:rsid w:val="0061065C"/>
    <w:rsid w:val="0061377A"/>
    <w:rsid w:val="006148CD"/>
    <w:rsid w:val="00620245"/>
    <w:rsid w:val="006228A0"/>
    <w:rsid w:val="006302AB"/>
    <w:rsid w:val="0063113E"/>
    <w:rsid w:val="0063390F"/>
    <w:rsid w:val="00634496"/>
    <w:rsid w:val="00634C47"/>
    <w:rsid w:val="00635777"/>
    <w:rsid w:val="00640409"/>
    <w:rsid w:val="00644836"/>
    <w:rsid w:val="0066386E"/>
    <w:rsid w:val="00665EF3"/>
    <w:rsid w:val="00670B27"/>
    <w:rsid w:val="0067178C"/>
    <w:rsid w:val="0067278D"/>
    <w:rsid w:val="00674906"/>
    <w:rsid w:val="00676DE2"/>
    <w:rsid w:val="006820E4"/>
    <w:rsid w:val="00687E94"/>
    <w:rsid w:val="0069025A"/>
    <w:rsid w:val="006920B6"/>
    <w:rsid w:val="006A2BA3"/>
    <w:rsid w:val="006A4365"/>
    <w:rsid w:val="006A59CA"/>
    <w:rsid w:val="006B661D"/>
    <w:rsid w:val="006B694D"/>
    <w:rsid w:val="006C0216"/>
    <w:rsid w:val="006C166C"/>
    <w:rsid w:val="006C324C"/>
    <w:rsid w:val="006C651B"/>
    <w:rsid w:val="006D1A22"/>
    <w:rsid w:val="006D6975"/>
    <w:rsid w:val="006E0398"/>
    <w:rsid w:val="006E780D"/>
    <w:rsid w:val="006F1963"/>
    <w:rsid w:val="006F37D8"/>
    <w:rsid w:val="006F3D20"/>
    <w:rsid w:val="006F7C73"/>
    <w:rsid w:val="00705EBF"/>
    <w:rsid w:val="00710D10"/>
    <w:rsid w:val="00712040"/>
    <w:rsid w:val="007160DB"/>
    <w:rsid w:val="00716946"/>
    <w:rsid w:val="007262E0"/>
    <w:rsid w:val="00727F80"/>
    <w:rsid w:val="00732C04"/>
    <w:rsid w:val="0073398A"/>
    <w:rsid w:val="00734234"/>
    <w:rsid w:val="00734395"/>
    <w:rsid w:val="00754207"/>
    <w:rsid w:val="007564A7"/>
    <w:rsid w:val="007577DD"/>
    <w:rsid w:val="00762D6F"/>
    <w:rsid w:val="00765592"/>
    <w:rsid w:val="00765FC0"/>
    <w:rsid w:val="00773331"/>
    <w:rsid w:val="00774D0C"/>
    <w:rsid w:val="007773A3"/>
    <w:rsid w:val="00781385"/>
    <w:rsid w:val="00793141"/>
    <w:rsid w:val="007932EF"/>
    <w:rsid w:val="0079512F"/>
    <w:rsid w:val="00796CE7"/>
    <w:rsid w:val="007A3EB9"/>
    <w:rsid w:val="007A4099"/>
    <w:rsid w:val="007B1E40"/>
    <w:rsid w:val="007C50AB"/>
    <w:rsid w:val="007D3964"/>
    <w:rsid w:val="007D6A60"/>
    <w:rsid w:val="007E05B0"/>
    <w:rsid w:val="007F0BD9"/>
    <w:rsid w:val="007F3439"/>
    <w:rsid w:val="008002F4"/>
    <w:rsid w:val="00804CDD"/>
    <w:rsid w:val="00811561"/>
    <w:rsid w:val="00816C51"/>
    <w:rsid w:val="00825C9B"/>
    <w:rsid w:val="008338B1"/>
    <w:rsid w:val="008458ED"/>
    <w:rsid w:val="00853975"/>
    <w:rsid w:val="008577E7"/>
    <w:rsid w:val="00861B84"/>
    <w:rsid w:val="00862DE7"/>
    <w:rsid w:val="00862F45"/>
    <w:rsid w:val="0086637F"/>
    <w:rsid w:val="00871B4A"/>
    <w:rsid w:val="00874D22"/>
    <w:rsid w:val="008855AB"/>
    <w:rsid w:val="008860A7"/>
    <w:rsid w:val="008972BB"/>
    <w:rsid w:val="008A2914"/>
    <w:rsid w:val="008A6494"/>
    <w:rsid w:val="008B05A9"/>
    <w:rsid w:val="008B288F"/>
    <w:rsid w:val="008B29D8"/>
    <w:rsid w:val="008B53CC"/>
    <w:rsid w:val="008B6F63"/>
    <w:rsid w:val="008C5747"/>
    <w:rsid w:val="008D060A"/>
    <w:rsid w:val="008D0FE3"/>
    <w:rsid w:val="008E2F22"/>
    <w:rsid w:val="008E4A85"/>
    <w:rsid w:val="008E4D8E"/>
    <w:rsid w:val="008F0087"/>
    <w:rsid w:val="008F2210"/>
    <w:rsid w:val="00900E3B"/>
    <w:rsid w:val="00901BDF"/>
    <w:rsid w:val="0090349F"/>
    <w:rsid w:val="009043A2"/>
    <w:rsid w:val="00912659"/>
    <w:rsid w:val="0091414A"/>
    <w:rsid w:val="009245FA"/>
    <w:rsid w:val="00925EC5"/>
    <w:rsid w:val="00930141"/>
    <w:rsid w:val="00931531"/>
    <w:rsid w:val="00932D9E"/>
    <w:rsid w:val="00933799"/>
    <w:rsid w:val="009343F3"/>
    <w:rsid w:val="00945816"/>
    <w:rsid w:val="009561CC"/>
    <w:rsid w:val="00957BAE"/>
    <w:rsid w:val="009776A0"/>
    <w:rsid w:val="00977F62"/>
    <w:rsid w:val="009842FE"/>
    <w:rsid w:val="00990B1A"/>
    <w:rsid w:val="00991687"/>
    <w:rsid w:val="00993509"/>
    <w:rsid w:val="009A41A7"/>
    <w:rsid w:val="009A5BE2"/>
    <w:rsid w:val="009B155A"/>
    <w:rsid w:val="009B3617"/>
    <w:rsid w:val="009C1C07"/>
    <w:rsid w:val="009D2327"/>
    <w:rsid w:val="009D2FDE"/>
    <w:rsid w:val="009D3C95"/>
    <w:rsid w:val="009D60F8"/>
    <w:rsid w:val="009E038C"/>
    <w:rsid w:val="009E4023"/>
    <w:rsid w:val="009E4206"/>
    <w:rsid w:val="009E4438"/>
    <w:rsid w:val="009E5643"/>
    <w:rsid w:val="009F0C79"/>
    <w:rsid w:val="009F152C"/>
    <w:rsid w:val="009F1F4E"/>
    <w:rsid w:val="009F4D76"/>
    <w:rsid w:val="009F75D4"/>
    <w:rsid w:val="009F760E"/>
    <w:rsid w:val="00A0399C"/>
    <w:rsid w:val="00A11075"/>
    <w:rsid w:val="00A13093"/>
    <w:rsid w:val="00A20529"/>
    <w:rsid w:val="00A21F26"/>
    <w:rsid w:val="00A35DDD"/>
    <w:rsid w:val="00A37261"/>
    <w:rsid w:val="00A42BDA"/>
    <w:rsid w:val="00A52F19"/>
    <w:rsid w:val="00A5444D"/>
    <w:rsid w:val="00A56D6F"/>
    <w:rsid w:val="00A6022D"/>
    <w:rsid w:val="00A80790"/>
    <w:rsid w:val="00A84506"/>
    <w:rsid w:val="00A859CF"/>
    <w:rsid w:val="00A86F09"/>
    <w:rsid w:val="00A8788A"/>
    <w:rsid w:val="00A95429"/>
    <w:rsid w:val="00A96430"/>
    <w:rsid w:val="00AA3E89"/>
    <w:rsid w:val="00AB0FB7"/>
    <w:rsid w:val="00AB1802"/>
    <w:rsid w:val="00AB2544"/>
    <w:rsid w:val="00AB386D"/>
    <w:rsid w:val="00AB58D7"/>
    <w:rsid w:val="00AB6128"/>
    <w:rsid w:val="00AB799B"/>
    <w:rsid w:val="00AC43B2"/>
    <w:rsid w:val="00AD0162"/>
    <w:rsid w:val="00AD68BA"/>
    <w:rsid w:val="00AE0616"/>
    <w:rsid w:val="00AE4EB3"/>
    <w:rsid w:val="00AE50F5"/>
    <w:rsid w:val="00AF08A8"/>
    <w:rsid w:val="00AF233D"/>
    <w:rsid w:val="00AF7A49"/>
    <w:rsid w:val="00B04130"/>
    <w:rsid w:val="00B106D6"/>
    <w:rsid w:val="00B15606"/>
    <w:rsid w:val="00B204F0"/>
    <w:rsid w:val="00B25113"/>
    <w:rsid w:val="00B4087F"/>
    <w:rsid w:val="00B41560"/>
    <w:rsid w:val="00B4160E"/>
    <w:rsid w:val="00B45715"/>
    <w:rsid w:val="00B477E5"/>
    <w:rsid w:val="00B5112F"/>
    <w:rsid w:val="00B52C8D"/>
    <w:rsid w:val="00B668FE"/>
    <w:rsid w:val="00B80274"/>
    <w:rsid w:val="00B97DA9"/>
    <w:rsid w:val="00BA07FE"/>
    <w:rsid w:val="00BA2E64"/>
    <w:rsid w:val="00BA5888"/>
    <w:rsid w:val="00BA608F"/>
    <w:rsid w:val="00BA7DC3"/>
    <w:rsid w:val="00BB1AC6"/>
    <w:rsid w:val="00BB1E5B"/>
    <w:rsid w:val="00BC124D"/>
    <w:rsid w:val="00BC158D"/>
    <w:rsid w:val="00BC17E3"/>
    <w:rsid w:val="00BC6D9C"/>
    <w:rsid w:val="00BD03D6"/>
    <w:rsid w:val="00BD53DD"/>
    <w:rsid w:val="00BD77C3"/>
    <w:rsid w:val="00BE6163"/>
    <w:rsid w:val="00C02658"/>
    <w:rsid w:val="00C11E78"/>
    <w:rsid w:val="00C11FA9"/>
    <w:rsid w:val="00C12301"/>
    <w:rsid w:val="00C26B96"/>
    <w:rsid w:val="00C3203F"/>
    <w:rsid w:val="00C335AB"/>
    <w:rsid w:val="00C41C71"/>
    <w:rsid w:val="00C44537"/>
    <w:rsid w:val="00C53376"/>
    <w:rsid w:val="00C53EEA"/>
    <w:rsid w:val="00C56920"/>
    <w:rsid w:val="00C70836"/>
    <w:rsid w:val="00C84A36"/>
    <w:rsid w:val="00C92768"/>
    <w:rsid w:val="00C977D7"/>
    <w:rsid w:val="00CA1CD0"/>
    <w:rsid w:val="00CA578D"/>
    <w:rsid w:val="00CA6965"/>
    <w:rsid w:val="00CB6708"/>
    <w:rsid w:val="00CB7814"/>
    <w:rsid w:val="00CC1B11"/>
    <w:rsid w:val="00CC4893"/>
    <w:rsid w:val="00CD0EEA"/>
    <w:rsid w:val="00CD4165"/>
    <w:rsid w:val="00CD58C7"/>
    <w:rsid w:val="00CD5BE7"/>
    <w:rsid w:val="00CD684E"/>
    <w:rsid w:val="00CD6BC1"/>
    <w:rsid w:val="00CE0FE2"/>
    <w:rsid w:val="00CE1284"/>
    <w:rsid w:val="00CE54E0"/>
    <w:rsid w:val="00CE6E6D"/>
    <w:rsid w:val="00CE7B52"/>
    <w:rsid w:val="00CF627E"/>
    <w:rsid w:val="00CF7759"/>
    <w:rsid w:val="00D0330C"/>
    <w:rsid w:val="00D10D66"/>
    <w:rsid w:val="00D14873"/>
    <w:rsid w:val="00D20381"/>
    <w:rsid w:val="00D248B5"/>
    <w:rsid w:val="00D30DD3"/>
    <w:rsid w:val="00D37C08"/>
    <w:rsid w:val="00D403A8"/>
    <w:rsid w:val="00D43ABC"/>
    <w:rsid w:val="00D45246"/>
    <w:rsid w:val="00D45566"/>
    <w:rsid w:val="00D476DC"/>
    <w:rsid w:val="00D5090B"/>
    <w:rsid w:val="00D51504"/>
    <w:rsid w:val="00D64857"/>
    <w:rsid w:val="00D67C0E"/>
    <w:rsid w:val="00D71010"/>
    <w:rsid w:val="00D72E34"/>
    <w:rsid w:val="00D852EA"/>
    <w:rsid w:val="00D85FFD"/>
    <w:rsid w:val="00D9112B"/>
    <w:rsid w:val="00D91778"/>
    <w:rsid w:val="00D96742"/>
    <w:rsid w:val="00D96DAB"/>
    <w:rsid w:val="00D97434"/>
    <w:rsid w:val="00D97F05"/>
    <w:rsid w:val="00DA0A97"/>
    <w:rsid w:val="00DA18F0"/>
    <w:rsid w:val="00DA5683"/>
    <w:rsid w:val="00DB4217"/>
    <w:rsid w:val="00DB711D"/>
    <w:rsid w:val="00DC1916"/>
    <w:rsid w:val="00DC2182"/>
    <w:rsid w:val="00DC5DBE"/>
    <w:rsid w:val="00DD5246"/>
    <w:rsid w:val="00DE4E41"/>
    <w:rsid w:val="00DF367B"/>
    <w:rsid w:val="00E024E2"/>
    <w:rsid w:val="00E07532"/>
    <w:rsid w:val="00E10955"/>
    <w:rsid w:val="00E11283"/>
    <w:rsid w:val="00E1295B"/>
    <w:rsid w:val="00E170EA"/>
    <w:rsid w:val="00E202A8"/>
    <w:rsid w:val="00E20759"/>
    <w:rsid w:val="00E21F07"/>
    <w:rsid w:val="00E27B6D"/>
    <w:rsid w:val="00E326C3"/>
    <w:rsid w:val="00E3415B"/>
    <w:rsid w:val="00E35729"/>
    <w:rsid w:val="00E50C6B"/>
    <w:rsid w:val="00E566C0"/>
    <w:rsid w:val="00E73F37"/>
    <w:rsid w:val="00E75BAE"/>
    <w:rsid w:val="00E84CE9"/>
    <w:rsid w:val="00E929AC"/>
    <w:rsid w:val="00E92EA5"/>
    <w:rsid w:val="00EC4818"/>
    <w:rsid w:val="00EC7754"/>
    <w:rsid w:val="00EC7EF1"/>
    <w:rsid w:val="00EE347C"/>
    <w:rsid w:val="00EE458A"/>
    <w:rsid w:val="00EE5924"/>
    <w:rsid w:val="00EE6E98"/>
    <w:rsid w:val="00EF332E"/>
    <w:rsid w:val="00F038FC"/>
    <w:rsid w:val="00F0531E"/>
    <w:rsid w:val="00F076E7"/>
    <w:rsid w:val="00F2002C"/>
    <w:rsid w:val="00F21F26"/>
    <w:rsid w:val="00F25C39"/>
    <w:rsid w:val="00F324B2"/>
    <w:rsid w:val="00F32B85"/>
    <w:rsid w:val="00F32BA6"/>
    <w:rsid w:val="00F347E1"/>
    <w:rsid w:val="00F35D07"/>
    <w:rsid w:val="00F45B03"/>
    <w:rsid w:val="00F46275"/>
    <w:rsid w:val="00F47568"/>
    <w:rsid w:val="00F51FED"/>
    <w:rsid w:val="00F61284"/>
    <w:rsid w:val="00F64BC5"/>
    <w:rsid w:val="00F67E21"/>
    <w:rsid w:val="00F7307F"/>
    <w:rsid w:val="00F82ED7"/>
    <w:rsid w:val="00F8327B"/>
    <w:rsid w:val="00F86F0E"/>
    <w:rsid w:val="00F93F36"/>
    <w:rsid w:val="00F94A59"/>
    <w:rsid w:val="00FA341C"/>
    <w:rsid w:val="00FA537D"/>
    <w:rsid w:val="00FA6249"/>
    <w:rsid w:val="00FA7DB6"/>
    <w:rsid w:val="00FB1BB9"/>
    <w:rsid w:val="00FB2553"/>
    <w:rsid w:val="00FB61B8"/>
    <w:rsid w:val="00FC1224"/>
    <w:rsid w:val="00FC38F8"/>
    <w:rsid w:val="00FC7AD2"/>
    <w:rsid w:val="00FD2D8F"/>
    <w:rsid w:val="00FD6613"/>
    <w:rsid w:val="00FE3102"/>
    <w:rsid w:val="00FF3163"/>
    <w:rsid w:val="0107E3FB"/>
    <w:rsid w:val="011174A5"/>
    <w:rsid w:val="01DF9000"/>
    <w:rsid w:val="01E516BF"/>
    <w:rsid w:val="023B299E"/>
    <w:rsid w:val="023F2F78"/>
    <w:rsid w:val="02C300BC"/>
    <w:rsid w:val="02D0EC2C"/>
    <w:rsid w:val="030861E8"/>
    <w:rsid w:val="035F617B"/>
    <w:rsid w:val="03F5EC94"/>
    <w:rsid w:val="03FFA901"/>
    <w:rsid w:val="046EAA33"/>
    <w:rsid w:val="0491D4E1"/>
    <w:rsid w:val="050D9F41"/>
    <w:rsid w:val="052FE10D"/>
    <w:rsid w:val="05A983FC"/>
    <w:rsid w:val="05B3E04B"/>
    <w:rsid w:val="0615B686"/>
    <w:rsid w:val="065F44EF"/>
    <w:rsid w:val="068E82A6"/>
    <w:rsid w:val="06CBB16E"/>
    <w:rsid w:val="06CCFA53"/>
    <w:rsid w:val="07533DB5"/>
    <w:rsid w:val="07C327FA"/>
    <w:rsid w:val="07EDB4C4"/>
    <w:rsid w:val="080A5401"/>
    <w:rsid w:val="08F99EAE"/>
    <w:rsid w:val="08F9CD83"/>
    <w:rsid w:val="09739319"/>
    <w:rsid w:val="09987C29"/>
    <w:rsid w:val="09A9C877"/>
    <w:rsid w:val="09BF31E0"/>
    <w:rsid w:val="0A04EF50"/>
    <w:rsid w:val="0A50E063"/>
    <w:rsid w:val="0A5A30AF"/>
    <w:rsid w:val="0B33A6DE"/>
    <w:rsid w:val="0B4AC891"/>
    <w:rsid w:val="0B74B685"/>
    <w:rsid w:val="0B7900E7"/>
    <w:rsid w:val="0B937B24"/>
    <w:rsid w:val="0BAC19DE"/>
    <w:rsid w:val="0C502EC0"/>
    <w:rsid w:val="0CE96B90"/>
    <w:rsid w:val="0D25140B"/>
    <w:rsid w:val="0D3F8E48"/>
    <w:rsid w:val="0D900ADE"/>
    <w:rsid w:val="0DEFCF94"/>
    <w:rsid w:val="0E76DE66"/>
    <w:rsid w:val="0E8C0CA4"/>
    <w:rsid w:val="0E9644BB"/>
    <w:rsid w:val="0F340F56"/>
    <w:rsid w:val="0F654D76"/>
    <w:rsid w:val="0F78A9E8"/>
    <w:rsid w:val="10C334C5"/>
    <w:rsid w:val="112689A8"/>
    <w:rsid w:val="11C92EE1"/>
    <w:rsid w:val="11CECF7B"/>
    <w:rsid w:val="12240BA5"/>
    <w:rsid w:val="124E121F"/>
    <w:rsid w:val="125CA59D"/>
    <w:rsid w:val="129D4BDB"/>
    <w:rsid w:val="12D7C2C5"/>
    <w:rsid w:val="12EC25D9"/>
    <w:rsid w:val="1337B311"/>
    <w:rsid w:val="133FA085"/>
    <w:rsid w:val="13FA082F"/>
    <w:rsid w:val="144AF65A"/>
    <w:rsid w:val="14567A4D"/>
    <w:rsid w:val="14AD463A"/>
    <w:rsid w:val="15095958"/>
    <w:rsid w:val="160F6387"/>
    <w:rsid w:val="16269E3E"/>
    <w:rsid w:val="167A0505"/>
    <w:rsid w:val="16E20809"/>
    <w:rsid w:val="16EB9D47"/>
    <w:rsid w:val="17182DCF"/>
    <w:rsid w:val="17DC9D1F"/>
    <w:rsid w:val="181C8758"/>
    <w:rsid w:val="18B031B2"/>
    <w:rsid w:val="18C85E04"/>
    <w:rsid w:val="195B0F14"/>
    <w:rsid w:val="19B16F2D"/>
    <w:rsid w:val="19B62DD9"/>
    <w:rsid w:val="1B299C99"/>
    <w:rsid w:val="1B77131B"/>
    <w:rsid w:val="1BFD711C"/>
    <w:rsid w:val="1C05E76C"/>
    <w:rsid w:val="1D9BCF27"/>
    <w:rsid w:val="1DA1D608"/>
    <w:rsid w:val="1E6170B9"/>
    <w:rsid w:val="1ED61885"/>
    <w:rsid w:val="1EE0B60D"/>
    <w:rsid w:val="1F3D882E"/>
    <w:rsid w:val="2133ECF5"/>
    <w:rsid w:val="21656315"/>
    <w:rsid w:val="2293AEFF"/>
    <w:rsid w:val="230E63F5"/>
    <w:rsid w:val="2367ED66"/>
    <w:rsid w:val="240B10AB"/>
    <w:rsid w:val="2502084F"/>
    <w:rsid w:val="258F0C35"/>
    <w:rsid w:val="25DD397E"/>
    <w:rsid w:val="262CFD43"/>
    <w:rsid w:val="2633623C"/>
    <w:rsid w:val="2643BA84"/>
    <w:rsid w:val="27F58404"/>
    <w:rsid w:val="28F9C898"/>
    <w:rsid w:val="2925D9D0"/>
    <w:rsid w:val="2AC00791"/>
    <w:rsid w:val="2BC2EACC"/>
    <w:rsid w:val="2BDA397E"/>
    <w:rsid w:val="2C24D835"/>
    <w:rsid w:val="2C4BDE93"/>
    <w:rsid w:val="2C772A92"/>
    <w:rsid w:val="2CF56DD9"/>
    <w:rsid w:val="2DECE24B"/>
    <w:rsid w:val="2DFE3FEE"/>
    <w:rsid w:val="2E3886BC"/>
    <w:rsid w:val="2E4CE9D0"/>
    <w:rsid w:val="2EAD9504"/>
    <w:rsid w:val="2F377298"/>
    <w:rsid w:val="2F41C3CD"/>
    <w:rsid w:val="2F5C78F7"/>
    <w:rsid w:val="2FBE14DD"/>
    <w:rsid w:val="2FD4571D"/>
    <w:rsid w:val="2FFAF7FF"/>
    <w:rsid w:val="304635C5"/>
    <w:rsid w:val="3067E616"/>
    <w:rsid w:val="3068926A"/>
    <w:rsid w:val="30AC0B55"/>
    <w:rsid w:val="30BB6741"/>
    <w:rsid w:val="312DE783"/>
    <w:rsid w:val="316E39D8"/>
    <w:rsid w:val="3179A8AF"/>
    <w:rsid w:val="31C2C382"/>
    <w:rsid w:val="3208D84A"/>
    <w:rsid w:val="321AD096"/>
    <w:rsid w:val="32587116"/>
    <w:rsid w:val="325A0F45"/>
    <w:rsid w:val="32899C7D"/>
    <w:rsid w:val="334B9DD6"/>
    <w:rsid w:val="3415E244"/>
    <w:rsid w:val="357A7550"/>
    <w:rsid w:val="358A58FB"/>
    <w:rsid w:val="36281E08"/>
    <w:rsid w:val="365D58D1"/>
    <w:rsid w:val="36F4EEA6"/>
    <w:rsid w:val="371645B1"/>
    <w:rsid w:val="383976AE"/>
    <w:rsid w:val="38B21612"/>
    <w:rsid w:val="38EFB5B6"/>
    <w:rsid w:val="38F8DE01"/>
    <w:rsid w:val="38FE7567"/>
    <w:rsid w:val="393E1B9B"/>
    <w:rsid w:val="3941BE9A"/>
    <w:rsid w:val="3952F5AA"/>
    <w:rsid w:val="39D528D4"/>
    <w:rsid w:val="3A0F8859"/>
    <w:rsid w:val="3A98637F"/>
    <w:rsid w:val="3ACF504E"/>
    <w:rsid w:val="3ADD8EFB"/>
    <w:rsid w:val="3BE62AFF"/>
    <w:rsid w:val="3C452CD4"/>
    <w:rsid w:val="3E152FBD"/>
    <w:rsid w:val="3E1748F3"/>
    <w:rsid w:val="4001F8EC"/>
    <w:rsid w:val="40247E18"/>
    <w:rsid w:val="408E0281"/>
    <w:rsid w:val="40B9CE7A"/>
    <w:rsid w:val="42C1C632"/>
    <w:rsid w:val="42E6FEEB"/>
    <w:rsid w:val="4304DA97"/>
    <w:rsid w:val="4382AF14"/>
    <w:rsid w:val="43BBF15C"/>
    <w:rsid w:val="43CB3B61"/>
    <w:rsid w:val="43D60152"/>
    <w:rsid w:val="44111953"/>
    <w:rsid w:val="445C75DA"/>
    <w:rsid w:val="44847141"/>
    <w:rsid w:val="45DF4E8F"/>
    <w:rsid w:val="45E45D2E"/>
    <w:rsid w:val="462041A2"/>
    <w:rsid w:val="46BC78DB"/>
    <w:rsid w:val="47761A80"/>
    <w:rsid w:val="487FEC09"/>
    <w:rsid w:val="48A84368"/>
    <w:rsid w:val="48CEC486"/>
    <w:rsid w:val="49066B08"/>
    <w:rsid w:val="4A5ECFDA"/>
    <w:rsid w:val="4A9D88CC"/>
    <w:rsid w:val="4B2BF6D1"/>
    <w:rsid w:val="4BD9370B"/>
    <w:rsid w:val="4C0502D1"/>
    <w:rsid w:val="4D5C51BF"/>
    <w:rsid w:val="4D8A7028"/>
    <w:rsid w:val="4DB6AEF4"/>
    <w:rsid w:val="4E55917A"/>
    <w:rsid w:val="4E8D804C"/>
    <w:rsid w:val="4EAD82EA"/>
    <w:rsid w:val="4EC0C2A1"/>
    <w:rsid w:val="4F048AA0"/>
    <w:rsid w:val="4F8BF471"/>
    <w:rsid w:val="5007E385"/>
    <w:rsid w:val="502950AD"/>
    <w:rsid w:val="502B3E53"/>
    <w:rsid w:val="5049534B"/>
    <w:rsid w:val="5087CA1C"/>
    <w:rsid w:val="5090BB18"/>
    <w:rsid w:val="51A122EF"/>
    <w:rsid w:val="52B4A340"/>
    <w:rsid w:val="52B665B1"/>
    <w:rsid w:val="52DE5B7A"/>
    <w:rsid w:val="534AA1B9"/>
    <w:rsid w:val="53FCD7DD"/>
    <w:rsid w:val="540F4E34"/>
    <w:rsid w:val="545CCE41"/>
    <w:rsid w:val="54A0CE58"/>
    <w:rsid w:val="54B1463F"/>
    <w:rsid w:val="550F6088"/>
    <w:rsid w:val="55665C97"/>
    <w:rsid w:val="55AE0DFC"/>
    <w:rsid w:val="55AE13A4"/>
    <w:rsid w:val="56252A95"/>
    <w:rsid w:val="56460EC4"/>
    <w:rsid w:val="56717E64"/>
    <w:rsid w:val="574CBED8"/>
    <w:rsid w:val="57DD74E4"/>
    <w:rsid w:val="57F4C287"/>
    <w:rsid w:val="57F61655"/>
    <w:rsid w:val="582D9206"/>
    <w:rsid w:val="5861A706"/>
    <w:rsid w:val="5867863F"/>
    <w:rsid w:val="58EABE8A"/>
    <w:rsid w:val="59922D6B"/>
    <w:rsid w:val="59B011B2"/>
    <w:rsid w:val="5A13665B"/>
    <w:rsid w:val="5A73F066"/>
    <w:rsid w:val="5AA9839F"/>
    <w:rsid w:val="5B5577D0"/>
    <w:rsid w:val="5B984E5B"/>
    <w:rsid w:val="5C594A91"/>
    <w:rsid w:val="5C8F537F"/>
    <w:rsid w:val="5CAA3C1C"/>
    <w:rsid w:val="5CD48C6C"/>
    <w:rsid w:val="5D11AEE1"/>
    <w:rsid w:val="5D2FC3D9"/>
    <w:rsid w:val="5D955406"/>
    <w:rsid w:val="5E5D592B"/>
    <w:rsid w:val="5F370614"/>
    <w:rsid w:val="5F4451D9"/>
    <w:rsid w:val="5F7090A5"/>
    <w:rsid w:val="5F9480DA"/>
    <w:rsid w:val="6000BB11"/>
    <w:rsid w:val="6067649B"/>
    <w:rsid w:val="609AC8C4"/>
    <w:rsid w:val="60B7856E"/>
    <w:rsid w:val="60BDC447"/>
    <w:rsid w:val="60EFB503"/>
    <w:rsid w:val="60FA1152"/>
    <w:rsid w:val="61E3325E"/>
    <w:rsid w:val="62423B23"/>
    <w:rsid w:val="62C09CF1"/>
    <w:rsid w:val="62E921C3"/>
    <w:rsid w:val="63178CAF"/>
    <w:rsid w:val="634695D5"/>
    <w:rsid w:val="63A9EB7A"/>
    <w:rsid w:val="63C787A3"/>
    <w:rsid w:val="644839D4"/>
    <w:rsid w:val="648ADACA"/>
    <w:rsid w:val="64D5C412"/>
    <w:rsid w:val="6602338B"/>
    <w:rsid w:val="66ADF19D"/>
    <w:rsid w:val="67223776"/>
    <w:rsid w:val="678B3E37"/>
    <w:rsid w:val="67BFA2AD"/>
    <w:rsid w:val="67EF84B5"/>
    <w:rsid w:val="685EFA9D"/>
    <w:rsid w:val="68727680"/>
    <w:rsid w:val="68D364DA"/>
    <w:rsid w:val="69010711"/>
    <w:rsid w:val="695E4BED"/>
    <w:rsid w:val="69D7098C"/>
    <w:rsid w:val="69F3E691"/>
    <w:rsid w:val="6A19C6B4"/>
    <w:rsid w:val="6A436DA4"/>
    <w:rsid w:val="6AB5985E"/>
    <w:rsid w:val="6AEA7A4F"/>
    <w:rsid w:val="6B2B2077"/>
    <w:rsid w:val="6B6067F9"/>
    <w:rsid w:val="6C35ADE7"/>
    <w:rsid w:val="6C391A8E"/>
    <w:rsid w:val="6C826F2E"/>
    <w:rsid w:val="6D1D9AE8"/>
    <w:rsid w:val="6D2712FA"/>
    <w:rsid w:val="6DB231E8"/>
    <w:rsid w:val="6DD4EAEF"/>
    <w:rsid w:val="6DF5136E"/>
    <w:rsid w:val="6DF787DE"/>
    <w:rsid w:val="6E18B2EE"/>
    <w:rsid w:val="6F451D7F"/>
    <w:rsid w:val="6F466DC1"/>
    <w:rsid w:val="6FF23CDA"/>
    <w:rsid w:val="70ADBD7B"/>
    <w:rsid w:val="70BCCB3B"/>
    <w:rsid w:val="71B577C1"/>
    <w:rsid w:val="71C4A80D"/>
    <w:rsid w:val="72209732"/>
    <w:rsid w:val="7242C075"/>
    <w:rsid w:val="72A4EF6B"/>
    <w:rsid w:val="72B4287B"/>
    <w:rsid w:val="736137A0"/>
    <w:rsid w:val="738D59CD"/>
    <w:rsid w:val="73CC3DE7"/>
    <w:rsid w:val="740D5424"/>
    <w:rsid w:val="7487EB6C"/>
    <w:rsid w:val="7596EFBA"/>
    <w:rsid w:val="765F9741"/>
    <w:rsid w:val="7762F03A"/>
    <w:rsid w:val="7783BABB"/>
    <w:rsid w:val="77BBC2FD"/>
    <w:rsid w:val="783F129F"/>
    <w:rsid w:val="78548532"/>
    <w:rsid w:val="786E1FCC"/>
    <w:rsid w:val="7892480D"/>
    <w:rsid w:val="78C47FE5"/>
    <w:rsid w:val="78FA7CAD"/>
    <w:rsid w:val="79470C4F"/>
    <w:rsid w:val="79AC0845"/>
    <w:rsid w:val="79B76AD1"/>
    <w:rsid w:val="79BED9A6"/>
    <w:rsid w:val="79F32D36"/>
    <w:rsid w:val="7A11B005"/>
    <w:rsid w:val="7A4693FD"/>
    <w:rsid w:val="7A61D7FB"/>
    <w:rsid w:val="7A777CAA"/>
    <w:rsid w:val="7A964D0E"/>
    <w:rsid w:val="7AB98803"/>
    <w:rsid w:val="7AE0F049"/>
    <w:rsid w:val="7B1244F8"/>
    <w:rsid w:val="7B464802"/>
    <w:rsid w:val="7B8EFD97"/>
    <w:rsid w:val="7C8126FE"/>
    <w:rsid w:val="7CD5285D"/>
    <w:rsid w:val="7D5A5B30"/>
    <w:rsid w:val="7E7725AB"/>
    <w:rsid w:val="7EAF63A2"/>
    <w:rsid w:val="7EECB284"/>
    <w:rsid w:val="7F84AB48"/>
    <w:rsid w:val="7FA99FE6"/>
    <w:rsid w:val="7FD27664"/>
    <w:rsid w:val="7FE585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4A79D59-E1F0-44DE-B169-173643B4A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40D"/>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iPriority w:val="99"/>
    <w:semiHidden/>
    <w:unhideWhenUsed/>
    <w:rsid w:val="009561CC"/>
    <w:rPr>
      <w:sz w:val="16"/>
      <w:szCs w:val="16"/>
    </w:rPr>
  </w:style>
  <w:style w:type="paragraph" w:styleId="CommentText">
    <w:name w:val="annotation text"/>
    <w:basedOn w:val="Normal"/>
    <w:link w:val="CommentTextChar"/>
    <w:uiPriority w:val="99"/>
    <w:unhideWhenUsed/>
    <w:rsid w:val="009561CC"/>
    <w:rPr>
      <w:sz w:val="20"/>
      <w:szCs w:val="20"/>
    </w:rPr>
  </w:style>
  <w:style w:type="character" w:customStyle="1" w:styleId="CommentTextChar">
    <w:name w:val="Comment Text Char"/>
    <w:basedOn w:val="DefaultParagraphFont"/>
    <w:link w:val="CommentText"/>
    <w:uiPriority w:val="99"/>
    <w:rsid w:val="009561CC"/>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561CC"/>
    <w:rPr>
      <w:b/>
      <w:bCs/>
    </w:rPr>
  </w:style>
  <w:style w:type="character" w:customStyle="1" w:styleId="CommentSubjectChar">
    <w:name w:val="Comment Subject Char"/>
    <w:basedOn w:val="CommentTextChar"/>
    <w:link w:val="CommentSubject"/>
    <w:uiPriority w:val="99"/>
    <w:semiHidden/>
    <w:rsid w:val="009561CC"/>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561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1CC"/>
    <w:rPr>
      <w:rFonts w:ascii="Segoe UI" w:hAnsi="Segoe UI" w:cs="Segoe UI"/>
      <w:sz w:val="18"/>
      <w:szCs w:val="18"/>
      <w:lang w:val="ro-RO"/>
    </w:rPr>
  </w:style>
  <w:style w:type="paragraph" w:styleId="ListBullet">
    <w:name w:val="List Bullet"/>
    <w:basedOn w:val="Normal"/>
    <w:uiPriority w:val="99"/>
    <w:semiHidden/>
    <w:unhideWhenUsed/>
    <w:rsid w:val="00991687"/>
    <w:pPr>
      <w:numPr>
        <w:numId w:val="1"/>
      </w:numPr>
      <w:contextualSpacing/>
    </w:pPr>
  </w:style>
  <w:style w:type="paragraph" w:styleId="ListBullet2">
    <w:name w:val="List Bullet 2"/>
    <w:basedOn w:val="Normal"/>
    <w:uiPriority w:val="99"/>
    <w:semiHidden/>
    <w:unhideWhenUsed/>
    <w:rsid w:val="00991687"/>
    <w:pPr>
      <w:numPr>
        <w:numId w:val="2"/>
      </w:numPr>
      <w:contextualSpacing/>
    </w:pPr>
  </w:style>
  <w:style w:type="paragraph" w:styleId="ListBullet3">
    <w:name w:val="List Bullet 3"/>
    <w:basedOn w:val="Normal"/>
    <w:uiPriority w:val="99"/>
    <w:semiHidden/>
    <w:unhideWhenUsed/>
    <w:rsid w:val="00991687"/>
    <w:pPr>
      <w:numPr>
        <w:numId w:val="3"/>
      </w:numPr>
      <w:contextualSpacing/>
    </w:pPr>
  </w:style>
  <w:style w:type="paragraph" w:styleId="ListBullet4">
    <w:name w:val="List Bullet 4"/>
    <w:basedOn w:val="Normal"/>
    <w:uiPriority w:val="99"/>
    <w:semiHidden/>
    <w:unhideWhenUsed/>
    <w:rsid w:val="00991687"/>
    <w:pPr>
      <w:numPr>
        <w:numId w:val="4"/>
      </w:numPr>
      <w:contextualSpacing/>
    </w:pPr>
  </w:style>
  <w:style w:type="paragraph" w:styleId="Revision">
    <w:name w:val="Revision"/>
    <w:hidden/>
    <w:uiPriority w:val="99"/>
    <w:semiHidden/>
    <w:rsid w:val="00FA537D"/>
    <w:pPr>
      <w:spacing w:after="0" w:line="240" w:lineRule="auto"/>
    </w:pPr>
    <w:rPr>
      <w:rFonts w:ascii="Times New Roman" w:hAnsi="Times New Roman" w:cs="Times New Roman"/>
      <w:sz w:val="24"/>
    </w:rPr>
  </w:style>
  <w:style w:type="character" w:customStyle="1" w:styleId="Mention1">
    <w:name w:val="Mention1"/>
    <w:basedOn w:val="DefaultParagraphFont"/>
    <w:uiPriority w:val="99"/>
    <w:unhideWhenUsed/>
    <w:rPr>
      <w:color w:val="2B579A"/>
      <w:shd w:val="clear" w:color="auto" w:fill="E6E6E6"/>
    </w:rPr>
  </w:style>
  <w:style w:type="paragraph" w:styleId="Caption">
    <w:name w:val="caption"/>
    <w:basedOn w:val="Normal"/>
    <w:next w:val="Normal"/>
    <w:uiPriority w:val="35"/>
    <w:semiHidden/>
    <w:unhideWhenUsed/>
    <w:qFormat/>
    <w:rsid w:val="007951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9512F"/>
    <w:pPr>
      <w:spacing w:after="0"/>
    </w:pPr>
  </w:style>
  <w:style w:type="paragraph" w:styleId="ListNumber">
    <w:name w:val="List Number"/>
    <w:basedOn w:val="Normal"/>
    <w:uiPriority w:val="99"/>
    <w:semiHidden/>
    <w:unhideWhenUsed/>
    <w:rsid w:val="0079512F"/>
    <w:pPr>
      <w:numPr>
        <w:numId w:val="7"/>
      </w:numPr>
      <w:contextualSpacing/>
    </w:pPr>
  </w:style>
  <w:style w:type="paragraph" w:styleId="ListNumber2">
    <w:name w:val="List Number 2"/>
    <w:basedOn w:val="Normal"/>
    <w:uiPriority w:val="99"/>
    <w:semiHidden/>
    <w:unhideWhenUsed/>
    <w:rsid w:val="0079512F"/>
    <w:pPr>
      <w:numPr>
        <w:numId w:val="8"/>
      </w:numPr>
      <w:contextualSpacing/>
    </w:pPr>
  </w:style>
  <w:style w:type="paragraph" w:styleId="ListNumber3">
    <w:name w:val="List Number 3"/>
    <w:basedOn w:val="Normal"/>
    <w:uiPriority w:val="99"/>
    <w:semiHidden/>
    <w:unhideWhenUsed/>
    <w:rsid w:val="0079512F"/>
    <w:pPr>
      <w:numPr>
        <w:numId w:val="9"/>
      </w:numPr>
      <w:contextualSpacing/>
    </w:pPr>
  </w:style>
  <w:style w:type="paragraph" w:styleId="ListNumber4">
    <w:name w:val="List Number 4"/>
    <w:basedOn w:val="Normal"/>
    <w:uiPriority w:val="99"/>
    <w:semiHidden/>
    <w:unhideWhenUsed/>
    <w:rsid w:val="0079512F"/>
    <w:pPr>
      <w:numPr>
        <w:numId w:val="10"/>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Mention">
    <w:name w:val="Mention"/>
    <w:basedOn w:val="DefaultParagraphFont"/>
    <w:uiPriority w:val="99"/>
    <w:unhideWhenUsed/>
    <w:rsid w:val="00447F02"/>
    <w:rPr>
      <w:color w:val="2B579A"/>
      <w:shd w:val="clear" w:color="auto" w:fill="E1DFDD"/>
    </w:rPr>
  </w:style>
  <w:style w:type="character" w:customStyle="1" w:styleId="UnresolvedMention">
    <w:name w:val="Unresolved Mention"/>
    <w:basedOn w:val="DefaultParagraphFont"/>
    <w:uiPriority w:val="99"/>
    <w:semiHidden/>
    <w:unhideWhenUsed/>
    <w:rsid w:val="004A315F"/>
    <w:rPr>
      <w:color w:val="605E5C"/>
      <w:shd w:val="clear" w:color="auto" w:fill="E1DFDD"/>
    </w:rPr>
  </w:style>
  <w:style w:type="paragraph" w:customStyle="1" w:styleId="paragraph">
    <w:name w:val="paragraph"/>
    <w:basedOn w:val="Normal"/>
    <w:rsid w:val="00501C46"/>
    <w:pPr>
      <w:spacing w:before="100" w:beforeAutospacing="1" w:after="100" w:afterAutospacing="1"/>
      <w:jc w:val="left"/>
    </w:pPr>
    <w:rPr>
      <w:rFonts w:eastAsia="Times New Roman"/>
      <w:szCs w:val="24"/>
      <w:lang w:eastAsia="en-IE"/>
    </w:rPr>
  </w:style>
  <w:style w:type="character" w:customStyle="1" w:styleId="normaltextrun">
    <w:name w:val="normaltextrun"/>
    <w:rsid w:val="00501C46"/>
  </w:style>
  <w:style w:type="character" w:customStyle="1" w:styleId="eop">
    <w:name w:val="eop"/>
    <w:rsid w:val="00501C46"/>
  </w:style>
  <w:style w:type="character" w:customStyle="1" w:styleId="tabchar">
    <w:name w:val="tabchar"/>
    <w:rsid w:val="00501C46"/>
  </w:style>
  <w:style w:type="character" w:customStyle="1" w:styleId="HeaderChar">
    <w:name w:val="Header Char"/>
    <w:basedOn w:val="DefaultParagraphFont"/>
    <w:link w:val="Header"/>
    <w:uiPriority w:val="99"/>
    <w:rsid w:val="003C782D"/>
    <w:rPr>
      <w:rFonts w:ascii="Times New Roman" w:hAnsi="Times New Roman" w:cs="Times New Roman"/>
      <w:sz w:val="24"/>
      <w:lang w:val="ro-RO"/>
    </w:rPr>
  </w:style>
  <w:style w:type="character" w:customStyle="1" w:styleId="FooterChar">
    <w:name w:val="Footer Char"/>
    <w:basedOn w:val="DefaultParagraphFont"/>
    <w:link w:val="Footer"/>
    <w:uiPriority w:val="99"/>
    <w:rsid w:val="003C782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C782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C782D"/>
    <w:pPr>
      <w:spacing w:before="0"/>
      <w:jc w:val="right"/>
    </w:pPr>
    <w:rPr>
      <w:sz w:val="28"/>
    </w:rPr>
  </w:style>
  <w:style w:type="paragraph" w:customStyle="1" w:styleId="FooterSensitivity">
    <w:name w:val="Footer Sensitivity"/>
    <w:basedOn w:val="Normal"/>
    <w:rsid w:val="003C782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C782D"/>
    <w:pPr>
      <w:tabs>
        <w:tab w:val="center" w:pos="4535"/>
        <w:tab w:val="right" w:pos="9071"/>
      </w:tabs>
      <w:spacing w:before="0"/>
    </w:pPr>
  </w:style>
  <w:style w:type="paragraph" w:customStyle="1" w:styleId="HeaderLandscape">
    <w:name w:val="HeaderLandscape"/>
    <w:basedOn w:val="Normal"/>
    <w:rsid w:val="003C782D"/>
    <w:pPr>
      <w:tabs>
        <w:tab w:val="center" w:pos="7285"/>
        <w:tab w:val="right" w:pos="14003"/>
      </w:tabs>
      <w:spacing w:before="0"/>
    </w:pPr>
  </w:style>
  <w:style w:type="paragraph" w:styleId="Footer">
    <w:name w:val="footer"/>
    <w:basedOn w:val="Normal"/>
    <w:link w:val="FooterChar"/>
    <w:uiPriority w:val="99"/>
    <w:unhideWhenUsed/>
    <w:rsid w:val="003C782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C782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122346">
      <w:bodyDiv w:val="1"/>
      <w:marLeft w:val="0"/>
      <w:marRight w:val="0"/>
      <w:marTop w:val="0"/>
      <w:marBottom w:val="0"/>
      <w:divBdr>
        <w:top w:val="none" w:sz="0" w:space="0" w:color="auto"/>
        <w:left w:val="none" w:sz="0" w:space="0" w:color="auto"/>
        <w:bottom w:val="none" w:sz="0" w:space="0" w:color="auto"/>
        <w:right w:val="none" w:sz="0" w:space="0" w:color="auto"/>
      </w:divBdr>
    </w:div>
    <w:div w:id="195574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8F361-67E9-4481-9C59-8A13AA8D3946}">
  <ds:schemaRefs>
    <ds:schemaRef ds:uri="http://schemas.microsoft.com/sharepoint/v3/contenttype/forms"/>
  </ds:schemaRefs>
</ds:datastoreItem>
</file>

<file path=customXml/itemProps2.xml><?xml version="1.0" encoding="utf-8"?>
<ds:datastoreItem xmlns:ds="http://schemas.openxmlformats.org/officeDocument/2006/customXml" ds:itemID="{D0C53848-89B0-466F-BA7C-3B2B3B5FC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E8F8BA-7332-4A12-A780-24D4B2AF68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94FD182-C5A9-4D16-8E45-C259FF3D7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25</TotalTime>
  <Pages>11</Pages>
  <Words>3856</Words>
  <Characters>21981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48</cp:revision>
  <dcterms:created xsi:type="dcterms:W3CDTF">2026-06-12T15:00:00Z</dcterms:created>
  <dcterms:modified xsi:type="dcterms:W3CDTF">2026-06-18T06:53:00Z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2023-07-03T08:34:22Z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1cc9b214-39e5-49ed-8dc9-8503820f5bac</vt:lpwstr>
  </property>
  <property fmtid="{D5CDD505-2E9C-101B-9397-08002B2CF9AE}" pid="11" name="MSIP_Label_6bd9ddd1-4d20-43f6-abfa-fc3c07406f94_ContentBits">
    <vt:lpwstr>0</vt:lpwstr>
  </property>
  <property fmtid="{D5CDD505-2E9C-101B-9397-08002B2CF9AE}" pid="12" name="ContentTypeId">
    <vt:lpwstr>0x010100FF1B87D5ABF651429579392F313233BD</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SJ-019</vt:lpwstr>
  </property>
  <property fmtid="{D5CDD505-2E9C-101B-9397-08002B2CF9AE}" pid="16" name="DQCStatus">
    <vt:lpwstr>Green (DQC version 03)</vt:lpwstr>
  </property>
</Properties>
</file>