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8EB477" w14:textId="3C92C23D" w:rsidR="00A673A2" w:rsidRPr="00DF043F" w:rsidRDefault="00955354" w:rsidP="00955354">
      <w:pPr>
        <w:pStyle w:val="Pagedecouverture"/>
        <w:rPr>
          <w:noProof/>
        </w:rPr>
      </w:pPr>
      <w:bookmarkStart w:id="0" w:name="LW_BM_COVERPAGE"/>
      <w:r>
        <w:rPr>
          <w:noProof/>
        </w:rPr>
        <w:pict w14:anchorId="42F1B8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E5C2C96-FFB3-4DDB-B057-1BE162C6BAD3" style="width:455.25pt;height:327.75pt">
            <v:imagedata r:id="rId8" o:title=""/>
          </v:shape>
        </w:pict>
      </w:r>
    </w:p>
    <w:bookmarkEnd w:id="0"/>
    <w:p w14:paraId="66AE2281" w14:textId="77777777" w:rsidR="00A673A2" w:rsidRPr="00DF043F" w:rsidRDefault="00A673A2" w:rsidP="00F801AC">
      <w:pPr>
        <w:rPr>
          <w:noProof/>
        </w:rPr>
        <w:sectPr w:rsidR="00A673A2" w:rsidRPr="00DF043F" w:rsidSect="00955354">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D5613A2" w14:textId="77777777" w:rsidR="008D3CBA" w:rsidRPr="00DF043F" w:rsidRDefault="00A81CAF" w:rsidP="004C35A4">
      <w:pPr>
        <w:jc w:val="both"/>
        <w:rPr>
          <w:rFonts w:ascii="Times New Roman" w:hAnsi="Times New Roman" w:cs="Times New Roman"/>
          <w:b/>
          <w:noProof/>
          <w:sz w:val="24"/>
          <w:szCs w:val="24"/>
        </w:rPr>
      </w:pPr>
      <w:bookmarkStart w:id="1" w:name="_GoBack"/>
      <w:bookmarkEnd w:id="1"/>
      <w:r>
        <w:rPr>
          <w:rFonts w:ascii="Times New Roman" w:hAnsi="Times New Roman"/>
          <w:b/>
          <w:noProof/>
          <w:sz w:val="24"/>
        </w:rPr>
        <w:lastRenderedPageBreak/>
        <w:t>1. Introducere</w:t>
      </w:r>
    </w:p>
    <w:p w14:paraId="7D5613A4" w14:textId="5D2057FF" w:rsidR="008D3CBA" w:rsidRPr="00464550" w:rsidRDefault="00A81CAF">
      <w:pPr>
        <w:jc w:val="both"/>
        <w:rPr>
          <w:rFonts w:ascii="Times New Roman" w:hAnsi="Times New Roman" w:cs="Times New Roman"/>
          <w:noProof/>
          <w:sz w:val="24"/>
          <w:szCs w:val="24"/>
        </w:rPr>
      </w:pPr>
      <w:r>
        <w:rPr>
          <w:rFonts w:ascii="Times New Roman" w:hAnsi="Times New Roman"/>
          <w:noProof/>
          <w:sz w:val="24"/>
        </w:rPr>
        <w:t>Scopul Sistemului european de informații cu privire la cazierele judiciare (ECRIS) este de a îmbunătăți nivelul de siguranță în spațiul de libertate, securitate și justiție al UE, asigurând între statele membre un schimb eficient de informații privind condamnările anterioare pronunțate de instanțele penale din UE. ECRIS a devenit operațional în aprilie 2012. Sistemul este reglementat de Decizia-cadru 2009/315/JAI a Consiliului din 26 februarie 2009 privind organizarea și conținutul schimbului de informații extrase din cazierele judiciare între statele membre</w:t>
      </w:r>
      <w:r>
        <w:rPr>
          <w:rStyle w:val="FootnoteReference"/>
          <w:rFonts w:ascii="Times New Roman" w:hAnsi="Times New Roman" w:cs="Times New Roman"/>
          <w:noProof/>
          <w:sz w:val="24"/>
          <w:szCs w:val="24"/>
        </w:rPr>
        <w:footnoteReference w:id="2"/>
      </w:r>
      <w:r>
        <w:rPr>
          <w:noProof/>
        </w:rPr>
        <w:t>.</w:t>
      </w:r>
      <w:r>
        <w:rPr>
          <w:rFonts w:ascii="Times New Roman" w:hAnsi="Times New Roman"/>
          <w:noProof/>
          <w:sz w:val="24"/>
        </w:rPr>
        <w:t xml:space="preserve"> Decizia 2009/316/JAI a Consiliului din 6 aprilie 2009 de instituire a Sistemului european de informații cu privire la cazierele judiciare (ECRIS) a fost înlocuită de Directiva (UE) 2019/884, dar este în continuare obligatorie pentru Danemarca și Irlanda</w:t>
      </w:r>
      <w:r>
        <w:rPr>
          <w:rStyle w:val="FootnoteReference"/>
          <w:rFonts w:ascii="Times New Roman" w:hAnsi="Times New Roman" w:cs="Times New Roman"/>
          <w:noProof/>
          <w:sz w:val="24"/>
          <w:szCs w:val="24"/>
        </w:rPr>
        <w:footnoteReference w:id="3"/>
      </w:r>
      <w:r>
        <w:rPr>
          <w:noProof/>
        </w:rPr>
        <w:t>.</w:t>
      </w:r>
      <w:r>
        <w:rPr>
          <w:rFonts w:ascii="Times New Roman" w:hAnsi="Times New Roman"/>
          <w:noProof/>
          <w:sz w:val="24"/>
        </w:rPr>
        <w:t xml:space="preserve"> </w:t>
      </w:r>
    </w:p>
    <w:p w14:paraId="379D014B" w14:textId="6A9E4601" w:rsidR="00BF79AB" w:rsidRPr="00464550" w:rsidRDefault="00BF79AB" w:rsidP="00BF79AB">
      <w:pPr>
        <w:jc w:val="both"/>
        <w:rPr>
          <w:rFonts w:ascii="Times New Roman" w:hAnsi="Times New Roman" w:cs="Times New Roman"/>
          <w:noProof/>
          <w:sz w:val="24"/>
          <w:szCs w:val="24"/>
        </w:rPr>
      </w:pPr>
      <w:r>
        <w:rPr>
          <w:rFonts w:ascii="Times New Roman" w:hAnsi="Times New Roman"/>
          <w:noProof/>
          <w:sz w:val="24"/>
        </w:rPr>
        <w:t>La 29 iunie 2017, Comisia a adoptat primul său raport statistic în conformitate cu articolul 7 din Decizia 2009/316/JAI a Consiliului, care a acoperit perioada cuprinsă între aprilie 2012 și 31 decembrie 2016</w:t>
      </w:r>
      <w:r>
        <w:rPr>
          <w:rFonts w:ascii="Times New Roman" w:hAnsi="Times New Roman" w:cs="Times New Roman"/>
          <w:noProof/>
          <w:sz w:val="24"/>
          <w:szCs w:val="24"/>
          <w:vertAlign w:val="superscript"/>
        </w:rPr>
        <w:footnoteReference w:id="4"/>
      </w:r>
      <w:r>
        <w:rPr>
          <w:rFonts w:ascii="Times New Roman" w:hAnsi="Times New Roman"/>
          <w:noProof/>
          <w:sz w:val="24"/>
        </w:rPr>
        <w:t>. Al doilea raport statistic al Comisiei, adoptat la 21 decembrie 2020, a acoperit perioada cuprinsă între 1 ianuarie 2017 și 31 decembrie 2019</w:t>
      </w:r>
      <w:r>
        <w:rPr>
          <w:rStyle w:val="FootnoteReference"/>
          <w:rFonts w:ascii="Times New Roman" w:hAnsi="Times New Roman"/>
          <w:noProof/>
          <w:sz w:val="24"/>
        </w:rPr>
        <w:footnoteReference w:id="5"/>
      </w:r>
      <w:r>
        <w:rPr>
          <w:noProof/>
        </w:rPr>
        <w:t>.</w:t>
      </w:r>
    </w:p>
    <w:p w14:paraId="50AA7B22" w14:textId="14D0470E" w:rsidR="00A112D4" w:rsidRPr="00464550" w:rsidRDefault="00A81CAF" w:rsidP="00A112D4">
      <w:pPr>
        <w:jc w:val="both"/>
        <w:rPr>
          <w:rFonts w:ascii="Times New Roman" w:hAnsi="Times New Roman"/>
          <w:noProof/>
          <w:sz w:val="24"/>
        </w:rPr>
      </w:pPr>
      <w:r>
        <w:rPr>
          <w:rFonts w:ascii="Times New Roman" w:hAnsi="Times New Roman"/>
          <w:noProof/>
          <w:sz w:val="24"/>
        </w:rPr>
        <w:t>Prezentul raport</w:t>
      </w:r>
      <w:r>
        <w:rPr>
          <w:rStyle w:val="FootnoteReference"/>
          <w:rFonts w:ascii="Times New Roman" w:hAnsi="Times New Roman" w:cs="Times New Roman"/>
          <w:noProof/>
          <w:sz w:val="24"/>
          <w:szCs w:val="24"/>
        </w:rPr>
        <w:footnoteReference w:id="6"/>
      </w:r>
      <w:r>
        <w:rPr>
          <w:rFonts w:ascii="Times New Roman" w:hAnsi="Times New Roman"/>
          <w:noProof/>
          <w:sz w:val="24"/>
        </w:rPr>
        <w:t xml:space="preserve"> este al treilea raport statistic al Comisiei privind schimbul, prin intermediul ECRIS, de informații extrase din cazierele judiciare între statele membre. Scopul său este de a evalua conformitatea schimburilor de informații realizate între statele membre cu cadrul juridic al ECRIS și de a identifica orice aspect legat de eficiența sistemului, în vederea remedierii situației. Comisia își rezervă dreptul de a lua toate măsurile adecvate pentru a se asigura că statele membre își îndeplinesc obligațiile juridice în temeiul Deciziei-cadru 2009/315/JAI a Consiliului. </w:t>
      </w:r>
    </w:p>
    <w:p w14:paraId="625DD41A" w14:textId="4F75D52E" w:rsidR="00C24FA8" w:rsidRPr="002F3A76" w:rsidRDefault="00801271" w:rsidP="00C24FA8">
      <w:pPr>
        <w:jc w:val="both"/>
        <w:rPr>
          <w:rFonts w:ascii="Times New Roman" w:hAnsi="Times New Roman"/>
          <w:noProof/>
          <w:sz w:val="24"/>
        </w:rPr>
      </w:pPr>
      <w:r>
        <w:rPr>
          <w:rFonts w:ascii="Times New Roman" w:hAnsi="Times New Roman"/>
          <w:noProof/>
          <w:sz w:val="24"/>
        </w:rPr>
        <w:t>Prezentul raport a fost adoptat înainte de intrarea în funcțiune a sistemului ECRIS-TCN, care va completa sistemul ECRIS cu un mecanism eficient pentru schimbul de informații privind resortisanții țărilor terțe condamnați</w:t>
      </w:r>
      <w:r>
        <w:rPr>
          <w:rStyle w:val="FootnoteReference"/>
          <w:rFonts w:ascii="Times New Roman" w:hAnsi="Times New Roman" w:cs="Times New Roman"/>
          <w:noProof/>
          <w:sz w:val="24"/>
          <w:szCs w:val="24"/>
        </w:rPr>
        <w:footnoteReference w:id="7"/>
      </w:r>
      <w:r>
        <w:rPr>
          <w:rFonts w:ascii="Times New Roman" w:hAnsi="Times New Roman"/>
          <w:noProof/>
          <w:sz w:val="24"/>
        </w:rPr>
        <w:t>, cu scopul de a evalua schimburile de informații ale statelor membre înainte de intrarea în funcțiune a acestui nou sistem.</w:t>
      </w:r>
    </w:p>
    <w:p w14:paraId="7D5613A8" w14:textId="5DC85A6E" w:rsidR="008D3CBA" w:rsidRPr="00464550" w:rsidRDefault="00A81CAF">
      <w:pPr>
        <w:jc w:val="both"/>
        <w:rPr>
          <w:rFonts w:ascii="Times New Roman" w:hAnsi="Times New Roman" w:cs="Times New Roman"/>
          <w:noProof/>
          <w:sz w:val="24"/>
          <w:szCs w:val="24"/>
        </w:rPr>
      </w:pPr>
      <w:bookmarkStart w:id="2" w:name="_Toc479267018"/>
      <w:r>
        <w:rPr>
          <w:rFonts w:ascii="Times New Roman" w:hAnsi="Times New Roman"/>
          <w:b/>
          <w:noProof/>
          <w:sz w:val="24"/>
        </w:rPr>
        <w:t>1.1. Statisticile ECRIS</w:t>
      </w:r>
      <w:bookmarkEnd w:id="2"/>
    </w:p>
    <w:p w14:paraId="00F2567B" w14:textId="7112326B" w:rsidR="002F3A76" w:rsidRDefault="009119AF">
      <w:pPr>
        <w:jc w:val="both"/>
        <w:rPr>
          <w:rFonts w:ascii="Times New Roman" w:hAnsi="Times New Roman"/>
          <w:noProof/>
          <w:sz w:val="24"/>
        </w:rPr>
      </w:pPr>
      <w:r>
        <w:rPr>
          <w:rFonts w:ascii="Times New Roman" w:hAnsi="Times New Roman"/>
          <w:noProof/>
          <w:sz w:val="24"/>
        </w:rPr>
        <w:t xml:space="preserve">Prezentul raport oferă o imagine de ansamblu asupra utilizării ECRIS în perioada de cinci ani cuprinsă între </w:t>
      </w:r>
      <w:r>
        <w:rPr>
          <w:rFonts w:ascii="Times New Roman" w:hAnsi="Times New Roman"/>
          <w:b/>
          <w:noProof/>
          <w:sz w:val="24"/>
        </w:rPr>
        <w:t>1 ianuarie 2020 și 31 decembrie 2024</w:t>
      </w:r>
      <w:r>
        <w:rPr>
          <w:rFonts w:ascii="Times New Roman" w:hAnsi="Times New Roman"/>
          <w:noProof/>
          <w:sz w:val="24"/>
        </w:rPr>
        <w:t xml:space="preserve">. Raportul este însoțit de documentul de lucru al serviciilor Comisiei </w:t>
      </w:r>
      <w:r w:rsidR="00661653" w:rsidRPr="00661653">
        <w:rPr>
          <w:rFonts w:ascii="Times New Roman" w:hAnsi="Times New Roman"/>
          <w:noProof/>
          <w:sz w:val="24"/>
        </w:rPr>
        <w:t>SWD</w:t>
      </w:r>
      <w:r w:rsidR="00661653">
        <w:rPr>
          <w:rFonts w:ascii="Times New Roman" w:hAnsi="Times New Roman" w:cs="Times New Roman"/>
          <w:noProof/>
          <w:sz w:val="24"/>
          <w:szCs w:val="24"/>
          <w:lang w:eastAsia="en-US"/>
        </w:rPr>
        <w:t>(</w:t>
      </w:r>
      <w:r w:rsidR="00661653" w:rsidRPr="00661653">
        <w:rPr>
          <w:rFonts w:ascii="Times New Roman" w:hAnsi="Times New Roman"/>
          <w:noProof/>
          <w:sz w:val="24"/>
        </w:rPr>
        <w:t>2026</w:t>
      </w:r>
      <w:r w:rsidR="00661653">
        <w:rPr>
          <w:rFonts w:ascii="Times New Roman" w:hAnsi="Times New Roman" w:cs="Times New Roman"/>
          <w:noProof/>
          <w:sz w:val="24"/>
          <w:szCs w:val="24"/>
          <w:lang w:eastAsia="en-US"/>
        </w:rPr>
        <w:t>)152</w:t>
      </w:r>
      <w:r w:rsidR="005F4E05">
        <w:rPr>
          <w:rFonts w:ascii="Times New Roman" w:hAnsi="Times New Roman" w:cs="Times New Roman"/>
          <w:noProof/>
          <w:sz w:val="24"/>
          <w:szCs w:val="24"/>
          <w:lang w:eastAsia="en-US"/>
        </w:rPr>
        <w:t xml:space="preserve"> </w:t>
      </w:r>
      <w:r>
        <w:rPr>
          <w:rFonts w:ascii="Times New Roman" w:hAnsi="Times New Roman"/>
          <w:noProof/>
          <w:sz w:val="24"/>
        </w:rPr>
        <w:t>(„SWD”). Unele dintre statisticile furnizate în raport oferă o prezentare generală care acoperă perioada de 13 ani de funcționare a ECRIS, începând de la data lansării sale, în aprilie 2012.</w:t>
      </w:r>
      <w:r w:rsidR="00965AEC">
        <w:rPr>
          <w:rFonts w:ascii="Times New Roman" w:hAnsi="Times New Roman"/>
          <w:noProof/>
          <w:sz w:val="24"/>
        </w:rPr>
        <w:t xml:space="preserve"> </w:t>
      </w:r>
      <w:r>
        <w:rPr>
          <w:rFonts w:ascii="Times New Roman" w:hAnsi="Times New Roman"/>
          <w:noProof/>
          <w:sz w:val="24"/>
        </w:rPr>
        <w:t xml:space="preserve">Totuși, datele statistice comparative privind toate statele membre și tabelele statistice individuale ale statelor membre incluse în secțiunea 3 din SWD acoperă schimburile de informații realizate prin intermediul ECRIS în ultimii cinci ani, în perioada 2020-2024. După caz, au fost utilizate ca puncte de referință statisticile din anii anteriori. Raportul include, de asemenea, </w:t>
      </w:r>
      <w:r>
        <w:rPr>
          <w:rFonts w:ascii="Times New Roman" w:hAnsi="Times New Roman"/>
          <w:b/>
          <w:noProof/>
          <w:sz w:val="24"/>
        </w:rPr>
        <w:t>date privind schimburile de informații cu Regatul Unit până la 31 decembrie 2020</w:t>
      </w:r>
      <w:r>
        <w:rPr>
          <w:rStyle w:val="FootnoteReference"/>
          <w:rFonts w:ascii="Times New Roman" w:hAnsi="Times New Roman"/>
          <w:noProof/>
          <w:sz w:val="24"/>
        </w:rPr>
        <w:footnoteReference w:id="8"/>
      </w:r>
      <w:r>
        <w:rPr>
          <w:noProof/>
        </w:rPr>
        <w:t>.</w:t>
      </w:r>
      <w:r>
        <w:rPr>
          <w:rFonts w:ascii="Times New Roman" w:hAnsi="Times New Roman"/>
          <w:noProof/>
          <w:sz w:val="24"/>
        </w:rPr>
        <w:t xml:space="preserve"> </w:t>
      </w:r>
    </w:p>
    <w:p w14:paraId="7D5613AF" w14:textId="72C1FC4F" w:rsidR="008D3CBA" w:rsidRPr="00457386" w:rsidRDefault="00A81CAF">
      <w:pPr>
        <w:jc w:val="both"/>
        <w:rPr>
          <w:rFonts w:ascii="Times New Roman" w:hAnsi="Times New Roman" w:cs="Times New Roman"/>
          <w:noProof/>
          <w:sz w:val="24"/>
          <w:szCs w:val="24"/>
        </w:rPr>
      </w:pPr>
      <w:r>
        <w:rPr>
          <w:rFonts w:ascii="Times New Roman" w:hAnsi="Times New Roman"/>
          <w:noProof/>
          <w:sz w:val="24"/>
        </w:rPr>
        <w:t xml:space="preserve">Raportul este elaborat pe baza statisticilor generate automat de sistem și transmise ulterior Comisiei de statele membre. Din cei 233 de indicatori statistici stabiliți pentru ECRIS au fost selectați câțiva, pentru a se publica doar cele mai relevante și semnificative informații statistice. În plus, statele membre au primit solicitarea de a furniza statistici privind numărul de condamnări pronunțate împotriva resortisanților altor state membre pe teritoriul lor, pentru a permite Comisiei să ofere o imagine de ansamblu asupra punerii în aplicare a procedurii de notificare. Raportul cuprinde date referitoare la condamnări care au fost furnizate de toate cele 27 de state membre și de Regatul Unit pentru 2020. </w:t>
      </w:r>
    </w:p>
    <w:p w14:paraId="7D5613B1" w14:textId="42C8F1F5" w:rsidR="00BB7D1A" w:rsidRPr="00464550" w:rsidRDefault="009241BF" w:rsidP="001F7E0E">
      <w:pPr>
        <w:jc w:val="both"/>
        <w:rPr>
          <w:rFonts w:ascii="Times New Roman" w:hAnsi="Times New Roman" w:cs="Times New Roman"/>
          <w:b/>
          <w:noProof/>
          <w:sz w:val="24"/>
          <w:szCs w:val="24"/>
        </w:rPr>
      </w:pPr>
      <w:r>
        <w:rPr>
          <w:rFonts w:ascii="Times New Roman" w:hAnsi="Times New Roman"/>
          <w:b/>
          <w:noProof/>
          <w:sz w:val="24"/>
        </w:rPr>
        <w:t>1.2. Principiile generale ale sistemului ECRIS</w:t>
      </w:r>
    </w:p>
    <w:p w14:paraId="7D5613B2" w14:textId="61D5A054" w:rsidR="0017411D" w:rsidRPr="00464550" w:rsidRDefault="0017411D" w:rsidP="001F7E0E">
      <w:pPr>
        <w:jc w:val="both"/>
        <w:rPr>
          <w:rFonts w:ascii="Times New Roman" w:hAnsi="Times New Roman" w:cs="Times New Roman"/>
          <w:noProof/>
          <w:sz w:val="24"/>
          <w:szCs w:val="24"/>
        </w:rPr>
      </w:pPr>
      <w:r>
        <w:rPr>
          <w:rFonts w:ascii="Times New Roman" w:hAnsi="Times New Roman"/>
          <w:noProof/>
          <w:sz w:val="24"/>
        </w:rPr>
        <w:t>ECRIS se bazează pe o arhitectură descentralizată, în cadrul căreia schimbul de informații cu privire la cazierele judiciare se realizează prin mijloace electronice, exclusiv între autoritățile centrale ale statelor membre.</w:t>
      </w:r>
    </w:p>
    <w:p w14:paraId="7D5613B3" w14:textId="6242FFBD" w:rsidR="00BB7D1A" w:rsidRPr="00464550" w:rsidRDefault="001F7E0E" w:rsidP="00BB7D1A">
      <w:pPr>
        <w:jc w:val="both"/>
        <w:rPr>
          <w:rFonts w:ascii="Times New Roman" w:hAnsi="Times New Roman" w:cs="Times New Roman"/>
          <w:b/>
          <w:noProof/>
          <w:sz w:val="24"/>
          <w:szCs w:val="24"/>
        </w:rPr>
      </w:pPr>
      <w:r>
        <w:rPr>
          <w:rFonts w:ascii="Times New Roman" w:hAnsi="Times New Roman"/>
          <w:noProof/>
          <w:sz w:val="24"/>
        </w:rPr>
        <w:t>Fiecare stat membru care a pronunțat o condamnare împotriva unui resortisant al unui alt stat membru trebuie să transmită cât mai curând posibil statului membru respectiv („statul membru de cetățenie”), prin intermediul ECRIS, toate informațiile referitoare la condamnare (</w:t>
      </w:r>
      <w:r>
        <w:rPr>
          <w:rFonts w:ascii="Times New Roman" w:hAnsi="Times New Roman"/>
          <w:b/>
          <w:noProof/>
          <w:sz w:val="24"/>
        </w:rPr>
        <w:t>notificări privind noi condamnări</w:t>
      </w:r>
      <w:r>
        <w:rPr>
          <w:rFonts w:ascii="Times New Roman" w:hAnsi="Times New Roman"/>
          <w:noProof/>
          <w:sz w:val="24"/>
        </w:rPr>
        <w:t>) și eventualele actualizări ulterioare (</w:t>
      </w:r>
      <w:r>
        <w:rPr>
          <w:rFonts w:ascii="Times New Roman" w:hAnsi="Times New Roman"/>
          <w:b/>
          <w:noProof/>
          <w:sz w:val="24"/>
        </w:rPr>
        <w:t>notificări privind actualizările</w:t>
      </w:r>
      <w:r>
        <w:rPr>
          <w:rFonts w:ascii="Times New Roman" w:hAnsi="Times New Roman"/>
          <w:noProof/>
          <w:sz w:val="24"/>
        </w:rPr>
        <w:t>).</w:t>
      </w:r>
    </w:p>
    <w:p w14:paraId="7D5613B4" w14:textId="27799974" w:rsidR="00E106B5" w:rsidRDefault="00E106B5" w:rsidP="00BB7D1A">
      <w:pPr>
        <w:jc w:val="both"/>
        <w:rPr>
          <w:rFonts w:ascii="Times New Roman" w:hAnsi="Times New Roman" w:cs="Times New Roman"/>
          <w:b/>
          <w:noProof/>
          <w:sz w:val="24"/>
          <w:szCs w:val="24"/>
        </w:rPr>
      </w:pPr>
      <w:r>
        <w:rPr>
          <w:rFonts w:ascii="Times New Roman" w:hAnsi="Times New Roman"/>
          <w:noProof/>
          <w:sz w:val="24"/>
        </w:rPr>
        <w:t>Statul membru de cetățenie centralizează astfel toate condamnările pronunțate de instanțele penale ale celorlalte state membre ale UE împotriva resortisanților săi, pe lângă eventualele condamnări pronunțate de instanțele proprii. Ulterior, statul membru de cetățenie are obligația de a stoca și de a actualiza toate informațiile primite prin intermediul ECRIS și de a furniza informații cu privire la cazierele judiciare (</w:t>
      </w:r>
      <w:r>
        <w:rPr>
          <w:rFonts w:ascii="Times New Roman" w:hAnsi="Times New Roman"/>
          <w:b/>
          <w:noProof/>
          <w:sz w:val="24"/>
        </w:rPr>
        <w:t>răspunsuri la cereri</w:t>
      </w:r>
      <w:r>
        <w:rPr>
          <w:rFonts w:ascii="Times New Roman" w:hAnsi="Times New Roman"/>
          <w:noProof/>
          <w:sz w:val="24"/>
        </w:rPr>
        <w:t>) la solicitarea unui alt stat membru (</w:t>
      </w:r>
      <w:r>
        <w:rPr>
          <w:rFonts w:ascii="Times New Roman" w:hAnsi="Times New Roman"/>
          <w:b/>
          <w:noProof/>
          <w:sz w:val="24"/>
        </w:rPr>
        <w:t>cereri de informații</w:t>
      </w:r>
      <w:r>
        <w:rPr>
          <w:rFonts w:ascii="Times New Roman" w:hAnsi="Times New Roman"/>
          <w:noProof/>
          <w:sz w:val="24"/>
        </w:rPr>
        <w:t xml:space="preserve">), în </w:t>
      </w:r>
      <w:r>
        <w:rPr>
          <w:rFonts w:ascii="Times New Roman" w:hAnsi="Times New Roman"/>
          <w:b/>
          <w:noProof/>
          <w:sz w:val="24"/>
        </w:rPr>
        <w:t>termene scurte, de 10 sau de 20 de zile</w:t>
      </w:r>
      <w:r>
        <w:rPr>
          <w:rStyle w:val="FootnoteReference"/>
          <w:rFonts w:ascii="Times New Roman" w:hAnsi="Times New Roman" w:cs="Times New Roman"/>
          <w:bCs/>
          <w:noProof/>
          <w:sz w:val="24"/>
          <w:szCs w:val="24"/>
        </w:rPr>
        <w:footnoteReference w:id="9"/>
      </w:r>
      <w:r>
        <w:rPr>
          <w:noProof/>
        </w:rPr>
        <w:t>.</w:t>
      </w:r>
    </w:p>
    <w:p w14:paraId="3D242699" w14:textId="13EDB9D1" w:rsidR="00904A0A" w:rsidRPr="00904A0A" w:rsidRDefault="005135D8" w:rsidP="00904A0A">
      <w:pPr>
        <w:jc w:val="both"/>
        <w:rPr>
          <w:rFonts w:ascii="Times New Roman" w:hAnsi="Times New Roman" w:cs="Times New Roman"/>
          <w:b/>
          <w:noProof/>
          <w:sz w:val="24"/>
          <w:szCs w:val="24"/>
        </w:rPr>
      </w:pPr>
      <w:r>
        <w:rPr>
          <w:rFonts w:ascii="Times New Roman" w:hAnsi="Times New Roman"/>
          <w:noProof/>
          <w:sz w:val="24"/>
          <w:lang w:val="en-GB"/>
        </w:rPr>
        <mc:AlternateContent>
          <mc:Choice Requires="wps">
            <w:drawing>
              <wp:anchor distT="45720" distB="45720" distL="114300" distR="114300" simplePos="0" relativeHeight="251700736" behindDoc="0" locked="0" layoutInCell="1" allowOverlap="1" wp14:anchorId="10A3F2D1" wp14:editId="5CE8D4D4">
                <wp:simplePos x="0" y="0"/>
                <wp:positionH relativeFrom="column">
                  <wp:posOffset>21590</wp:posOffset>
                </wp:positionH>
                <wp:positionV relativeFrom="paragraph">
                  <wp:posOffset>304165</wp:posOffset>
                </wp:positionV>
                <wp:extent cx="5737860" cy="3208020"/>
                <wp:effectExtent l="0" t="0" r="15240" b="11430"/>
                <wp:wrapSquare wrapText="bothSides"/>
                <wp:docPr id="11105443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7860" cy="3208020"/>
                        </a:xfrm>
                        <a:prstGeom prst="rect">
                          <a:avLst/>
                        </a:prstGeom>
                        <a:solidFill>
                          <a:srgbClr val="FFFFFF"/>
                        </a:solidFill>
                        <a:ln w="9525">
                          <a:solidFill>
                            <a:srgbClr val="000000"/>
                          </a:solidFill>
                          <a:miter lim="800000"/>
                          <a:headEnd/>
                          <a:tailEnd/>
                        </a:ln>
                      </wps:spPr>
                      <wps:txbx>
                        <w:txbxContent>
                          <w:p w14:paraId="32A43898" w14:textId="2D72462F" w:rsidR="00BB710B" w:rsidRPr="00904A0A" w:rsidRDefault="00BB710B" w:rsidP="00BB710B">
                            <w:pPr>
                              <w:jc w:val="both"/>
                              <w:rPr>
                                <w:rFonts w:ascii="Times New Roman" w:hAnsi="Times New Roman" w:cs="Times New Roman"/>
                                <w:sz w:val="24"/>
                                <w:szCs w:val="24"/>
                              </w:rPr>
                            </w:pPr>
                            <w:r>
                              <w:rPr>
                                <w:rFonts w:ascii="Times New Roman" w:hAnsi="Times New Roman"/>
                                <w:sz w:val="24"/>
                              </w:rPr>
                              <w:t xml:space="preserve">La mai bine de 10 ani de la lansarea sa, ECRIS a atins o </w:t>
                            </w:r>
                            <w:r>
                              <w:rPr>
                                <w:rFonts w:ascii="Times New Roman" w:hAnsi="Times New Roman"/>
                                <w:b/>
                                <w:sz w:val="24"/>
                              </w:rPr>
                              <w:t>bornă importantă în 2022, când toate cele 27 de state membre au devenit pe deplin interconectate</w:t>
                            </w:r>
                            <w:r>
                              <w:rPr>
                                <w:rFonts w:ascii="Times New Roman" w:hAnsi="Times New Roman"/>
                                <w:sz w:val="24"/>
                              </w:rPr>
                              <w:t xml:space="preserve"> și a fost stabilit și stabilizat numărul maxim posibil de 702 interconexiuni. Sunt eliminate, astfel, barierele tehnice legate de schimbul de informații privind cazierele judiciare în întreaga UE.</w:t>
                            </w:r>
                          </w:p>
                          <w:p w14:paraId="611BE773" w14:textId="22CB882E" w:rsidR="00BB710B" w:rsidRPr="00904A0A" w:rsidRDefault="00BB710B" w:rsidP="00BB710B">
                            <w:pPr>
                              <w:jc w:val="both"/>
                              <w:rPr>
                                <w:rFonts w:ascii="Times New Roman" w:hAnsi="Times New Roman" w:cs="Times New Roman"/>
                                <w:sz w:val="24"/>
                                <w:szCs w:val="24"/>
                              </w:rPr>
                            </w:pPr>
                            <w:r>
                              <w:rPr>
                                <w:rFonts w:ascii="Times New Roman" w:hAnsi="Times New Roman"/>
                                <w:b/>
                                <w:sz w:val="24"/>
                              </w:rPr>
                              <w:t>După o scădere cauzată de pandemie și de Brexit</w:t>
                            </w:r>
                            <w:r>
                              <w:rPr>
                                <w:rFonts w:ascii="Times New Roman" w:hAnsi="Times New Roman"/>
                                <w:sz w:val="24"/>
                              </w:rPr>
                              <w:t xml:space="preserve">, </w:t>
                            </w:r>
                            <w:r>
                              <w:rPr>
                                <w:rFonts w:ascii="Times New Roman" w:hAnsi="Times New Roman"/>
                                <w:b/>
                                <w:sz w:val="24"/>
                              </w:rPr>
                              <w:t>volumul schimburilor de informații a început să crească din nou</w:t>
                            </w:r>
                            <w:r>
                              <w:rPr>
                                <w:rFonts w:ascii="Times New Roman" w:hAnsi="Times New Roman"/>
                                <w:sz w:val="24"/>
                              </w:rPr>
                              <w:t>, ajungând la aproape 4,8 milioane de mesaje în 2024, cu o medie de 400 000 de mesaje pe lună. Începând din 2017, structura schimburilor s-a schimbat considerabil, numărul cererilor de informații fiind în prezent de aproape cinci ori mai mare decât cel al notificărilor privind condamnările.</w:t>
                            </w:r>
                          </w:p>
                          <w:p w14:paraId="068B0484" w14:textId="7890631C" w:rsidR="00BB710B" w:rsidRPr="00904A0A" w:rsidRDefault="00BB710B" w:rsidP="00BB710B">
                            <w:pPr>
                              <w:jc w:val="both"/>
                              <w:rPr>
                                <w:rFonts w:ascii="Times New Roman" w:hAnsi="Times New Roman" w:cs="Times New Roman"/>
                                <w:sz w:val="24"/>
                                <w:szCs w:val="24"/>
                              </w:rPr>
                            </w:pPr>
                            <w:r>
                              <w:rPr>
                                <w:rFonts w:ascii="Times New Roman" w:hAnsi="Times New Roman"/>
                                <w:b/>
                                <w:sz w:val="24"/>
                              </w:rPr>
                              <w:t>Numărul condamnărilor pronunțate împotriva cetățenilor din alte state membre a scăzut semnificativ</w:t>
                            </w:r>
                            <w:r>
                              <w:rPr>
                                <w:rFonts w:ascii="Times New Roman" w:hAnsi="Times New Roman"/>
                                <w:sz w:val="24"/>
                              </w:rPr>
                              <w:t xml:space="preserve"> în 2020, ajungând la aproximativ 250 000 pe an, și s-a menținut la acest nivel de atunci, determinând o </w:t>
                            </w:r>
                            <w:r>
                              <w:rPr>
                                <w:rFonts w:ascii="Times New Roman" w:hAnsi="Times New Roman"/>
                                <w:b/>
                                <w:sz w:val="24"/>
                              </w:rPr>
                              <w:t>scădere a numărului de notificări privind noi condamnări</w:t>
                            </w:r>
                            <w:r>
                              <w:rPr>
                                <w:rFonts w:ascii="Times New Roman" w:hAnsi="Times New Roman"/>
                                <w:sz w:val="24"/>
                              </w:rPr>
                              <w:t xml:space="preserve">. În 2024, numărul notificărilor a scăzut la 260 000, comparabil cu nivelul înregistrat în 2014. </w:t>
                            </w:r>
                            <w:r>
                              <w:rPr>
                                <w:rFonts w:ascii="Times New Roman" w:hAnsi="Times New Roman"/>
                                <w:b/>
                                <w:sz w:val="24"/>
                              </w:rPr>
                              <w:t>În prezent, toate statele membre transmit notificări privind noi condamnări</w:t>
                            </w:r>
                            <w:r>
                              <w:rPr>
                                <w:rFonts w:ascii="Times New Roman" w:hAnsi="Times New Roman"/>
                                <w:sz w:val="24"/>
                              </w:rPr>
                              <w:t xml:space="preserve"> și multe dintre ele nu mai au </w:t>
                            </w:r>
                            <w:r>
                              <w:rPr>
                                <w:rFonts w:ascii="Times New Roman" w:hAnsi="Times New Roman"/>
                                <w:b/>
                                <w:sz w:val="24"/>
                              </w:rPr>
                              <w:t>notificări restante</w:t>
                            </w:r>
                            <w:r>
                              <w:rPr>
                                <w:rFonts w:ascii="Times New Roman" w:hAnsi="Times New Roman"/>
                                <w:sz w:val="24"/>
                              </w:rPr>
                              <w:t xml:space="preserve"> de transmis, însă nu toate condamnările fac obiectul notificărilor, în special în Danemarca, Irlanda, Luxemburg, Slovacia și România.</w:t>
                            </w:r>
                          </w:p>
                          <w:p w14:paraId="1E38F859" w14:textId="77777777" w:rsidR="00BB710B" w:rsidRPr="00F57E79" w:rsidRDefault="00BB710B" w:rsidP="00BB710B">
                            <w:pPr>
                              <w:jc w:val="both"/>
                              <w:rPr>
                                <w:rFonts w:ascii="Times New Roman" w:hAnsi="Times New Roman" w:cs="Times New Roman"/>
                                <w:sz w:val="24"/>
                                <w:szCs w:val="24"/>
                              </w:rPr>
                            </w:pPr>
                          </w:p>
                          <w:p w14:paraId="45A9907B" w14:textId="4C6FBC13" w:rsidR="00BB710B" w:rsidRPr="00F57E79" w:rsidRDefault="00BB710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A3F2D1" id="_x0000_t202" coordsize="21600,21600" o:spt="202" path="m,l,21600r21600,l21600,xe">
                <v:stroke joinstyle="miter"/>
                <v:path gradientshapeok="t" o:connecttype="rect"/>
              </v:shapetype>
              <v:shape id="Text Box 2" o:spid="_x0000_s1026" type="#_x0000_t202" style="position:absolute;left:0;text-align:left;margin-left:1.7pt;margin-top:23.95pt;width:451.8pt;height:252.6pt;z-index:251700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">
                <v:textbox>
                  <w:txbxContent>
                    <w:p w14:paraId="32A43898" w14:textId="2D72462F" w:rsidR="00BB710B" w:rsidRPr="00904A0A" w:rsidRDefault="00BB710B" w:rsidP="00BB710B">
                      <w:pPr>
                        <w:jc w:val="both"/>
                        <w:rPr>
                          <w:rFonts w:ascii="Times New Roman" w:hAnsi="Times New Roman" w:cs="Times New Roman"/>
                          <w:sz w:val="24"/>
                          <w:szCs w:val="24"/>
                        </w:rPr>
                      </w:pPr>
                      <w:r>
                        <w:rPr>
                          <w:rFonts w:ascii="Times New Roman" w:hAnsi="Times New Roman"/>
                          <w:sz w:val="24"/>
                        </w:rPr>
                        <w:t xml:space="preserve">La mai bine de 10 ani de la lansarea sa, ECRIS a atins o </w:t>
                      </w:r>
                      <w:r>
                        <w:rPr>
                          <w:rFonts w:ascii="Times New Roman" w:hAnsi="Times New Roman"/>
                          <w:b/>
                          <w:sz w:val="24"/>
                        </w:rPr>
                        <w:t>bornă importantă în 2022, când toate cele 27 de state membre au devenit pe deplin interconectate</w:t>
                      </w:r>
                      <w:r>
                        <w:rPr>
                          <w:rFonts w:ascii="Times New Roman" w:hAnsi="Times New Roman"/>
                          <w:sz w:val="24"/>
                        </w:rPr>
                        <w:t xml:space="preserve"> și a fost stabilit și stabilizat numărul maxim posibil de 702 interconexiuni. Sunt eliminate, astfel, barierele tehnice legate de schimbul de informații privind cazierele judiciare în întreaga UE.</w:t>
                      </w:r>
                    </w:p>
                    <w:p w14:paraId="611BE773" w14:textId="22CB882E" w:rsidR="00BB710B" w:rsidRPr="00904A0A" w:rsidRDefault="00BB710B" w:rsidP="00BB710B">
                      <w:pPr>
                        <w:jc w:val="both"/>
                        <w:rPr>
                          <w:rFonts w:ascii="Times New Roman" w:hAnsi="Times New Roman" w:cs="Times New Roman"/>
                          <w:sz w:val="24"/>
                          <w:szCs w:val="24"/>
                        </w:rPr>
                      </w:pPr>
                      <w:r>
                        <w:rPr>
                          <w:rFonts w:ascii="Times New Roman" w:hAnsi="Times New Roman"/>
                          <w:b/>
                          <w:sz w:val="24"/>
                        </w:rPr>
                        <w:t>După o scădere cauzată de pandemie și de Brexit</w:t>
                      </w:r>
                      <w:r>
                        <w:rPr>
                          <w:rFonts w:ascii="Times New Roman" w:hAnsi="Times New Roman"/>
                          <w:sz w:val="24"/>
                        </w:rPr>
                        <w:t xml:space="preserve">, </w:t>
                      </w:r>
                      <w:r>
                        <w:rPr>
                          <w:rFonts w:ascii="Times New Roman" w:hAnsi="Times New Roman"/>
                          <w:b/>
                          <w:sz w:val="24"/>
                        </w:rPr>
                        <w:t>volumul schimburilor de informații a început să crească din nou</w:t>
                      </w:r>
                      <w:r>
                        <w:rPr>
                          <w:rFonts w:ascii="Times New Roman" w:hAnsi="Times New Roman"/>
                          <w:sz w:val="24"/>
                        </w:rPr>
                        <w:t>, ajungând la aproape 4,8 milioane de mesaje în 2024, cu o medie de 400 000 de mesaje pe lună. Începând din 2017, structura schimburilor s-a schimbat considerabil, numărul cererilor de informații fiind în prezent de aproape cinci ori mai mare decât cel al notificărilor privind condamnările.</w:t>
                      </w:r>
                    </w:p>
                    <w:p w14:paraId="068B0484" w14:textId="7890631C" w:rsidR="00BB710B" w:rsidRPr="00904A0A" w:rsidRDefault="00BB710B" w:rsidP="00BB710B">
                      <w:pPr>
                        <w:jc w:val="both"/>
                        <w:rPr>
                          <w:rFonts w:ascii="Times New Roman" w:hAnsi="Times New Roman" w:cs="Times New Roman"/>
                          <w:sz w:val="24"/>
                          <w:szCs w:val="24"/>
                        </w:rPr>
                      </w:pPr>
                      <w:r>
                        <w:rPr>
                          <w:rFonts w:ascii="Times New Roman" w:hAnsi="Times New Roman"/>
                          <w:b/>
                          <w:sz w:val="24"/>
                        </w:rPr>
                        <w:t>Numărul condamnărilor pronunțate împotriva cetățenilor din alte state membre a scăzut semnificativ</w:t>
                      </w:r>
                      <w:r>
                        <w:rPr>
                          <w:rFonts w:ascii="Times New Roman" w:hAnsi="Times New Roman"/>
                          <w:sz w:val="24"/>
                        </w:rPr>
                        <w:t xml:space="preserve"> în 2020, ajungând la aproximativ 250 000 pe an, și s-a menținut la acest nivel de atunci, determinând o </w:t>
                      </w:r>
                      <w:r>
                        <w:rPr>
                          <w:rFonts w:ascii="Times New Roman" w:hAnsi="Times New Roman"/>
                          <w:b/>
                          <w:sz w:val="24"/>
                        </w:rPr>
                        <w:t>scădere a numărului de notificări privind noi condamnări</w:t>
                      </w:r>
                      <w:r>
                        <w:rPr>
                          <w:rFonts w:ascii="Times New Roman" w:hAnsi="Times New Roman"/>
                          <w:sz w:val="24"/>
                        </w:rPr>
                        <w:t xml:space="preserve">. În 2024, numărul notificărilor a scăzut la 260 000, comparabil cu nivelul înregistrat în 2014. </w:t>
                      </w:r>
                      <w:r>
                        <w:rPr>
                          <w:rFonts w:ascii="Times New Roman" w:hAnsi="Times New Roman"/>
                          <w:b/>
                          <w:sz w:val="24"/>
                        </w:rPr>
                        <w:t>În prezent, toate statele membre transmit notificări privind noi condamnări</w:t>
                      </w:r>
                      <w:r>
                        <w:rPr>
                          <w:rFonts w:ascii="Times New Roman" w:hAnsi="Times New Roman"/>
                          <w:sz w:val="24"/>
                        </w:rPr>
                        <w:t xml:space="preserve"> și multe dintre ele nu mai au </w:t>
                      </w:r>
                      <w:r>
                        <w:rPr>
                          <w:rFonts w:ascii="Times New Roman" w:hAnsi="Times New Roman"/>
                          <w:b/>
                          <w:sz w:val="24"/>
                        </w:rPr>
                        <w:t>notificări restante</w:t>
                      </w:r>
                      <w:r>
                        <w:rPr>
                          <w:rFonts w:ascii="Times New Roman" w:hAnsi="Times New Roman"/>
                          <w:sz w:val="24"/>
                        </w:rPr>
                        <w:t xml:space="preserve"> de transmis, însă nu toate condamnările fac obiectul notificărilor, în special în Danemarca, Irlanda, Luxemburg, Slovacia și România.</w:t>
                      </w:r>
                    </w:p>
                    <w:p w14:paraId="1E38F859" w14:textId="77777777" w:rsidR="00BB710B" w:rsidRPr="00F57E79" w:rsidRDefault="00BB710B" w:rsidP="00BB710B">
                      <w:pPr>
                        <w:jc w:val="both"/>
                        <w:rPr>
                          <w:rFonts w:ascii="Times New Roman" w:hAnsi="Times New Roman" w:cs="Times New Roman"/>
                          <w:sz w:val="24"/>
                          <w:szCs w:val="24"/>
                        </w:rPr>
                      </w:pPr>
                    </w:p>
                    <w:p w14:paraId="45A9907B" w14:textId="4C6FBC13" w:rsidR="00BB710B" w:rsidRPr="00F57E79" w:rsidRDefault="00BB710B"/>
                  </w:txbxContent>
                </v:textbox>
                <w10:wrap type="square"/>
              </v:shape>
            </w:pict>
          </mc:Fallback>
        </mc:AlternateContent>
      </w:r>
      <w:r>
        <w:rPr>
          <w:rFonts w:ascii="Times New Roman" w:hAnsi="Times New Roman"/>
          <w:b/>
          <w:noProof/>
          <w:sz w:val="24"/>
        </w:rPr>
        <w:t>1.3. Rezumat</w:t>
      </w:r>
    </w:p>
    <w:p w14:paraId="7D5613B7" w14:textId="406B1ADD" w:rsidR="008D3CBA" w:rsidRPr="00464550" w:rsidRDefault="00AC5086">
      <w:pPr>
        <w:jc w:val="both"/>
        <w:rPr>
          <w:rFonts w:ascii="Times New Roman" w:hAnsi="Times New Roman" w:cs="Times New Roman"/>
          <w:b/>
          <w:noProof/>
          <w:sz w:val="24"/>
          <w:szCs w:val="24"/>
        </w:rPr>
      </w:pPr>
      <w:r>
        <w:rPr>
          <w:rFonts w:ascii="Times New Roman" w:hAnsi="Times New Roman"/>
          <w:b/>
          <w:noProof/>
          <w:sz w:val="24"/>
          <w:lang w:val="en-GB"/>
        </w:rPr>
        <mc:AlternateContent>
          <mc:Choice Requires="wps">
            <w:drawing>
              <wp:anchor distT="45720" distB="45720" distL="114300" distR="114300" simplePos="0" relativeHeight="251703808" behindDoc="0" locked="0" layoutInCell="1" allowOverlap="1" wp14:anchorId="1216C29C" wp14:editId="12A603B9">
                <wp:simplePos x="0" y="0"/>
                <wp:positionH relativeFrom="column">
                  <wp:posOffset>21590</wp:posOffset>
                </wp:positionH>
                <wp:positionV relativeFrom="paragraph">
                  <wp:posOffset>-1270</wp:posOffset>
                </wp:positionV>
                <wp:extent cx="5837555" cy="6972300"/>
                <wp:effectExtent l="0" t="0" r="10795" b="19050"/>
                <wp:wrapSquare wrapText="bothSides"/>
                <wp:docPr id="21473590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7555" cy="6972300"/>
                        </a:xfrm>
                        <a:prstGeom prst="rect">
                          <a:avLst/>
                        </a:prstGeom>
                        <a:solidFill>
                          <a:srgbClr val="FFFFFF"/>
                        </a:solidFill>
                        <a:ln w="9525">
                          <a:solidFill>
                            <a:srgbClr val="000000"/>
                          </a:solidFill>
                          <a:miter lim="800000"/>
                          <a:headEnd/>
                          <a:tailEnd/>
                        </a:ln>
                      </wps:spPr>
                      <wps:txbx>
                        <w:txbxContent>
                          <w:p w14:paraId="59EDD101" w14:textId="0E3217E9" w:rsidR="00AC5086" w:rsidRDefault="00074C62" w:rsidP="00AC5086">
                            <w:pPr>
                              <w:jc w:val="both"/>
                              <w:rPr>
                                <w:rFonts w:ascii="Times New Roman" w:hAnsi="Times New Roman" w:cs="Times New Roman"/>
                                <w:sz w:val="24"/>
                                <w:szCs w:val="24"/>
                              </w:rPr>
                            </w:pPr>
                            <w:r>
                              <w:rPr>
                                <w:rFonts w:ascii="Times New Roman" w:hAnsi="Times New Roman"/>
                                <w:b/>
                                <w:sz w:val="24"/>
                              </w:rPr>
                              <w:t>Numărul de cereri de informații a continuat să crească în mod constant</w:t>
                            </w:r>
                            <w:r>
                              <w:rPr>
                                <w:rFonts w:ascii="Times New Roman" w:hAnsi="Times New Roman"/>
                                <w:sz w:val="24"/>
                              </w:rPr>
                              <w:t xml:space="preserve">, ajungând la 1,2 milioane în 2024. În 2019 s-a produs o </w:t>
                            </w:r>
                            <w:r>
                              <w:rPr>
                                <w:rFonts w:ascii="Times New Roman" w:hAnsi="Times New Roman"/>
                                <w:b/>
                                <w:sz w:val="24"/>
                              </w:rPr>
                              <w:t xml:space="preserve">schimbare radicală legată de utilizarea ECRIS, </w:t>
                            </w:r>
                            <w:r>
                              <w:rPr>
                                <w:rFonts w:ascii="Times New Roman" w:hAnsi="Times New Roman"/>
                                <w:sz w:val="24"/>
                              </w:rPr>
                              <w:t xml:space="preserve">care a început să fie </w:t>
                            </w:r>
                            <w:r>
                              <w:rPr>
                                <w:rFonts w:ascii="Times New Roman" w:hAnsi="Times New Roman"/>
                                <w:b/>
                                <w:sz w:val="24"/>
                              </w:rPr>
                              <w:t>consultat tot mai des în alte scopuri decât procesele penale</w:t>
                            </w:r>
                            <w:r>
                              <w:rPr>
                                <w:rFonts w:ascii="Times New Roman" w:hAnsi="Times New Roman"/>
                                <w:sz w:val="24"/>
                              </w:rPr>
                              <w:t xml:space="preserve">. În 2024, acest tip de cereri au reprezentat </w:t>
                            </w:r>
                            <w:r>
                              <w:rPr>
                                <w:rFonts w:ascii="Times New Roman" w:hAnsi="Times New Roman"/>
                                <w:b/>
                                <w:sz w:val="24"/>
                              </w:rPr>
                              <w:t>56 % din numărul total de cereri</w:t>
                            </w:r>
                            <w:r>
                              <w:rPr>
                                <w:rFonts w:ascii="Times New Roman" w:hAnsi="Times New Roman"/>
                                <w:sz w:val="24"/>
                              </w:rPr>
                              <w:t xml:space="preserve"> și au fost adresate în principal în scopuri de verificare în vederea recrutării pentru locuri de muncă care presupun contactul cu copiii sau de către persoane care doreau să obțină informații cu privire la propriul cazier judiciar. </w:t>
                            </w:r>
                          </w:p>
                          <w:p w14:paraId="7F1244AC" w14:textId="22CB12A3" w:rsidR="00AC5086" w:rsidRPr="00904A0A" w:rsidRDefault="00AC5086" w:rsidP="00AC5086">
                            <w:pPr>
                              <w:jc w:val="both"/>
                              <w:rPr>
                                <w:rFonts w:ascii="Times New Roman" w:hAnsi="Times New Roman" w:cs="Times New Roman"/>
                                <w:sz w:val="24"/>
                                <w:szCs w:val="24"/>
                              </w:rPr>
                            </w:pPr>
                            <w:r>
                              <w:rPr>
                                <w:rFonts w:ascii="Times New Roman" w:hAnsi="Times New Roman"/>
                                <w:sz w:val="24"/>
                              </w:rPr>
                              <w:t xml:space="preserve">Cu toate acestea, </w:t>
                            </w:r>
                            <w:r>
                              <w:rPr>
                                <w:rFonts w:ascii="Times New Roman" w:hAnsi="Times New Roman"/>
                                <w:b/>
                                <w:sz w:val="24"/>
                              </w:rPr>
                              <w:t>mai multe state membre</w:t>
                            </w:r>
                            <w:r>
                              <w:rPr>
                                <w:rFonts w:ascii="Times New Roman" w:hAnsi="Times New Roman"/>
                                <w:sz w:val="24"/>
                              </w:rPr>
                              <w:t xml:space="preserve"> continuă să </w:t>
                            </w:r>
                            <w:r>
                              <w:rPr>
                                <w:rFonts w:ascii="Times New Roman" w:hAnsi="Times New Roman"/>
                                <w:b/>
                                <w:sz w:val="24"/>
                              </w:rPr>
                              <w:t>utilizeze foarte puțin ECRIS pentru a solicita informații privind cazierele judiciare</w:t>
                            </w:r>
                            <w:r>
                              <w:rPr>
                                <w:rFonts w:ascii="Times New Roman" w:hAnsi="Times New Roman"/>
                                <w:sz w:val="24"/>
                              </w:rPr>
                              <w:t xml:space="preserve">, inclusiv Grecia, Bulgaria, Estonia, Ungaria, Irlanda, Italia, Letonia, Malta și Slovenia. În timp ce unele state membre (Belgia, Croația, Ungaria, Irlanda, Italia, Luxemburg, Slovenia și Slovacia) utilizează ECRIS </w:t>
                            </w:r>
                            <w:r>
                              <w:rPr>
                                <w:rFonts w:ascii="Times New Roman" w:hAnsi="Times New Roman"/>
                                <w:b/>
                                <w:sz w:val="24"/>
                              </w:rPr>
                              <w:t>exclusiv sau aproape exclusiv în scopul proceselor penale</w:t>
                            </w:r>
                            <w:r>
                              <w:rPr>
                                <w:rFonts w:ascii="Times New Roman" w:hAnsi="Times New Roman"/>
                                <w:sz w:val="24"/>
                              </w:rPr>
                              <w:t xml:space="preserve">, altele solicită informații </w:t>
                            </w:r>
                            <w:r>
                              <w:rPr>
                                <w:rFonts w:ascii="Times New Roman" w:hAnsi="Times New Roman"/>
                                <w:b/>
                                <w:sz w:val="24"/>
                              </w:rPr>
                              <w:t>aproape exclusiv în alte scopuri</w:t>
                            </w:r>
                            <w:r>
                              <w:rPr>
                                <w:rFonts w:ascii="Times New Roman" w:hAnsi="Times New Roman"/>
                                <w:sz w:val="24"/>
                              </w:rPr>
                              <w:t xml:space="preserve"> (Cehia, Cipru, Grecia și Spania).</w:t>
                            </w:r>
                          </w:p>
                          <w:p w14:paraId="0F6D259E" w14:textId="52487F6E" w:rsidR="00AC5086" w:rsidRDefault="00AF6F21" w:rsidP="00AC5086">
                            <w:pPr>
                              <w:jc w:val="both"/>
                              <w:rPr>
                                <w:rFonts w:ascii="Times New Roman" w:hAnsi="Times New Roman" w:cs="Times New Roman"/>
                                <w:sz w:val="24"/>
                                <w:szCs w:val="24"/>
                              </w:rPr>
                            </w:pPr>
                            <w:r>
                              <w:rPr>
                                <w:rFonts w:ascii="Times New Roman" w:hAnsi="Times New Roman"/>
                                <w:b/>
                                <w:sz w:val="24"/>
                              </w:rPr>
                              <w:t>În 2024, doar 16,6 % din răspunsuri au cuprins informații cu privire la condamnări anterioare</w:t>
                            </w:r>
                            <w:r>
                              <w:rPr>
                                <w:rFonts w:ascii="Times New Roman" w:hAnsi="Times New Roman"/>
                                <w:sz w:val="24"/>
                              </w:rPr>
                              <w:t xml:space="preserve">, reflectând ponderea tot mai mare a cererilor adresate în alte scopuri decât procesele penale. Cu toate acestea, peste 197 000 de răspunsuri au indicat existența unor condamnări anterioare. </w:t>
                            </w:r>
                          </w:p>
                          <w:p w14:paraId="395FEA56" w14:textId="0CE2F43D" w:rsidR="00AC5086" w:rsidRDefault="0090338F" w:rsidP="00AC5086">
                            <w:pPr>
                              <w:jc w:val="both"/>
                              <w:rPr>
                                <w:rFonts w:ascii="Times New Roman" w:hAnsi="Times New Roman" w:cs="Times New Roman"/>
                                <w:sz w:val="24"/>
                                <w:szCs w:val="24"/>
                              </w:rPr>
                            </w:pPr>
                            <w:r>
                              <w:rPr>
                                <w:rFonts w:ascii="Times New Roman" w:hAnsi="Times New Roman"/>
                                <w:b/>
                                <w:sz w:val="24"/>
                              </w:rPr>
                              <w:t>Ratele de răspuns s-au îmbunătățit semnificativ comparativ cu 2019</w:t>
                            </w:r>
                            <w:r>
                              <w:rPr>
                                <w:rFonts w:ascii="Times New Roman" w:hAnsi="Times New Roman"/>
                                <w:sz w:val="24"/>
                              </w:rPr>
                              <w:t>, numărul de răspunsuri trimise cu întârziere scăzând la jumătate, iar numărul de cereri în cazul cărora a expirat termenul de răspuns scăzând de peste cinci ori. Cu toate acestea, 9,7 % din răspunsuri au fost trimise după termenul legal, iar 38 000 de cereri au expirat fără a primi un răspuns.</w:t>
                            </w:r>
                          </w:p>
                          <w:p w14:paraId="71AA47B4" w14:textId="459D0140" w:rsidR="00C476E3" w:rsidRPr="00904A0A" w:rsidRDefault="00C476E3" w:rsidP="00AC5086">
                            <w:pPr>
                              <w:jc w:val="both"/>
                              <w:rPr>
                                <w:rFonts w:ascii="Times New Roman" w:hAnsi="Times New Roman" w:cs="Times New Roman"/>
                                <w:bCs/>
                                <w:sz w:val="24"/>
                                <w:szCs w:val="24"/>
                              </w:rPr>
                            </w:pPr>
                            <w:r>
                              <w:rPr>
                                <w:rFonts w:ascii="Times New Roman" w:hAnsi="Times New Roman"/>
                                <w:sz w:val="24"/>
                              </w:rPr>
                              <w:t xml:space="preserve">În pofida </w:t>
                            </w:r>
                            <w:r>
                              <w:rPr>
                                <w:rFonts w:ascii="Times New Roman" w:hAnsi="Times New Roman"/>
                                <w:b/>
                                <w:sz w:val="24"/>
                              </w:rPr>
                              <w:t>tendinței pozitive în ceea ce privește numărul de actualizări</w:t>
                            </w:r>
                            <w:r>
                              <w:rPr>
                                <w:rFonts w:ascii="Times New Roman" w:hAnsi="Times New Roman"/>
                                <w:sz w:val="24"/>
                              </w:rPr>
                              <w:t xml:space="preserve"> (254 000 în 2024), unele state membre transmit în continuare doar un număr mic de actualizări (Bulgaria, Grecia, Irlanda și Malta) sau nu transmit deloc actualizări (Estonia și Slovenia).</w:t>
                            </w:r>
                          </w:p>
                          <w:p w14:paraId="21A261D1" w14:textId="40784D38" w:rsidR="001F75B8" w:rsidRPr="00C476E3" w:rsidRDefault="00581CFB" w:rsidP="00C476E3">
                            <w:pPr>
                              <w:jc w:val="both"/>
                              <w:rPr>
                                <w:rFonts w:ascii="Times New Roman" w:hAnsi="Times New Roman" w:cs="Times New Roman"/>
                                <w:b/>
                                <w:sz w:val="24"/>
                                <w:szCs w:val="24"/>
                              </w:rPr>
                            </w:pPr>
                            <w:r>
                              <w:rPr>
                                <w:rFonts w:ascii="Times New Roman" w:hAnsi="Times New Roman"/>
                                <w:sz w:val="24"/>
                              </w:rPr>
                              <w:t xml:space="preserve">S-a înregistrat o </w:t>
                            </w:r>
                            <w:r>
                              <w:rPr>
                                <w:rFonts w:ascii="Times New Roman" w:hAnsi="Times New Roman"/>
                                <w:b/>
                                <w:sz w:val="24"/>
                              </w:rPr>
                              <w:t>creștere</w:t>
                            </w:r>
                            <w:r>
                              <w:rPr>
                                <w:rFonts w:ascii="Times New Roman" w:hAnsi="Times New Roman"/>
                                <w:sz w:val="24"/>
                              </w:rPr>
                              <w:t xml:space="preserve"> îngrijorătoare </w:t>
                            </w:r>
                            <w:r>
                              <w:rPr>
                                <w:rFonts w:ascii="Times New Roman" w:hAnsi="Times New Roman"/>
                                <w:b/>
                                <w:sz w:val="24"/>
                              </w:rPr>
                              <w:t>a numărului de cereri fără răspuns</w:t>
                            </w:r>
                            <w:r>
                              <w:rPr>
                                <w:rFonts w:ascii="Times New Roman" w:hAnsi="Times New Roman"/>
                                <w:sz w:val="24"/>
                              </w:rPr>
                              <w:t xml:space="preserve"> - 317 000 de cereri (5,8 % din totalul cererilor) adresate în perioada 2020-2024 au rămas fără răspuns, majoritatea din Cipru, Bulgaria, Croația, Spania și Grecia. Tendința tot mai pronunțată de încălcare a obligației de a transmite un răspuns la cererile de informații este alarmantă, putând avea consecințe grave. </w:t>
                            </w:r>
                          </w:p>
                          <w:p w14:paraId="3834D28B" w14:textId="29BC9973" w:rsidR="00AC5086" w:rsidRPr="00904A0A" w:rsidRDefault="00AC5086" w:rsidP="00AC5086">
                            <w:pPr>
                              <w:jc w:val="both"/>
                              <w:rPr>
                                <w:rFonts w:ascii="Times New Roman" w:hAnsi="Times New Roman" w:cs="Times New Roman"/>
                                <w:sz w:val="24"/>
                                <w:szCs w:val="24"/>
                              </w:rPr>
                            </w:pPr>
                            <w:r>
                              <w:rPr>
                                <w:rFonts w:ascii="Times New Roman" w:hAnsi="Times New Roman"/>
                                <w:b/>
                                <w:sz w:val="24"/>
                              </w:rPr>
                              <w:t>Schimburile de informații privind resortisanții țărilor terțe rămân limitate ca număr</w:t>
                            </w:r>
                            <w:r>
                              <w:rPr>
                                <w:rFonts w:ascii="Times New Roman" w:hAnsi="Times New Roman"/>
                                <w:sz w:val="24"/>
                              </w:rPr>
                              <w:t xml:space="preserve"> (88 000</w:t>
                            </w:r>
                            <w:r>
                              <w:rPr>
                                <w:rFonts w:ascii="Times New Roman" w:hAnsi="Times New Roman"/>
                                <w:b/>
                                <w:sz w:val="24"/>
                              </w:rPr>
                              <w:t xml:space="preserve"> - </w:t>
                            </w:r>
                            <w:r>
                              <w:rPr>
                                <w:rFonts w:ascii="Times New Roman" w:hAnsi="Times New Roman"/>
                                <w:sz w:val="24"/>
                              </w:rPr>
                              <w:t>7 % din totalul cererilor), deși se preconizează că acestea vor crește odată cu intrarea în funcțiune a sistemului ECRIS-TCN în 2027.</w:t>
                            </w:r>
                          </w:p>
                          <w:p w14:paraId="5D7DE6CD" w14:textId="4B069DE0" w:rsidR="00AC5086" w:rsidRPr="00D3488C" w:rsidRDefault="00AC5086" w:rsidP="00AC5086">
                            <w:pPr>
                              <w:jc w:val="both"/>
                              <w:rPr>
                                <w:rFonts w:ascii="Times New Roman" w:hAnsi="Times New Roman" w:cs="Times New Roman"/>
                                <w:b/>
                                <w:bCs/>
                                <w:sz w:val="24"/>
                                <w:szCs w:val="24"/>
                              </w:rPr>
                            </w:pPr>
                            <w:r>
                              <w:rPr>
                                <w:rFonts w:ascii="Times New Roman" w:hAnsi="Times New Roman"/>
                                <w:sz w:val="24"/>
                              </w:rPr>
                              <w:t xml:space="preserve">S-au înregistrat în continuare </w:t>
                            </w:r>
                            <w:r>
                              <w:rPr>
                                <w:rFonts w:ascii="Times New Roman" w:hAnsi="Times New Roman"/>
                                <w:b/>
                                <w:sz w:val="24"/>
                              </w:rPr>
                              <w:t>diferențe semnificative</w:t>
                            </w:r>
                            <w:r>
                              <w:rPr>
                                <w:rFonts w:ascii="Times New Roman" w:hAnsi="Times New Roman"/>
                                <w:sz w:val="24"/>
                              </w:rPr>
                              <w:t xml:space="preserve"> </w:t>
                            </w:r>
                            <w:r>
                              <w:rPr>
                                <w:rFonts w:ascii="Times New Roman" w:hAnsi="Times New Roman"/>
                                <w:b/>
                                <w:sz w:val="24"/>
                              </w:rPr>
                              <w:t>între activitățile și volumul de muncă</w:t>
                            </w:r>
                            <w:r>
                              <w:rPr>
                                <w:rFonts w:ascii="Times New Roman" w:hAnsi="Times New Roman"/>
                                <w:sz w:val="24"/>
                              </w:rPr>
                              <w:t xml:space="preserve"> al statelor membre.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16C29C" id="_x0000_s1027" type="#_x0000_t202" style="position:absolute;left:0;text-align:left;margin-left:1.7pt;margin-top:-.1pt;width:459.65pt;height:549pt;z-index:251703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">
                <v:textbox>
                  <w:txbxContent>
                    <w:p w14:paraId="59EDD101" w14:textId="0E3217E9" w:rsidR="00AC5086" w:rsidRDefault="00074C62" w:rsidP="00AC5086">
                      <w:pPr>
                        <w:jc w:val="both"/>
                        <w:rPr>
                          <w:rFonts w:ascii="Times New Roman" w:hAnsi="Times New Roman" w:cs="Times New Roman"/>
                          <w:sz w:val="24"/>
                          <w:szCs w:val="24"/>
                        </w:rPr>
                      </w:pPr>
                      <w:r>
                        <w:rPr>
                          <w:rFonts w:ascii="Times New Roman" w:hAnsi="Times New Roman"/>
                          <w:b/>
                          <w:sz w:val="24"/>
                        </w:rPr>
                        <w:t>Numărul de cereri de informații a continuat să crească în mod constant</w:t>
                      </w:r>
                      <w:r>
                        <w:rPr>
                          <w:rFonts w:ascii="Times New Roman" w:hAnsi="Times New Roman"/>
                          <w:sz w:val="24"/>
                        </w:rPr>
                        <w:t xml:space="preserve">, ajungând la 1,2 milioane în 2024. În 2019 s-a produs o </w:t>
                      </w:r>
                      <w:r>
                        <w:rPr>
                          <w:rFonts w:ascii="Times New Roman" w:hAnsi="Times New Roman"/>
                          <w:b/>
                          <w:sz w:val="24"/>
                        </w:rPr>
                        <w:t xml:space="preserve">schimbare radicală legată de utilizarea ECRIS, </w:t>
                      </w:r>
                      <w:r>
                        <w:rPr>
                          <w:rFonts w:ascii="Times New Roman" w:hAnsi="Times New Roman"/>
                          <w:sz w:val="24"/>
                        </w:rPr>
                        <w:t xml:space="preserve">care a început să fie </w:t>
                      </w:r>
                      <w:r>
                        <w:rPr>
                          <w:rFonts w:ascii="Times New Roman" w:hAnsi="Times New Roman"/>
                          <w:b/>
                          <w:sz w:val="24"/>
                        </w:rPr>
                        <w:t>consultat tot mai des în alte scopuri decât procesele penale</w:t>
                      </w:r>
                      <w:r>
                        <w:rPr>
                          <w:rFonts w:ascii="Times New Roman" w:hAnsi="Times New Roman"/>
                          <w:sz w:val="24"/>
                        </w:rPr>
                        <w:t xml:space="preserve">. În 2024, acest tip de cereri au reprezentat </w:t>
                      </w:r>
                      <w:r>
                        <w:rPr>
                          <w:rFonts w:ascii="Times New Roman" w:hAnsi="Times New Roman"/>
                          <w:b/>
                          <w:sz w:val="24"/>
                        </w:rPr>
                        <w:t>56 % din numărul total de cereri</w:t>
                      </w:r>
                      <w:r>
                        <w:rPr>
                          <w:rFonts w:ascii="Times New Roman" w:hAnsi="Times New Roman"/>
                          <w:sz w:val="24"/>
                        </w:rPr>
                        <w:t xml:space="preserve"> și au fost adresate în principal în scopuri de verificare în vederea recrutării pentru locuri de muncă care presupun contactul cu copiii sau de către persoane care doreau să obțină informații cu privire la propriul cazier judiciar. </w:t>
                      </w:r>
                    </w:p>
                    <w:p w14:paraId="7F1244AC" w14:textId="22CB12A3" w:rsidR="00AC5086" w:rsidRPr="00904A0A" w:rsidRDefault="00AC5086" w:rsidP="00AC5086">
                      <w:pPr>
                        <w:jc w:val="both"/>
                        <w:rPr>
                          <w:rFonts w:ascii="Times New Roman" w:hAnsi="Times New Roman" w:cs="Times New Roman"/>
                          <w:sz w:val="24"/>
                          <w:szCs w:val="24"/>
                        </w:rPr>
                      </w:pPr>
                      <w:r>
                        <w:rPr>
                          <w:rFonts w:ascii="Times New Roman" w:hAnsi="Times New Roman"/>
                          <w:sz w:val="24"/>
                        </w:rPr>
                        <w:t xml:space="preserve">Cu toate acestea, </w:t>
                      </w:r>
                      <w:r>
                        <w:rPr>
                          <w:rFonts w:ascii="Times New Roman" w:hAnsi="Times New Roman"/>
                          <w:b/>
                          <w:sz w:val="24"/>
                        </w:rPr>
                        <w:t>mai multe state membre</w:t>
                      </w:r>
                      <w:r>
                        <w:rPr>
                          <w:rFonts w:ascii="Times New Roman" w:hAnsi="Times New Roman"/>
                          <w:sz w:val="24"/>
                        </w:rPr>
                        <w:t xml:space="preserve"> continuă să </w:t>
                      </w:r>
                      <w:r>
                        <w:rPr>
                          <w:rFonts w:ascii="Times New Roman" w:hAnsi="Times New Roman"/>
                          <w:b/>
                          <w:sz w:val="24"/>
                        </w:rPr>
                        <w:t>utilizeze foarte puțin ECRIS pentru a solicita informații privind cazierele judiciare</w:t>
                      </w:r>
                      <w:r>
                        <w:rPr>
                          <w:rFonts w:ascii="Times New Roman" w:hAnsi="Times New Roman"/>
                          <w:sz w:val="24"/>
                        </w:rPr>
                        <w:t xml:space="preserve">, inclusiv Grecia, Bulgaria, Estonia, Ungaria, Irlanda, Italia, Letonia, Malta și Slovenia. În timp ce unele state membre (Belgia, Croația, Ungaria, Irlanda, Italia, Luxemburg, Slovenia și Slovacia) utilizează ECRIS </w:t>
                      </w:r>
                      <w:r>
                        <w:rPr>
                          <w:rFonts w:ascii="Times New Roman" w:hAnsi="Times New Roman"/>
                          <w:b/>
                          <w:sz w:val="24"/>
                        </w:rPr>
                        <w:t>exclusiv sau aproape exclusiv în scopul proceselor penale</w:t>
                      </w:r>
                      <w:r>
                        <w:rPr>
                          <w:rFonts w:ascii="Times New Roman" w:hAnsi="Times New Roman"/>
                          <w:sz w:val="24"/>
                        </w:rPr>
                        <w:t xml:space="preserve">, altele solicită informații </w:t>
                      </w:r>
                      <w:r>
                        <w:rPr>
                          <w:rFonts w:ascii="Times New Roman" w:hAnsi="Times New Roman"/>
                          <w:b/>
                          <w:sz w:val="24"/>
                        </w:rPr>
                        <w:t>aproape exclusiv în alte scopuri</w:t>
                      </w:r>
                      <w:r>
                        <w:rPr>
                          <w:rFonts w:ascii="Times New Roman" w:hAnsi="Times New Roman"/>
                          <w:sz w:val="24"/>
                        </w:rPr>
                        <w:t xml:space="preserve"> (Cehia, Cipru, Grecia și Spania).</w:t>
                      </w:r>
                    </w:p>
                    <w:p w14:paraId="0F6D259E" w14:textId="52487F6E" w:rsidR="00AC5086" w:rsidRDefault="00AF6F21" w:rsidP="00AC5086">
                      <w:pPr>
                        <w:jc w:val="both"/>
                        <w:rPr>
                          <w:rFonts w:ascii="Times New Roman" w:hAnsi="Times New Roman" w:cs="Times New Roman"/>
                          <w:sz w:val="24"/>
                          <w:szCs w:val="24"/>
                        </w:rPr>
                      </w:pPr>
                      <w:r>
                        <w:rPr>
                          <w:rFonts w:ascii="Times New Roman" w:hAnsi="Times New Roman"/>
                          <w:b/>
                          <w:sz w:val="24"/>
                        </w:rPr>
                        <w:t>În 2024, doar 16,6 % din răspunsuri au cuprins informații cu privire la condamnări anterioare</w:t>
                      </w:r>
                      <w:r>
                        <w:rPr>
                          <w:rFonts w:ascii="Times New Roman" w:hAnsi="Times New Roman"/>
                          <w:sz w:val="24"/>
                        </w:rPr>
                        <w:t xml:space="preserve">, reflectând ponderea tot mai mare a cererilor adresate în alte scopuri decât procesele penale. Cu toate acestea, peste 197 000 de răspunsuri au indicat existența unor condamnări anterioare. </w:t>
                      </w:r>
                    </w:p>
                    <w:p w14:paraId="395FEA56" w14:textId="0CE2F43D" w:rsidR="00AC5086" w:rsidRDefault="0090338F" w:rsidP="00AC5086">
                      <w:pPr>
                        <w:jc w:val="both"/>
                        <w:rPr>
                          <w:rFonts w:ascii="Times New Roman" w:hAnsi="Times New Roman" w:cs="Times New Roman"/>
                          <w:sz w:val="24"/>
                          <w:szCs w:val="24"/>
                        </w:rPr>
                      </w:pPr>
                      <w:r>
                        <w:rPr>
                          <w:rFonts w:ascii="Times New Roman" w:hAnsi="Times New Roman"/>
                          <w:b/>
                          <w:sz w:val="24"/>
                        </w:rPr>
                        <w:t>Ratele de răspuns s-au îmbunătățit semnificativ comparativ cu 2019</w:t>
                      </w:r>
                      <w:r>
                        <w:rPr>
                          <w:rFonts w:ascii="Times New Roman" w:hAnsi="Times New Roman"/>
                          <w:sz w:val="24"/>
                        </w:rPr>
                        <w:t>, numărul de răspunsuri trimise cu întârziere scăzând la jumătate, iar numărul de cereri în cazul cărora a expirat termenul de răspuns scăzând de peste cinci ori. Cu toate acestea, 9,7 % din răspunsuri au fost trimise după termenul legal, iar 38 000 de cereri au expirat fără a primi un răspuns.</w:t>
                      </w:r>
                    </w:p>
                    <w:p w14:paraId="71AA47B4" w14:textId="459D0140" w:rsidR="00C476E3" w:rsidRPr="00904A0A" w:rsidRDefault="00C476E3" w:rsidP="00AC5086">
                      <w:pPr>
                        <w:jc w:val="both"/>
                        <w:rPr>
                          <w:rFonts w:ascii="Times New Roman" w:hAnsi="Times New Roman" w:cs="Times New Roman"/>
                          <w:bCs/>
                          <w:sz w:val="24"/>
                          <w:szCs w:val="24"/>
                        </w:rPr>
                      </w:pPr>
                      <w:r>
                        <w:rPr>
                          <w:rFonts w:ascii="Times New Roman" w:hAnsi="Times New Roman"/>
                          <w:sz w:val="24"/>
                        </w:rPr>
                        <w:t xml:space="preserve">În pofida </w:t>
                      </w:r>
                      <w:r>
                        <w:rPr>
                          <w:rFonts w:ascii="Times New Roman" w:hAnsi="Times New Roman"/>
                          <w:b/>
                          <w:sz w:val="24"/>
                        </w:rPr>
                        <w:t>tendinței pozitive în ceea ce privește numărul de actualizări</w:t>
                      </w:r>
                      <w:r>
                        <w:rPr>
                          <w:rFonts w:ascii="Times New Roman" w:hAnsi="Times New Roman"/>
                          <w:sz w:val="24"/>
                        </w:rPr>
                        <w:t xml:space="preserve"> (254 000 în 2024), unele state membre transmit în continuare doar un număr mic de actualizări (Bulgaria, Grecia, Irlanda și Malta) sau nu transmit deloc actualizări (Estonia și Slovenia).</w:t>
                      </w:r>
                    </w:p>
                    <w:p w14:paraId="21A261D1" w14:textId="40784D38" w:rsidR="001F75B8" w:rsidRPr="00C476E3" w:rsidRDefault="00581CFB" w:rsidP="00C476E3">
                      <w:pPr>
                        <w:jc w:val="both"/>
                        <w:rPr>
                          <w:rFonts w:ascii="Times New Roman" w:hAnsi="Times New Roman" w:cs="Times New Roman"/>
                          <w:b/>
                          <w:sz w:val="24"/>
                          <w:szCs w:val="24"/>
                        </w:rPr>
                      </w:pPr>
                      <w:r>
                        <w:rPr>
                          <w:rFonts w:ascii="Times New Roman" w:hAnsi="Times New Roman"/>
                          <w:sz w:val="24"/>
                        </w:rPr>
                        <w:t xml:space="preserve">S-a înregistrat o </w:t>
                      </w:r>
                      <w:r>
                        <w:rPr>
                          <w:rFonts w:ascii="Times New Roman" w:hAnsi="Times New Roman"/>
                          <w:b/>
                          <w:sz w:val="24"/>
                        </w:rPr>
                        <w:t>creștere</w:t>
                      </w:r>
                      <w:r>
                        <w:rPr>
                          <w:rFonts w:ascii="Times New Roman" w:hAnsi="Times New Roman"/>
                          <w:sz w:val="24"/>
                        </w:rPr>
                        <w:t xml:space="preserve"> îngrijorătoare </w:t>
                      </w:r>
                      <w:r>
                        <w:rPr>
                          <w:rFonts w:ascii="Times New Roman" w:hAnsi="Times New Roman"/>
                          <w:b/>
                          <w:sz w:val="24"/>
                        </w:rPr>
                        <w:t>a numărului de cereri fără răspuns</w:t>
                      </w:r>
                      <w:r>
                        <w:rPr>
                          <w:rFonts w:ascii="Times New Roman" w:hAnsi="Times New Roman"/>
                          <w:sz w:val="24"/>
                        </w:rPr>
                        <w:t xml:space="preserve"> - 317 000 de cereri (5,8 % din totalul cererilor) adresate în perioada 2020-2024 au rămas fără răspuns, majoritatea din Cipru, Bulgaria, Croația, Spania și Grecia. Tendința tot mai pronunțată de încălcare a obligației de a transmite un răspuns la cererile de informații este alarmantă, putând avea consecințe grave. </w:t>
                      </w:r>
                    </w:p>
                    <w:p w14:paraId="3834D28B" w14:textId="29BC9973" w:rsidR="00AC5086" w:rsidRPr="00904A0A" w:rsidRDefault="00AC5086" w:rsidP="00AC5086">
                      <w:pPr>
                        <w:jc w:val="both"/>
                        <w:rPr>
                          <w:rFonts w:ascii="Times New Roman" w:hAnsi="Times New Roman" w:cs="Times New Roman"/>
                          <w:sz w:val="24"/>
                          <w:szCs w:val="24"/>
                        </w:rPr>
                      </w:pPr>
                      <w:r>
                        <w:rPr>
                          <w:rFonts w:ascii="Times New Roman" w:hAnsi="Times New Roman"/>
                          <w:b/>
                          <w:sz w:val="24"/>
                        </w:rPr>
                        <w:t>Schimburile de informații privind resortisanții țărilor terțe rămân limitate ca număr</w:t>
                      </w:r>
                      <w:r>
                        <w:rPr>
                          <w:rFonts w:ascii="Times New Roman" w:hAnsi="Times New Roman"/>
                          <w:sz w:val="24"/>
                        </w:rPr>
                        <w:t xml:space="preserve"> (88 000</w:t>
                      </w:r>
                      <w:r>
                        <w:rPr>
                          <w:rFonts w:ascii="Times New Roman" w:hAnsi="Times New Roman"/>
                          <w:b/>
                          <w:sz w:val="24"/>
                        </w:rPr>
                        <w:t xml:space="preserve"> - </w:t>
                      </w:r>
                      <w:r>
                        <w:rPr>
                          <w:rFonts w:ascii="Times New Roman" w:hAnsi="Times New Roman"/>
                          <w:sz w:val="24"/>
                        </w:rPr>
                        <w:t>7 % din totalul cererilor), deși se preconizează că acestea vor crește odată cu intrarea în funcțiune a sistemului ECRIS-TCN în 2027.</w:t>
                      </w:r>
                    </w:p>
                    <w:p w14:paraId="5D7DE6CD" w14:textId="4B069DE0" w:rsidR="00AC5086" w:rsidRPr="00D3488C" w:rsidRDefault="00AC5086" w:rsidP="00AC5086">
                      <w:pPr>
                        <w:jc w:val="both"/>
                        <w:rPr>
                          <w:rFonts w:ascii="Times New Roman" w:hAnsi="Times New Roman" w:cs="Times New Roman"/>
                          <w:b/>
                          <w:bCs/>
                          <w:sz w:val="24"/>
                          <w:szCs w:val="24"/>
                        </w:rPr>
                      </w:pPr>
                      <w:r>
                        <w:rPr>
                          <w:rFonts w:ascii="Times New Roman" w:hAnsi="Times New Roman"/>
                          <w:sz w:val="24"/>
                        </w:rPr>
                        <w:t xml:space="preserve">S-au înregistrat în continuare </w:t>
                      </w:r>
                      <w:r>
                        <w:rPr>
                          <w:rFonts w:ascii="Times New Roman" w:hAnsi="Times New Roman"/>
                          <w:b/>
                          <w:sz w:val="24"/>
                        </w:rPr>
                        <w:t>diferențe semnificative</w:t>
                      </w:r>
                      <w:r>
                        <w:rPr>
                          <w:rFonts w:ascii="Times New Roman" w:hAnsi="Times New Roman"/>
                          <w:sz w:val="24"/>
                        </w:rPr>
                        <w:t xml:space="preserve"> </w:t>
                      </w:r>
                      <w:r>
                        <w:rPr>
                          <w:rFonts w:ascii="Times New Roman" w:hAnsi="Times New Roman"/>
                          <w:b/>
                          <w:sz w:val="24"/>
                        </w:rPr>
                        <w:t>între activitățile și volumul de muncă</w:t>
                      </w:r>
                      <w:r>
                        <w:rPr>
                          <w:rFonts w:ascii="Times New Roman" w:hAnsi="Times New Roman"/>
                          <w:sz w:val="24"/>
                        </w:rPr>
                        <w:t xml:space="preserve"> al statelor membre.</w:t>
                      </w:r>
                    </w:p>
                  </w:txbxContent>
                </v:textbox>
                <w10:wrap type="square"/>
              </v:shape>
            </w:pict>
          </mc:Fallback>
        </mc:AlternateContent>
      </w:r>
      <w:bookmarkStart w:id="3" w:name="_Toc479267019"/>
      <w:r>
        <w:rPr>
          <w:rFonts w:ascii="Times New Roman" w:hAnsi="Times New Roman"/>
          <w:b/>
          <w:noProof/>
          <w:sz w:val="24"/>
        </w:rPr>
        <w:t>2. Schimburile de informații prin intermediul ECRIS în cifre</w:t>
      </w:r>
      <w:bookmarkStart w:id="4" w:name="_Ref366147146"/>
      <w:bookmarkStart w:id="5" w:name="_Toc479267020"/>
      <w:bookmarkEnd w:id="3"/>
    </w:p>
    <w:p w14:paraId="7D5613B9" w14:textId="77777777" w:rsidR="008D3CBA" w:rsidRPr="00464550" w:rsidRDefault="00C26AF2">
      <w:pPr>
        <w:jc w:val="both"/>
        <w:rPr>
          <w:rFonts w:ascii="Times New Roman" w:hAnsi="Times New Roman" w:cs="Times New Roman"/>
          <w:b/>
          <w:noProof/>
          <w:sz w:val="24"/>
          <w:szCs w:val="24"/>
        </w:rPr>
      </w:pPr>
      <w:r>
        <w:rPr>
          <w:rFonts w:ascii="Times New Roman" w:hAnsi="Times New Roman"/>
          <w:b/>
          <w:smallCaps/>
          <w:noProof/>
          <w:sz w:val="24"/>
        </w:rPr>
        <w:t xml:space="preserve">2.1. </w:t>
      </w:r>
      <w:r>
        <w:rPr>
          <w:rFonts w:ascii="Times New Roman" w:hAnsi="Times New Roman"/>
          <w:b/>
          <w:noProof/>
          <w:sz w:val="24"/>
        </w:rPr>
        <w:t>State membre conectate</w:t>
      </w:r>
      <w:bookmarkEnd w:id="4"/>
      <w:bookmarkEnd w:id="5"/>
    </w:p>
    <w:p w14:paraId="6EE27126" w14:textId="506996CC" w:rsidR="0046559B" w:rsidRPr="00464550" w:rsidRDefault="00E71274">
      <w:pPr>
        <w:jc w:val="both"/>
        <w:rPr>
          <w:rFonts w:ascii="Times New Roman" w:hAnsi="Times New Roman" w:cs="Times New Roman"/>
          <w:noProof/>
          <w:sz w:val="24"/>
          <w:szCs w:val="24"/>
        </w:rPr>
      </w:pPr>
      <w:r>
        <w:rPr>
          <w:rFonts w:ascii="Times New Roman" w:hAnsi="Times New Roman"/>
          <w:noProof/>
          <w:sz w:val="24"/>
        </w:rPr>
        <w:t xml:space="preserve">ECRIS este un sistem descentralizat în care toate statele membre trebuie să fie interconectate. Un stat membru este considerat conectat la ECRIS dacă realizează schimburi de informații cu privire la cazierele judiciare cu cel puțin un alt stat membru conectat. </w:t>
      </w:r>
      <w:bookmarkStart w:id="6" w:name="_Hlk481158166"/>
    </w:p>
    <w:p w14:paraId="7D5613BE" w14:textId="13925505" w:rsidR="0067520E" w:rsidRPr="00464550" w:rsidRDefault="00836020">
      <w:pPr>
        <w:jc w:val="both"/>
        <w:rPr>
          <w:rFonts w:ascii="Times New Roman" w:hAnsi="Times New Roman" w:cs="Times New Roman"/>
          <w:noProof/>
          <w:sz w:val="24"/>
          <w:szCs w:val="24"/>
        </w:rPr>
      </w:pPr>
      <w:r>
        <w:rPr>
          <w:rFonts w:ascii="Times New Roman" w:hAnsi="Times New Roman"/>
          <w:b/>
          <w:noProof/>
          <w:sz w:val="24"/>
        </w:rPr>
        <w:t xml:space="preserve">O altă bornă importantă </w:t>
      </w:r>
      <w:r>
        <w:rPr>
          <w:rFonts w:ascii="Times New Roman" w:hAnsi="Times New Roman"/>
          <w:noProof/>
          <w:sz w:val="24"/>
        </w:rPr>
        <w:t>în istoria ECRIS a fost atinsă</w:t>
      </w:r>
      <w:r>
        <w:rPr>
          <w:rFonts w:ascii="Times New Roman" w:hAnsi="Times New Roman"/>
          <w:b/>
          <w:noProof/>
          <w:sz w:val="24"/>
        </w:rPr>
        <w:t xml:space="preserve"> - toate statele membre sunt conectate în prezent la ECRIS</w:t>
      </w:r>
      <w:r>
        <w:rPr>
          <w:rFonts w:ascii="Times New Roman" w:hAnsi="Times New Roman"/>
          <w:noProof/>
          <w:sz w:val="24"/>
        </w:rPr>
        <w:t xml:space="preserve"> și realizează schimburi de informații cu privire la cazierele judiciare </w:t>
      </w:r>
      <w:r>
        <w:rPr>
          <w:rFonts w:ascii="Times New Roman" w:hAnsi="Times New Roman"/>
          <w:b/>
          <w:noProof/>
          <w:sz w:val="24"/>
        </w:rPr>
        <w:t>cu toate celelalte state membre</w:t>
      </w:r>
      <w:r>
        <w:rPr>
          <w:rFonts w:ascii="Times New Roman" w:hAnsi="Times New Roman"/>
          <w:noProof/>
          <w:sz w:val="24"/>
        </w:rPr>
        <w:t>.</w:t>
      </w:r>
      <w:bookmarkEnd w:id="6"/>
      <w:r>
        <w:rPr>
          <w:rStyle w:val="FootnoteReference"/>
          <w:rFonts w:ascii="Times New Roman" w:hAnsi="Times New Roman" w:cs="Times New Roman"/>
          <w:noProof/>
          <w:sz w:val="24"/>
          <w:szCs w:val="24"/>
        </w:rPr>
        <w:footnoteReference w:id="10"/>
      </w:r>
      <w:r>
        <w:rPr>
          <w:rFonts w:ascii="Times New Roman" w:hAnsi="Times New Roman"/>
          <w:noProof/>
          <w:sz w:val="24"/>
        </w:rPr>
        <w:t xml:space="preserve"> </w:t>
      </w:r>
    </w:p>
    <w:p w14:paraId="2BB10074" w14:textId="77777777" w:rsidR="004C35A4" w:rsidRDefault="004C35A4">
      <w:pPr>
        <w:jc w:val="both"/>
        <w:rPr>
          <w:rFonts w:ascii="Times New Roman" w:hAnsi="Times New Roman" w:cs="Times New Roman"/>
          <w:noProof/>
          <w:sz w:val="24"/>
          <w:szCs w:val="24"/>
        </w:rPr>
      </w:pPr>
    </w:p>
    <w:p w14:paraId="7D5613C0" w14:textId="1D6E5DBD" w:rsidR="008D3CBA" w:rsidRDefault="00D42967">
      <w:pPr>
        <w:jc w:val="both"/>
        <w:rPr>
          <w:rFonts w:ascii="Times New Roman" w:hAnsi="Times New Roman"/>
          <w:noProof/>
          <w:sz w:val="24"/>
        </w:rPr>
      </w:pPr>
      <w:r>
        <w:rPr>
          <w:rFonts w:ascii="Times New Roman" w:hAnsi="Times New Roman"/>
          <w:noProof/>
          <w:sz w:val="24"/>
        </w:rPr>
        <w:t xml:space="preserve">ECRIS a devenit operațional în 2012, cu 173 de interconexiuni din 702 interconexiuni posibile la momentul respectiv (27 de state membre conectate). </w:t>
      </w:r>
      <w:bookmarkStart w:id="7" w:name="_Hlk481158260"/>
      <w:r>
        <w:rPr>
          <w:rFonts w:ascii="Times New Roman" w:hAnsi="Times New Roman"/>
          <w:noProof/>
          <w:sz w:val="24"/>
        </w:rPr>
        <w:t>Până la sfârșitul anului 2019 fuseseră stabilite 670 de interconexiuni (90 % din cele 756 de interconexiuni posibile la momentul respectiv)</w:t>
      </w:r>
      <w:r>
        <w:rPr>
          <w:rFonts w:ascii="Times New Roman" w:hAnsi="Times New Roman"/>
          <w:b/>
          <w:noProof/>
          <w:sz w:val="24"/>
        </w:rPr>
        <w:t xml:space="preserve">. </w:t>
      </w:r>
      <w:r>
        <w:rPr>
          <w:rFonts w:ascii="Times New Roman" w:hAnsi="Times New Roman"/>
          <w:noProof/>
          <w:sz w:val="24"/>
        </w:rPr>
        <w:t xml:space="preserve">Abia în 2022, după 10 ani de funcționare a ECRIS, au fost </w:t>
      </w:r>
      <w:r>
        <w:rPr>
          <w:rFonts w:ascii="Times New Roman" w:hAnsi="Times New Roman"/>
          <w:b/>
          <w:noProof/>
          <w:sz w:val="24"/>
        </w:rPr>
        <w:t>stabilite</w:t>
      </w:r>
      <w:r>
        <w:rPr>
          <w:rFonts w:ascii="Times New Roman" w:hAnsi="Times New Roman"/>
          <w:noProof/>
          <w:sz w:val="24"/>
        </w:rPr>
        <w:t xml:space="preserve"> </w:t>
      </w:r>
      <w:r>
        <w:rPr>
          <w:rFonts w:ascii="Times New Roman" w:hAnsi="Times New Roman"/>
          <w:b/>
          <w:noProof/>
          <w:sz w:val="24"/>
        </w:rPr>
        <w:t>toate cele 702 interconexiuni posibile</w:t>
      </w:r>
      <w:r>
        <w:rPr>
          <w:rStyle w:val="FootnoteReference"/>
          <w:rFonts w:ascii="Times New Roman" w:hAnsi="Times New Roman" w:cs="Times New Roman"/>
          <w:b/>
          <w:noProof/>
          <w:sz w:val="24"/>
          <w:szCs w:val="24"/>
        </w:rPr>
        <w:footnoteReference w:id="11"/>
      </w:r>
      <w:r>
        <w:rPr>
          <w:rFonts w:ascii="Times New Roman" w:hAnsi="Times New Roman"/>
          <w:noProof/>
          <w:sz w:val="24"/>
        </w:rPr>
        <w:t xml:space="preserve"> între statele membre, acestea menținându-se de atunci la un nivel stabil.</w:t>
      </w:r>
      <w:r w:rsidR="00965AEC">
        <w:rPr>
          <w:rFonts w:ascii="Times New Roman" w:hAnsi="Times New Roman"/>
          <w:noProof/>
          <w:sz w:val="24"/>
        </w:rPr>
        <w:t xml:space="preserve"> </w:t>
      </w:r>
    </w:p>
    <w:p w14:paraId="7A0B81F6" w14:textId="7DF69810" w:rsidR="00642D97" w:rsidRDefault="00642D97">
      <w:pPr>
        <w:jc w:val="both"/>
        <w:rPr>
          <w:rFonts w:ascii="Times New Roman" w:hAnsi="Times New Roman" w:cs="Times New Roman"/>
          <w:bCs/>
          <w:noProof/>
          <w:sz w:val="24"/>
          <w:szCs w:val="24"/>
        </w:rPr>
      </w:pPr>
      <w:r>
        <w:rPr>
          <w:rFonts w:ascii="Times New Roman" w:hAnsi="Times New Roman"/>
          <w:noProof/>
          <w:sz w:val="24"/>
          <w:lang w:val="en-GB"/>
        </w:rPr>
        <mc:AlternateContent>
          <mc:Choice Requires="wps">
            <w:drawing>
              <wp:anchor distT="45720" distB="45720" distL="114300" distR="114300" simplePos="0" relativeHeight="251741696" behindDoc="0" locked="0" layoutInCell="1" allowOverlap="1" wp14:anchorId="7834AA26" wp14:editId="17707C40">
                <wp:simplePos x="0" y="0"/>
                <wp:positionH relativeFrom="column">
                  <wp:posOffset>0</wp:posOffset>
                </wp:positionH>
                <wp:positionV relativeFrom="paragraph">
                  <wp:posOffset>299085</wp:posOffset>
                </wp:positionV>
                <wp:extent cx="5755640" cy="1009650"/>
                <wp:effectExtent l="0" t="0" r="1651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5640" cy="1009650"/>
                        </a:xfrm>
                        <a:prstGeom prst="rect">
                          <a:avLst/>
                        </a:prstGeom>
                        <a:solidFill>
                          <a:srgbClr val="FFFFFF"/>
                        </a:solidFill>
                        <a:ln w="9525">
                          <a:solidFill>
                            <a:srgbClr val="000000"/>
                          </a:solidFill>
                          <a:miter lim="800000"/>
                          <a:headEnd/>
                          <a:tailEnd/>
                        </a:ln>
                      </wps:spPr>
                      <wps:txbx>
                        <w:txbxContent>
                          <w:p w14:paraId="70D21CD2" w14:textId="77777777" w:rsidR="00642D97" w:rsidRPr="00233A6E" w:rsidRDefault="00642D97" w:rsidP="00642D97">
                            <w:pPr>
                              <w:pStyle w:val="ListParagraph"/>
                              <w:numPr>
                                <w:ilvl w:val="0"/>
                                <w:numId w:val="24"/>
                              </w:numPr>
                              <w:jc w:val="both"/>
                              <w:rPr>
                                <w:rFonts w:ascii="Times New Roman" w:hAnsi="Times New Roman" w:cs="Times New Roman"/>
                                <w:color w:val="C00000"/>
                                <w:sz w:val="24"/>
                                <w:szCs w:val="24"/>
                              </w:rPr>
                            </w:pPr>
                            <w:r>
                              <w:rPr>
                                <w:rFonts w:ascii="Times New Roman" w:hAnsi="Times New Roman"/>
                                <w:b/>
                                <w:color w:val="C00000"/>
                                <w:sz w:val="24"/>
                              </w:rPr>
                              <w:t>Toate cele 27 de state membre sunt conectate la ECRIS și realizează schimburi de informații cu privire la cazierele judiciare cu toate celelalte state membre</w:t>
                            </w:r>
                          </w:p>
                          <w:p w14:paraId="47A8A192" w14:textId="77777777" w:rsidR="00642D97" w:rsidRPr="00233A6E" w:rsidRDefault="00642D97" w:rsidP="00642D97">
                            <w:pPr>
                              <w:ind w:left="360"/>
                              <w:jc w:val="both"/>
                              <w:rPr>
                                <w:rFonts w:ascii="Times New Roman" w:hAnsi="Times New Roman" w:cs="Times New Roman"/>
                                <w:bCs/>
                                <w:color w:val="C00000"/>
                                <w:sz w:val="24"/>
                                <w:szCs w:val="24"/>
                              </w:rPr>
                            </w:pPr>
                            <w:r>
                              <w:rPr>
                                <w:rFonts w:ascii="Times New Roman" w:hAnsi="Times New Roman"/>
                                <w:color w:val="C00000"/>
                                <w:sz w:val="24"/>
                              </w:rPr>
                              <w:t xml:space="preserve">După 10 ani de funcționare, </w:t>
                            </w:r>
                            <w:r>
                              <w:rPr>
                                <w:rFonts w:ascii="Times New Roman" w:hAnsi="Times New Roman"/>
                                <w:b/>
                                <w:color w:val="C00000"/>
                                <w:sz w:val="24"/>
                              </w:rPr>
                              <w:t xml:space="preserve">o altă bornă importantă </w:t>
                            </w:r>
                            <w:r>
                              <w:rPr>
                                <w:rFonts w:ascii="Times New Roman" w:hAnsi="Times New Roman"/>
                                <w:color w:val="C00000"/>
                                <w:sz w:val="24"/>
                              </w:rPr>
                              <w:t>în istoria ECRIS a fost atinsă</w:t>
                            </w:r>
                            <w:r>
                              <w:rPr>
                                <w:rFonts w:ascii="Times New Roman" w:hAnsi="Times New Roman"/>
                                <w:b/>
                                <w:color w:val="C00000"/>
                                <w:sz w:val="24"/>
                              </w:rPr>
                              <w:t xml:space="preserve"> -</w:t>
                            </w:r>
                            <w:r>
                              <w:rPr>
                                <w:rFonts w:ascii="Times New Roman" w:hAnsi="Times New Roman"/>
                                <w:color w:val="C00000"/>
                                <w:sz w:val="24"/>
                              </w:rPr>
                              <w:t xml:space="preserve"> </w:t>
                            </w:r>
                            <w:r>
                              <w:rPr>
                                <w:rFonts w:ascii="Times New Roman" w:hAnsi="Times New Roman"/>
                                <w:b/>
                                <w:color w:val="C00000"/>
                                <w:sz w:val="24"/>
                              </w:rPr>
                              <w:t>în 2022</w:t>
                            </w:r>
                            <w:r>
                              <w:rPr>
                                <w:rFonts w:ascii="Times New Roman" w:hAnsi="Times New Roman"/>
                                <w:color w:val="C00000"/>
                                <w:sz w:val="24"/>
                              </w:rPr>
                              <w:t xml:space="preserve"> au fost stabilite </w:t>
                            </w:r>
                            <w:r>
                              <w:rPr>
                                <w:rFonts w:ascii="Times New Roman" w:hAnsi="Times New Roman"/>
                                <w:b/>
                                <w:color w:val="C00000"/>
                                <w:sz w:val="24"/>
                              </w:rPr>
                              <w:t>toate cele 702 interconexiuni posibile</w:t>
                            </w:r>
                            <w:r>
                              <w:rPr>
                                <w:rFonts w:ascii="Times New Roman" w:hAnsi="Times New Roman"/>
                                <w:color w:val="C00000"/>
                                <w:sz w:val="24"/>
                              </w:rPr>
                              <w:t xml:space="preserve"> între statele membre, acestea menținându-se de atunci la un nivel stabil. </w:t>
                            </w:r>
                          </w:p>
                          <w:p w14:paraId="2B4B2C7E" w14:textId="77777777" w:rsidR="00642D97" w:rsidRDefault="00642D97" w:rsidP="00642D9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34AA26" id="_x0000_s1028" type="#_x0000_t202" style="position:absolute;left:0;text-align:left;margin-left:0;margin-top:23.55pt;width:453.2pt;height:79.5pt;z-index:251741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">
                <v:textbox>
                  <w:txbxContent>
                    <w:p w14:paraId="70D21CD2" w14:textId="77777777" w:rsidR="00642D97" w:rsidRPr="00233A6E" w:rsidRDefault="00642D97" w:rsidP="00642D97">
                      <w:pPr>
                        <w:pStyle w:val="ListParagraph"/>
                        <w:numPr>
                          <w:ilvl w:val="0"/>
                          <w:numId w:val="24"/>
                        </w:numPr>
                        <w:jc w:val="both"/>
                        <w:rPr>
                          <w:rFonts w:ascii="Times New Roman" w:hAnsi="Times New Roman" w:cs="Times New Roman"/>
                          <w:color w:val="C00000"/>
                          <w:sz w:val="24"/>
                          <w:szCs w:val="24"/>
                        </w:rPr>
                      </w:pPr>
                      <w:r>
                        <w:rPr>
                          <w:rFonts w:ascii="Times New Roman" w:hAnsi="Times New Roman"/>
                          <w:b/>
                          <w:color w:val="C00000"/>
                          <w:sz w:val="24"/>
                        </w:rPr>
                        <w:t>Toate cele 27 de state membre sunt conectate la ECRIS și realizează schimburi de informații cu privire la cazierele judiciare cu toate celelalte state membre</w:t>
                      </w:r>
                    </w:p>
                    <w:p w14:paraId="47A8A192" w14:textId="77777777" w:rsidR="00642D97" w:rsidRPr="00233A6E" w:rsidRDefault="00642D97" w:rsidP="00642D97">
                      <w:pPr>
                        <w:ind w:left="360"/>
                        <w:jc w:val="both"/>
                        <w:rPr>
                          <w:rFonts w:ascii="Times New Roman" w:hAnsi="Times New Roman" w:cs="Times New Roman"/>
                          <w:bCs/>
                          <w:color w:val="C00000"/>
                          <w:sz w:val="24"/>
                          <w:szCs w:val="24"/>
                        </w:rPr>
                      </w:pPr>
                      <w:r>
                        <w:rPr>
                          <w:rFonts w:ascii="Times New Roman" w:hAnsi="Times New Roman"/>
                          <w:color w:val="C00000"/>
                          <w:sz w:val="24"/>
                        </w:rPr>
                        <w:t xml:space="preserve">După 10 ani de funcționare, </w:t>
                      </w:r>
                      <w:r>
                        <w:rPr>
                          <w:rFonts w:ascii="Times New Roman" w:hAnsi="Times New Roman"/>
                          <w:b/>
                          <w:color w:val="C00000"/>
                          <w:sz w:val="24"/>
                        </w:rPr>
                        <w:t xml:space="preserve">o altă bornă importantă </w:t>
                      </w:r>
                      <w:r>
                        <w:rPr>
                          <w:rFonts w:ascii="Times New Roman" w:hAnsi="Times New Roman"/>
                          <w:color w:val="C00000"/>
                          <w:sz w:val="24"/>
                        </w:rPr>
                        <w:t>în istoria ECRIS a fost atinsă</w:t>
                      </w:r>
                      <w:r>
                        <w:rPr>
                          <w:rFonts w:ascii="Times New Roman" w:hAnsi="Times New Roman"/>
                          <w:b/>
                          <w:color w:val="C00000"/>
                          <w:sz w:val="24"/>
                        </w:rPr>
                        <w:t xml:space="preserve"> -</w:t>
                      </w:r>
                      <w:r>
                        <w:rPr>
                          <w:rFonts w:ascii="Times New Roman" w:hAnsi="Times New Roman"/>
                          <w:color w:val="C00000"/>
                          <w:sz w:val="24"/>
                        </w:rPr>
                        <w:t xml:space="preserve"> </w:t>
                      </w:r>
                      <w:r>
                        <w:rPr>
                          <w:rFonts w:ascii="Times New Roman" w:hAnsi="Times New Roman"/>
                          <w:b/>
                          <w:color w:val="C00000"/>
                          <w:sz w:val="24"/>
                        </w:rPr>
                        <w:t>în 2022</w:t>
                      </w:r>
                      <w:r>
                        <w:rPr>
                          <w:rFonts w:ascii="Times New Roman" w:hAnsi="Times New Roman"/>
                          <w:color w:val="C00000"/>
                          <w:sz w:val="24"/>
                        </w:rPr>
                        <w:t xml:space="preserve"> au fost stabilite </w:t>
                      </w:r>
                      <w:r>
                        <w:rPr>
                          <w:rFonts w:ascii="Times New Roman" w:hAnsi="Times New Roman"/>
                          <w:b/>
                          <w:color w:val="C00000"/>
                          <w:sz w:val="24"/>
                        </w:rPr>
                        <w:t>toate cele 702 interconexiuni posibile</w:t>
                      </w:r>
                      <w:r>
                        <w:rPr>
                          <w:rFonts w:ascii="Times New Roman" w:hAnsi="Times New Roman"/>
                          <w:color w:val="C00000"/>
                          <w:sz w:val="24"/>
                        </w:rPr>
                        <w:t xml:space="preserve"> între statele membre, acestea menținându-se de atunci la un nivel stabil. </w:t>
                      </w:r>
                    </w:p>
                    <w:p w14:paraId="2B4B2C7E" w14:textId="77777777" w:rsidR="00642D97" w:rsidRDefault="00642D97" w:rsidP="00642D97"/>
                  </w:txbxContent>
                </v:textbox>
                <w10:wrap type="square"/>
              </v:shape>
            </w:pict>
          </mc:Fallback>
        </mc:AlternateContent>
      </w:r>
    </w:p>
    <w:p w14:paraId="7D5613C2" w14:textId="4824CF00" w:rsidR="008D3CBA" w:rsidRPr="00464550" w:rsidRDefault="002C2C15">
      <w:pPr>
        <w:jc w:val="both"/>
        <w:rPr>
          <w:rFonts w:ascii="Times New Roman" w:hAnsi="Times New Roman" w:cs="Times New Roman"/>
          <w:b/>
          <w:noProof/>
          <w:sz w:val="24"/>
          <w:szCs w:val="24"/>
        </w:rPr>
      </w:pPr>
      <w:bookmarkStart w:id="8" w:name="_Toc479267021"/>
      <w:bookmarkEnd w:id="7"/>
      <w:r>
        <w:rPr>
          <w:rFonts w:ascii="Times New Roman" w:hAnsi="Times New Roman"/>
          <w:b/>
          <w:smallCaps/>
          <w:noProof/>
          <w:sz w:val="24"/>
        </w:rPr>
        <w:t xml:space="preserve">2.2. </w:t>
      </w:r>
      <w:r>
        <w:rPr>
          <w:rFonts w:ascii="Times New Roman" w:hAnsi="Times New Roman"/>
          <w:b/>
          <w:noProof/>
          <w:sz w:val="24"/>
        </w:rPr>
        <w:t>Numărul total de mesaje</w:t>
      </w:r>
      <w:bookmarkEnd w:id="8"/>
      <w:r>
        <w:rPr>
          <w:rFonts w:ascii="Times New Roman" w:hAnsi="Times New Roman"/>
          <w:b/>
          <w:noProof/>
          <w:sz w:val="24"/>
        </w:rPr>
        <w:t xml:space="preserve"> care au făcut obiectul schimburilor de informații</w:t>
      </w:r>
    </w:p>
    <w:p w14:paraId="7DDC77A0" w14:textId="51E11344" w:rsidR="00303A8D" w:rsidRPr="00464550" w:rsidRDefault="00A81CAF" w:rsidP="00E60324">
      <w:pPr>
        <w:jc w:val="both"/>
        <w:rPr>
          <w:rFonts w:ascii="Times New Roman" w:hAnsi="Times New Roman" w:cs="Times New Roman"/>
          <w:noProof/>
          <w:sz w:val="24"/>
          <w:szCs w:val="24"/>
        </w:rPr>
      </w:pPr>
      <w:r>
        <w:rPr>
          <w:rFonts w:ascii="Times New Roman" w:hAnsi="Times New Roman"/>
          <w:noProof/>
          <w:sz w:val="24"/>
        </w:rPr>
        <w:t xml:space="preserve">Graficul de mai jos ilustrează volumul anual în creștere al mesajelor care au făcut obiectul schimburilor de informații între toate statele membre conectate de la data lansării ECRIS, în aprilie 2012, până la 31 decembrie 2024. Ar trebui menționat faptul că în 2012 au existat doar opt luni de activitate. Aceste volume includ toate tipurile de mesaje: notificări, actualizări, cereri, răspunsuri, respingeri, alte răspunsuri, schimburi de informații suplimentare. </w:t>
      </w:r>
    </w:p>
    <w:p w14:paraId="5FEA6320" w14:textId="77777777" w:rsidR="00E60324" w:rsidRPr="00464550" w:rsidRDefault="00E60324" w:rsidP="00E60324">
      <w:pPr>
        <w:jc w:val="both"/>
        <w:rPr>
          <w:rFonts w:ascii="Times New Roman" w:hAnsi="Times New Roman" w:cs="Times New Roman"/>
          <w:noProof/>
          <w:sz w:val="24"/>
          <w:szCs w:val="24"/>
        </w:rPr>
      </w:pPr>
    </w:p>
    <w:p w14:paraId="798B066B" w14:textId="57FB8224" w:rsidR="004918CB" w:rsidRPr="00464550" w:rsidRDefault="00FE086A">
      <w:pPr>
        <w:jc w:val="both"/>
        <w:rPr>
          <w:rFonts w:ascii="Times New Roman" w:hAnsi="Times New Roman" w:cs="Times New Roman"/>
          <w:noProof/>
          <w:sz w:val="24"/>
          <w:szCs w:val="24"/>
        </w:rPr>
      </w:pPr>
      <w:bookmarkStart w:id="9" w:name="_Hlk481162649"/>
      <w:bookmarkStart w:id="10" w:name="_Hlk481160518"/>
      <w:r>
        <w:rPr>
          <w:rFonts w:ascii="Times New Roman" w:hAnsi="Times New Roman" w:cs="Times New Roman"/>
          <w:noProof/>
          <w:sz w:val="24"/>
          <w:szCs w:val="24"/>
          <w:lang w:val="en-GB"/>
        </w:rPr>
        <w:drawing>
          <wp:inline distT="0" distB="0" distL="0" distR="0" wp14:anchorId="15A89155" wp14:editId="40F6D2A3">
            <wp:extent cx="5977437" cy="4584700"/>
            <wp:effectExtent l="0" t="0" r="4445" b="6350"/>
            <wp:docPr id="1365113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87660" cy="4592541"/>
                    </a:xfrm>
                    <a:prstGeom prst="rect">
                      <a:avLst/>
                    </a:prstGeom>
                    <a:noFill/>
                  </pic:spPr>
                </pic:pic>
              </a:graphicData>
            </a:graphic>
          </wp:inline>
        </w:drawing>
      </w:r>
    </w:p>
    <w:p w14:paraId="7D5613C5" w14:textId="60BFB80F" w:rsidR="008D3CBA" w:rsidRPr="00464550" w:rsidRDefault="0014638C">
      <w:pPr>
        <w:jc w:val="both"/>
        <w:rPr>
          <w:rFonts w:ascii="Times New Roman" w:hAnsi="Times New Roman" w:cs="Times New Roman"/>
          <w:noProof/>
          <w:sz w:val="24"/>
          <w:szCs w:val="24"/>
        </w:rPr>
      </w:pPr>
      <w:r>
        <w:rPr>
          <w:rFonts w:ascii="Times New Roman" w:hAnsi="Times New Roman"/>
          <w:noProof/>
          <w:sz w:val="24"/>
        </w:rPr>
        <w:t xml:space="preserve">Volumul anual de mesaje </w:t>
      </w:r>
      <w:r>
        <w:rPr>
          <w:rFonts w:ascii="Times New Roman" w:hAnsi="Times New Roman"/>
          <w:b/>
          <w:noProof/>
          <w:sz w:val="24"/>
        </w:rPr>
        <w:t>a crescut rapid până în 2019</w:t>
      </w:r>
      <w:r>
        <w:rPr>
          <w:rFonts w:ascii="Times New Roman" w:hAnsi="Times New Roman"/>
          <w:noProof/>
          <w:sz w:val="24"/>
        </w:rPr>
        <w:t xml:space="preserve">, ajungând la aproape </w:t>
      </w:r>
      <w:r>
        <w:rPr>
          <w:rFonts w:ascii="Times New Roman" w:hAnsi="Times New Roman"/>
          <w:b/>
          <w:noProof/>
          <w:sz w:val="24"/>
        </w:rPr>
        <w:t>4,2 milioane</w:t>
      </w:r>
      <w:r>
        <w:rPr>
          <w:rFonts w:ascii="Times New Roman" w:hAnsi="Times New Roman"/>
          <w:noProof/>
          <w:sz w:val="24"/>
        </w:rPr>
        <w:t xml:space="preserve">, cu o medie de 348 000 de mesaje pe lună. </w:t>
      </w:r>
      <w:r>
        <w:rPr>
          <w:rFonts w:ascii="Times New Roman" w:hAnsi="Times New Roman"/>
          <w:b/>
          <w:noProof/>
          <w:sz w:val="24"/>
        </w:rPr>
        <w:t>Perioada pandemiei</w:t>
      </w:r>
      <w:r>
        <w:rPr>
          <w:rFonts w:ascii="Times New Roman" w:hAnsi="Times New Roman"/>
          <w:noProof/>
          <w:sz w:val="24"/>
        </w:rPr>
        <w:t xml:space="preserve"> și restricțiile de deplasare impuse în această perioadă au dus la o </w:t>
      </w:r>
      <w:r>
        <w:rPr>
          <w:rFonts w:ascii="Times New Roman" w:hAnsi="Times New Roman"/>
          <w:b/>
          <w:noProof/>
          <w:sz w:val="24"/>
        </w:rPr>
        <w:t>stabilizare</w:t>
      </w:r>
      <w:r>
        <w:rPr>
          <w:rFonts w:ascii="Times New Roman" w:hAnsi="Times New Roman"/>
          <w:noProof/>
          <w:sz w:val="24"/>
        </w:rPr>
        <w:t xml:space="preserve"> a acestui număr </w:t>
      </w:r>
      <w:r>
        <w:rPr>
          <w:rFonts w:ascii="Times New Roman" w:hAnsi="Times New Roman"/>
          <w:b/>
          <w:noProof/>
          <w:sz w:val="24"/>
        </w:rPr>
        <w:t>în 2020</w:t>
      </w:r>
      <w:r>
        <w:rPr>
          <w:rFonts w:ascii="Times New Roman" w:hAnsi="Times New Roman"/>
          <w:noProof/>
          <w:sz w:val="24"/>
        </w:rPr>
        <w:t xml:space="preserve">, urmată de o </w:t>
      </w:r>
      <w:r>
        <w:rPr>
          <w:rFonts w:ascii="Times New Roman" w:hAnsi="Times New Roman"/>
          <w:b/>
          <w:noProof/>
          <w:sz w:val="24"/>
        </w:rPr>
        <w:t>scădere bruscă în 2021</w:t>
      </w:r>
      <w:r>
        <w:rPr>
          <w:rFonts w:ascii="Times New Roman" w:hAnsi="Times New Roman"/>
          <w:noProof/>
          <w:sz w:val="24"/>
        </w:rPr>
        <w:t xml:space="preserve">, până la </w:t>
      </w:r>
      <w:r>
        <w:rPr>
          <w:rFonts w:ascii="Times New Roman" w:hAnsi="Times New Roman"/>
          <w:b/>
          <w:noProof/>
          <w:sz w:val="24"/>
        </w:rPr>
        <w:t>3,8 milioane</w:t>
      </w:r>
      <w:r>
        <w:rPr>
          <w:rFonts w:ascii="Times New Roman" w:hAnsi="Times New Roman"/>
          <w:noProof/>
          <w:sz w:val="24"/>
        </w:rPr>
        <w:t xml:space="preserve"> de mesaje. La această scădere a contribuit și ieșirea Regatului Unit din ECRIS, la 1 ianuarie 2021. În 2022, volumul mesajelor a început să crească din nou în mod constant, ajungând la aproape </w:t>
      </w:r>
      <w:r>
        <w:rPr>
          <w:rFonts w:ascii="Times New Roman" w:hAnsi="Times New Roman"/>
          <w:b/>
          <w:noProof/>
          <w:sz w:val="24"/>
        </w:rPr>
        <w:t>4,8 milioane în 2024, cu o medie de 400 000 de mesaje pe lună.</w:t>
      </w:r>
      <w:bookmarkEnd w:id="9"/>
      <w:r>
        <w:rPr>
          <w:rFonts w:ascii="Times New Roman" w:hAnsi="Times New Roman"/>
          <w:noProof/>
          <w:sz w:val="24"/>
        </w:rPr>
        <w:t xml:space="preserve"> </w:t>
      </w:r>
    </w:p>
    <w:p w14:paraId="7D5613C6" w14:textId="6A733DFD" w:rsidR="008D3CBA" w:rsidRPr="00464550" w:rsidRDefault="00A81CAF">
      <w:pPr>
        <w:jc w:val="both"/>
        <w:rPr>
          <w:rFonts w:ascii="Times New Roman" w:hAnsi="Times New Roman" w:cs="Times New Roman"/>
          <w:noProof/>
          <w:sz w:val="24"/>
          <w:szCs w:val="24"/>
        </w:rPr>
      </w:pPr>
      <w:r>
        <w:rPr>
          <w:rFonts w:ascii="Times New Roman" w:hAnsi="Times New Roman"/>
          <w:noProof/>
          <w:sz w:val="24"/>
        </w:rPr>
        <w:t>Graficul de mai jos ilustrează tendința în ceea ce privește cererile trimise, răspunsurile la cereri, notificările privind noi condamnări și notificările privind actualizările pe o perioadă de 13 ani de funcționare a ECRIS. Răspunsurile includ răspunsuri la cereri, respingeri ale cererilor și alte răspunsuri</w:t>
      </w:r>
      <w:r>
        <w:rPr>
          <w:rStyle w:val="FootnoteReference"/>
          <w:rFonts w:ascii="Times New Roman" w:hAnsi="Times New Roman" w:cs="Times New Roman"/>
          <w:noProof/>
          <w:sz w:val="24"/>
          <w:szCs w:val="24"/>
        </w:rPr>
        <w:footnoteReference w:id="12"/>
      </w:r>
      <w:r>
        <w:rPr>
          <w:noProof/>
        </w:rPr>
        <w:t>.</w:t>
      </w:r>
    </w:p>
    <w:p w14:paraId="7D5613C7" w14:textId="5EE19CF6" w:rsidR="008D3CBA" w:rsidRPr="00464550" w:rsidRDefault="00FE086A" w:rsidP="00920D9B">
      <w:pPr>
        <w:jc w:val="both"/>
        <w:rPr>
          <w:rFonts w:ascii="Times New Roman" w:hAnsi="Times New Roman" w:cs="Times New Roman"/>
          <w:noProof/>
          <w:sz w:val="24"/>
          <w:szCs w:val="24"/>
        </w:rPr>
      </w:pPr>
      <w:r>
        <w:rPr>
          <w:rFonts w:ascii="Times New Roman" w:hAnsi="Times New Roman" w:cs="Times New Roman"/>
          <w:noProof/>
          <w:sz w:val="24"/>
          <w:szCs w:val="24"/>
          <w:lang w:val="en-GB"/>
        </w:rPr>
        <w:drawing>
          <wp:inline distT="0" distB="0" distL="0" distR="0" wp14:anchorId="6B26769F" wp14:editId="27756CF4">
            <wp:extent cx="6139103" cy="8103870"/>
            <wp:effectExtent l="0" t="0" r="0" b="0"/>
            <wp:docPr id="1370664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54247" cy="8123861"/>
                    </a:xfrm>
                    <a:prstGeom prst="rect">
                      <a:avLst/>
                    </a:prstGeom>
                    <a:noFill/>
                  </pic:spPr>
                </pic:pic>
              </a:graphicData>
            </a:graphic>
          </wp:inline>
        </w:drawing>
      </w:r>
    </w:p>
    <w:p w14:paraId="0439EE50" w14:textId="1DEC3F53" w:rsidR="00303A8D" w:rsidRPr="00464550" w:rsidRDefault="00303A8D">
      <w:pPr>
        <w:jc w:val="both"/>
        <w:rPr>
          <w:rFonts w:ascii="Times New Roman" w:hAnsi="Times New Roman" w:cs="Times New Roman"/>
          <w:noProof/>
          <w:sz w:val="24"/>
          <w:szCs w:val="24"/>
        </w:rPr>
      </w:pPr>
      <w:bookmarkStart w:id="11" w:name="_Hlk481162482"/>
    </w:p>
    <w:p w14:paraId="6D8E2D3F" w14:textId="63A2D12D" w:rsidR="00417B80" w:rsidRPr="00464550" w:rsidRDefault="00417B80" w:rsidP="00417B80">
      <w:pPr>
        <w:jc w:val="both"/>
        <w:rPr>
          <w:rFonts w:ascii="Times New Roman" w:hAnsi="Times New Roman" w:cs="Times New Roman"/>
          <w:b/>
          <w:noProof/>
          <w:sz w:val="24"/>
          <w:szCs w:val="24"/>
        </w:rPr>
      </w:pPr>
      <w:r>
        <w:rPr>
          <w:rFonts w:ascii="Times New Roman" w:hAnsi="Times New Roman"/>
          <w:b/>
          <w:noProof/>
          <w:sz w:val="24"/>
        </w:rPr>
        <w:t>Începând din 2017</w:t>
      </w:r>
      <w:r>
        <w:rPr>
          <w:rFonts w:ascii="Times New Roman" w:hAnsi="Times New Roman"/>
          <w:noProof/>
          <w:sz w:val="24"/>
        </w:rPr>
        <w:t xml:space="preserve"> s-a produs o </w:t>
      </w:r>
      <w:r>
        <w:rPr>
          <w:rFonts w:ascii="Times New Roman" w:hAnsi="Times New Roman"/>
          <w:b/>
          <w:noProof/>
          <w:sz w:val="24"/>
        </w:rPr>
        <w:t>schimbare radicală</w:t>
      </w:r>
      <w:r>
        <w:rPr>
          <w:rFonts w:ascii="Times New Roman" w:hAnsi="Times New Roman"/>
          <w:noProof/>
          <w:sz w:val="24"/>
        </w:rPr>
        <w:t xml:space="preserve"> la nivel de </w:t>
      </w:r>
      <w:r>
        <w:rPr>
          <w:rFonts w:ascii="Times New Roman" w:hAnsi="Times New Roman"/>
          <w:b/>
          <w:noProof/>
          <w:sz w:val="24"/>
        </w:rPr>
        <w:t>proporții între</w:t>
      </w:r>
      <w:r>
        <w:rPr>
          <w:rFonts w:ascii="Times New Roman" w:hAnsi="Times New Roman"/>
          <w:noProof/>
          <w:sz w:val="24"/>
        </w:rPr>
        <w:t xml:space="preserve"> numărul de </w:t>
      </w:r>
      <w:r>
        <w:rPr>
          <w:rFonts w:ascii="Times New Roman" w:hAnsi="Times New Roman"/>
          <w:b/>
          <w:noProof/>
          <w:sz w:val="24"/>
        </w:rPr>
        <w:t>notificări</w:t>
      </w:r>
      <w:r>
        <w:rPr>
          <w:rFonts w:ascii="Times New Roman" w:hAnsi="Times New Roman"/>
          <w:noProof/>
          <w:sz w:val="24"/>
        </w:rPr>
        <w:t xml:space="preserve"> privind noi condamnări, numărul de </w:t>
      </w:r>
      <w:r>
        <w:rPr>
          <w:rFonts w:ascii="Times New Roman" w:hAnsi="Times New Roman"/>
          <w:b/>
          <w:noProof/>
          <w:sz w:val="24"/>
        </w:rPr>
        <w:t>cereri</w:t>
      </w:r>
      <w:r>
        <w:rPr>
          <w:rFonts w:ascii="Times New Roman" w:hAnsi="Times New Roman"/>
          <w:noProof/>
          <w:sz w:val="24"/>
        </w:rPr>
        <w:t xml:space="preserve"> și numărul de </w:t>
      </w:r>
      <w:r>
        <w:rPr>
          <w:rFonts w:ascii="Times New Roman" w:hAnsi="Times New Roman"/>
          <w:b/>
          <w:noProof/>
          <w:sz w:val="24"/>
        </w:rPr>
        <w:t>răspunsuri</w:t>
      </w:r>
      <w:r>
        <w:rPr>
          <w:rFonts w:ascii="Times New Roman" w:hAnsi="Times New Roman"/>
          <w:noProof/>
          <w:sz w:val="24"/>
        </w:rPr>
        <w:t xml:space="preserve"> la cereri. De la un număr aproape egal pentru fiecare dintre aceste trei categorii în 2016, de aproximativ 350 000 pe an pentru fiecare categorie, </w:t>
      </w:r>
      <w:r>
        <w:rPr>
          <w:rFonts w:ascii="Times New Roman" w:hAnsi="Times New Roman"/>
          <w:b/>
          <w:noProof/>
          <w:sz w:val="24"/>
        </w:rPr>
        <w:t>numărul de cereri</w:t>
      </w:r>
      <w:r>
        <w:rPr>
          <w:rFonts w:ascii="Times New Roman" w:hAnsi="Times New Roman"/>
          <w:noProof/>
          <w:sz w:val="24"/>
        </w:rPr>
        <w:t xml:space="preserve"> de informații și </w:t>
      </w:r>
      <w:r>
        <w:rPr>
          <w:rFonts w:ascii="Times New Roman" w:hAnsi="Times New Roman"/>
          <w:b/>
          <w:noProof/>
          <w:sz w:val="24"/>
        </w:rPr>
        <w:t>numărul</w:t>
      </w:r>
      <w:r>
        <w:rPr>
          <w:rFonts w:ascii="Times New Roman" w:hAnsi="Times New Roman"/>
          <w:noProof/>
          <w:sz w:val="24"/>
        </w:rPr>
        <w:t xml:space="preserve"> aferent </w:t>
      </w:r>
      <w:r>
        <w:rPr>
          <w:rFonts w:ascii="Times New Roman" w:hAnsi="Times New Roman"/>
          <w:b/>
          <w:noProof/>
          <w:sz w:val="24"/>
        </w:rPr>
        <w:t>de răspunsuri</w:t>
      </w:r>
      <w:r>
        <w:rPr>
          <w:rFonts w:ascii="Times New Roman" w:hAnsi="Times New Roman"/>
          <w:noProof/>
          <w:sz w:val="24"/>
        </w:rPr>
        <w:t xml:space="preserve"> la cereri au crescut de trei ori comparativ cu numărul de notificări în 2019 și 2020, ajungând </w:t>
      </w:r>
      <w:r>
        <w:rPr>
          <w:rFonts w:ascii="Times New Roman" w:hAnsi="Times New Roman"/>
          <w:b/>
          <w:noProof/>
          <w:sz w:val="24"/>
        </w:rPr>
        <w:t>să depășească de aproape cinci ori numărul de notificări în 2023 și 2024.</w:t>
      </w:r>
    </w:p>
    <w:p w14:paraId="7D5613CA" w14:textId="74CF7B1B" w:rsidR="008D3CBA" w:rsidRPr="00464550" w:rsidRDefault="00B70E8B">
      <w:pPr>
        <w:jc w:val="both"/>
        <w:rPr>
          <w:rFonts w:ascii="Times New Roman" w:hAnsi="Times New Roman" w:cs="Times New Roman"/>
          <w:b/>
          <w:noProof/>
          <w:sz w:val="24"/>
          <w:szCs w:val="24"/>
        </w:rPr>
      </w:pPr>
      <w:r>
        <w:rPr>
          <w:rFonts w:ascii="Times New Roman" w:hAnsi="Times New Roman"/>
          <w:noProof/>
          <w:sz w:val="24"/>
        </w:rPr>
        <w:t xml:space="preserve">În 2020, </w:t>
      </w:r>
      <w:r>
        <w:rPr>
          <w:rFonts w:ascii="Times New Roman" w:hAnsi="Times New Roman"/>
          <w:b/>
          <w:noProof/>
          <w:sz w:val="24"/>
        </w:rPr>
        <w:t xml:space="preserve">numărul de notificări </w:t>
      </w:r>
      <w:r>
        <w:rPr>
          <w:rFonts w:ascii="Times New Roman" w:hAnsi="Times New Roman"/>
          <w:noProof/>
          <w:sz w:val="24"/>
        </w:rPr>
        <w:t>privind noi condamnări a crescut la 340 000</w:t>
      </w:r>
      <w:r>
        <w:rPr>
          <w:rStyle w:val="FootnoteReference"/>
          <w:rFonts w:ascii="Times New Roman" w:hAnsi="Times New Roman" w:cs="Times New Roman"/>
          <w:bCs/>
          <w:noProof/>
          <w:sz w:val="24"/>
          <w:szCs w:val="24"/>
        </w:rPr>
        <w:footnoteReference w:id="13"/>
      </w:r>
      <w:r>
        <w:rPr>
          <w:rFonts w:ascii="Times New Roman" w:hAnsi="Times New Roman"/>
          <w:noProof/>
          <w:sz w:val="24"/>
        </w:rPr>
        <w:t xml:space="preserve">, scăzând din nou în 2021 și </w:t>
      </w:r>
      <w:r>
        <w:rPr>
          <w:rFonts w:ascii="Times New Roman" w:hAnsi="Times New Roman"/>
          <w:b/>
          <w:noProof/>
          <w:sz w:val="24"/>
        </w:rPr>
        <w:t>stabilizându-se la un nivel destul de scăzut</w:t>
      </w:r>
      <w:r>
        <w:rPr>
          <w:rFonts w:ascii="Times New Roman" w:hAnsi="Times New Roman"/>
          <w:noProof/>
          <w:sz w:val="24"/>
        </w:rPr>
        <w:t xml:space="preserve">, de aproximativ </w:t>
      </w:r>
      <w:r>
        <w:rPr>
          <w:rFonts w:ascii="Times New Roman" w:hAnsi="Times New Roman"/>
          <w:b/>
          <w:noProof/>
          <w:sz w:val="24"/>
        </w:rPr>
        <w:t>260 000</w:t>
      </w:r>
      <w:r>
        <w:rPr>
          <w:rFonts w:ascii="Times New Roman" w:hAnsi="Times New Roman"/>
          <w:noProof/>
          <w:sz w:val="24"/>
        </w:rPr>
        <w:t xml:space="preserve"> </w:t>
      </w:r>
      <w:r>
        <w:rPr>
          <w:rFonts w:ascii="Times New Roman" w:hAnsi="Times New Roman"/>
          <w:b/>
          <w:noProof/>
          <w:sz w:val="24"/>
        </w:rPr>
        <w:t>pe an până la sfârșitul anului 2024</w:t>
      </w:r>
      <w:r>
        <w:rPr>
          <w:rFonts w:ascii="Times New Roman" w:hAnsi="Times New Roman"/>
          <w:noProof/>
          <w:sz w:val="24"/>
        </w:rPr>
        <w:t>, echivalent cu nivelul notificărilor din 2014. Având în vedere rețeaua tot mai extinsă de interconexiuni între statele membre și faptul că, în comparație cu perioada de raportare anterioară, mai puține state membre s-au confruntat cu probleme legate de notificarea tuturor noilor condamnări</w:t>
      </w:r>
      <w:r>
        <w:rPr>
          <w:rStyle w:val="FootnoteReference"/>
          <w:rFonts w:ascii="Times New Roman" w:hAnsi="Times New Roman" w:cs="Times New Roman"/>
          <w:noProof/>
          <w:sz w:val="24"/>
          <w:szCs w:val="24"/>
        </w:rPr>
        <w:footnoteReference w:id="14"/>
      </w:r>
      <w:r>
        <w:rPr>
          <w:rFonts w:ascii="Times New Roman" w:hAnsi="Times New Roman"/>
          <w:noProof/>
          <w:sz w:val="24"/>
        </w:rPr>
        <w:t xml:space="preserve">, această schimbare sugerează </w:t>
      </w:r>
      <w:r>
        <w:rPr>
          <w:rFonts w:ascii="Times New Roman" w:hAnsi="Times New Roman"/>
          <w:b/>
          <w:noProof/>
          <w:sz w:val="24"/>
        </w:rPr>
        <w:t>o scădere a numărului de condamnări</w:t>
      </w:r>
      <w:r>
        <w:rPr>
          <w:rFonts w:ascii="Times New Roman" w:hAnsi="Times New Roman"/>
          <w:noProof/>
          <w:sz w:val="24"/>
        </w:rPr>
        <w:t xml:space="preserve"> pronunțate împotriva cetățenilor din alte state membre.</w:t>
      </w:r>
    </w:p>
    <w:p w14:paraId="7D5613CB" w14:textId="500F292E" w:rsidR="00AD69F8" w:rsidRDefault="00464205">
      <w:pPr>
        <w:jc w:val="both"/>
        <w:rPr>
          <w:noProof/>
        </w:rPr>
      </w:pPr>
      <w:bookmarkStart w:id="12" w:name="_Hlk218811198"/>
      <w:r>
        <w:rPr>
          <w:rFonts w:ascii="Times New Roman" w:hAnsi="Times New Roman"/>
          <w:noProof/>
          <w:sz w:val="24"/>
        </w:rPr>
        <w:t xml:space="preserve">În schimb, </w:t>
      </w:r>
      <w:r>
        <w:rPr>
          <w:rFonts w:ascii="Times New Roman" w:hAnsi="Times New Roman"/>
          <w:b/>
          <w:noProof/>
          <w:sz w:val="24"/>
        </w:rPr>
        <w:t>numărul de cereri de informații</w:t>
      </w:r>
      <w:r>
        <w:rPr>
          <w:rFonts w:ascii="Times New Roman" w:hAnsi="Times New Roman"/>
          <w:noProof/>
          <w:sz w:val="24"/>
        </w:rPr>
        <w:t xml:space="preserve"> și numărul aferent de răspunsuri </w:t>
      </w:r>
      <w:r>
        <w:rPr>
          <w:rFonts w:ascii="Times New Roman" w:hAnsi="Times New Roman"/>
          <w:b/>
          <w:noProof/>
          <w:sz w:val="24"/>
        </w:rPr>
        <w:t xml:space="preserve">au crescut în mod constant, cu 25 % față de 2020, </w:t>
      </w:r>
      <w:r>
        <w:rPr>
          <w:rFonts w:ascii="Times New Roman" w:hAnsi="Times New Roman"/>
          <w:noProof/>
          <w:sz w:val="24"/>
        </w:rPr>
        <w:t xml:space="preserve">ajungând la </w:t>
      </w:r>
      <w:r>
        <w:rPr>
          <w:rFonts w:ascii="Times New Roman" w:hAnsi="Times New Roman"/>
          <w:b/>
          <w:noProof/>
          <w:sz w:val="24"/>
        </w:rPr>
        <w:t>1,2 milioane în 2024</w:t>
      </w:r>
      <w:r>
        <w:rPr>
          <w:rFonts w:ascii="Times New Roman" w:hAnsi="Times New Roman"/>
          <w:noProof/>
          <w:sz w:val="24"/>
        </w:rPr>
        <w:t xml:space="preserve"> pentru fiecare dintre aceste categorii. Această creștere nu este la fel de spectaculoasă precum cea înregistrată în perioada de referință anterioară</w:t>
      </w:r>
      <w:r>
        <w:rPr>
          <w:rStyle w:val="FootnoteReference"/>
          <w:rFonts w:ascii="Times New Roman" w:hAnsi="Times New Roman" w:cs="Times New Roman"/>
          <w:bCs/>
          <w:noProof/>
          <w:sz w:val="24"/>
          <w:szCs w:val="24"/>
        </w:rPr>
        <w:footnoteReference w:id="15"/>
      </w:r>
      <w:r>
        <w:rPr>
          <w:rFonts w:ascii="Times New Roman" w:hAnsi="Times New Roman"/>
          <w:noProof/>
          <w:sz w:val="24"/>
        </w:rPr>
        <w:t>, când s-a produs o schimbare importantă legată de utilizarea ECRIS, numărul cererilor de informații adresate în</w:t>
      </w:r>
      <w:r>
        <w:rPr>
          <w:rFonts w:ascii="Times New Roman" w:hAnsi="Times New Roman"/>
          <w:b/>
          <w:noProof/>
          <w:sz w:val="24"/>
        </w:rPr>
        <w:t xml:space="preserve"> alte scopuri decât procesele penale depășind de trei ori numărul cererilor adresate în scopul proceselor penale</w:t>
      </w:r>
      <w:bookmarkEnd w:id="12"/>
      <w:r>
        <w:rPr>
          <w:rFonts w:ascii="Times New Roman" w:hAnsi="Times New Roman"/>
          <w:noProof/>
          <w:sz w:val="24"/>
        </w:rPr>
        <w:t xml:space="preserve"> (pentru mai multe detalii, a se vedea secțiunea 2.8). Creșterea constantă a numărului de cereri în cei 13 ani de funcționare a ECRIS este, de asemenea, un semn pozitiv al creșterii gradului de conștientizare la nivelul statelor membre în ceea ce privește necesitatea utilizării sistemului pentru solicitarea de informații în cursul proceselor penale, cu scopul de a putea lua în considerare condamnările anterioare, în conformitate cu Decizia-cadru 2008/675/JAI</w:t>
      </w:r>
      <w:r>
        <w:rPr>
          <w:rStyle w:val="FootnoteReference"/>
          <w:rFonts w:ascii="Times New Roman" w:hAnsi="Times New Roman" w:cs="Times New Roman"/>
          <w:noProof/>
          <w:sz w:val="24"/>
          <w:szCs w:val="24"/>
        </w:rPr>
        <w:footnoteReference w:id="16"/>
      </w:r>
      <w:r>
        <w:rPr>
          <w:noProof/>
        </w:rPr>
        <w:t>.</w:t>
      </w:r>
    </w:p>
    <w:p w14:paraId="03664D22" w14:textId="52B2EAB9" w:rsidR="00642D97" w:rsidRPr="00464550" w:rsidRDefault="00642D97">
      <w:pPr>
        <w:jc w:val="both"/>
        <w:rPr>
          <w:rFonts w:ascii="Times New Roman" w:hAnsi="Times New Roman" w:cs="Times New Roman"/>
          <w:bCs/>
          <w:noProof/>
          <w:sz w:val="24"/>
          <w:szCs w:val="24"/>
        </w:rPr>
      </w:pPr>
      <w:r>
        <w:rPr>
          <w:rFonts w:ascii="Times New Roman" w:hAnsi="Times New Roman"/>
          <w:noProof/>
          <w:sz w:val="24"/>
          <w:lang w:val="en-GB"/>
        </w:rPr>
        <mc:AlternateContent>
          <mc:Choice Requires="wps">
            <w:drawing>
              <wp:anchor distT="45720" distB="45720" distL="114300" distR="114300" simplePos="0" relativeHeight="251738624" behindDoc="0" locked="0" layoutInCell="1" allowOverlap="1" wp14:anchorId="34E38ADB" wp14:editId="1852D09F">
                <wp:simplePos x="0" y="0"/>
                <wp:positionH relativeFrom="column">
                  <wp:posOffset>0</wp:posOffset>
                </wp:positionH>
                <wp:positionV relativeFrom="paragraph">
                  <wp:posOffset>299720</wp:posOffset>
                </wp:positionV>
                <wp:extent cx="5784850" cy="1898650"/>
                <wp:effectExtent l="0" t="0" r="25400" b="25400"/>
                <wp:wrapSquare wrapText="bothSides"/>
                <wp:docPr id="17786233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4850" cy="1898650"/>
                        </a:xfrm>
                        <a:prstGeom prst="rect">
                          <a:avLst/>
                        </a:prstGeom>
                        <a:solidFill>
                          <a:srgbClr val="FFFFFF"/>
                        </a:solidFill>
                        <a:ln w="9525">
                          <a:solidFill>
                            <a:srgbClr val="000000"/>
                          </a:solidFill>
                          <a:miter lim="800000"/>
                          <a:headEnd/>
                          <a:tailEnd/>
                        </a:ln>
                      </wps:spPr>
                      <wps:txbx>
                        <w:txbxContent>
                          <w:p w14:paraId="405EA5D0" w14:textId="77777777" w:rsidR="00642D97" w:rsidRPr="00233A6E" w:rsidRDefault="00642D97" w:rsidP="00642D97">
                            <w:pPr>
                              <w:pStyle w:val="ListParagraph"/>
                              <w:numPr>
                                <w:ilvl w:val="0"/>
                                <w:numId w:val="21"/>
                              </w:numPr>
                              <w:jc w:val="both"/>
                              <w:rPr>
                                <w:rFonts w:ascii="Times New Roman" w:hAnsi="Times New Roman" w:cs="Times New Roman"/>
                                <w:bCs/>
                                <w:color w:val="C00000"/>
                                <w:sz w:val="24"/>
                                <w:szCs w:val="24"/>
                              </w:rPr>
                            </w:pPr>
                            <w:r>
                              <w:rPr>
                                <w:rFonts w:ascii="Times New Roman" w:hAnsi="Times New Roman"/>
                                <w:b/>
                                <w:color w:val="C00000"/>
                                <w:sz w:val="24"/>
                              </w:rPr>
                              <w:t>Numărul de mesaje care au făcut obiectul schimburilor de informații a crescut din nou după pandemie, ajungând la 4,8 milioane în 2024</w:t>
                            </w:r>
                          </w:p>
                          <w:p w14:paraId="0A0BE758" w14:textId="77777777" w:rsidR="00642D97" w:rsidRPr="00233A6E" w:rsidRDefault="00642D97" w:rsidP="00642D97">
                            <w:pPr>
                              <w:ind w:left="360"/>
                              <w:jc w:val="both"/>
                              <w:rPr>
                                <w:rFonts w:ascii="Times New Roman" w:hAnsi="Times New Roman" w:cs="Times New Roman"/>
                                <w:bCs/>
                                <w:color w:val="C00000"/>
                                <w:sz w:val="24"/>
                                <w:szCs w:val="24"/>
                              </w:rPr>
                            </w:pPr>
                            <w:r>
                              <w:rPr>
                                <w:rFonts w:ascii="Times New Roman" w:hAnsi="Times New Roman"/>
                                <w:b/>
                                <w:color w:val="C00000"/>
                                <w:sz w:val="24"/>
                              </w:rPr>
                              <w:t>Perioada pandemiei</w:t>
                            </w:r>
                            <w:r>
                              <w:rPr>
                                <w:rFonts w:ascii="Times New Roman" w:hAnsi="Times New Roman"/>
                                <w:color w:val="C00000"/>
                                <w:sz w:val="24"/>
                              </w:rPr>
                              <w:t xml:space="preserve">, restricțiile de deplasare impuse în această perioadă și </w:t>
                            </w:r>
                            <w:r>
                              <w:rPr>
                                <w:rFonts w:ascii="Times New Roman" w:hAnsi="Times New Roman"/>
                                <w:b/>
                                <w:color w:val="C00000"/>
                                <w:sz w:val="24"/>
                              </w:rPr>
                              <w:t xml:space="preserve">Brexit au dus la o scădere bruscă </w:t>
                            </w:r>
                            <w:r>
                              <w:rPr>
                                <w:rFonts w:ascii="Times New Roman" w:hAnsi="Times New Roman"/>
                                <w:color w:val="C00000"/>
                                <w:sz w:val="24"/>
                              </w:rPr>
                              <w:t xml:space="preserve">a numărului de mesaje care au făcut obiectul schimburilor de informații, până la 3,8 milioane în 2021. În 2022, volumul mesajelor a început să crească din nou în mod constant, ajungând la aproape </w:t>
                            </w:r>
                            <w:r>
                              <w:rPr>
                                <w:rFonts w:ascii="Times New Roman" w:hAnsi="Times New Roman"/>
                                <w:b/>
                                <w:color w:val="C00000"/>
                                <w:sz w:val="24"/>
                              </w:rPr>
                              <w:t>4,8 milioane în 2024</w:t>
                            </w:r>
                            <w:r>
                              <w:rPr>
                                <w:rFonts w:ascii="Times New Roman" w:hAnsi="Times New Roman"/>
                                <w:color w:val="C00000"/>
                                <w:sz w:val="24"/>
                              </w:rPr>
                              <w:t>, cu o</w:t>
                            </w:r>
                            <w:r>
                              <w:rPr>
                                <w:rFonts w:ascii="Times New Roman" w:hAnsi="Times New Roman"/>
                                <w:b/>
                                <w:color w:val="C00000"/>
                                <w:sz w:val="24"/>
                              </w:rPr>
                              <w:t xml:space="preserve"> medie de 400 000 de mesaje pe lună.</w:t>
                            </w:r>
                            <w:r>
                              <w:rPr>
                                <w:rFonts w:ascii="Times New Roman" w:hAnsi="Times New Roman"/>
                                <w:color w:val="C00000"/>
                                <w:sz w:val="24"/>
                              </w:rPr>
                              <w:t xml:space="preserve"> </w:t>
                            </w:r>
                            <w:r>
                              <w:rPr>
                                <w:rFonts w:ascii="Times New Roman" w:hAnsi="Times New Roman"/>
                                <w:b/>
                                <w:color w:val="C00000"/>
                                <w:sz w:val="24"/>
                              </w:rPr>
                              <w:t>Începând din 2017</w:t>
                            </w:r>
                            <w:r>
                              <w:rPr>
                                <w:rFonts w:ascii="Times New Roman" w:hAnsi="Times New Roman"/>
                                <w:color w:val="C00000"/>
                                <w:sz w:val="24"/>
                              </w:rPr>
                              <w:t xml:space="preserve"> s-a produs o </w:t>
                            </w:r>
                            <w:r>
                              <w:rPr>
                                <w:rFonts w:ascii="Times New Roman" w:hAnsi="Times New Roman"/>
                                <w:b/>
                                <w:color w:val="C00000"/>
                                <w:sz w:val="24"/>
                              </w:rPr>
                              <w:t>schimbare radicală</w:t>
                            </w:r>
                            <w:r>
                              <w:rPr>
                                <w:rFonts w:ascii="Times New Roman" w:hAnsi="Times New Roman"/>
                                <w:color w:val="C00000"/>
                                <w:sz w:val="24"/>
                              </w:rPr>
                              <w:t xml:space="preserve"> în ceea ce privește </w:t>
                            </w:r>
                            <w:r>
                              <w:rPr>
                                <w:rFonts w:ascii="Times New Roman" w:hAnsi="Times New Roman"/>
                                <w:b/>
                                <w:color w:val="C00000"/>
                                <w:sz w:val="24"/>
                              </w:rPr>
                              <w:t xml:space="preserve">proporția notificărilor </w:t>
                            </w:r>
                            <w:r>
                              <w:rPr>
                                <w:rFonts w:ascii="Times New Roman" w:hAnsi="Times New Roman"/>
                                <w:color w:val="C00000"/>
                                <w:sz w:val="24"/>
                              </w:rPr>
                              <w:t xml:space="preserve">privind condamnările, a </w:t>
                            </w:r>
                            <w:r>
                              <w:rPr>
                                <w:rFonts w:ascii="Times New Roman" w:hAnsi="Times New Roman"/>
                                <w:b/>
                                <w:color w:val="C00000"/>
                                <w:sz w:val="24"/>
                              </w:rPr>
                              <w:t>cererilor</w:t>
                            </w:r>
                            <w:r>
                              <w:rPr>
                                <w:rFonts w:ascii="Times New Roman" w:hAnsi="Times New Roman"/>
                                <w:color w:val="C00000"/>
                                <w:sz w:val="24"/>
                              </w:rPr>
                              <w:t xml:space="preserve"> și a </w:t>
                            </w:r>
                            <w:r>
                              <w:rPr>
                                <w:rFonts w:ascii="Times New Roman" w:hAnsi="Times New Roman"/>
                                <w:b/>
                                <w:color w:val="C00000"/>
                                <w:sz w:val="24"/>
                              </w:rPr>
                              <w:t>răspunsurilor</w:t>
                            </w:r>
                            <w:r>
                              <w:rPr>
                                <w:rFonts w:ascii="Times New Roman" w:hAnsi="Times New Roman"/>
                                <w:color w:val="C00000"/>
                                <w:sz w:val="24"/>
                              </w:rPr>
                              <w:t xml:space="preserve"> la cereri, </w:t>
                            </w:r>
                            <w:r>
                              <w:rPr>
                                <w:rFonts w:ascii="Times New Roman" w:hAnsi="Times New Roman"/>
                                <w:b/>
                                <w:color w:val="C00000"/>
                                <w:sz w:val="24"/>
                              </w:rPr>
                              <w:t>numărul de cereri</w:t>
                            </w:r>
                            <w:r>
                              <w:rPr>
                                <w:rFonts w:ascii="Times New Roman" w:hAnsi="Times New Roman"/>
                                <w:color w:val="C00000"/>
                                <w:sz w:val="24"/>
                              </w:rPr>
                              <w:t xml:space="preserve"> de informații fiind de </w:t>
                            </w:r>
                            <w:r>
                              <w:rPr>
                                <w:rFonts w:ascii="Times New Roman" w:hAnsi="Times New Roman"/>
                                <w:b/>
                                <w:color w:val="C00000"/>
                                <w:sz w:val="24"/>
                              </w:rPr>
                              <w:t>aproape cinci ori mai mare decât cel al notificărilor în 2024</w:t>
                            </w:r>
                            <w:r>
                              <w:rPr>
                                <w:rFonts w:ascii="Times New Roman" w:hAnsi="Times New Roman"/>
                                <w:color w:val="C00000"/>
                                <w:sz w:val="24"/>
                              </w:rPr>
                              <w:t xml:space="preserve">. </w:t>
                            </w:r>
                          </w:p>
                          <w:p w14:paraId="05B6D917" w14:textId="77777777" w:rsidR="00642D97" w:rsidRDefault="00642D97" w:rsidP="00642D9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E38ADB" id="_x0000_s1029" type="#_x0000_t202" style="position:absolute;left:0;text-align:left;margin-left:0;margin-top:23.6pt;width:455.5pt;height:149.5pt;z-index:251738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">
                <v:textbox>
                  <w:txbxContent>
                    <w:p w14:paraId="405EA5D0" w14:textId="77777777" w:rsidR="00642D97" w:rsidRPr="00233A6E" w:rsidRDefault="00642D97" w:rsidP="00642D97">
                      <w:pPr>
                        <w:pStyle w:val="ListParagraph"/>
                        <w:numPr>
                          <w:ilvl w:val="0"/>
                          <w:numId w:val="21"/>
                        </w:numPr>
                        <w:jc w:val="both"/>
                        <w:rPr>
                          <w:rFonts w:ascii="Times New Roman" w:hAnsi="Times New Roman" w:cs="Times New Roman"/>
                          <w:bCs/>
                          <w:color w:val="C00000"/>
                          <w:sz w:val="24"/>
                          <w:szCs w:val="24"/>
                        </w:rPr>
                      </w:pPr>
                      <w:r>
                        <w:rPr>
                          <w:rFonts w:ascii="Times New Roman" w:hAnsi="Times New Roman"/>
                          <w:b/>
                          <w:color w:val="C00000"/>
                          <w:sz w:val="24"/>
                        </w:rPr>
                        <w:t>Numărul de mesaje care au făcut obiectul schimburilor de informații a crescut din nou după pandemie, ajungând la 4,8 milioane în 2024</w:t>
                      </w:r>
                    </w:p>
                    <w:p w14:paraId="0A0BE758" w14:textId="77777777" w:rsidR="00642D97" w:rsidRPr="00233A6E" w:rsidRDefault="00642D97" w:rsidP="00642D97">
                      <w:pPr>
                        <w:ind w:left="360"/>
                        <w:jc w:val="both"/>
                        <w:rPr>
                          <w:rFonts w:ascii="Times New Roman" w:hAnsi="Times New Roman" w:cs="Times New Roman"/>
                          <w:bCs/>
                          <w:color w:val="C00000"/>
                          <w:sz w:val="24"/>
                          <w:szCs w:val="24"/>
                        </w:rPr>
                      </w:pPr>
                      <w:r>
                        <w:rPr>
                          <w:rFonts w:ascii="Times New Roman" w:hAnsi="Times New Roman"/>
                          <w:b/>
                          <w:color w:val="C00000"/>
                          <w:sz w:val="24"/>
                        </w:rPr>
                        <w:t>Perioada pandemiei</w:t>
                      </w:r>
                      <w:r>
                        <w:rPr>
                          <w:rFonts w:ascii="Times New Roman" w:hAnsi="Times New Roman"/>
                          <w:color w:val="C00000"/>
                          <w:sz w:val="24"/>
                        </w:rPr>
                        <w:t xml:space="preserve">, restricțiile de deplasare impuse în această perioadă și </w:t>
                      </w:r>
                      <w:r>
                        <w:rPr>
                          <w:rFonts w:ascii="Times New Roman" w:hAnsi="Times New Roman"/>
                          <w:b/>
                          <w:color w:val="C00000"/>
                          <w:sz w:val="24"/>
                        </w:rPr>
                        <w:t xml:space="preserve">Brexit au dus la o scădere bruscă </w:t>
                      </w:r>
                      <w:r>
                        <w:rPr>
                          <w:rFonts w:ascii="Times New Roman" w:hAnsi="Times New Roman"/>
                          <w:color w:val="C00000"/>
                          <w:sz w:val="24"/>
                        </w:rPr>
                        <w:t xml:space="preserve">a numărului de mesaje care au făcut obiectul schimburilor de informații, până la 3,8 milioane în 2021. În 2022, volumul mesajelor a început să crească din nou în mod constant, ajungând la aproape </w:t>
                      </w:r>
                      <w:r>
                        <w:rPr>
                          <w:rFonts w:ascii="Times New Roman" w:hAnsi="Times New Roman"/>
                          <w:b/>
                          <w:color w:val="C00000"/>
                          <w:sz w:val="24"/>
                        </w:rPr>
                        <w:t>4,8 milioane în 2024</w:t>
                      </w:r>
                      <w:r>
                        <w:rPr>
                          <w:rFonts w:ascii="Times New Roman" w:hAnsi="Times New Roman"/>
                          <w:color w:val="C00000"/>
                          <w:sz w:val="24"/>
                        </w:rPr>
                        <w:t>, cu o</w:t>
                      </w:r>
                      <w:r>
                        <w:rPr>
                          <w:rFonts w:ascii="Times New Roman" w:hAnsi="Times New Roman"/>
                          <w:b/>
                          <w:color w:val="C00000"/>
                          <w:sz w:val="24"/>
                        </w:rPr>
                        <w:t xml:space="preserve"> medie de 400 000 de mesaje pe lună.</w:t>
                      </w:r>
                      <w:r>
                        <w:rPr>
                          <w:rFonts w:ascii="Times New Roman" w:hAnsi="Times New Roman"/>
                          <w:color w:val="C00000"/>
                          <w:sz w:val="24"/>
                        </w:rPr>
                        <w:t xml:space="preserve"> </w:t>
                      </w:r>
                      <w:r>
                        <w:rPr>
                          <w:rFonts w:ascii="Times New Roman" w:hAnsi="Times New Roman"/>
                          <w:b/>
                          <w:color w:val="C00000"/>
                          <w:sz w:val="24"/>
                        </w:rPr>
                        <w:t>Începând din 2017</w:t>
                      </w:r>
                      <w:r>
                        <w:rPr>
                          <w:rFonts w:ascii="Times New Roman" w:hAnsi="Times New Roman"/>
                          <w:color w:val="C00000"/>
                          <w:sz w:val="24"/>
                        </w:rPr>
                        <w:t xml:space="preserve"> s-a produs o </w:t>
                      </w:r>
                      <w:r>
                        <w:rPr>
                          <w:rFonts w:ascii="Times New Roman" w:hAnsi="Times New Roman"/>
                          <w:b/>
                          <w:color w:val="C00000"/>
                          <w:sz w:val="24"/>
                        </w:rPr>
                        <w:t>schimbare radicală</w:t>
                      </w:r>
                      <w:r>
                        <w:rPr>
                          <w:rFonts w:ascii="Times New Roman" w:hAnsi="Times New Roman"/>
                          <w:color w:val="C00000"/>
                          <w:sz w:val="24"/>
                        </w:rPr>
                        <w:t xml:space="preserve"> în ceea ce privește </w:t>
                      </w:r>
                      <w:r>
                        <w:rPr>
                          <w:rFonts w:ascii="Times New Roman" w:hAnsi="Times New Roman"/>
                          <w:b/>
                          <w:color w:val="C00000"/>
                          <w:sz w:val="24"/>
                        </w:rPr>
                        <w:t xml:space="preserve">proporția notificărilor </w:t>
                      </w:r>
                      <w:r>
                        <w:rPr>
                          <w:rFonts w:ascii="Times New Roman" w:hAnsi="Times New Roman"/>
                          <w:color w:val="C00000"/>
                          <w:sz w:val="24"/>
                        </w:rPr>
                        <w:t xml:space="preserve">privind condamnările, a </w:t>
                      </w:r>
                      <w:r>
                        <w:rPr>
                          <w:rFonts w:ascii="Times New Roman" w:hAnsi="Times New Roman"/>
                          <w:b/>
                          <w:color w:val="C00000"/>
                          <w:sz w:val="24"/>
                        </w:rPr>
                        <w:t>cererilor</w:t>
                      </w:r>
                      <w:r>
                        <w:rPr>
                          <w:rFonts w:ascii="Times New Roman" w:hAnsi="Times New Roman"/>
                          <w:color w:val="C00000"/>
                          <w:sz w:val="24"/>
                        </w:rPr>
                        <w:t xml:space="preserve"> și a </w:t>
                      </w:r>
                      <w:r>
                        <w:rPr>
                          <w:rFonts w:ascii="Times New Roman" w:hAnsi="Times New Roman"/>
                          <w:b/>
                          <w:color w:val="C00000"/>
                          <w:sz w:val="24"/>
                        </w:rPr>
                        <w:t>răspunsurilor</w:t>
                      </w:r>
                      <w:r>
                        <w:rPr>
                          <w:rFonts w:ascii="Times New Roman" w:hAnsi="Times New Roman"/>
                          <w:color w:val="C00000"/>
                          <w:sz w:val="24"/>
                        </w:rPr>
                        <w:t xml:space="preserve"> la cereri, </w:t>
                      </w:r>
                      <w:r>
                        <w:rPr>
                          <w:rFonts w:ascii="Times New Roman" w:hAnsi="Times New Roman"/>
                          <w:b/>
                          <w:color w:val="C00000"/>
                          <w:sz w:val="24"/>
                        </w:rPr>
                        <w:t>numărul de cereri</w:t>
                      </w:r>
                      <w:r>
                        <w:rPr>
                          <w:rFonts w:ascii="Times New Roman" w:hAnsi="Times New Roman"/>
                          <w:color w:val="C00000"/>
                          <w:sz w:val="24"/>
                        </w:rPr>
                        <w:t xml:space="preserve"> de informații fiind de </w:t>
                      </w:r>
                      <w:r>
                        <w:rPr>
                          <w:rFonts w:ascii="Times New Roman" w:hAnsi="Times New Roman"/>
                          <w:b/>
                          <w:color w:val="C00000"/>
                          <w:sz w:val="24"/>
                        </w:rPr>
                        <w:t>aproape cinci ori mai mare decât cel al notificărilor în 2024</w:t>
                      </w:r>
                      <w:r>
                        <w:rPr>
                          <w:rFonts w:ascii="Times New Roman" w:hAnsi="Times New Roman"/>
                          <w:color w:val="C00000"/>
                          <w:sz w:val="24"/>
                        </w:rPr>
                        <w:t xml:space="preserve">. </w:t>
                      </w:r>
                    </w:p>
                    <w:p w14:paraId="05B6D917" w14:textId="77777777" w:rsidR="00642D97" w:rsidRDefault="00642D97" w:rsidP="00642D97"/>
                  </w:txbxContent>
                </v:textbox>
                <w10:wrap type="square"/>
              </v:shape>
            </w:pict>
          </mc:Fallback>
        </mc:AlternateContent>
      </w:r>
    </w:p>
    <w:p w14:paraId="7D5613CD" w14:textId="3FA14231" w:rsidR="008D3CBA" w:rsidRPr="00464550" w:rsidRDefault="002C2C15">
      <w:pPr>
        <w:jc w:val="both"/>
        <w:rPr>
          <w:rFonts w:ascii="Times New Roman" w:hAnsi="Times New Roman" w:cs="Times New Roman"/>
          <w:b/>
          <w:noProof/>
          <w:sz w:val="24"/>
          <w:szCs w:val="24"/>
        </w:rPr>
      </w:pPr>
      <w:bookmarkStart w:id="13" w:name="_Toc479267022"/>
      <w:bookmarkEnd w:id="10"/>
      <w:bookmarkEnd w:id="11"/>
      <w:r>
        <w:rPr>
          <w:rFonts w:ascii="Times New Roman" w:hAnsi="Times New Roman"/>
          <w:b/>
          <w:noProof/>
          <w:sz w:val="24"/>
        </w:rPr>
        <w:t xml:space="preserve">2.3. Numărul de notificări, cereri și </w:t>
      </w:r>
      <w:bookmarkEnd w:id="13"/>
      <w:r>
        <w:rPr>
          <w:rFonts w:ascii="Times New Roman" w:hAnsi="Times New Roman"/>
          <w:b/>
          <w:noProof/>
          <w:sz w:val="24"/>
        </w:rPr>
        <w:t>răspunsuri pentru fiecare stat membru în parte</w:t>
      </w:r>
    </w:p>
    <w:p w14:paraId="7D5613CE" w14:textId="77B48756" w:rsidR="008D3CBA" w:rsidRPr="00464550" w:rsidRDefault="00A81CAF">
      <w:pPr>
        <w:jc w:val="both"/>
        <w:rPr>
          <w:rFonts w:ascii="Times New Roman" w:hAnsi="Times New Roman" w:cs="Times New Roman"/>
          <w:noProof/>
          <w:sz w:val="24"/>
          <w:szCs w:val="24"/>
        </w:rPr>
      </w:pPr>
      <w:r>
        <w:rPr>
          <w:rFonts w:ascii="Times New Roman" w:hAnsi="Times New Roman"/>
          <w:noProof/>
          <w:sz w:val="24"/>
        </w:rPr>
        <w:t>Graficul de mai jos prezintă numărul total de cereri trimise, de răspunsuri la cereri, de notificări privind noi condamnări și de notificări privind actualizările, pentru fiecare stat membru în parte, pentru perioada de cinci ani cuprinsă între 2020 și 2024</w:t>
      </w:r>
      <w:r>
        <w:rPr>
          <w:rStyle w:val="FootnoteReference"/>
          <w:rFonts w:ascii="Times New Roman" w:hAnsi="Times New Roman" w:cs="Times New Roman"/>
          <w:noProof/>
          <w:sz w:val="24"/>
          <w:szCs w:val="24"/>
        </w:rPr>
        <w:footnoteReference w:id="17"/>
      </w:r>
      <w:r>
        <w:rPr>
          <w:noProof/>
        </w:rPr>
        <w:t>.</w:t>
      </w:r>
      <w:r>
        <w:rPr>
          <w:rFonts w:ascii="Times New Roman" w:hAnsi="Times New Roman"/>
          <w:noProof/>
          <w:sz w:val="24"/>
        </w:rPr>
        <w:t xml:space="preserve"> </w:t>
      </w:r>
    </w:p>
    <w:p w14:paraId="45926D64" w14:textId="77777777" w:rsidR="004F7BDA" w:rsidRPr="00464550" w:rsidRDefault="004F7BDA" w:rsidP="0028785E">
      <w:pPr>
        <w:jc w:val="center"/>
        <w:rPr>
          <w:noProof/>
          <w:lang w:eastAsia="fr-BE"/>
        </w:rPr>
      </w:pPr>
    </w:p>
    <w:p w14:paraId="7A4B471B" w14:textId="6195154B" w:rsidR="007C4ECC" w:rsidRPr="00464550" w:rsidRDefault="003C1DD2" w:rsidP="00AC336C">
      <w:pPr>
        <w:jc w:val="both"/>
        <w:rPr>
          <w:rFonts w:ascii="Times New Roman" w:hAnsi="Times New Roman" w:cs="Times New Roman"/>
          <w:noProof/>
          <w:sz w:val="24"/>
          <w:szCs w:val="24"/>
        </w:rPr>
      </w:pPr>
      <w:bookmarkStart w:id="14" w:name="_Hlk481161857"/>
      <w:bookmarkStart w:id="15" w:name="_Hlk481162724"/>
      <w:r w:rsidRPr="003C1DD2">
        <w:rPr>
          <w:noProof/>
          <w:lang w:val="en-GB"/>
        </w:rPr>
        <w:drawing>
          <wp:inline distT="0" distB="0" distL="0" distR="0" wp14:anchorId="0791455F" wp14:editId="24BD4839">
            <wp:extent cx="5832000" cy="8647200"/>
            <wp:effectExtent l="0" t="0" r="0" b="1905"/>
            <wp:docPr id="15310837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32000" cy="8647200"/>
                    </a:xfrm>
                    <a:prstGeom prst="rect">
                      <a:avLst/>
                    </a:prstGeom>
                    <a:noFill/>
                    <a:ln>
                      <a:noFill/>
                    </a:ln>
                  </pic:spPr>
                </pic:pic>
              </a:graphicData>
            </a:graphic>
          </wp:inline>
        </w:drawing>
      </w:r>
    </w:p>
    <w:p w14:paraId="7D5613D2" w14:textId="032482B1" w:rsidR="0028785E" w:rsidRPr="00464550" w:rsidRDefault="0080426B" w:rsidP="00AC336C">
      <w:pPr>
        <w:jc w:val="both"/>
        <w:rPr>
          <w:rFonts w:ascii="Times New Roman" w:hAnsi="Times New Roman" w:cs="Times New Roman"/>
          <w:noProof/>
          <w:sz w:val="24"/>
          <w:szCs w:val="24"/>
        </w:rPr>
      </w:pPr>
      <w:r>
        <w:rPr>
          <w:rFonts w:ascii="Times New Roman" w:hAnsi="Times New Roman"/>
          <w:noProof/>
          <w:sz w:val="24"/>
        </w:rPr>
        <w:t>La fel ca în anii precedenți, cele mai active state membre în ceea ce privește volumul total al acestor patru tipuri de mesaje au fost Germania (25 % din totalul mesajelor de acest tip schimbate), Polonia (4,2 %), România (4,2 %), Italia (3,7 %) și Spania (3,5 %).</w:t>
      </w:r>
      <w:bookmarkEnd w:id="14"/>
    </w:p>
    <w:p w14:paraId="53D7E534" w14:textId="758FD40F" w:rsidR="00FB740D" w:rsidRDefault="00195BBD">
      <w:pPr>
        <w:jc w:val="both"/>
        <w:rPr>
          <w:rFonts w:ascii="Times New Roman" w:hAnsi="Times New Roman"/>
          <w:noProof/>
          <w:sz w:val="24"/>
        </w:rPr>
      </w:pPr>
      <w:r>
        <w:rPr>
          <w:rFonts w:ascii="Times New Roman" w:hAnsi="Times New Roman"/>
          <w:noProof/>
          <w:sz w:val="24"/>
        </w:rPr>
        <w:t xml:space="preserve">Cifrele indică </w:t>
      </w:r>
      <w:r>
        <w:rPr>
          <w:rFonts w:ascii="Times New Roman" w:hAnsi="Times New Roman"/>
          <w:b/>
          <w:noProof/>
          <w:sz w:val="24"/>
        </w:rPr>
        <w:t>diferențe semnificative între modul de utilizare și volumul de muncă al statelor membre în ECRIS</w:t>
      </w:r>
      <w:r>
        <w:rPr>
          <w:rFonts w:ascii="Times New Roman" w:hAnsi="Times New Roman"/>
          <w:noProof/>
          <w:sz w:val="24"/>
        </w:rPr>
        <w:t>.</w:t>
      </w:r>
      <w:bookmarkEnd w:id="15"/>
      <w:r>
        <w:rPr>
          <w:rFonts w:ascii="Times New Roman" w:hAnsi="Times New Roman"/>
          <w:noProof/>
          <w:sz w:val="24"/>
        </w:rPr>
        <w:t xml:space="preserve"> Unele state membre </w:t>
      </w:r>
      <w:r>
        <w:rPr>
          <w:rFonts w:ascii="Times New Roman" w:hAnsi="Times New Roman"/>
          <w:b/>
          <w:noProof/>
          <w:sz w:val="24"/>
        </w:rPr>
        <w:t>solicită informații într-un număr de cazuri considerabil mai mare decât numărul de cazuri în care li se solicită</w:t>
      </w:r>
      <w:r>
        <w:rPr>
          <w:rFonts w:ascii="Times New Roman" w:hAnsi="Times New Roman"/>
          <w:noProof/>
          <w:sz w:val="24"/>
        </w:rPr>
        <w:t xml:space="preserve"> să furnizeze informații. De exemplu, Germania a trimis aproape 4 milioane de cereri în perioada 2020-2024, dar a primit doar 198 000 de cereri, iar Suedia a trimis 142 000 de cereri și a primit 42 200</w:t>
      </w:r>
      <w:r>
        <w:rPr>
          <w:rStyle w:val="FootnoteReference"/>
          <w:rFonts w:ascii="Times New Roman" w:hAnsi="Times New Roman" w:cs="Times New Roman"/>
          <w:noProof/>
          <w:sz w:val="24"/>
          <w:szCs w:val="24"/>
        </w:rPr>
        <w:footnoteReference w:id="18"/>
      </w:r>
      <w:r>
        <w:rPr>
          <w:noProof/>
        </w:rPr>
        <w:t>.</w:t>
      </w:r>
      <w:r>
        <w:rPr>
          <w:rFonts w:ascii="Times New Roman" w:hAnsi="Times New Roman"/>
          <w:noProof/>
          <w:sz w:val="24"/>
        </w:rPr>
        <w:t xml:space="preserve"> În schimb, multe state membre se confruntă cu un </w:t>
      </w:r>
      <w:r>
        <w:rPr>
          <w:rFonts w:ascii="Times New Roman" w:hAnsi="Times New Roman"/>
          <w:b/>
          <w:noProof/>
          <w:sz w:val="24"/>
        </w:rPr>
        <w:t>număr semnificativ de cereri primite</w:t>
      </w:r>
      <w:r>
        <w:rPr>
          <w:rFonts w:ascii="Times New Roman" w:hAnsi="Times New Roman"/>
          <w:noProof/>
          <w:sz w:val="24"/>
        </w:rPr>
        <w:t>, în timp ce numărul de cereri transmise de acestea este mult mai mic: de exemplu, România (901 000 de răspunsuri furnizate față de 19 400 de cereri trimise), Polonia (835 000 față de 55 600), Italia (622 000 față de 4 800)</w:t>
      </w:r>
      <w:r>
        <w:rPr>
          <w:rStyle w:val="FootnoteReference"/>
          <w:rFonts w:ascii="Times New Roman" w:hAnsi="Times New Roman" w:cs="Times New Roman"/>
          <w:noProof/>
          <w:sz w:val="24"/>
          <w:szCs w:val="24"/>
        </w:rPr>
        <w:footnoteReference w:id="19"/>
      </w:r>
      <w:r>
        <w:rPr>
          <w:noProof/>
        </w:rPr>
        <w:t>.</w:t>
      </w:r>
      <w:r>
        <w:rPr>
          <w:rFonts w:ascii="Times New Roman" w:hAnsi="Times New Roman"/>
          <w:noProof/>
          <w:sz w:val="24"/>
        </w:rPr>
        <w:t xml:space="preserve"> Alte state membre </w:t>
      </w:r>
      <w:r>
        <w:rPr>
          <w:rFonts w:ascii="Times New Roman" w:hAnsi="Times New Roman"/>
          <w:b/>
          <w:noProof/>
          <w:sz w:val="24"/>
        </w:rPr>
        <w:t>trimit volume mari de notificări</w:t>
      </w:r>
      <w:r>
        <w:rPr>
          <w:rFonts w:ascii="Times New Roman" w:hAnsi="Times New Roman"/>
          <w:noProof/>
          <w:sz w:val="24"/>
        </w:rPr>
        <w:t xml:space="preserve"> privind noi condamnări către statele membre de cetățenie ale infractorilor, în timp ce numărul de cereri de informații pe care le trimit este mult mai mic: de exemplu, Belgia (135 000 de notificări trimise, 53 300 de cereri trimise), Italia (86 600 de notificări, 4 800 de cereri) și Grecia (40 800 de notificări, 12 cereri).</w:t>
      </w:r>
    </w:p>
    <w:p w14:paraId="59423475" w14:textId="3E2CC692" w:rsidR="00642D97" w:rsidRPr="00195BBD" w:rsidRDefault="00642D97">
      <w:pPr>
        <w:jc w:val="both"/>
        <w:rPr>
          <w:rFonts w:ascii="Times New Roman" w:hAnsi="Times New Roman" w:cs="Times New Roman"/>
          <w:noProof/>
          <w:sz w:val="24"/>
          <w:szCs w:val="24"/>
        </w:rPr>
      </w:pPr>
      <w:r>
        <w:rPr>
          <w:rFonts w:ascii="Times New Roman" w:hAnsi="Times New Roman"/>
          <w:b/>
          <w:noProof/>
          <w:sz w:val="24"/>
          <w:lang w:val="en-GB"/>
        </w:rPr>
        <mc:AlternateContent>
          <mc:Choice Requires="wps">
            <w:drawing>
              <wp:anchor distT="45720" distB="45720" distL="114300" distR="114300" simplePos="0" relativeHeight="251735552" behindDoc="0" locked="0" layoutInCell="1" allowOverlap="1" wp14:anchorId="56CAA56E" wp14:editId="3739575C">
                <wp:simplePos x="0" y="0"/>
                <wp:positionH relativeFrom="column">
                  <wp:posOffset>0</wp:posOffset>
                </wp:positionH>
                <wp:positionV relativeFrom="paragraph">
                  <wp:posOffset>299085</wp:posOffset>
                </wp:positionV>
                <wp:extent cx="5734050" cy="1555115"/>
                <wp:effectExtent l="0" t="0" r="19050" b="26035"/>
                <wp:wrapSquare wrapText="bothSides"/>
                <wp:docPr id="10513502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555115"/>
                        </a:xfrm>
                        <a:prstGeom prst="rect">
                          <a:avLst/>
                        </a:prstGeom>
                        <a:solidFill>
                          <a:srgbClr val="FFFFFF"/>
                        </a:solidFill>
                        <a:ln w="9525">
                          <a:solidFill>
                            <a:srgbClr val="000000"/>
                          </a:solidFill>
                          <a:miter lim="800000"/>
                          <a:headEnd/>
                          <a:tailEnd/>
                        </a:ln>
                      </wps:spPr>
                      <wps:txbx>
                        <w:txbxContent>
                          <w:p w14:paraId="3116662D" w14:textId="77777777" w:rsidR="00642D97" w:rsidRPr="00195BBD" w:rsidRDefault="00642D97" w:rsidP="00642D97">
                            <w:pPr>
                              <w:pStyle w:val="ListParagraph"/>
                              <w:numPr>
                                <w:ilvl w:val="0"/>
                                <w:numId w:val="21"/>
                              </w:numPr>
                              <w:rPr>
                                <w:rFonts w:ascii="Times New Roman" w:hAnsi="Times New Roman" w:cs="Times New Roman"/>
                                <w:b/>
                                <w:color w:val="C00000"/>
                                <w:sz w:val="24"/>
                                <w:szCs w:val="24"/>
                              </w:rPr>
                            </w:pPr>
                            <w:r>
                              <w:rPr>
                                <w:rFonts w:ascii="Times New Roman" w:hAnsi="Times New Roman"/>
                                <w:b/>
                                <w:color w:val="C00000"/>
                                <w:sz w:val="24"/>
                              </w:rPr>
                              <w:t>Diferențe semnificative în ceea ce privește activitățile și volumul de muncă al statelor membre în ECRIS</w:t>
                            </w:r>
                          </w:p>
                          <w:p w14:paraId="435A987A" w14:textId="77777777" w:rsidR="00642D97" w:rsidRPr="00195BBD" w:rsidRDefault="00642D97" w:rsidP="00642D97">
                            <w:pPr>
                              <w:ind w:left="360"/>
                              <w:jc w:val="both"/>
                              <w:rPr>
                                <w:rFonts w:ascii="Times New Roman" w:hAnsi="Times New Roman" w:cs="Times New Roman"/>
                                <w:color w:val="C00000"/>
                                <w:sz w:val="24"/>
                                <w:szCs w:val="24"/>
                              </w:rPr>
                            </w:pPr>
                            <w:r>
                              <w:rPr>
                                <w:rFonts w:ascii="Times New Roman" w:hAnsi="Times New Roman"/>
                                <w:color w:val="C00000"/>
                                <w:sz w:val="24"/>
                              </w:rPr>
                              <w:t xml:space="preserve">Unele state membre trimit considerabil mai multe </w:t>
                            </w:r>
                            <w:r>
                              <w:rPr>
                                <w:rFonts w:ascii="Times New Roman" w:hAnsi="Times New Roman"/>
                                <w:b/>
                                <w:color w:val="C00000"/>
                                <w:sz w:val="24"/>
                              </w:rPr>
                              <w:t>cereri de informații decât primesc</w:t>
                            </w:r>
                            <w:r>
                              <w:rPr>
                                <w:rFonts w:ascii="Times New Roman" w:hAnsi="Times New Roman"/>
                                <w:color w:val="C00000"/>
                                <w:sz w:val="24"/>
                              </w:rPr>
                              <w:t xml:space="preserve"> (Germania, Suedia și Austria), în timp ce altele se confruntă cu un </w:t>
                            </w:r>
                            <w:r>
                              <w:rPr>
                                <w:rFonts w:ascii="Times New Roman" w:hAnsi="Times New Roman"/>
                                <w:b/>
                                <w:color w:val="C00000"/>
                                <w:sz w:val="24"/>
                              </w:rPr>
                              <w:t>volum de muncă semnificativ pentru a răspunde la aceste cereri</w:t>
                            </w:r>
                            <w:r>
                              <w:rPr>
                                <w:rFonts w:ascii="Times New Roman" w:hAnsi="Times New Roman"/>
                                <w:color w:val="C00000"/>
                                <w:sz w:val="24"/>
                              </w:rPr>
                              <w:t xml:space="preserve"> (România, Polonia, Italia, Franța, Croația, Bulgaria și Grecia). Volumul de muncă al altor state membre (Belgia, Italia și Grecia) este generat în cea mai mare parte de trimiterea unui </w:t>
                            </w:r>
                            <w:r>
                              <w:rPr>
                                <w:rFonts w:ascii="Times New Roman" w:hAnsi="Times New Roman"/>
                                <w:b/>
                                <w:color w:val="C00000"/>
                                <w:sz w:val="24"/>
                              </w:rPr>
                              <w:t>număr mare de notificări</w:t>
                            </w:r>
                            <w:r>
                              <w:rPr>
                                <w:rFonts w:ascii="Times New Roman" w:hAnsi="Times New Roman"/>
                                <w:color w:val="C00000"/>
                                <w:sz w:val="24"/>
                              </w:rPr>
                              <w:t xml:space="preserve"> privind noi condamnări către statele membre de cetățenie ale infractorilor.</w:t>
                            </w:r>
                          </w:p>
                          <w:p w14:paraId="059848C8" w14:textId="77777777" w:rsidR="00642D97" w:rsidRDefault="00642D97" w:rsidP="00642D9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CAA56E" id="_x0000_s1030" type="#_x0000_t202" style="position:absolute;left:0;text-align:left;margin-left:0;margin-top:23.55pt;width:451.5pt;height:122.45pt;z-index:251735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">
                <v:textbox>
                  <w:txbxContent>
                    <w:p w14:paraId="3116662D" w14:textId="77777777" w:rsidR="00642D97" w:rsidRPr="00195BBD" w:rsidRDefault="00642D97" w:rsidP="00642D97">
                      <w:pPr>
                        <w:pStyle w:val="ListParagraph"/>
                        <w:numPr>
                          <w:ilvl w:val="0"/>
                          <w:numId w:val="21"/>
                        </w:numPr>
                        <w:rPr>
                          <w:rFonts w:ascii="Times New Roman" w:hAnsi="Times New Roman" w:cs="Times New Roman"/>
                          <w:b/>
                          <w:color w:val="C00000"/>
                          <w:sz w:val="24"/>
                          <w:szCs w:val="24"/>
                        </w:rPr>
                      </w:pPr>
                      <w:r>
                        <w:rPr>
                          <w:rFonts w:ascii="Times New Roman" w:hAnsi="Times New Roman"/>
                          <w:b/>
                          <w:color w:val="C00000"/>
                          <w:sz w:val="24"/>
                        </w:rPr>
                        <w:t>Diferențe semnificative în ceea ce privește activitățile și volumul de muncă al statelor membre în ECRIS</w:t>
                      </w:r>
                    </w:p>
                    <w:p w14:paraId="435A987A" w14:textId="77777777" w:rsidR="00642D97" w:rsidRPr="00195BBD" w:rsidRDefault="00642D97" w:rsidP="00642D97">
                      <w:pPr>
                        <w:ind w:left="360"/>
                        <w:jc w:val="both"/>
                        <w:rPr>
                          <w:rFonts w:ascii="Times New Roman" w:hAnsi="Times New Roman" w:cs="Times New Roman"/>
                          <w:color w:val="C00000"/>
                          <w:sz w:val="24"/>
                          <w:szCs w:val="24"/>
                        </w:rPr>
                      </w:pPr>
                      <w:r>
                        <w:rPr>
                          <w:rFonts w:ascii="Times New Roman" w:hAnsi="Times New Roman"/>
                          <w:color w:val="C00000"/>
                          <w:sz w:val="24"/>
                        </w:rPr>
                        <w:t xml:space="preserve">Unele state membre trimit considerabil mai multe </w:t>
                      </w:r>
                      <w:r>
                        <w:rPr>
                          <w:rFonts w:ascii="Times New Roman" w:hAnsi="Times New Roman"/>
                          <w:b/>
                          <w:color w:val="C00000"/>
                          <w:sz w:val="24"/>
                        </w:rPr>
                        <w:t>cereri de informații decât primesc</w:t>
                      </w:r>
                      <w:r>
                        <w:rPr>
                          <w:rFonts w:ascii="Times New Roman" w:hAnsi="Times New Roman"/>
                          <w:color w:val="C00000"/>
                          <w:sz w:val="24"/>
                        </w:rPr>
                        <w:t xml:space="preserve"> (Germania, Suedia și Austria), în timp ce altele se confruntă cu un </w:t>
                      </w:r>
                      <w:r>
                        <w:rPr>
                          <w:rFonts w:ascii="Times New Roman" w:hAnsi="Times New Roman"/>
                          <w:b/>
                          <w:color w:val="C00000"/>
                          <w:sz w:val="24"/>
                        </w:rPr>
                        <w:t>volum de muncă semnificativ pentru a răspunde la aceste cereri</w:t>
                      </w:r>
                      <w:r>
                        <w:rPr>
                          <w:rFonts w:ascii="Times New Roman" w:hAnsi="Times New Roman"/>
                          <w:color w:val="C00000"/>
                          <w:sz w:val="24"/>
                        </w:rPr>
                        <w:t xml:space="preserve"> (România, Polonia, Italia, Franța, Croația, Bulgaria și Grecia). Volumul de muncă al altor state membre (Belgia, Italia și Grecia) este generat în cea mai mare parte de trimiterea unui </w:t>
                      </w:r>
                      <w:r>
                        <w:rPr>
                          <w:rFonts w:ascii="Times New Roman" w:hAnsi="Times New Roman"/>
                          <w:b/>
                          <w:color w:val="C00000"/>
                          <w:sz w:val="24"/>
                        </w:rPr>
                        <w:t>număr mare de notificări</w:t>
                      </w:r>
                      <w:r>
                        <w:rPr>
                          <w:rFonts w:ascii="Times New Roman" w:hAnsi="Times New Roman"/>
                          <w:color w:val="C00000"/>
                          <w:sz w:val="24"/>
                        </w:rPr>
                        <w:t xml:space="preserve"> privind noi condamnări către statele membre de cetățenie ale infractorilor.</w:t>
                      </w:r>
                    </w:p>
                    <w:p w14:paraId="059848C8" w14:textId="77777777" w:rsidR="00642D97" w:rsidRDefault="00642D97" w:rsidP="00642D97"/>
                  </w:txbxContent>
                </v:textbox>
                <w10:wrap type="square"/>
              </v:shape>
            </w:pict>
          </mc:Fallback>
        </mc:AlternateContent>
      </w:r>
    </w:p>
    <w:p w14:paraId="7D5613D6" w14:textId="62481790" w:rsidR="008D3CBA" w:rsidRPr="00464550" w:rsidRDefault="002C2C15">
      <w:pPr>
        <w:jc w:val="both"/>
        <w:rPr>
          <w:rFonts w:ascii="Times New Roman" w:hAnsi="Times New Roman" w:cs="Times New Roman"/>
          <w:b/>
          <w:noProof/>
          <w:sz w:val="24"/>
          <w:szCs w:val="24"/>
        </w:rPr>
      </w:pPr>
      <w:r>
        <w:rPr>
          <w:rFonts w:ascii="Times New Roman" w:hAnsi="Times New Roman"/>
          <w:b/>
          <w:noProof/>
          <w:sz w:val="24"/>
        </w:rPr>
        <w:t>2.4. Notificările</w:t>
      </w:r>
    </w:p>
    <w:p w14:paraId="7D5613D7" w14:textId="76FFE0DF" w:rsidR="008D3CBA" w:rsidRPr="00464550" w:rsidRDefault="00A81CAF">
      <w:pPr>
        <w:jc w:val="both"/>
        <w:rPr>
          <w:rFonts w:ascii="Times New Roman" w:hAnsi="Times New Roman" w:cs="Times New Roman"/>
          <w:noProof/>
          <w:sz w:val="24"/>
          <w:szCs w:val="24"/>
        </w:rPr>
      </w:pPr>
      <w:r>
        <w:rPr>
          <w:rFonts w:ascii="Times New Roman" w:hAnsi="Times New Roman"/>
          <w:noProof/>
          <w:sz w:val="24"/>
        </w:rPr>
        <w:t xml:space="preserve">Graficul de mai jos ilustrează volumul total al condamnărilor pronunțate împotriva resortisanților altor state membre, al notificărilor corespunzătoare acestor condamnări și al notificărilor privind actualizările </w:t>
      </w:r>
      <w:bookmarkStart w:id="16" w:name="_Hlk216017019"/>
      <w:r>
        <w:rPr>
          <w:rFonts w:ascii="Times New Roman" w:hAnsi="Times New Roman"/>
          <w:noProof/>
          <w:sz w:val="24"/>
        </w:rPr>
        <w:t>trimise de fiecare stat membru în parte, pentru perioada de cinci ani cuprinsă între 2020 și 2024</w:t>
      </w:r>
      <w:r>
        <w:rPr>
          <w:rStyle w:val="FootnoteReference"/>
          <w:rFonts w:ascii="Times New Roman" w:hAnsi="Times New Roman" w:cs="Times New Roman"/>
          <w:noProof/>
          <w:sz w:val="24"/>
          <w:szCs w:val="24"/>
        </w:rPr>
        <w:footnoteReference w:id="20"/>
      </w:r>
      <w:bookmarkEnd w:id="16"/>
      <w:r>
        <w:rPr>
          <w:noProof/>
        </w:rPr>
        <w:t>.</w:t>
      </w:r>
      <w:r>
        <w:rPr>
          <w:rFonts w:ascii="Times New Roman" w:hAnsi="Times New Roman"/>
          <w:noProof/>
          <w:sz w:val="24"/>
        </w:rPr>
        <w:t xml:space="preserve"> </w:t>
      </w:r>
    </w:p>
    <w:p w14:paraId="7D3DEA29" w14:textId="09403D6A" w:rsidR="0052380F" w:rsidRDefault="00306669">
      <w:pPr>
        <w:jc w:val="both"/>
        <w:rPr>
          <w:rFonts w:ascii="Times New Roman" w:hAnsi="Times New Roman" w:cs="Times New Roman"/>
          <w:noProof/>
          <w:sz w:val="24"/>
          <w:szCs w:val="24"/>
        </w:rPr>
      </w:pPr>
      <w:bookmarkStart w:id="17" w:name="_Hlk481001185"/>
      <w:r>
        <w:rPr>
          <w:rFonts w:ascii="Times New Roman" w:hAnsi="Times New Roman"/>
          <w:noProof/>
          <w:sz w:val="24"/>
          <w:lang w:val="en-GB"/>
        </w:rPr>
        <w:drawing>
          <wp:inline distT="0" distB="0" distL="0" distR="0" wp14:anchorId="445FEB88" wp14:editId="213FA735">
            <wp:extent cx="5659200" cy="8704800"/>
            <wp:effectExtent l="0" t="0" r="0" b="1270"/>
            <wp:docPr id="6800953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59200" cy="8704800"/>
                    </a:xfrm>
                    <a:prstGeom prst="rect">
                      <a:avLst/>
                    </a:prstGeom>
                    <a:noFill/>
                  </pic:spPr>
                </pic:pic>
              </a:graphicData>
            </a:graphic>
          </wp:inline>
        </w:drawing>
      </w:r>
      <w:r w:rsidR="008A1FC4">
        <w:rPr>
          <w:rFonts w:ascii="Times New Roman" w:hAnsi="Times New Roman"/>
          <w:noProof/>
          <w:sz w:val="24"/>
        </w:rPr>
        <w:t xml:space="preserve">În cursul perioadei de raportare, în statele membre au fost pronunțate </w:t>
      </w:r>
      <w:r w:rsidR="008A1FC4">
        <w:rPr>
          <w:rFonts w:ascii="Times New Roman" w:hAnsi="Times New Roman"/>
          <w:b/>
          <w:noProof/>
          <w:sz w:val="24"/>
        </w:rPr>
        <w:t>1 270 000 de noi condamnări împotriva cetățenilor din alte state membre</w:t>
      </w:r>
      <w:r w:rsidR="008A1FC4">
        <w:rPr>
          <w:rFonts w:ascii="Times New Roman" w:hAnsi="Times New Roman"/>
          <w:noProof/>
          <w:sz w:val="24"/>
        </w:rPr>
        <w:t xml:space="preserve">, cu o medie de </w:t>
      </w:r>
      <w:r w:rsidR="008A1FC4">
        <w:rPr>
          <w:rFonts w:ascii="Times New Roman" w:hAnsi="Times New Roman"/>
          <w:b/>
          <w:noProof/>
          <w:sz w:val="24"/>
        </w:rPr>
        <w:t>250 000</w:t>
      </w:r>
      <w:r w:rsidR="008A1FC4">
        <w:rPr>
          <w:rFonts w:ascii="Times New Roman" w:hAnsi="Times New Roman"/>
          <w:noProof/>
          <w:sz w:val="24"/>
        </w:rPr>
        <w:t xml:space="preserve"> </w:t>
      </w:r>
      <w:r w:rsidR="008A1FC4">
        <w:rPr>
          <w:rFonts w:ascii="Times New Roman" w:hAnsi="Times New Roman"/>
          <w:b/>
          <w:noProof/>
          <w:sz w:val="24"/>
        </w:rPr>
        <w:t>de condamnări pe an</w:t>
      </w:r>
      <w:r w:rsidR="008A1FC4">
        <w:rPr>
          <w:rFonts w:ascii="Times New Roman" w:hAnsi="Times New Roman"/>
          <w:noProof/>
          <w:sz w:val="24"/>
        </w:rPr>
        <w:t xml:space="preserve">. </w:t>
      </w:r>
      <w:r w:rsidR="008A1FC4">
        <w:rPr>
          <w:rFonts w:ascii="Times New Roman" w:hAnsi="Times New Roman"/>
          <w:b/>
          <w:noProof/>
          <w:sz w:val="24"/>
        </w:rPr>
        <w:t>Numărul condamnărilor a scăzut semnificativ</w:t>
      </w:r>
      <w:r w:rsidR="008A1FC4">
        <w:rPr>
          <w:rFonts w:ascii="Times New Roman" w:hAnsi="Times New Roman"/>
          <w:noProof/>
          <w:sz w:val="24"/>
        </w:rPr>
        <w:t xml:space="preserve"> în 2020 și s-a menținut la același nivel de atunci, determinând o </w:t>
      </w:r>
      <w:r w:rsidR="008A1FC4">
        <w:rPr>
          <w:rFonts w:ascii="Times New Roman" w:hAnsi="Times New Roman"/>
          <w:b/>
          <w:noProof/>
          <w:sz w:val="24"/>
        </w:rPr>
        <w:t>scădere a numărului de notificări</w:t>
      </w:r>
      <w:r w:rsidR="008A1FC4">
        <w:rPr>
          <w:rFonts w:ascii="Times New Roman" w:hAnsi="Times New Roman"/>
          <w:noProof/>
          <w:sz w:val="24"/>
        </w:rPr>
        <w:t xml:space="preserve"> privind noi condamnări. </w:t>
      </w:r>
    </w:p>
    <w:p w14:paraId="2794976E" w14:textId="004843F7" w:rsidR="00B01486" w:rsidRPr="00464550" w:rsidRDefault="00051674">
      <w:pPr>
        <w:jc w:val="both"/>
        <w:rPr>
          <w:rFonts w:ascii="Times New Roman" w:hAnsi="Times New Roman" w:cs="Times New Roman"/>
          <w:noProof/>
          <w:sz w:val="24"/>
          <w:szCs w:val="24"/>
        </w:rPr>
      </w:pPr>
      <w:r>
        <w:rPr>
          <w:rFonts w:ascii="Times New Roman" w:hAnsi="Times New Roman"/>
          <w:noProof/>
          <w:sz w:val="24"/>
        </w:rPr>
        <w:t xml:space="preserve">În total, statele membre au trimis în această perioadă aproximativ </w:t>
      </w:r>
      <w:r>
        <w:rPr>
          <w:rFonts w:ascii="Times New Roman" w:hAnsi="Times New Roman"/>
          <w:b/>
          <w:noProof/>
          <w:sz w:val="24"/>
        </w:rPr>
        <w:t>1,4 milioane de notificări privind noi condamnări și 1,4 milioane de notificări privind actualizările</w:t>
      </w:r>
      <w:r>
        <w:rPr>
          <w:rFonts w:ascii="Times New Roman" w:hAnsi="Times New Roman"/>
          <w:noProof/>
          <w:sz w:val="24"/>
        </w:rPr>
        <w:t xml:space="preserve">. </w:t>
      </w:r>
    </w:p>
    <w:p w14:paraId="7D5613D9" w14:textId="249EFE06" w:rsidR="008D3CBA" w:rsidRPr="00464550" w:rsidRDefault="00A81CAF">
      <w:pPr>
        <w:jc w:val="both"/>
        <w:rPr>
          <w:rFonts w:ascii="Times New Roman" w:hAnsi="Times New Roman" w:cs="Times New Roman"/>
          <w:noProof/>
          <w:sz w:val="24"/>
          <w:szCs w:val="24"/>
        </w:rPr>
      </w:pPr>
      <w:r>
        <w:rPr>
          <w:rFonts w:ascii="Times New Roman" w:hAnsi="Times New Roman"/>
          <w:b/>
          <w:noProof/>
          <w:sz w:val="24"/>
        </w:rPr>
        <w:t>Numărul de notificări trimise a variat considerabil la nivelul statelor membre</w:t>
      </w:r>
      <w:r>
        <w:rPr>
          <w:rFonts w:ascii="Times New Roman" w:hAnsi="Times New Roman"/>
          <w:noProof/>
          <w:sz w:val="24"/>
        </w:rPr>
        <w:t>, de la 556 000 de notificări privind noi condamnări trimise de Germania la 800 de astfel de notificări trimise de Lituania și Estonia în cei cinci ani. Aceste variații pot fi explicate luând în considerare doi factori în special: mărimea țării și numărul de condamnări ale resortisanților altor state membre (resortisanții altor state membre ale UE)</w:t>
      </w:r>
      <w:r>
        <w:rPr>
          <w:rStyle w:val="FootnoteReference"/>
          <w:rFonts w:ascii="Times New Roman" w:hAnsi="Times New Roman" w:cs="Times New Roman"/>
          <w:noProof/>
          <w:sz w:val="24"/>
          <w:szCs w:val="24"/>
        </w:rPr>
        <w:footnoteReference w:id="21"/>
      </w:r>
      <w:r>
        <w:rPr>
          <w:noProof/>
        </w:rPr>
        <w:t>.</w:t>
      </w:r>
    </w:p>
    <w:p w14:paraId="61E99664" w14:textId="6913E1A3" w:rsidR="00AC336C" w:rsidRPr="00464550" w:rsidRDefault="00A81CAF">
      <w:pPr>
        <w:jc w:val="both"/>
        <w:rPr>
          <w:rFonts w:ascii="Times New Roman" w:hAnsi="Times New Roman" w:cs="Times New Roman"/>
          <w:noProof/>
          <w:sz w:val="24"/>
          <w:szCs w:val="24"/>
        </w:rPr>
      </w:pPr>
      <w:bookmarkStart w:id="18" w:name="_Hlk480998606"/>
      <w:bookmarkStart w:id="19" w:name="_Hlk481162205"/>
      <w:r>
        <w:rPr>
          <w:rFonts w:ascii="Times New Roman" w:hAnsi="Times New Roman"/>
          <w:b/>
          <w:noProof/>
          <w:sz w:val="24"/>
        </w:rPr>
        <w:t>Cele mai active</w:t>
      </w:r>
      <w:r>
        <w:rPr>
          <w:rFonts w:ascii="Times New Roman" w:hAnsi="Times New Roman"/>
          <w:noProof/>
          <w:sz w:val="24"/>
        </w:rPr>
        <w:t xml:space="preserve"> state membre în ceea ce privește trimiterea </w:t>
      </w:r>
      <w:r>
        <w:rPr>
          <w:rFonts w:ascii="Times New Roman" w:hAnsi="Times New Roman"/>
          <w:b/>
          <w:noProof/>
          <w:sz w:val="24"/>
        </w:rPr>
        <w:t>notificărilor privind noi condamnări</w:t>
      </w:r>
      <w:r>
        <w:rPr>
          <w:rFonts w:ascii="Times New Roman" w:hAnsi="Times New Roman"/>
          <w:noProof/>
          <w:sz w:val="24"/>
        </w:rPr>
        <w:t xml:space="preserve"> au fost Germania (40 % din numărul total al acestor notificări), Belgia (9,6 %) și Spania (9,3 %). Clasamentul este similar în ceea ce privește </w:t>
      </w:r>
      <w:r>
        <w:rPr>
          <w:rFonts w:ascii="Times New Roman" w:hAnsi="Times New Roman"/>
          <w:b/>
          <w:noProof/>
          <w:sz w:val="24"/>
        </w:rPr>
        <w:t>notificările privind actualizările</w:t>
      </w:r>
      <w:r>
        <w:rPr>
          <w:rFonts w:ascii="Times New Roman" w:hAnsi="Times New Roman"/>
          <w:noProof/>
          <w:sz w:val="24"/>
        </w:rPr>
        <w:t>: Germania (49 %), Spania (15 %) și Franța (9 %).</w:t>
      </w:r>
      <w:bookmarkEnd w:id="18"/>
    </w:p>
    <w:p w14:paraId="7D5613E0" w14:textId="0549B7F3" w:rsidR="00B97EB3" w:rsidRPr="00464550" w:rsidRDefault="00C77CA0">
      <w:pPr>
        <w:jc w:val="both"/>
        <w:rPr>
          <w:rFonts w:ascii="Times New Roman" w:hAnsi="Times New Roman" w:cs="Times New Roman"/>
          <w:bCs/>
          <w:noProof/>
          <w:sz w:val="24"/>
          <w:szCs w:val="24"/>
        </w:rPr>
      </w:pPr>
      <w:r>
        <w:rPr>
          <w:rFonts w:ascii="Times New Roman" w:hAnsi="Times New Roman"/>
          <w:noProof/>
          <w:sz w:val="24"/>
        </w:rPr>
        <w:t xml:space="preserve">În perioada de raportare 2020-2024, </w:t>
      </w:r>
      <w:r>
        <w:rPr>
          <w:rFonts w:ascii="Times New Roman" w:hAnsi="Times New Roman"/>
          <w:b/>
          <w:noProof/>
          <w:sz w:val="24"/>
        </w:rPr>
        <w:t xml:space="preserve">proporția notificărilor privind noi condamnări și cea a notificărilor privind actualizările au fluctuat în jurul valorii de 50 %. </w:t>
      </w:r>
      <w:r>
        <w:rPr>
          <w:rFonts w:ascii="Times New Roman" w:hAnsi="Times New Roman"/>
          <w:noProof/>
          <w:sz w:val="24"/>
        </w:rPr>
        <w:t xml:space="preserve">În special, în 2024, aceste notificări au reprezentat 51 % și, respectiv, 49 % comparativ cu 58 % și, respectiv, 42 % în anul de referință 2019. Ar trebui subliniat faptul că, înainte de 2018, actualizările au reprezentat doar aproximativ o treime din totalul notificărilor. Actuala </w:t>
      </w:r>
      <w:r>
        <w:rPr>
          <w:rFonts w:ascii="Times New Roman" w:hAnsi="Times New Roman"/>
          <w:b/>
          <w:noProof/>
          <w:sz w:val="24"/>
        </w:rPr>
        <w:t>creștere semnificativă a numărului de actualizări</w:t>
      </w:r>
      <w:r>
        <w:rPr>
          <w:rFonts w:ascii="Times New Roman" w:hAnsi="Times New Roman"/>
          <w:noProof/>
          <w:sz w:val="24"/>
        </w:rPr>
        <w:t xml:space="preserve"> pentru multe state membre ar trebui considerată un semn pozitiv care arată că acestea au conștientizat importanța comunicării modificărilor ulterioare ale notificărilor inițiale. </w:t>
      </w:r>
    </w:p>
    <w:p w14:paraId="59B0D678" w14:textId="41D0372A" w:rsidR="00236961" w:rsidRPr="00464550" w:rsidRDefault="00A81CAF">
      <w:pPr>
        <w:jc w:val="both"/>
        <w:rPr>
          <w:rFonts w:ascii="Times New Roman" w:hAnsi="Times New Roman" w:cs="Times New Roman"/>
          <w:noProof/>
          <w:sz w:val="24"/>
          <w:szCs w:val="24"/>
        </w:rPr>
      </w:pPr>
      <w:r>
        <w:rPr>
          <w:rFonts w:ascii="Times New Roman" w:hAnsi="Times New Roman"/>
          <w:b/>
          <w:noProof/>
          <w:sz w:val="24"/>
        </w:rPr>
        <w:t>Proporția notificărilor privind noi condamnări și cea a notificărilor privind actualizările au variat în mod semnificativ de la un stat membru la altul</w:t>
      </w:r>
      <w:r>
        <w:rPr>
          <w:rFonts w:ascii="Times New Roman" w:hAnsi="Times New Roman"/>
          <w:noProof/>
          <w:sz w:val="24"/>
        </w:rPr>
        <w:t>, de la un număr de actualizări de patru ori mai mare (în cazul Poloniei) sau de peste două ori mai mare (în cazul Austriei și Cehiei) decât numărul de notificări inițiale la valori aproximativ egale pentru ambele categorii de notificări (în cazul Italiei, Țărilor de Jos și Ungariei) și actualizări care constituie o mică parte din numărul total de notificări (în cazul Bulgariei, Ciprului, Greciei, Irlandei, Maltei și României). În cazul Germaniei, Spaniei și Franței, care au trimis cel mai mare număr de notificări în perioada de raportare, actualizările s-au ridicat la aproximativ 56 %, 61 % și, respectiv, 60 %.</w:t>
      </w:r>
    </w:p>
    <w:p w14:paraId="7D5613E2" w14:textId="12C721FB" w:rsidR="008D3CBA" w:rsidRPr="00464550" w:rsidRDefault="0067693E">
      <w:pPr>
        <w:jc w:val="both"/>
        <w:rPr>
          <w:rFonts w:ascii="Times New Roman" w:hAnsi="Times New Roman" w:cs="Times New Roman"/>
          <w:noProof/>
          <w:sz w:val="24"/>
          <w:szCs w:val="24"/>
        </w:rPr>
      </w:pPr>
      <w:r>
        <w:rPr>
          <w:rFonts w:ascii="Times New Roman" w:hAnsi="Times New Roman"/>
          <w:noProof/>
          <w:sz w:val="24"/>
        </w:rPr>
        <w:t xml:space="preserve">În ceea ce privește problemele identificate în rapoartele statistice anterioare, și anume numeroase state membre care nu trimit deloc sau trimit un volum scăzut de notificări privind noi condamnări sau de actualizări, </w:t>
      </w:r>
      <w:r>
        <w:rPr>
          <w:rFonts w:ascii="Times New Roman" w:hAnsi="Times New Roman"/>
          <w:b/>
          <w:noProof/>
          <w:sz w:val="24"/>
        </w:rPr>
        <w:t>situația s-a îmbunătățit considerabil în perioada 2020-2024, atât în ceea ce privește numărul de state membre care își îndeplinesc obligațiile, cât și volumul de informații care fac obiectul notificărilor</w:t>
      </w:r>
      <w:r>
        <w:rPr>
          <w:rFonts w:ascii="Times New Roman" w:hAnsi="Times New Roman"/>
          <w:noProof/>
          <w:sz w:val="24"/>
        </w:rPr>
        <w:t>.</w:t>
      </w:r>
    </w:p>
    <w:p w14:paraId="09D566B2" w14:textId="4B5E2F33" w:rsidR="0023623C" w:rsidRPr="00464550" w:rsidRDefault="00A81CAF">
      <w:pPr>
        <w:jc w:val="both"/>
        <w:rPr>
          <w:rFonts w:ascii="Times New Roman" w:hAnsi="Times New Roman" w:cs="Times New Roman"/>
          <w:b/>
          <w:noProof/>
          <w:sz w:val="24"/>
          <w:szCs w:val="24"/>
        </w:rPr>
      </w:pPr>
      <w:r>
        <w:rPr>
          <w:rFonts w:ascii="Times New Roman" w:hAnsi="Times New Roman"/>
          <w:noProof/>
          <w:sz w:val="24"/>
        </w:rPr>
        <w:t xml:space="preserve">În primul rând, </w:t>
      </w:r>
      <w:r>
        <w:rPr>
          <w:rFonts w:ascii="Times New Roman" w:hAnsi="Times New Roman"/>
          <w:b/>
          <w:noProof/>
          <w:sz w:val="24"/>
        </w:rPr>
        <w:t>toate statele membre trimit în prezent notificări privind noi condamnări, însă unele state membre nu au trimis notificări cu privire la toate condamnările pronunțate pe teritoriul lor</w:t>
      </w:r>
      <w:r>
        <w:rPr>
          <w:rFonts w:ascii="Times New Roman" w:hAnsi="Times New Roman"/>
          <w:noProof/>
          <w:sz w:val="24"/>
        </w:rPr>
        <w:t xml:space="preserve">, inclusiv Danemarca (43 300 de notificări lipsă; 70 % din condamnări nu au făcut obiectul notificărilor), Irlanda (42 600; 63 %), Slovacia (3 600; 57 %), România (800; 43 %) și Luxemburg (3 000; 15 %). </w:t>
      </w:r>
      <w:r>
        <w:rPr>
          <w:rFonts w:ascii="Times New Roman" w:hAnsi="Times New Roman"/>
          <w:b/>
          <w:noProof/>
          <w:sz w:val="24"/>
        </w:rPr>
        <w:t xml:space="preserve">În consecință, aceste condamnări nu au fost înregistrate în statele membre de cetățenie. </w:t>
      </w:r>
    </w:p>
    <w:p w14:paraId="7D5613E3" w14:textId="392EEF05" w:rsidR="008D3CBA" w:rsidRPr="00464550" w:rsidRDefault="006A0EC0">
      <w:pPr>
        <w:jc w:val="both"/>
        <w:rPr>
          <w:rFonts w:ascii="Times New Roman" w:hAnsi="Times New Roman" w:cs="Times New Roman"/>
          <w:noProof/>
          <w:sz w:val="24"/>
          <w:szCs w:val="24"/>
        </w:rPr>
      </w:pPr>
      <w:r>
        <w:rPr>
          <w:rFonts w:ascii="Times New Roman" w:hAnsi="Times New Roman"/>
          <w:noProof/>
          <w:sz w:val="24"/>
        </w:rPr>
        <w:t xml:space="preserve">Pe de altă parte, în majoritatea statelor membre </w:t>
      </w:r>
      <w:r>
        <w:rPr>
          <w:rFonts w:ascii="Times New Roman" w:hAnsi="Times New Roman"/>
          <w:b/>
          <w:noProof/>
          <w:sz w:val="24"/>
        </w:rPr>
        <w:t>s-a observat un nou fenomen</w:t>
      </w:r>
      <w:r>
        <w:rPr>
          <w:rStyle w:val="FootnoteReference"/>
          <w:rFonts w:ascii="Times New Roman" w:hAnsi="Times New Roman" w:cs="Times New Roman"/>
          <w:bCs/>
          <w:noProof/>
          <w:sz w:val="24"/>
          <w:szCs w:val="24"/>
        </w:rPr>
        <w:footnoteReference w:id="22"/>
      </w:r>
      <w:r>
        <w:rPr>
          <w:rFonts w:ascii="Times New Roman" w:hAnsi="Times New Roman"/>
          <w:noProof/>
          <w:sz w:val="24"/>
        </w:rPr>
        <w:t xml:space="preserve">, și anume trimiterea unor </w:t>
      </w:r>
      <w:r>
        <w:rPr>
          <w:rFonts w:ascii="Times New Roman" w:hAnsi="Times New Roman"/>
          <w:b/>
          <w:noProof/>
          <w:sz w:val="24"/>
        </w:rPr>
        <w:t>volume de notificări privind noi condamnări care depășesc cu mult numărul efectiv de condamnări</w:t>
      </w:r>
      <w:r>
        <w:rPr>
          <w:rFonts w:ascii="Times New Roman" w:hAnsi="Times New Roman"/>
          <w:noProof/>
          <w:sz w:val="24"/>
        </w:rPr>
        <w:t>, probabil ca urmare a trimiterii de către statele membre a unor notificări</w:t>
      </w:r>
      <w:r>
        <w:rPr>
          <w:rFonts w:ascii="Times New Roman" w:hAnsi="Times New Roman"/>
          <w:b/>
          <w:noProof/>
          <w:sz w:val="24"/>
        </w:rPr>
        <w:t xml:space="preserve"> restante cu privire la condamnări</w:t>
      </w:r>
      <w:r>
        <w:rPr>
          <w:rFonts w:ascii="Times New Roman" w:hAnsi="Times New Roman"/>
          <w:noProof/>
          <w:sz w:val="24"/>
        </w:rPr>
        <w:t xml:space="preserve"> din anii anteriori. </w:t>
      </w:r>
    </w:p>
    <w:p w14:paraId="54360DCD" w14:textId="2584AB0A" w:rsidR="00466182" w:rsidRDefault="00D3488C" w:rsidP="008E6810">
      <w:pPr>
        <w:jc w:val="both"/>
        <w:rPr>
          <w:rFonts w:ascii="Times New Roman" w:hAnsi="Times New Roman"/>
          <w:b/>
          <w:noProof/>
          <w:sz w:val="24"/>
        </w:rPr>
      </w:pPr>
      <w:r>
        <w:rPr>
          <w:rFonts w:ascii="Times New Roman" w:hAnsi="Times New Roman"/>
          <w:noProof/>
          <w:sz w:val="24"/>
        </w:rPr>
        <w:t xml:space="preserve">În al doilea rând, două state membre (Estonia și Slovenia) </w:t>
      </w:r>
      <w:r>
        <w:rPr>
          <w:rFonts w:ascii="Times New Roman" w:hAnsi="Times New Roman"/>
          <w:b/>
          <w:noProof/>
          <w:sz w:val="24"/>
        </w:rPr>
        <w:t>nu au trimis nicio actualizare</w:t>
      </w:r>
      <w:r>
        <w:rPr>
          <w:rFonts w:ascii="Times New Roman" w:hAnsi="Times New Roman"/>
          <w:noProof/>
          <w:sz w:val="24"/>
        </w:rPr>
        <w:t xml:space="preserve"> a notificărilor anterioare, iar alte patru state membre </w:t>
      </w:r>
      <w:r>
        <w:rPr>
          <w:rFonts w:ascii="Times New Roman" w:hAnsi="Times New Roman"/>
          <w:b/>
          <w:noProof/>
          <w:sz w:val="24"/>
        </w:rPr>
        <w:t>au trimis un număr scăzut</w:t>
      </w:r>
      <w:r>
        <w:rPr>
          <w:rFonts w:ascii="Times New Roman" w:hAnsi="Times New Roman"/>
          <w:noProof/>
          <w:sz w:val="24"/>
        </w:rPr>
        <w:t xml:space="preserve"> de actualizări, și anume Bulgaria (2), Grecia (43), Irlanda (476) și Malta (10). Nerespectarea de către statul membru de condamnare a obligației de trimitere a actualizărilor </w:t>
      </w:r>
      <w:r>
        <w:rPr>
          <w:rFonts w:ascii="Times New Roman" w:hAnsi="Times New Roman"/>
          <w:b/>
          <w:noProof/>
          <w:sz w:val="24"/>
        </w:rPr>
        <w:t>duce la prelucrarea și difuzarea unor informații nefiabile și neactualizate de către statul membru de</w:t>
      </w:r>
    </w:p>
    <w:p w14:paraId="3C67A389" w14:textId="6EACFDA4" w:rsidR="00233A6E" w:rsidRPr="008E6810" w:rsidRDefault="00ED779D" w:rsidP="008E6810">
      <w:pPr>
        <w:jc w:val="both"/>
        <w:rPr>
          <w:rFonts w:ascii="Times New Roman" w:hAnsi="Times New Roman" w:cs="Times New Roman"/>
          <w:noProof/>
          <w:sz w:val="24"/>
          <w:szCs w:val="24"/>
        </w:rPr>
      </w:pPr>
      <w:r>
        <w:rPr>
          <w:rFonts w:ascii="Times New Roman" w:hAnsi="Times New Roman"/>
          <w:b/>
          <w:noProof/>
          <w:sz w:val="24"/>
          <w:lang w:val="en-GB"/>
        </w:rPr>
        <mc:AlternateContent>
          <mc:Choice Requires="wps">
            <w:drawing>
              <wp:anchor distT="45720" distB="45720" distL="114300" distR="114300" simplePos="0" relativeHeight="251732480" behindDoc="0" locked="0" layoutInCell="1" allowOverlap="1" wp14:anchorId="6B11D5D9" wp14:editId="7F632551">
                <wp:simplePos x="0" y="0"/>
                <wp:positionH relativeFrom="column">
                  <wp:posOffset>-1270</wp:posOffset>
                </wp:positionH>
                <wp:positionV relativeFrom="paragraph">
                  <wp:posOffset>3983990</wp:posOffset>
                </wp:positionV>
                <wp:extent cx="5746750" cy="1516380"/>
                <wp:effectExtent l="0" t="0" r="25400" b="26670"/>
                <wp:wrapSquare wrapText="bothSides"/>
                <wp:docPr id="14238256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0" cy="1516380"/>
                        </a:xfrm>
                        <a:prstGeom prst="rect">
                          <a:avLst/>
                        </a:prstGeom>
                        <a:solidFill>
                          <a:srgbClr val="FFFFFF"/>
                        </a:solidFill>
                        <a:ln w="9525">
                          <a:solidFill>
                            <a:srgbClr val="000000"/>
                          </a:solidFill>
                          <a:miter lim="800000"/>
                          <a:headEnd/>
                          <a:tailEnd/>
                        </a:ln>
                      </wps:spPr>
                      <wps:txbx>
                        <w:txbxContent>
                          <w:p w14:paraId="4C178685" w14:textId="57CAAADE" w:rsidR="000B12FB" w:rsidRPr="000B12FB" w:rsidRDefault="000B12FB" w:rsidP="000B12FB">
                            <w:pPr>
                              <w:pStyle w:val="ListParagraph"/>
                              <w:numPr>
                                <w:ilvl w:val="0"/>
                                <w:numId w:val="21"/>
                              </w:numPr>
                              <w:jc w:val="both"/>
                              <w:rPr>
                                <w:rFonts w:ascii="Times New Roman" w:hAnsi="Times New Roman" w:cs="Times New Roman"/>
                                <w:b/>
                                <w:color w:val="C00000"/>
                                <w:sz w:val="24"/>
                                <w:szCs w:val="24"/>
                              </w:rPr>
                            </w:pPr>
                            <w:r>
                              <w:rPr>
                                <w:rFonts w:ascii="Times New Roman" w:hAnsi="Times New Roman"/>
                                <w:b/>
                                <w:color w:val="C00000"/>
                                <w:sz w:val="24"/>
                              </w:rPr>
                              <w:t>În pofida tendinței pozitive de creștere a numărului de actualizări, multe dintre acestea nu au făcut încă obiectul notificărilor</w:t>
                            </w:r>
                          </w:p>
                          <w:p w14:paraId="3D908631" w14:textId="17267D53" w:rsidR="000B12FB" w:rsidRPr="000B12FB" w:rsidRDefault="000B12FB" w:rsidP="00C21978">
                            <w:pPr>
                              <w:ind w:left="360"/>
                              <w:jc w:val="both"/>
                              <w:rPr>
                                <w:rFonts w:ascii="Times New Roman" w:hAnsi="Times New Roman" w:cs="Times New Roman"/>
                                <w:color w:val="C00000"/>
                                <w:sz w:val="24"/>
                                <w:szCs w:val="24"/>
                              </w:rPr>
                            </w:pPr>
                            <w:r>
                              <w:rPr>
                                <w:rFonts w:ascii="Times New Roman" w:hAnsi="Times New Roman"/>
                                <w:b/>
                                <w:color w:val="C00000"/>
                                <w:sz w:val="24"/>
                              </w:rPr>
                              <w:t xml:space="preserve">Numărul de notificări privind actualizările </w:t>
                            </w:r>
                            <w:r>
                              <w:rPr>
                                <w:rFonts w:ascii="Times New Roman" w:hAnsi="Times New Roman"/>
                                <w:color w:val="C00000"/>
                                <w:sz w:val="24"/>
                              </w:rPr>
                              <w:t xml:space="preserve">a </w:t>
                            </w:r>
                            <w:r>
                              <w:rPr>
                                <w:rFonts w:ascii="Times New Roman" w:hAnsi="Times New Roman"/>
                                <w:b/>
                                <w:color w:val="C00000"/>
                                <w:sz w:val="24"/>
                              </w:rPr>
                              <w:t>crescut constant</w:t>
                            </w:r>
                            <w:r>
                              <w:rPr>
                                <w:rFonts w:ascii="Times New Roman" w:hAnsi="Times New Roman"/>
                                <w:color w:val="C00000"/>
                                <w:sz w:val="24"/>
                              </w:rPr>
                              <w:t xml:space="preserve">, ajungând la </w:t>
                            </w:r>
                            <w:r>
                              <w:rPr>
                                <w:rFonts w:ascii="Times New Roman" w:hAnsi="Times New Roman"/>
                                <w:b/>
                                <w:color w:val="C00000"/>
                                <w:sz w:val="24"/>
                              </w:rPr>
                              <w:t>254 000 în 2024</w:t>
                            </w:r>
                            <w:r>
                              <w:rPr>
                                <w:rFonts w:ascii="Times New Roman" w:hAnsi="Times New Roman"/>
                                <w:color w:val="C00000"/>
                                <w:sz w:val="24"/>
                              </w:rPr>
                              <w:t xml:space="preserve">. Actualizările au reprezentat </w:t>
                            </w:r>
                            <w:r>
                              <w:rPr>
                                <w:rFonts w:ascii="Times New Roman" w:hAnsi="Times New Roman"/>
                                <w:b/>
                                <w:color w:val="C00000"/>
                                <w:sz w:val="24"/>
                              </w:rPr>
                              <w:t>jumătate din numărul total de notificări</w:t>
                            </w:r>
                            <w:r>
                              <w:rPr>
                                <w:rFonts w:ascii="Times New Roman" w:hAnsi="Times New Roman"/>
                                <w:color w:val="C00000"/>
                                <w:sz w:val="24"/>
                              </w:rPr>
                              <w:t xml:space="preserve"> trimise, în creștere de la 42 % în 2019. Deși semnificativ mai multe state membre trimit actualizări ale notificărilor anterioare, </w:t>
                            </w:r>
                            <w:r>
                              <w:rPr>
                                <w:rFonts w:ascii="Times New Roman" w:hAnsi="Times New Roman"/>
                                <w:b/>
                                <w:color w:val="C00000"/>
                                <w:sz w:val="24"/>
                              </w:rPr>
                              <w:t>unele încă nu trimit nicio actualizare</w:t>
                            </w:r>
                            <w:r>
                              <w:rPr>
                                <w:rFonts w:ascii="Times New Roman" w:hAnsi="Times New Roman"/>
                                <w:color w:val="C00000"/>
                                <w:sz w:val="24"/>
                              </w:rPr>
                              <w:t xml:space="preserve"> (Estonia și Slovenia) sau trimit </w:t>
                            </w:r>
                            <w:r>
                              <w:rPr>
                                <w:rFonts w:ascii="Times New Roman" w:hAnsi="Times New Roman"/>
                                <w:b/>
                                <w:color w:val="C00000"/>
                                <w:sz w:val="24"/>
                              </w:rPr>
                              <w:t>doar un număr scăzut de actualizări</w:t>
                            </w:r>
                            <w:r>
                              <w:rPr>
                                <w:rFonts w:ascii="Times New Roman" w:hAnsi="Times New Roman"/>
                                <w:color w:val="C00000"/>
                                <w:sz w:val="24"/>
                              </w:rPr>
                              <w:t xml:space="preserve"> (Bulgaria, Grecia, Irlanda și Malta). </w:t>
                            </w:r>
                          </w:p>
                          <w:p w14:paraId="6C78D286" w14:textId="77777777" w:rsidR="000B12FB" w:rsidRDefault="000B12FB" w:rsidP="000B12F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11D5D9" id="_x0000_s1031" type="#_x0000_t202" style="position:absolute;left:0;text-align:left;margin-left:-.1pt;margin-top:313.7pt;width:452.5pt;height:119.4pt;z-index:251732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">
                <v:textbox>
                  <w:txbxContent>
                    <w:p w14:paraId="4C178685" w14:textId="57CAAADE" w:rsidR="000B12FB" w:rsidRPr="000B12FB" w:rsidRDefault="000B12FB" w:rsidP="000B12FB">
                      <w:pPr>
                        <w:pStyle w:val="ListParagraph"/>
                        <w:numPr>
                          <w:ilvl w:val="0"/>
                          <w:numId w:val="21"/>
                        </w:numPr>
                        <w:jc w:val="both"/>
                        <w:rPr>
                          <w:rFonts w:ascii="Times New Roman" w:hAnsi="Times New Roman" w:cs="Times New Roman"/>
                          <w:b/>
                          <w:color w:val="C00000"/>
                          <w:sz w:val="24"/>
                          <w:szCs w:val="24"/>
                        </w:rPr>
                      </w:pPr>
                      <w:r>
                        <w:rPr>
                          <w:rFonts w:ascii="Times New Roman" w:hAnsi="Times New Roman"/>
                          <w:b/>
                          <w:color w:val="C00000"/>
                          <w:sz w:val="24"/>
                        </w:rPr>
                        <w:t>În pofida tendinței pozitive de creștere a numărului de actualizări, multe dintre acestea nu au făcut încă obiectul notificărilor</w:t>
                      </w:r>
                    </w:p>
                    <w:p w14:paraId="3D908631" w14:textId="17267D53" w:rsidR="000B12FB" w:rsidRPr="000B12FB" w:rsidRDefault="000B12FB" w:rsidP="00C21978">
                      <w:pPr>
                        <w:ind w:left="360"/>
                        <w:jc w:val="both"/>
                        <w:rPr>
                          <w:rFonts w:ascii="Times New Roman" w:hAnsi="Times New Roman" w:cs="Times New Roman"/>
                          <w:color w:val="C00000"/>
                          <w:sz w:val="24"/>
                          <w:szCs w:val="24"/>
                        </w:rPr>
                      </w:pPr>
                      <w:r>
                        <w:rPr>
                          <w:rFonts w:ascii="Times New Roman" w:hAnsi="Times New Roman"/>
                          <w:b/>
                          <w:color w:val="C00000"/>
                          <w:sz w:val="24"/>
                        </w:rPr>
                        <w:t xml:space="preserve">Numărul de notificări privind actualizările </w:t>
                      </w:r>
                      <w:r>
                        <w:rPr>
                          <w:rFonts w:ascii="Times New Roman" w:hAnsi="Times New Roman"/>
                          <w:color w:val="C00000"/>
                          <w:sz w:val="24"/>
                        </w:rPr>
                        <w:t xml:space="preserve">a </w:t>
                      </w:r>
                      <w:r>
                        <w:rPr>
                          <w:rFonts w:ascii="Times New Roman" w:hAnsi="Times New Roman"/>
                          <w:b/>
                          <w:color w:val="C00000"/>
                          <w:sz w:val="24"/>
                        </w:rPr>
                        <w:t>crescut constant</w:t>
                      </w:r>
                      <w:r>
                        <w:rPr>
                          <w:rFonts w:ascii="Times New Roman" w:hAnsi="Times New Roman"/>
                          <w:color w:val="C00000"/>
                          <w:sz w:val="24"/>
                        </w:rPr>
                        <w:t xml:space="preserve">, ajungând la </w:t>
                      </w:r>
                      <w:r>
                        <w:rPr>
                          <w:rFonts w:ascii="Times New Roman" w:hAnsi="Times New Roman"/>
                          <w:b/>
                          <w:color w:val="C00000"/>
                          <w:sz w:val="24"/>
                        </w:rPr>
                        <w:t>254 000 în 2024</w:t>
                      </w:r>
                      <w:r>
                        <w:rPr>
                          <w:rFonts w:ascii="Times New Roman" w:hAnsi="Times New Roman"/>
                          <w:color w:val="C00000"/>
                          <w:sz w:val="24"/>
                        </w:rPr>
                        <w:t xml:space="preserve">. Actualizările au reprezentat </w:t>
                      </w:r>
                      <w:r>
                        <w:rPr>
                          <w:rFonts w:ascii="Times New Roman" w:hAnsi="Times New Roman"/>
                          <w:b/>
                          <w:color w:val="C00000"/>
                          <w:sz w:val="24"/>
                        </w:rPr>
                        <w:t>jumătate din numărul total de notificări</w:t>
                      </w:r>
                      <w:r>
                        <w:rPr>
                          <w:rFonts w:ascii="Times New Roman" w:hAnsi="Times New Roman"/>
                          <w:color w:val="C00000"/>
                          <w:sz w:val="24"/>
                        </w:rPr>
                        <w:t xml:space="preserve"> trimise, în creștere de la 42 % în 2019. Deși semnificativ mai multe state membre trimit actualizări ale notificărilor anterioare, </w:t>
                      </w:r>
                      <w:r>
                        <w:rPr>
                          <w:rFonts w:ascii="Times New Roman" w:hAnsi="Times New Roman"/>
                          <w:b/>
                          <w:color w:val="C00000"/>
                          <w:sz w:val="24"/>
                        </w:rPr>
                        <w:t>unele încă nu trimit nicio actualizare</w:t>
                      </w:r>
                      <w:r>
                        <w:rPr>
                          <w:rFonts w:ascii="Times New Roman" w:hAnsi="Times New Roman"/>
                          <w:color w:val="C00000"/>
                          <w:sz w:val="24"/>
                        </w:rPr>
                        <w:t xml:space="preserve"> (Estonia și Slovenia) sau trimit </w:t>
                      </w:r>
                      <w:r>
                        <w:rPr>
                          <w:rFonts w:ascii="Times New Roman" w:hAnsi="Times New Roman"/>
                          <w:b/>
                          <w:color w:val="C00000"/>
                          <w:sz w:val="24"/>
                        </w:rPr>
                        <w:t>doar un număr scăzut de actualizări</w:t>
                      </w:r>
                      <w:r>
                        <w:rPr>
                          <w:rFonts w:ascii="Times New Roman" w:hAnsi="Times New Roman"/>
                          <w:color w:val="C00000"/>
                          <w:sz w:val="24"/>
                        </w:rPr>
                        <w:t xml:space="preserve"> (Bulgaria, Grecia, Irlanda și Malta). </w:t>
                      </w:r>
                    </w:p>
                    <w:p w14:paraId="6C78D286" w14:textId="77777777" w:rsidR="000B12FB" w:rsidRDefault="000B12FB" w:rsidP="000B12FB"/>
                  </w:txbxContent>
                </v:textbox>
                <w10:wrap type="square"/>
              </v:shape>
            </w:pict>
          </mc:Fallback>
        </mc:AlternateContent>
      </w:r>
      <w:r>
        <w:rPr>
          <w:rFonts w:ascii="Times New Roman" w:hAnsi="Times New Roman"/>
          <w:b/>
          <w:noProof/>
          <w:sz w:val="24"/>
          <w:lang w:val="en-GB"/>
        </w:rPr>
        <mc:AlternateContent>
          <mc:Choice Requires="wps">
            <w:drawing>
              <wp:anchor distT="45720" distB="45720" distL="114300" distR="114300" simplePos="0" relativeHeight="251667968" behindDoc="0" locked="0" layoutInCell="1" allowOverlap="1" wp14:anchorId="203E3090" wp14:editId="1AF533E8">
                <wp:simplePos x="0" y="0"/>
                <wp:positionH relativeFrom="column">
                  <wp:posOffset>-1270</wp:posOffset>
                </wp:positionH>
                <wp:positionV relativeFrom="paragraph">
                  <wp:posOffset>1682750</wp:posOffset>
                </wp:positionV>
                <wp:extent cx="5772150" cy="2286000"/>
                <wp:effectExtent l="0" t="0" r="19050" b="19050"/>
                <wp:wrapSquare wrapText="bothSides"/>
                <wp:docPr id="158583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0" cy="2286000"/>
                        </a:xfrm>
                        <a:prstGeom prst="rect">
                          <a:avLst/>
                        </a:prstGeom>
                        <a:solidFill>
                          <a:srgbClr val="FFFFFF"/>
                        </a:solidFill>
                        <a:ln w="9525">
                          <a:solidFill>
                            <a:srgbClr val="000000"/>
                          </a:solidFill>
                          <a:miter lim="800000"/>
                          <a:headEnd/>
                          <a:tailEnd/>
                        </a:ln>
                      </wps:spPr>
                      <wps:txbx>
                        <w:txbxContent>
                          <w:p w14:paraId="2ACDD36A" w14:textId="3AA28CB4" w:rsidR="00236961" w:rsidRPr="00236961" w:rsidRDefault="00236961" w:rsidP="00236961">
                            <w:pPr>
                              <w:pStyle w:val="ListParagraph"/>
                              <w:numPr>
                                <w:ilvl w:val="0"/>
                                <w:numId w:val="21"/>
                              </w:numPr>
                              <w:jc w:val="both"/>
                              <w:rPr>
                                <w:rFonts w:ascii="Times New Roman" w:hAnsi="Times New Roman" w:cs="Times New Roman"/>
                                <w:color w:val="C00000"/>
                                <w:sz w:val="24"/>
                                <w:szCs w:val="24"/>
                              </w:rPr>
                            </w:pPr>
                            <w:r>
                              <w:rPr>
                                <w:rFonts w:ascii="Times New Roman" w:hAnsi="Times New Roman"/>
                                <w:b/>
                                <w:color w:val="C00000"/>
                                <w:sz w:val="24"/>
                              </w:rPr>
                              <w:t>Toate statele membre trimit notificări privind noi condamnări și condamnări din anii anteriori, însă persistă situația în care nu toate condamnările fac obiectul notificărilor</w:t>
                            </w:r>
                          </w:p>
                          <w:p w14:paraId="35345C14" w14:textId="373B1289" w:rsidR="00236961" w:rsidRPr="00236961" w:rsidRDefault="00236961" w:rsidP="00C21978">
                            <w:pPr>
                              <w:ind w:left="360"/>
                              <w:jc w:val="both"/>
                              <w:rPr>
                                <w:rFonts w:ascii="Times New Roman" w:hAnsi="Times New Roman" w:cs="Times New Roman"/>
                                <w:b/>
                                <w:color w:val="C00000"/>
                                <w:sz w:val="24"/>
                                <w:szCs w:val="24"/>
                              </w:rPr>
                            </w:pPr>
                            <w:r>
                              <w:rPr>
                                <w:rFonts w:ascii="Times New Roman" w:hAnsi="Times New Roman"/>
                                <w:color w:val="C00000"/>
                                <w:sz w:val="24"/>
                              </w:rPr>
                              <w:t xml:space="preserve">În comparație cu perioadele de raportare anterioare, </w:t>
                            </w:r>
                            <w:r>
                              <w:rPr>
                                <w:rFonts w:ascii="Times New Roman" w:hAnsi="Times New Roman"/>
                                <w:b/>
                                <w:color w:val="C00000"/>
                                <w:sz w:val="24"/>
                              </w:rPr>
                              <w:t>situația s-a îmbunătățit considerabil în perioada 2020-2024</w:t>
                            </w:r>
                            <w:r>
                              <w:rPr>
                                <w:rFonts w:ascii="Times New Roman" w:hAnsi="Times New Roman"/>
                                <w:color w:val="C00000"/>
                                <w:sz w:val="24"/>
                              </w:rPr>
                              <w:t xml:space="preserve"> și </w:t>
                            </w:r>
                            <w:r>
                              <w:rPr>
                                <w:rFonts w:ascii="Times New Roman" w:hAnsi="Times New Roman"/>
                                <w:b/>
                                <w:color w:val="C00000"/>
                                <w:sz w:val="24"/>
                              </w:rPr>
                              <w:t>toate statele membre trimit în prezent notificări privind noi condamnări</w:t>
                            </w:r>
                            <w:r>
                              <w:rPr>
                                <w:rFonts w:ascii="Times New Roman" w:hAnsi="Times New Roman"/>
                                <w:color w:val="C00000"/>
                                <w:sz w:val="24"/>
                              </w:rPr>
                              <w:t>.</w:t>
                            </w:r>
                            <w:r>
                              <w:rPr>
                                <w:rFonts w:ascii="Times New Roman" w:hAnsi="Times New Roman"/>
                                <w:b/>
                                <w:color w:val="C00000"/>
                                <w:sz w:val="24"/>
                              </w:rPr>
                              <w:t xml:space="preserve"> </w:t>
                            </w:r>
                            <w:r>
                              <w:rPr>
                                <w:rFonts w:ascii="Times New Roman" w:hAnsi="Times New Roman"/>
                                <w:color w:val="C00000"/>
                                <w:sz w:val="24"/>
                              </w:rPr>
                              <w:t xml:space="preserve">În plus, majoritatea acestora au trimis volume de notificări privind noi condamnări care depășesc cu mult numărul efectiv de condamnări din perioada respectivă, ceea ce sugerează faptul că acestea au trimis </w:t>
                            </w:r>
                            <w:r>
                              <w:rPr>
                                <w:rFonts w:ascii="Times New Roman" w:hAnsi="Times New Roman"/>
                                <w:b/>
                                <w:color w:val="C00000"/>
                                <w:sz w:val="24"/>
                              </w:rPr>
                              <w:t>notificări restante cu privire la condamnări</w:t>
                            </w:r>
                            <w:r>
                              <w:rPr>
                                <w:rFonts w:ascii="Times New Roman" w:hAnsi="Times New Roman"/>
                                <w:color w:val="C00000"/>
                                <w:sz w:val="24"/>
                              </w:rPr>
                              <w:t xml:space="preserve"> din anii anteriori.</w:t>
                            </w:r>
                          </w:p>
                          <w:p w14:paraId="34BD4B8D" w14:textId="65A2258C" w:rsidR="00236961" w:rsidRPr="00236961" w:rsidRDefault="00857150" w:rsidP="00C21978">
                            <w:pPr>
                              <w:ind w:left="360"/>
                              <w:jc w:val="both"/>
                              <w:rPr>
                                <w:rFonts w:ascii="Times New Roman" w:hAnsi="Times New Roman"/>
                                <w:b/>
                                <w:color w:val="C00000"/>
                                <w:sz w:val="24"/>
                              </w:rPr>
                            </w:pPr>
                            <w:r>
                              <w:rPr>
                                <w:rFonts w:ascii="Times New Roman" w:hAnsi="Times New Roman"/>
                                <w:color w:val="C00000"/>
                                <w:sz w:val="24"/>
                              </w:rPr>
                              <w:t xml:space="preserve">Cu toate acestea, </w:t>
                            </w:r>
                            <w:r>
                              <w:rPr>
                                <w:rFonts w:ascii="Times New Roman" w:hAnsi="Times New Roman"/>
                                <w:b/>
                                <w:color w:val="C00000"/>
                                <w:sz w:val="24"/>
                              </w:rPr>
                              <w:t>unele state membre nu au trimis notificări cu privire la toate condamnările pronunțate pe teritoriul lor</w:t>
                            </w:r>
                            <w:r>
                              <w:rPr>
                                <w:rFonts w:ascii="Times New Roman" w:hAnsi="Times New Roman"/>
                                <w:color w:val="C00000"/>
                                <w:sz w:val="24"/>
                              </w:rPr>
                              <w:t xml:space="preserve"> (Danemarca, Irlanda, Luxemburg, Slovacia și România).</w:t>
                            </w:r>
                          </w:p>
                          <w:p w14:paraId="29C2B1D2" w14:textId="544D0BE3" w:rsidR="00236961" w:rsidRDefault="0023696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3E3090" id="_x0000_s1032" type="#_x0000_t202" style="position:absolute;left:0;text-align:left;margin-left:-.1pt;margin-top:132.5pt;width:454.5pt;height:180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">
                <v:textbox>
                  <w:txbxContent>
                    <w:p w14:paraId="2ACDD36A" w14:textId="3AA28CB4" w:rsidR="00236961" w:rsidRPr="00236961" w:rsidRDefault="00236961" w:rsidP="00236961">
                      <w:pPr>
                        <w:pStyle w:val="ListParagraph"/>
                        <w:numPr>
                          <w:ilvl w:val="0"/>
                          <w:numId w:val="21"/>
                        </w:numPr>
                        <w:jc w:val="both"/>
                        <w:rPr>
                          <w:rFonts w:ascii="Times New Roman" w:hAnsi="Times New Roman" w:cs="Times New Roman"/>
                          <w:color w:val="C00000"/>
                          <w:sz w:val="24"/>
                          <w:szCs w:val="24"/>
                        </w:rPr>
                      </w:pPr>
                      <w:r>
                        <w:rPr>
                          <w:rFonts w:ascii="Times New Roman" w:hAnsi="Times New Roman"/>
                          <w:b/>
                          <w:color w:val="C00000"/>
                          <w:sz w:val="24"/>
                        </w:rPr>
                        <w:t>Toate statele membre trimit notificări privind noi condamnări și condamnări din anii anteriori, însă persistă situația în care nu toate condamnările fac obiectul notificărilor</w:t>
                      </w:r>
                    </w:p>
                    <w:p w14:paraId="35345C14" w14:textId="373B1289" w:rsidR="00236961" w:rsidRPr="00236961" w:rsidRDefault="00236961" w:rsidP="00C21978">
                      <w:pPr>
                        <w:ind w:left="360"/>
                        <w:jc w:val="both"/>
                        <w:rPr>
                          <w:rFonts w:ascii="Times New Roman" w:hAnsi="Times New Roman" w:cs="Times New Roman"/>
                          <w:b/>
                          <w:color w:val="C00000"/>
                          <w:sz w:val="24"/>
                          <w:szCs w:val="24"/>
                        </w:rPr>
                      </w:pPr>
                      <w:r>
                        <w:rPr>
                          <w:rFonts w:ascii="Times New Roman" w:hAnsi="Times New Roman"/>
                          <w:color w:val="C00000"/>
                          <w:sz w:val="24"/>
                        </w:rPr>
                        <w:t xml:space="preserve">În comparație cu perioadele de raportare anterioare, </w:t>
                      </w:r>
                      <w:r>
                        <w:rPr>
                          <w:rFonts w:ascii="Times New Roman" w:hAnsi="Times New Roman"/>
                          <w:b/>
                          <w:color w:val="C00000"/>
                          <w:sz w:val="24"/>
                        </w:rPr>
                        <w:t>situația s-a îmbunătățit considerabil în perioada 2020-2024</w:t>
                      </w:r>
                      <w:r>
                        <w:rPr>
                          <w:rFonts w:ascii="Times New Roman" w:hAnsi="Times New Roman"/>
                          <w:color w:val="C00000"/>
                          <w:sz w:val="24"/>
                        </w:rPr>
                        <w:t xml:space="preserve"> și </w:t>
                      </w:r>
                      <w:r>
                        <w:rPr>
                          <w:rFonts w:ascii="Times New Roman" w:hAnsi="Times New Roman"/>
                          <w:b/>
                          <w:color w:val="C00000"/>
                          <w:sz w:val="24"/>
                        </w:rPr>
                        <w:t>toate statele membre trimit în prezent notificări privind noi condamnări</w:t>
                      </w:r>
                      <w:r>
                        <w:rPr>
                          <w:rFonts w:ascii="Times New Roman" w:hAnsi="Times New Roman"/>
                          <w:color w:val="C00000"/>
                          <w:sz w:val="24"/>
                        </w:rPr>
                        <w:t>.</w:t>
                      </w:r>
                      <w:r>
                        <w:rPr>
                          <w:rFonts w:ascii="Times New Roman" w:hAnsi="Times New Roman"/>
                          <w:b/>
                          <w:color w:val="C00000"/>
                          <w:sz w:val="24"/>
                        </w:rPr>
                        <w:t xml:space="preserve"> </w:t>
                      </w:r>
                      <w:r>
                        <w:rPr>
                          <w:rFonts w:ascii="Times New Roman" w:hAnsi="Times New Roman"/>
                          <w:color w:val="C00000"/>
                          <w:sz w:val="24"/>
                        </w:rPr>
                        <w:t xml:space="preserve">În plus, majoritatea acestora au trimis volume de notificări privind noi condamnări care depășesc cu mult numărul efectiv de condamnări din perioada respectivă, ceea ce sugerează faptul că acestea au trimis </w:t>
                      </w:r>
                      <w:r>
                        <w:rPr>
                          <w:rFonts w:ascii="Times New Roman" w:hAnsi="Times New Roman"/>
                          <w:b/>
                          <w:color w:val="C00000"/>
                          <w:sz w:val="24"/>
                        </w:rPr>
                        <w:t>notificări restante cu privire la condamnări</w:t>
                      </w:r>
                      <w:r>
                        <w:rPr>
                          <w:rFonts w:ascii="Times New Roman" w:hAnsi="Times New Roman"/>
                          <w:color w:val="C00000"/>
                          <w:sz w:val="24"/>
                        </w:rPr>
                        <w:t xml:space="preserve"> din anii anteriori.</w:t>
                      </w:r>
                    </w:p>
                    <w:p w14:paraId="34BD4B8D" w14:textId="65A2258C" w:rsidR="00236961" w:rsidRPr="00236961" w:rsidRDefault="00857150" w:rsidP="00C21978">
                      <w:pPr>
                        <w:ind w:left="360"/>
                        <w:jc w:val="both"/>
                        <w:rPr>
                          <w:rFonts w:ascii="Times New Roman" w:hAnsi="Times New Roman"/>
                          <w:b/>
                          <w:color w:val="C00000"/>
                          <w:sz w:val="24"/>
                        </w:rPr>
                      </w:pPr>
                      <w:r>
                        <w:rPr>
                          <w:rFonts w:ascii="Times New Roman" w:hAnsi="Times New Roman"/>
                          <w:color w:val="C00000"/>
                          <w:sz w:val="24"/>
                        </w:rPr>
                        <w:t xml:space="preserve">Cu toate acestea, </w:t>
                      </w:r>
                      <w:r>
                        <w:rPr>
                          <w:rFonts w:ascii="Times New Roman" w:hAnsi="Times New Roman"/>
                          <w:b/>
                          <w:color w:val="C00000"/>
                          <w:sz w:val="24"/>
                        </w:rPr>
                        <w:t>unele state membre nu au trimis notificări cu privire la toate condamnările pronunțate pe teritoriul lor</w:t>
                      </w:r>
                      <w:r>
                        <w:rPr>
                          <w:rFonts w:ascii="Times New Roman" w:hAnsi="Times New Roman"/>
                          <w:color w:val="C00000"/>
                          <w:sz w:val="24"/>
                        </w:rPr>
                        <w:t xml:space="preserve"> (Danemarca, Irlanda, Luxemburg, Slovacia și România).</w:t>
                      </w:r>
                    </w:p>
                    <w:p w14:paraId="29C2B1D2" w14:textId="544D0BE3" w:rsidR="00236961" w:rsidRDefault="00236961"/>
                  </w:txbxContent>
                </v:textbox>
                <w10:wrap type="square"/>
              </v:shape>
            </w:pict>
          </mc:Fallback>
        </mc:AlternateContent>
      </w:r>
      <w:r>
        <w:rPr>
          <w:rFonts w:ascii="Times New Roman" w:hAnsi="Times New Roman"/>
          <w:b/>
          <w:noProof/>
          <w:sz w:val="24"/>
          <w:lang w:val="en-GB"/>
        </w:rPr>
        <mc:AlternateContent>
          <mc:Choice Requires="wps">
            <w:drawing>
              <wp:anchor distT="45720" distB="45720" distL="114300" distR="114300" simplePos="0" relativeHeight="251697664" behindDoc="0" locked="0" layoutInCell="1" allowOverlap="1" wp14:anchorId="6A520092" wp14:editId="5F018284">
                <wp:simplePos x="0" y="0"/>
                <wp:positionH relativeFrom="column">
                  <wp:posOffset>-1270</wp:posOffset>
                </wp:positionH>
                <wp:positionV relativeFrom="paragraph">
                  <wp:posOffset>303530</wp:posOffset>
                </wp:positionV>
                <wp:extent cx="5765800" cy="1325880"/>
                <wp:effectExtent l="0" t="0" r="25400" b="26670"/>
                <wp:wrapSquare wrapText="bothSides"/>
                <wp:docPr id="13547656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5800" cy="1325880"/>
                        </a:xfrm>
                        <a:prstGeom prst="rect">
                          <a:avLst/>
                        </a:prstGeom>
                        <a:solidFill>
                          <a:srgbClr val="FFFFFF"/>
                        </a:solidFill>
                        <a:ln w="9525">
                          <a:solidFill>
                            <a:srgbClr val="000000"/>
                          </a:solidFill>
                          <a:miter lim="800000"/>
                          <a:headEnd/>
                          <a:tailEnd/>
                        </a:ln>
                      </wps:spPr>
                      <wps:txbx>
                        <w:txbxContent>
                          <w:p w14:paraId="58BEB3C5" w14:textId="188745DA" w:rsidR="000B12FB" w:rsidRPr="00233A6E" w:rsidRDefault="00F062B3" w:rsidP="000B12FB">
                            <w:pPr>
                              <w:pStyle w:val="ListParagraph"/>
                              <w:numPr>
                                <w:ilvl w:val="0"/>
                                <w:numId w:val="21"/>
                              </w:numPr>
                              <w:jc w:val="both"/>
                              <w:rPr>
                                <w:rFonts w:ascii="Times New Roman" w:hAnsi="Times New Roman"/>
                                <w:b/>
                                <w:color w:val="C00000"/>
                                <w:sz w:val="24"/>
                              </w:rPr>
                            </w:pPr>
                            <w:r>
                              <w:rPr>
                                <w:rFonts w:ascii="Times New Roman" w:hAnsi="Times New Roman"/>
                                <w:b/>
                                <w:color w:val="C00000"/>
                                <w:sz w:val="24"/>
                              </w:rPr>
                              <w:t>Mai puține condamnări penale pronunțate în UE de la începutul pandemiei, ceea ce a dus la o scădere a numărului de notificări</w:t>
                            </w:r>
                          </w:p>
                          <w:p w14:paraId="27037FE2" w14:textId="58FA4C4D" w:rsidR="000B12FB" w:rsidRPr="00233A6E" w:rsidRDefault="000B12FB" w:rsidP="00C21978">
                            <w:pPr>
                              <w:ind w:left="360"/>
                              <w:jc w:val="both"/>
                              <w:rPr>
                                <w:rFonts w:ascii="Times New Roman" w:hAnsi="Times New Roman" w:cs="Times New Roman"/>
                                <w:color w:val="C00000"/>
                                <w:sz w:val="24"/>
                                <w:szCs w:val="24"/>
                              </w:rPr>
                            </w:pPr>
                            <w:r>
                              <w:rPr>
                                <w:rFonts w:ascii="Times New Roman" w:hAnsi="Times New Roman"/>
                                <w:b/>
                                <w:color w:val="C00000"/>
                                <w:sz w:val="24"/>
                              </w:rPr>
                              <w:t>Numărul condamnărilor pronunțate împotriva cetățenilor din alte state membre a scăzut semnificativ</w:t>
                            </w:r>
                            <w:r>
                              <w:rPr>
                                <w:rFonts w:ascii="Times New Roman" w:hAnsi="Times New Roman"/>
                                <w:color w:val="C00000"/>
                                <w:sz w:val="24"/>
                              </w:rPr>
                              <w:t xml:space="preserve"> în 2020, de la peste 320 000 în anii precedenți la </w:t>
                            </w:r>
                            <w:r>
                              <w:rPr>
                                <w:rFonts w:ascii="Times New Roman" w:hAnsi="Times New Roman"/>
                                <w:b/>
                                <w:color w:val="C00000"/>
                                <w:sz w:val="24"/>
                              </w:rPr>
                              <w:t>250 000 de condamnări</w:t>
                            </w:r>
                            <w:r>
                              <w:rPr>
                                <w:rFonts w:ascii="Times New Roman" w:hAnsi="Times New Roman"/>
                                <w:color w:val="C00000"/>
                                <w:sz w:val="24"/>
                              </w:rPr>
                              <w:t xml:space="preserve"> pe an, și s-a menținut la acest nivel de atunci, determinând o </w:t>
                            </w:r>
                            <w:r>
                              <w:rPr>
                                <w:rFonts w:ascii="Times New Roman" w:hAnsi="Times New Roman"/>
                                <w:b/>
                                <w:color w:val="C00000"/>
                                <w:sz w:val="24"/>
                              </w:rPr>
                              <w:t>scădere a numărului de notificări</w:t>
                            </w:r>
                            <w:r>
                              <w:rPr>
                                <w:rFonts w:ascii="Times New Roman" w:hAnsi="Times New Roman"/>
                                <w:color w:val="C00000"/>
                                <w:sz w:val="24"/>
                              </w:rPr>
                              <w:t xml:space="preserve"> privind noi condamnări. În 2024, numărul total al notificărilor a scăzut la </w:t>
                            </w:r>
                            <w:r>
                              <w:rPr>
                                <w:rFonts w:ascii="Times New Roman" w:hAnsi="Times New Roman"/>
                                <w:b/>
                                <w:color w:val="C00000"/>
                                <w:sz w:val="24"/>
                              </w:rPr>
                              <w:t>260 000</w:t>
                            </w:r>
                            <w:r>
                              <w:rPr>
                                <w:rFonts w:ascii="Times New Roman" w:hAnsi="Times New Roman"/>
                                <w:color w:val="C00000"/>
                                <w:sz w:val="24"/>
                              </w:rPr>
                              <w:t>, la același nivel cu cel înregistrat în 2014.</w:t>
                            </w:r>
                          </w:p>
                          <w:p w14:paraId="4C4DC97B" w14:textId="77777777" w:rsidR="000B12FB" w:rsidRDefault="000B12FB" w:rsidP="000B12F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520092" id="_x0000_s1033" type="#_x0000_t202" style="position:absolute;left:0;text-align:left;margin-left:-.1pt;margin-top:23.9pt;width:454pt;height:104.4pt;z-index:251697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">
                <v:textbox>
                  <w:txbxContent>
                    <w:p w14:paraId="58BEB3C5" w14:textId="188745DA" w:rsidR="000B12FB" w:rsidRPr="00233A6E" w:rsidRDefault="00F062B3" w:rsidP="000B12FB">
                      <w:pPr>
                        <w:pStyle w:val="ListParagraph"/>
                        <w:numPr>
                          <w:ilvl w:val="0"/>
                          <w:numId w:val="21"/>
                        </w:numPr>
                        <w:jc w:val="both"/>
                        <w:rPr>
                          <w:rFonts w:ascii="Times New Roman" w:hAnsi="Times New Roman"/>
                          <w:b/>
                          <w:color w:val="C00000"/>
                          <w:sz w:val="24"/>
                        </w:rPr>
                      </w:pPr>
                      <w:r>
                        <w:rPr>
                          <w:rFonts w:ascii="Times New Roman" w:hAnsi="Times New Roman"/>
                          <w:b/>
                          <w:color w:val="C00000"/>
                          <w:sz w:val="24"/>
                        </w:rPr>
                        <w:t>Mai puține condamnări penale pronunțate în UE de la începutul pandemiei, ceea ce a dus la o scădere a numărului de notificări</w:t>
                      </w:r>
                    </w:p>
                    <w:p w14:paraId="27037FE2" w14:textId="58FA4C4D" w:rsidR="000B12FB" w:rsidRPr="00233A6E" w:rsidRDefault="000B12FB" w:rsidP="00C21978">
                      <w:pPr>
                        <w:ind w:left="360"/>
                        <w:jc w:val="both"/>
                        <w:rPr>
                          <w:rFonts w:ascii="Times New Roman" w:hAnsi="Times New Roman" w:cs="Times New Roman"/>
                          <w:color w:val="C00000"/>
                          <w:sz w:val="24"/>
                          <w:szCs w:val="24"/>
                        </w:rPr>
                      </w:pPr>
                      <w:r>
                        <w:rPr>
                          <w:rFonts w:ascii="Times New Roman" w:hAnsi="Times New Roman"/>
                          <w:b/>
                          <w:color w:val="C00000"/>
                          <w:sz w:val="24"/>
                        </w:rPr>
                        <w:t>Numărul condamnărilor pronunțate împotriva cetățenilor din alte state membre a scăzut semnificativ</w:t>
                      </w:r>
                      <w:r>
                        <w:rPr>
                          <w:rFonts w:ascii="Times New Roman" w:hAnsi="Times New Roman"/>
                          <w:color w:val="C00000"/>
                          <w:sz w:val="24"/>
                        </w:rPr>
                        <w:t xml:space="preserve"> în 2020, de la peste 320 000 în anii precedenți la </w:t>
                      </w:r>
                      <w:r>
                        <w:rPr>
                          <w:rFonts w:ascii="Times New Roman" w:hAnsi="Times New Roman"/>
                          <w:b/>
                          <w:color w:val="C00000"/>
                          <w:sz w:val="24"/>
                        </w:rPr>
                        <w:t>250 000 de condamnări</w:t>
                      </w:r>
                      <w:r>
                        <w:rPr>
                          <w:rFonts w:ascii="Times New Roman" w:hAnsi="Times New Roman"/>
                          <w:color w:val="C00000"/>
                          <w:sz w:val="24"/>
                        </w:rPr>
                        <w:t xml:space="preserve"> pe an, și s-a menținut la acest nivel de atunci, determinând o </w:t>
                      </w:r>
                      <w:r>
                        <w:rPr>
                          <w:rFonts w:ascii="Times New Roman" w:hAnsi="Times New Roman"/>
                          <w:b/>
                          <w:color w:val="C00000"/>
                          <w:sz w:val="24"/>
                        </w:rPr>
                        <w:t>scădere a numărului de notificări</w:t>
                      </w:r>
                      <w:r>
                        <w:rPr>
                          <w:rFonts w:ascii="Times New Roman" w:hAnsi="Times New Roman"/>
                          <w:color w:val="C00000"/>
                          <w:sz w:val="24"/>
                        </w:rPr>
                        <w:t xml:space="preserve"> privind noi condamnări. În 2024, numărul total al notificărilor a scăzut la </w:t>
                      </w:r>
                      <w:r>
                        <w:rPr>
                          <w:rFonts w:ascii="Times New Roman" w:hAnsi="Times New Roman"/>
                          <w:b/>
                          <w:color w:val="C00000"/>
                          <w:sz w:val="24"/>
                        </w:rPr>
                        <w:t>260 000</w:t>
                      </w:r>
                      <w:r>
                        <w:rPr>
                          <w:rFonts w:ascii="Times New Roman" w:hAnsi="Times New Roman"/>
                          <w:color w:val="C00000"/>
                          <w:sz w:val="24"/>
                        </w:rPr>
                        <w:t>, la același nivel cu cel înregistrat în 2014.</w:t>
                      </w:r>
                    </w:p>
                    <w:p w14:paraId="4C4DC97B" w14:textId="77777777" w:rsidR="000B12FB" w:rsidRDefault="000B12FB" w:rsidP="000B12FB"/>
                  </w:txbxContent>
                </v:textbox>
                <w10:wrap type="square"/>
              </v:shape>
            </w:pict>
          </mc:Fallback>
        </mc:AlternateContent>
      </w:r>
      <w:r w:rsidR="00D3488C">
        <w:rPr>
          <w:rFonts w:ascii="Times New Roman" w:hAnsi="Times New Roman"/>
          <w:b/>
          <w:noProof/>
          <w:sz w:val="24"/>
        </w:rPr>
        <w:t>cetățenie</w:t>
      </w:r>
      <w:r w:rsidR="00D3488C">
        <w:rPr>
          <w:rStyle w:val="FootnoteReference"/>
          <w:rFonts w:ascii="Times New Roman" w:hAnsi="Times New Roman" w:cs="Times New Roman"/>
          <w:noProof/>
          <w:sz w:val="24"/>
          <w:szCs w:val="24"/>
        </w:rPr>
        <w:footnoteReference w:id="23"/>
      </w:r>
      <w:r w:rsidR="00D3488C">
        <w:rPr>
          <w:noProof/>
        </w:rPr>
        <w:t>.</w:t>
      </w:r>
      <w:bookmarkEnd w:id="17"/>
      <w:bookmarkEnd w:id="19"/>
    </w:p>
    <w:p w14:paraId="7D5613E9" w14:textId="43DD7A48" w:rsidR="008D3CBA" w:rsidRPr="00464550" w:rsidRDefault="00FB606C" w:rsidP="00965AEC">
      <w:pPr>
        <w:keepNext/>
        <w:jc w:val="both"/>
        <w:rPr>
          <w:rFonts w:ascii="Times New Roman" w:hAnsi="Times New Roman" w:cs="Times New Roman"/>
          <w:b/>
          <w:noProof/>
          <w:sz w:val="24"/>
          <w:szCs w:val="24"/>
        </w:rPr>
      </w:pPr>
      <w:r>
        <w:rPr>
          <w:rFonts w:ascii="Times New Roman" w:hAnsi="Times New Roman"/>
          <w:b/>
          <w:noProof/>
          <w:sz w:val="24"/>
        </w:rPr>
        <w:t>2.5. Cererile de informații</w:t>
      </w:r>
    </w:p>
    <w:p w14:paraId="11CC1EDA" w14:textId="18334F34" w:rsidR="00FF5D1F" w:rsidRPr="008E6810" w:rsidRDefault="007C2375">
      <w:pPr>
        <w:jc w:val="both"/>
        <w:rPr>
          <w:rFonts w:ascii="Times New Roman" w:hAnsi="Times New Roman" w:cs="Times New Roman"/>
          <w:noProof/>
          <w:sz w:val="24"/>
          <w:szCs w:val="24"/>
        </w:rPr>
      </w:pPr>
      <w:r>
        <w:rPr>
          <w:rFonts w:ascii="Times New Roman" w:hAnsi="Times New Roman"/>
          <w:noProof/>
          <w:sz w:val="24"/>
          <w:lang w:val="en-GB"/>
        </w:rPr>
        <mc:AlternateContent>
          <mc:Choice Requires="wps">
            <w:drawing>
              <wp:anchor distT="0" distB="0" distL="114300" distR="114300" simplePos="0" relativeHeight="251575808" behindDoc="0" locked="0" layoutInCell="1" allowOverlap="1" wp14:anchorId="376F8029" wp14:editId="5FCCA9AA">
                <wp:simplePos x="0" y="0"/>
                <wp:positionH relativeFrom="column">
                  <wp:posOffset>1546960</wp:posOffset>
                </wp:positionH>
                <wp:positionV relativeFrom="paragraph">
                  <wp:posOffset>454731</wp:posOffset>
                </wp:positionV>
                <wp:extent cx="13271" cy="7278"/>
                <wp:effectExtent l="38100" t="38100" r="63500" b="88265"/>
                <wp:wrapNone/>
                <wp:docPr id="187781974" name="Straight Connector 20"/>
                <wp:cNvGraphicFramePr/>
                <a:graphic xmlns:a="http://schemas.openxmlformats.org/drawingml/2006/main">
                  <a:graphicData uri="http://schemas.microsoft.com/office/word/2010/wordprocessingShape">
                    <wps:wsp>
                      <wps:cNvCnPr/>
                      <wps:spPr>
                        <a:xfrm flipV="1">
                          <a:off x="0" y="0"/>
                          <a:ext cx="13271" cy="7278"/>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http://schemas.openxmlformats.org/drawingml/2006/main">
            <w:pict>
              <v:line id="Straight Connector 20" style="position:absolute;flip:y;z-index:25157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" from="121.8pt,35.8pt" to="122.85pt,36.35pt" w14:anchorId="680BD3B9">
                <v:shadow on="t" color="black" opacity="24903f" offset="0,.55556mm" origin=",.5"/>
              </v:line>
            </w:pict>
          </mc:Fallback>
        </mc:AlternateContent>
      </w:r>
      <w:r>
        <w:rPr>
          <w:rFonts w:ascii="Times New Roman" w:hAnsi="Times New Roman"/>
          <w:noProof/>
          <w:sz w:val="24"/>
        </w:rPr>
        <w:t>Graficul de mai jos compară volumul total al cererilor de informații trimise de fiecare stat membru în perioada 2020-2024 cu volumul răspunsurilor primite și indică procentul de cereri care au primit un răspuns</w:t>
      </w:r>
      <w:r>
        <w:rPr>
          <w:rStyle w:val="FootnoteReference"/>
          <w:rFonts w:ascii="Times New Roman" w:hAnsi="Times New Roman" w:cs="Times New Roman"/>
          <w:noProof/>
          <w:sz w:val="24"/>
          <w:szCs w:val="24"/>
        </w:rPr>
        <w:footnoteReference w:id="24"/>
      </w:r>
      <w:r>
        <w:rPr>
          <w:noProof/>
        </w:rPr>
        <w:t>.</w:t>
      </w:r>
      <w:bookmarkStart w:id="20" w:name="_Hlk481003611"/>
    </w:p>
    <w:p w14:paraId="5ED8EA29" w14:textId="3D597E11" w:rsidR="002F1622" w:rsidRPr="00E467DF" w:rsidRDefault="00C14A5A">
      <w:pPr>
        <w:jc w:val="both"/>
        <w:rPr>
          <w:rFonts w:ascii="Times New Roman" w:hAnsi="Times New Roman" w:cs="Times New Roman"/>
          <w:noProof/>
          <w:color w:val="FF0000"/>
          <w:sz w:val="24"/>
          <w:szCs w:val="24"/>
          <w:lang w:val="en-US"/>
        </w:rPr>
      </w:pPr>
      <w:r w:rsidRPr="00C14A5A">
        <w:rPr>
          <w:noProof/>
          <w:lang w:val="en-GB"/>
        </w:rPr>
        <w:drawing>
          <wp:inline distT="0" distB="0" distL="0" distR="0" wp14:anchorId="6D2219BA" wp14:editId="553D511B">
            <wp:extent cx="5760000" cy="8496000"/>
            <wp:effectExtent l="0" t="0" r="0" b="635"/>
            <wp:docPr id="20756555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000" cy="8496000"/>
                    </a:xfrm>
                    <a:prstGeom prst="rect">
                      <a:avLst/>
                    </a:prstGeom>
                    <a:noFill/>
                    <a:ln>
                      <a:noFill/>
                    </a:ln>
                  </pic:spPr>
                </pic:pic>
              </a:graphicData>
            </a:graphic>
          </wp:inline>
        </w:drawing>
      </w:r>
    </w:p>
    <w:p w14:paraId="7D5613EC" w14:textId="001DC232" w:rsidR="00122A90" w:rsidRPr="00464550" w:rsidRDefault="004204BE">
      <w:pPr>
        <w:jc w:val="both"/>
        <w:rPr>
          <w:rFonts w:ascii="Times New Roman" w:hAnsi="Times New Roman" w:cs="Times New Roman"/>
          <w:noProof/>
          <w:sz w:val="24"/>
          <w:szCs w:val="24"/>
        </w:rPr>
      </w:pPr>
      <w:r>
        <w:rPr>
          <w:rFonts w:ascii="Times New Roman" w:hAnsi="Times New Roman"/>
          <w:noProof/>
          <w:sz w:val="24"/>
        </w:rPr>
        <w:t xml:space="preserve">În perioada 2020-2024 au fost trimise aproape </w:t>
      </w:r>
      <w:r>
        <w:rPr>
          <w:rFonts w:ascii="Times New Roman" w:hAnsi="Times New Roman"/>
          <w:b/>
          <w:noProof/>
          <w:sz w:val="24"/>
        </w:rPr>
        <w:t>5,5 milioane de cereri de informații</w:t>
      </w:r>
      <w:r>
        <w:rPr>
          <w:rFonts w:ascii="Times New Roman" w:hAnsi="Times New Roman"/>
          <w:noProof/>
          <w:sz w:val="24"/>
        </w:rPr>
        <w:t xml:space="preserve">. Astfel cum s-a menționat în secțiunea 2.2, </w:t>
      </w:r>
      <w:r>
        <w:rPr>
          <w:rFonts w:ascii="Times New Roman" w:hAnsi="Times New Roman"/>
          <w:b/>
          <w:noProof/>
          <w:sz w:val="24"/>
        </w:rPr>
        <w:t>numărul</w:t>
      </w:r>
      <w:r>
        <w:rPr>
          <w:rFonts w:ascii="Times New Roman" w:hAnsi="Times New Roman"/>
          <w:noProof/>
          <w:sz w:val="24"/>
        </w:rPr>
        <w:t xml:space="preserve"> anual </w:t>
      </w:r>
      <w:r>
        <w:rPr>
          <w:rFonts w:ascii="Times New Roman" w:hAnsi="Times New Roman"/>
          <w:b/>
          <w:noProof/>
          <w:sz w:val="24"/>
        </w:rPr>
        <w:t>de cereri a crescut</w:t>
      </w:r>
      <w:r>
        <w:rPr>
          <w:rFonts w:ascii="Times New Roman" w:hAnsi="Times New Roman"/>
          <w:noProof/>
          <w:sz w:val="24"/>
        </w:rPr>
        <w:t xml:space="preserve"> cu </w:t>
      </w:r>
      <w:r>
        <w:rPr>
          <w:rFonts w:ascii="Times New Roman" w:hAnsi="Times New Roman"/>
          <w:b/>
          <w:noProof/>
          <w:sz w:val="24"/>
        </w:rPr>
        <w:t>25 %</w:t>
      </w:r>
      <w:r>
        <w:rPr>
          <w:rFonts w:ascii="Times New Roman" w:hAnsi="Times New Roman"/>
          <w:noProof/>
          <w:sz w:val="24"/>
        </w:rPr>
        <w:t xml:space="preserve"> din 2020, ajungând la </w:t>
      </w:r>
      <w:r>
        <w:rPr>
          <w:rFonts w:ascii="Times New Roman" w:hAnsi="Times New Roman"/>
          <w:b/>
          <w:noProof/>
          <w:sz w:val="24"/>
        </w:rPr>
        <w:t>1,2 milioane în 2024</w:t>
      </w:r>
      <w:r>
        <w:rPr>
          <w:rFonts w:ascii="Times New Roman" w:hAnsi="Times New Roman"/>
          <w:noProof/>
          <w:sz w:val="24"/>
        </w:rPr>
        <w:t xml:space="preserve">. </w:t>
      </w:r>
    </w:p>
    <w:p w14:paraId="25A39E59" w14:textId="6CDCB2F0" w:rsidR="002D29ED" w:rsidRPr="00464550" w:rsidRDefault="00B700E6" w:rsidP="002D29ED">
      <w:pPr>
        <w:jc w:val="both"/>
        <w:rPr>
          <w:rFonts w:ascii="Times New Roman" w:hAnsi="Times New Roman" w:cs="Times New Roman"/>
          <w:noProof/>
          <w:sz w:val="24"/>
          <w:szCs w:val="24"/>
        </w:rPr>
      </w:pPr>
      <w:r>
        <w:rPr>
          <w:rFonts w:ascii="Times New Roman" w:hAnsi="Times New Roman"/>
          <w:b/>
          <w:noProof/>
          <w:sz w:val="24"/>
        </w:rPr>
        <w:t>Numărul de cereri trimise a variat considerabil la nivelul statelor membre</w:t>
      </w:r>
      <w:r>
        <w:rPr>
          <w:rFonts w:ascii="Times New Roman" w:hAnsi="Times New Roman"/>
          <w:noProof/>
          <w:sz w:val="24"/>
        </w:rPr>
        <w:t>, de la aproape 4 milioane de cereri trimise de Germania la doar 12 trimise de Grecia. Principalii factori care explică această variație sunt numărul de resortisanți ai altor state membre care își au reședința într-un anumit stat membru și legislația națională care stabilește obligația de prezentare a certificatelor de cazier judiciar.</w:t>
      </w:r>
    </w:p>
    <w:p w14:paraId="58F21D93" w14:textId="01C40D2D" w:rsidR="002D29ED" w:rsidRPr="00464550" w:rsidRDefault="00926528">
      <w:pPr>
        <w:jc w:val="both"/>
        <w:rPr>
          <w:rFonts w:ascii="Times New Roman" w:hAnsi="Times New Roman" w:cs="Times New Roman"/>
          <w:noProof/>
          <w:sz w:val="24"/>
          <w:szCs w:val="24"/>
        </w:rPr>
      </w:pPr>
      <w:r>
        <w:rPr>
          <w:rFonts w:ascii="Times New Roman" w:hAnsi="Times New Roman"/>
          <w:noProof/>
          <w:sz w:val="24"/>
        </w:rPr>
        <w:t xml:space="preserve">La fel ca în anii precedenți, </w:t>
      </w:r>
      <w:r>
        <w:rPr>
          <w:rFonts w:ascii="Times New Roman" w:hAnsi="Times New Roman"/>
          <w:b/>
          <w:noProof/>
          <w:sz w:val="24"/>
        </w:rPr>
        <w:t>cel mai activ</w:t>
      </w:r>
      <w:r>
        <w:rPr>
          <w:rFonts w:ascii="Times New Roman" w:hAnsi="Times New Roman"/>
          <w:noProof/>
          <w:sz w:val="24"/>
        </w:rPr>
        <w:t xml:space="preserve"> stat membru în ceea ce privește </w:t>
      </w:r>
      <w:r>
        <w:rPr>
          <w:rFonts w:ascii="Times New Roman" w:hAnsi="Times New Roman"/>
          <w:b/>
          <w:noProof/>
          <w:sz w:val="24"/>
        </w:rPr>
        <w:t>cererile trimise</w:t>
      </w:r>
      <w:r>
        <w:rPr>
          <w:rFonts w:ascii="Times New Roman" w:hAnsi="Times New Roman"/>
          <w:noProof/>
          <w:sz w:val="24"/>
        </w:rPr>
        <w:t xml:space="preserve"> a fost </w:t>
      </w:r>
      <w:bookmarkStart w:id="21" w:name="_Hlk216020913"/>
      <w:r>
        <w:rPr>
          <w:rFonts w:ascii="Times New Roman" w:hAnsi="Times New Roman"/>
          <w:b/>
          <w:noProof/>
          <w:sz w:val="24"/>
        </w:rPr>
        <w:t>Germania</w:t>
      </w:r>
      <w:r>
        <w:rPr>
          <w:rFonts w:ascii="Times New Roman" w:hAnsi="Times New Roman"/>
          <w:noProof/>
          <w:sz w:val="24"/>
        </w:rPr>
        <w:t xml:space="preserve"> (</w:t>
      </w:r>
      <w:r>
        <w:rPr>
          <w:rFonts w:ascii="Times New Roman" w:hAnsi="Times New Roman"/>
          <w:b/>
          <w:noProof/>
          <w:sz w:val="24"/>
        </w:rPr>
        <w:t xml:space="preserve">73 % </w:t>
      </w:r>
      <w:bookmarkEnd w:id="21"/>
      <w:r>
        <w:rPr>
          <w:rFonts w:ascii="Times New Roman" w:hAnsi="Times New Roman"/>
          <w:b/>
          <w:noProof/>
          <w:sz w:val="24"/>
        </w:rPr>
        <w:t>din totalul cererilor</w:t>
      </w:r>
      <w:r>
        <w:rPr>
          <w:rFonts w:ascii="Times New Roman" w:hAnsi="Times New Roman"/>
          <w:noProof/>
          <w:sz w:val="24"/>
        </w:rPr>
        <w:t xml:space="preserve"> trimise în perioada 2020-2024), urmat de Spania (4,4 %) și de Austria (4,1 %)</w:t>
      </w:r>
      <w:r>
        <w:rPr>
          <w:rStyle w:val="FootnoteReference"/>
          <w:rFonts w:ascii="Times New Roman" w:hAnsi="Times New Roman" w:cs="Times New Roman"/>
          <w:noProof/>
          <w:sz w:val="24"/>
          <w:szCs w:val="24"/>
        </w:rPr>
        <w:footnoteReference w:id="25"/>
      </w:r>
      <w:r>
        <w:rPr>
          <w:noProof/>
        </w:rPr>
        <w:t>.</w:t>
      </w:r>
      <w:r>
        <w:rPr>
          <w:rFonts w:ascii="Times New Roman" w:hAnsi="Times New Roman"/>
          <w:noProof/>
          <w:sz w:val="24"/>
        </w:rPr>
        <w:t xml:space="preserve"> Cea mai semnificativă creștere a numărului de cereri a fost observată în Suedia și România, care au trimis de cinci ori mai multe cereri în 2024 față de 2019, precum și în Belgia și Spania, unde numărul de cereri trimise aproape s-a triplat. </w:t>
      </w:r>
    </w:p>
    <w:p w14:paraId="167F202D" w14:textId="3FC053D4" w:rsidR="00A54977" w:rsidRDefault="008052FE">
      <w:pPr>
        <w:jc w:val="both"/>
        <w:rPr>
          <w:noProof/>
        </w:rPr>
      </w:pPr>
      <w:bookmarkStart w:id="22" w:name="_Hlk218799221"/>
      <w:r>
        <w:rPr>
          <w:rFonts w:ascii="Times New Roman" w:hAnsi="Times New Roman"/>
          <w:noProof/>
          <w:sz w:val="24"/>
        </w:rPr>
        <w:t xml:space="preserve">În pofida creșterii numărului de cereri în general, persistă încă problema, menționată în rapoartele statistice anterioare, că unele </w:t>
      </w:r>
      <w:r>
        <w:rPr>
          <w:rFonts w:ascii="Times New Roman" w:hAnsi="Times New Roman"/>
          <w:b/>
          <w:noProof/>
          <w:sz w:val="24"/>
        </w:rPr>
        <w:t>state membre nu trimit aproape deloc cereri</w:t>
      </w:r>
      <w:r>
        <w:rPr>
          <w:rFonts w:ascii="Times New Roman" w:hAnsi="Times New Roman"/>
          <w:noProof/>
          <w:sz w:val="24"/>
        </w:rPr>
        <w:t xml:space="preserve"> (Grecia) sau trimit </w:t>
      </w:r>
      <w:r>
        <w:rPr>
          <w:rFonts w:ascii="Times New Roman" w:hAnsi="Times New Roman"/>
          <w:b/>
          <w:noProof/>
          <w:sz w:val="24"/>
        </w:rPr>
        <w:t>un număr scăzut de cereri</w:t>
      </w:r>
      <w:r>
        <w:rPr>
          <w:rFonts w:ascii="Times New Roman" w:hAnsi="Times New Roman"/>
          <w:noProof/>
          <w:sz w:val="24"/>
        </w:rPr>
        <w:t xml:space="preserve"> în legătură cu resortisanții altor state membre ale UE aflați pe teritoriul lor (</w:t>
      </w:r>
      <w:bookmarkStart w:id="23" w:name="_Hlk219123859"/>
      <w:r>
        <w:rPr>
          <w:rFonts w:ascii="Times New Roman" w:hAnsi="Times New Roman"/>
          <w:noProof/>
          <w:sz w:val="24"/>
        </w:rPr>
        <w:t xml:space="preserve">Bulgaria, Estonia, Ungaria, Irlanda, Italia, Letonia, Malta și </w:t>
      </w:r>
      <w:bookmarkEnd w:id="23"/>
      <w:r>
        <w:rPr>
          <w:rFonts w:ascii="Times New Roman" w:hAnsi="Times New Roman"/>
          <w:noProof/>
          <w:sz w:val="24"/>
        </w:rPr>
        <w:t>Slovenia)</w:t>
      </w:r>
      <w:r>
        <w:rPr>
          <w:rStyle w:val="FootnoteReference"/>
          <w:rFonts w:ascii="Times New Roman" w:hAnsi="Times New Roman" w:cs="Times New Roman"/>
          <w:noProof/>
          <w:sz w:val="24"/>
          <w:szCs w:val="24"/>
        </w:rPr>
        <w:footnoteReference w:id="26"/>
      </w:r>
      <w:r>
        <w:rPr>
          <w:noProof/>
        </w:rPr>
        <w:t>.</w:t>
      </w:r>
      <w:r>
        <w:rPr>
          <w:rFonts w:ascii="Times New Roman" w:hAnsi="Times New Roman"/>
          <w:noProof/>
          <w:sz w:val="24"/>
        </w:rPr>
        <w:t xml:space="preserve"> În plus, în perioada 2020-2024, </w:t>
      </w:r>
      <w:r>
        <w:rPr>
          <w:rFonts w:ascii="Times New Roman" w:hAnsi="Times New Roman"/>
          <w:b/>
          <w:noProof/>
          <w:sz w:val="24"/>
        </w:rPr>
        <w:t>numărul de cereri trimise a scăzut semnificativ</w:t>
      </w:r>
      <w:r>
        <w:rPr>
          <w:rFonts w:ascii="Times New Roman" w:hAnsi="Times New Roman"/>
          <w:noProof/>
          <w:sz w:val="24"/>
        </w:rPr>
        <w:t xml:space="preserve"> în Franța, Irlanda și Italia în comparație cu datele de referință pentru 2019. Este posibil, prin urmare, să se ajungă la situația în care instanțele penale pronunță hotărâri fără a avea cunoștință de condamnările pronunțate în alte state membre, ceea ce contravine dispozițiilor prevăzute în Decizia-cadru 2008/675/JAI. În plus, efectul preventiv al solicitării certificatelor de cazier judiciar în alte scopuri decât procesul penal, cum ar fi verificările prealabile angajării, va fi diminuat.</w:t>
      </w:r>
      <w:bookmarkEnd w:id="22"/>
      <w:r>
        <w:rPr>
          <w:noProof/>
        </w:rPr>
        <w:t xml:space="preserve"> </w:t>
      </w:r>
    </w:p>
    <w:p w14:paraId="7D5613F1" w14:textId="05DBE948" w:rsidR="008D3CBA" w:rsidRPr="00464550" w:rsidRDefault="00A54977">
      <w:pPr>
        <w:jc w:val="both"/>
        <w:rPr>
          <w:rFonts w:ascii="Times New Roman" w:hAnsi="Times New Roman" w:cs="Times New Roman"/>
          <w:noProof/>
          <w:sz w:val="24"/>
          <w:szCs w:val="24"/>
        </w:rPr>
      </w:pPr>
      <w:r>
        <w:rPr>
          <w:rFonts w:ascii="Times New Roman" w:hAnsi="Times New Roman"/>
          <w:noProof/>
          <w:sz w:val="24"/>
        </w:rPr>
        <w:t xml:space="preserve">Pentru o analiză suplimentară și o </w:t>
      </w:r>
      <w:r>
        <w:rPr>
          <w:rFonts w:ascii="Times New Roman" w:hAnsi="Times New Roman"/>
          <w:b/>
          <w:noProof/>
          <w:sz w:val="24"/>
        </w:rPr>
        <w:t>defalcare a cererilor</w:t>
      </w:r>
      <w:r>
        <w:rPr>
          <w:rFonts w:ascii="Times New Roman" w:hAnsi="Times New Roman"/>
          <w:noProof/>
          <w:sz w:val="24"/>
        </w:rPr>
        <w:t xml:space="preserve"> </w:t>
      </w:r>
      <w:r>
        <w:rPr>
          <w:rFonts w:ascii="Times New Roman" w:hAnsi="Times New Roman"/>
          <w:b/>
          <w:noProof/>
          <w:sz w:val="24"/>
        </w:rPr>
        <w:t>adresate în scopul proceselor penale și în alte scopuri</w:t>
      </w:r>
      <w:r>
        <w:rPr>
          <w:rFonts w:ascii="Times New Roman" w:hAnsi="Times New Roman"/>
          <w:noProof/>
          <w:sz w:val="24"/>
        </w:rPr>
        <w:t>, a se vedea secțiunea 2.8.</w:t>
      </w:r>
    </w:p>
    <w:p w14:paraId="7D5613F2" w14:textId="4C9F09B0" w:rsidR="008D3CBA" w:rsidRDefault="00CF7ED7" w:rsidP="00016D49">
      <w:pPr>
        <w:pageBreakBefore/>
        <w:jc w:val="both"/>
        <w:rPr>
          <w:rFonts w:ascii="Times New Roman" w:hAnsi="Times New Roman"/>
          <w:noProof/>
          <w:sz w:val="24"/>
        </w:rPr>
      </w:pPr>
      <w:r>
        <w:rPr>
          <w:rFonts w:ascii="Times New Roman" w:hAnsi="Times New Roman"/>
          <w:b/>
          <w:noProof/>
          <w:sz w:val="24"/>
          <w:lang w:val="en-GB"/>
        </w:rPr>
        <mc:AlternateContent>
          <mc:Choice Requires="wps">
            <w:drawing>
              <wp:anchor distT="45720" distB="45720" distL="114300" distR="114300" simplePos="0" relativeHeight="251639296" behindDoc="0" locked="0" layoutInCell="1" allowOverlap="1" wp14:anchorId="3EDEA99D" wp14:editId="510344EB">
                <wp:simplePos x="0" y="0"/>
                <wp:positionH relativeFrom="column">
                  <wp:posOffset>-1270</wp:posOffset>
                </wp:positionH>
                <wp:positionV relativeFrom="paragraph">
                  <wp:posOffset>1408430</wp:posOffset>
                </wp:positionV>
                <wp:extent cx="5829300" cy="1645920"/>
                <wp:effectExtent l="0" t="0" r="19050" b="11430"/>
                <wp:wrapSquare wrapText="bothSides"/>
                <wp:docPr id="2157761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1645920"/>
                        </a:xfrm>
                        <a:prstGeom prst="rect">
                          <a:avLst/>
                        </a:prstGeom>
                        <a:solidFill>
                          <a:srgbClr val="FFFFFF"/>
                        </a:solidFill>
                        <a:ln w="9525">
                          <a:solidFill>
                            <a:srgbClr val="000000"/>
                          </a:solidFill>
                          <a:miter lim="800000"/>
                          <a:headEnd/>
                          <a:tailEnd/>
                        </a:ln>
                      </wps:spPr>
                      <wps:txbx>
                        <w:txbxContent>
                          <w:p w14:paraId="6FC3EB6C" w14:textId="1BA16B82" w:rsidR="000B12FB" w:rsidRPr="00CE59F4" w:rsidRDefault="00D05BF4" w:rsidP="000B12FB">
                            <w:pPr>
                              <w:pStyle w:val="ListParagraph"/>
                              <w:numPr>
                                <w:ilvl w:val="0"/>
                                <w:numId w:val="21"/>
                              </w:numPr>
                              <w:jc w:val="both"/>
                              <w:rPr>
                                <w:rFonts w:ascii="Times New Roman" w:hAnsi="Times New Roman" w:cs="Times New Roman"/>
                                <w:b/>
                                <w:color w:val="C00000"/>
                                <w:sz w:val="24"/>
                                <w:szCs w:val="24"/>
                              </w:rPr>
                            </w:pPr>
                            <w:r>
                              <w:rPr>
                                <w:rFonts w:ascii="Times New Roman" w:hAnsi="Times New Roman"/>
                                <w:b/>
                                <w:color w:val="C00000"/>
                                <w:sz w:val="24"/>
                              </w:rPr>
                              <w:t>Numărul de cereri de informații a înregistrat o creștere lentă, dar constantă, ajungând la 1,2 milioane</w:t>
                            </w:r>
                          </w:p>
                          <w:p w14:paraId="0EFA56F1" w14:textId="77777777" w:rsidR="003737AF" w:rsidRDefault="000B12FB" w:rsidP="00C21978">
                            <w:pPr>
                              <w:ind w:left="360"/>
                              <w:jc w:val="both"/>
                              <w:rPr>
                                <w:rFonts w:ascii="Times New Roman" w:hAnsi="Times New Roman" w:cs="Times New Roman"/>
                                <w:bCs/>
                                <w:color w:val="C00000"/>
                                <w:sz w:val="24"/>
                                <w:szCs w:val="24"/>
                              </w:rPr>
                            </w:pPr>
                            <w:r>
                              <w:rPr>
                                <w:rFonts w:ascii="Times New Roman" w:hAnsi="Times New Roman"/>
                                <w:b/>
                                <w:color w:val="C00000"/>
                                <w:sz w:val="24"/>
                              </w:rPr>
                              <w:t>Numărul</w:t>
                            </w:r>
                            <w:r>
                              <w:rPr>
                                <w:rFonts w:ascii="Times New Roman" w:hAnsi="Times New Roman"/>
                                <w:color w:val="C00000"/>
                                <w:sz w:val="24"/>
                              </w:rPr>
                              <w:t xml:space="preserve"> anual </w:t>
                            </w:r>
                            <w:r>
                              <w:rPr>
                                <w:rFonts w:ascii="Times New Roman" w:hAnsi="Times New Roman"/>
                                <w:b/>
                                <w:color w:val="C00000"/>
                                <w:sz w:val="24"/>
                              </w:rPr>
                              <w:t>de cereri de informații a crescut în mod constant cu 25 % din 2020</w:t>
                            </w:r>
                            <w:r>
                              <w:rPr>
                                <w:rFonts w:ascii="Times New Roman" w:hAnsi="Times New Roman"/>
                                <w:color w:val="C00000"/>
                                <w:sz w:val="24"/>
                              </w:rPr>
                              <w:t xml:space="preserve">, ajungând la </w:t>
                            </w:r>
                            <w:r>
                              <w:rPr>
                                <w:rFonts w:ascii="Times New Roman" w:hAnsi="Times New Roman"/>
                                <w:b/>
                                <w:color w:val="C00000"/>
                                <w:sz w:val="24"/>
                              </w:rPr>
                              <w:t>1,2 milioane în 2024</w:t>
                            </w:r>
                            <w:r>
                              <w:rPr>
                                <w:rFonts w:ascii="Times New Roman" w:hAnsi="Times New Roman"/>
                                <w:color w:val="C00000"/>
                                <w:sz w:val="24"/>
                              </w:rPr>
                              <w:t xml:space="preserve">. Această creștere </w:t>
                            </w:r>
                            <w:r>
                              <w:rPr>
                                <w:rFonts w:ascii="Times New Roman" w:hAnsi="Times New Roman"/>
                                <w:b/>
                                <w:color w:val="C00000"/>
                                <w:sz w:val="24"/>
                              </w:rPr>
                              <w:t>nu a fost</w:t>
                            </w:r>
                            <w:r>
                              <w:rPr>
                                <w:rFonts w:ascii="Times New Roman" w:hAnsi="Times New Roman"/>
                                <w:color w:val="C00000"/>
                                <w:sz w:val="24"/>
                              </w:rPr>
                              <w:t xml:space="preserve"> însă </w:t>
                            </w:r>
                            <w:r>
                              <w:rPr>
                                <w:rFonts w:ascii="Times New Roman" w:hAnsi="Times New Roman"/>
                                <w:b/>
                                <w:color w:val="C00000"/>
                                <w:sz w:val="24"/>
                              </w:rPr>
                              <w:t>la fel de spectaculoasă</w:t>
                            </w:r>
                            <w:r>
                              <w:rPr>
                                <w:rFonts w:ascii="Times New Roman" w:hAnsi="Times New Roman"/>
                                <w:color w:val="C00000"/>
                                <w:sz w:val="24"/>
                              </w:rPr>
                              <w:t xml:space="preserve"> precum cea înregistrată în perioada de referință anterioară.</w:t>
                            </w:r>
                          </w:p>
                          <w:p w14:paraId="01552F46" w14:textId="73FB690F" w:rsidR="000B12FB" w:rsidRPr="00CE59F4" w:rsidRDefault="000B12FB" w:rsidP="00C21978">
                            <w:pPr>
                              <w:ind w:left="360"/>
                              <w:jc w:val="both"/>
                              <w:rPr>
                                <w:rFonts w:ascii="Times New Roman" w:hAnsi="Times New Roman" w:cs="Times New Roman"/>
                                <w:color w:val="C00000"/>
                                <w:sz w:val="24"/>
                                <w:szCs w:val="24"/>
                              </w:rPr>
                            </w:pPr>
                            <w:r>
                              <w:rPr>
                                <w:rFonts w:ascii="Times New Roman" w:hAnsi="Times New Roman"/>
                                <w:b/>
                                <w:color w:val="C00000"/>
                                <w:sz w:val="24"/>
                              </w:rPr>
                              <w:t xml:space="preserve">Numărul de cereri trimise </w:t>
                            </w:r>
                            <w:r>
                              <w:rPr>
                                <w:rFonts w:ascii="Times New Roman" w:hAnsi="Times New Roman"/>
                                <w:color w:val="C00000"/>
                                <w:sz w:val="24"/>
                              </w:rPr>
                              <w:t>a continuat să</w:t>
                            </w:r>
                            <w:r>
                              <w:rPr>
                                <w:rFonts w:ascii="Times New Roman" w:hAnsi="Times New Roman"/>
                                <w:b/>
                                <w:color w:val="C00000"/>
                                <w:sz w:val="24"/>
                              </w:rPr>
                              <w:t xml:space="preserve"> varieze considerabil la nivelul statelor membre</w:t>
                            </w:r>
                            <w:r>
                              <w:rPr>
                                <w:rFonts w:ascii="Times New Roman" w:hAnsi="Times New Roman"/>
                                <w:color w:val="C00000"/>
                                <w:sz w:val="24"/>
                              </w:rPr>
                              <w:t>, de la 4 milioane de cereri trimise de Germania (73 % din numărul total de cereri) la doar 12 cereri trimise de Grecia în perioada de raportare de cinci ani.</w:t>
                            </w:r>
                          </w:p>
                          <w:p w14:paraId="34E21977" w14:textId="58EBF932" w:rsidR="000B12FB" w:rsidRPr="00F57E79" w:rsidRDefault="000B12FB">
                            <w:pPr>
                              <w:rPr>
                                <w:lang w:val="fr-F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DEA99D" id="_x0000_s1034" type="#_x0000_t202" style="position:absolute;left:0;text-align:left;margin-left:-.1pt;margin-top:110.9pt;width:459pt;height:129.6pt;z-index:251639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">
                <v:textbox>
                  <w:txbxContent>
                    <w:p w14:paraId="6FC3EB6C" w14:textId="1BA16B82" w:rsidR="000B12FB" w:rsidRPr="00CE59F4" w:rsidRDefault="00D05BF4" w:rsidP="000B12FB">
                      <w:pPr>
                        <w:pStyle w:val="ListParagraph"/>
                        <w:numPr>
                          <w:ilvl w:val="0"/>
                          <w:numId w:val="21"/>
                        </w:numPr>
                        <w:jc w:val="both"/>
                        <w:rPr>
                          <w:rFonts w:ascii="Times New Roman" w:hAnsi="Times New Roman" w:cs="Times New Roman"/>
                          <w:b/>
                          <w:color w:val="C00000"/>
                          <w:sz w:val="24"/>
                          <w:szCs w:val="24"/>
                        </w:rPr>
                      </w:pPr>
                      <w:r>
                        <w:rPr>
                          <w:rFonts w:ascii="Times New Roman" w:hAnsi="Times New Roman"/>
                          <w:b/>
                          <w:color w:val="C00000"/>
                          <w:sz w:val="24"/>
                        </w:rPr>
                        <w:t>Numărul de cereri de informații a înregistrat o creștere lentă, dar constantă, ajungând la 1,2 milioane</w:t>
                      </w:r>
                    </w:p>
                    <w:p w14:paraId="0EFA56F1" w14:textId="77777777" w:rsidR="003737AF" w:rsidRDefault="000B12FB" w:rsidP="00C21978">
                      <w:pPr>
                        <w:ind w:left="360"/>
                        <w:jc w:val="both"/>
                        <w:rPr>
                          <w:rFonts w:ascii="Times New Roman" w:hAnsi="Times New Roman" w:cs="Times New Roman"/>
                          <w:bCs/>
                          <w:color w:val="C00000"/>
                          <w:sz w:val="24"/>
                          <w:szCs w:val="24"/>
                        </w:rPr>
                      </w:pPr>
                      <w:r>
                        <w:rPr>
                          <w:rFonts w:ascii="Times New Roman" w:hAnsi="Times New Roman"/>
                          <w:b/>
                          <w:color w:val="C00000"/>
                          <w:sz w:val="24"/>
                        </w:rPr>
                        <w:t>Numărul</w:t>
                      </w:r>
                      <w:r>
                        <w:rPr>
                          <w:rFonts w:ascii="Times New Roman" w:hAnsi="Times New Roman"/>
                          <w:color w:val="C00000"/>
                          <w:sz w:val="24"/>
                        </w:rPr>
                        <w:t xml:space="preserve"> anual </w:t>
                      </w:r>
                      <w:r>
                        <w:rPr>
                          <w:rFonts w:ascii="Times New Roman" w:hAnsi="Times New Roman"/>
                          <w:b/>
                          <w:color w:val="C00000"/>
                          <w:sz w:val="24"/>
                        </w:rPr>
                        <w:t>de cereri de informații a crescut în mod constant cu 25 % din 2020</w:t>
                      </w:r>
                      <w:r>
                        <w:rPr>
                          <w:rFonts w:ascii="Times New Roman" w:hAnsi="Times New Roman"/>
                          <w:color w:val="C00000"/>
                          <w:sz w:val="24"/>
                        </w:rPr>
                        <w:t xml:space="preserve">, ajungând la </w:t>
                      </w:r>
                      <w:r>
                        <w:rPr>
                          <w:rFonts w:ascii="Times New Roman" w:hAnsi="Times New Roman"/>
                          <w:b/>
                          <w:color w:val="C00000"/>
                          <w:sz w:val="24"/>
                        </w:rPr>
                        <w:t>1,2 milioane în 2024</w:t>
                      </w:r>
                      <w:r>
                        <w:rPr>
                          <w:rFonts w:ascii="Times New Roman" w:hAnsi="Times New Roman"/>
                          <w:color w:val="C00000"/>
                          <w:sz w:val="24"/>
                        </w:rPr>
                        <w:t xml:space="preserve">. Această creștere </w:t>
                      </w:r>
                      <w:r>
                        <w:rPr>
                          <w:rFonts w:ascii="Times New Roman" w:hAnsi="Times New Roman"/>
                          <w:b/>
                          <w:color w:val="C00000"/>
                          <w:sz w:val="24"/>
                        </w:rPr>
                        <w:t>nu a fost</w:t>
                      </w:r>
                      <w:r>
                        <w:rPr>
                          <w:rFonts w:ascii="Times New Roman" w:hAnsi="Times New Roman"/>
                          <w:color w:val="C00000"/>
                          <w:sz w:val="24"/>
                        </w:rPr>
                        <w:t xml:space="preserve"> însă </w:t>
                      </w:r>
                      <w:r>
                        <w:rPr>
                          <w:rFonts w:ascii="Times New Roman" w:hAnsi="Times New Roman"/>
                          <w:b/>
                          <w:color w:val="C00000"/>
                          <w:sz w:val="24"/>
                        </w:rPr>
                        <w:t>la fel de spectaculoasă</w:t>
                      </w:r>
                      <w:r>
                        <w:rPr>
                          <w:rFonts w:ascii="Times New Roman" w:hAnsi="Times New Roman"/>
                          <w:color w:val="C00000"/>
                          <w:sz w:val="24"/>
                        </w:rPr>
                        <w:t xml:space="preserve"> precum cea înregistrată în perioada de referință anterioară.</w:t>
                      </w:r>
                    </w:p>
                    <w:p w14:paraId="01552F46" w14:textId="73FB690F" w:rsidR="000B12FB" w:rsidRPr="00CE59F4" w:rsidRDefault="000B12FB" w:rsidP="00C21978">
                      <w:pPr>
                        <w:ind w:left="360"/>
                        <w:jc w:val="both"/>
                        <w:rPr>
                          <w:rFonts w:ascii="Times New Roman" w:hAnsi="Times New Roman" w:cs="Times New Roman"/>
                          <w:color w:val="C00000"/>
                          <w:sz w:val="24"/>
                          <w:szCs w:val="24"/>
                        </w:rPr>
                      </w:pPr>
                      <w:r>
                        <w:rPr>
                          <w:rFonts w:ascii="Times New Roman" w:hAnsi="Times New Roman"/>
                          <w:b/>
                          <w:color w:val="C00000"/>
                          <w:sz w:val="24"/>
                        </w:rPr>
                        <w:t xml:space="preserve">Numărul de cereri trimise </w:t>
                      </w:r>
                      <w:r>
                        <w:rPr>
                          <w:rFonts w:ascii="Times New Roman" w:hAnsi="Times New Roman"/>
                          <w:color w:val="C00000"/>
                          <w:sz w:val="24"/>
                        </w:rPr>
                        <w:t>a continuat să</w:t>
                      </w:r>
                      <w:r>
                        <w:rPr>
                          <w:rFonts w:ascii="Times New Roman" w:hAnsi="Times New Roman"/>
                          <w:b/>
                          <w:color w:val="C00000"/>
                          <w:sz w:val="24"/>
                        </w:rPr>
                        <w:t xml:space="preserve"> varieze considerabil la nivelul statelor membre</w:t>
                      </w:r>
                      <w:r>
                        <w:rPr>
                          <w:rFonts w:ascii="Times New Roman" w:hAnsi="Times New Roman"/>
                          <w:color w:val="C00000"/>
                          <w:sz w:val="24"/>
                        </w:rPr>
                        <w:t>, de la 4 milioane de cereri trimise de Germania (73 % din numărul total de cereri) la doar 12 cereri trimise de Grecia în perioada de raportare de cinci ani.</w:t>
                      </w:r>
                    </w:p>
                    <w:p w14:paraId="34E21977" w14:textId="58EBF932" w:rsidR="000B12FB" w:rsidRPr="00F57E79" w:rsidRDefault="000B12FB">
                      <w:pPr>
                        <w:rPr>
                          <w:lang w:val="fr-FR"/>
                        </w:rPr>
                      </w:pPr>
                    </w:p>
                  </w:txbxContent>
                </v:textbox>
                <w10:wrap type="square"/>
              </v:shape>
            </w:pict>
          </mc:Fallback>
        </mc:AlternateContent>
      </w:r>
      <w:r>
        <w:rPr>
          <w:rFonts w:ascii="Times New Roman" w:hAnsi="Times New Roman"/>
          <w:b/>
          <w:noProof/>
          <w:sz w:val="24"/>
          <w:lang w:val="en-GB"/>
        </w:rPr>
        <mc:AlternateContent>
          <mc:Choice Requires="wps">
            <w:drawing>
              <wp:anchor distT="45720" distB="45720" distL="114300" distR="114300" simplePos="0" relativeHeight="251607552" behindDoc="0" locked="0" layoutInCell="1" allowOverlap="1" wp14:anchorId="5C688334" wp14:editId="10FD0044">
                <wp:simplePos x="0" y="0"/>
                <wp:positionH relativeFrom="column">
                  <wp:posOffset>-1270</wp:posOffset>
                </wp:positionH>
                <wp:positionV relativeFrom="paragraph">
                  <wp:posOffset>3122930</wp:posOffset>
                </wp:positionV>
                <wp:extent cx="5873750" cy="2308860"/>
                <wp:effectExtent l="0" t="0" r="12700" b="15240"/>
                <wp:wrapSquare wrapText="bothSides"/>
                <wp:docPr id="6952840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3750" cy="2308860"/>
                        </a:xfrm>
                        <a:prstGeom prst="rect">
                          <a:avLst/>
                        </a:prstGeom>
                        <a:solidFill>
                          <a:srgbClr val="FFFFFF"/>
                        </a:solidFill>
                        <a:ln w="9525">
                          <a:solidFill>
                            <a:srgbClr val="000000"/>
                          </a:solidFill>
                          <a:miter lim="800000"/>
                          <a:headEnd/>
                          <a:tailEnd/>
                        </a:ln>
                      </wps:spPr>
                      <wps:txbx>
                        <w:txbxContent>
                          <w:p w14:paraId="0FECEC8B" w14:textId="07D6D6E0" w:rsidR="00CE59F4" w:rsidRPr="00F53837" w:rsidRDefault="00CE59F4" w:rsidP="009069C1">
                            <w:pPr>
                              <w:pStyle w:val="ListParagraph"/>
                              <w:numPr>
                                <w:ilvl w:val="0"/>
                                <w:numId w:val="21"/>
                              </w:numPr>
                              <w:jc w:val="both"/>
                              <w:rPr>
                                <w:rFonts w:ascii="Times New Roman" w:hAnsi="Times New Roman" w:cs="Times New Roman"/>
                                <w:b/>
                                <w:color w:val="C00000"/>
                                <w:sz w:val="24"/>
                                <w:szCs w:val="24"/>
                              </w:rPr>
                            </w:pPr>
                            <w:r w:rsidRPr="00F53837">
                              <w:rPr>
                                <w:rFonts w:ascii="Times New Roman" w:hAnsi="Times New Roman"/>
                                <w:b/>
                                <w:color w:val="C00000"/>
                                <w:sz w:val="24"/>
                              </w:rPr>
                              <w:t>ECRIS încă nu este întotdeauna utilizat pentru solicitarea de informații cu privire la condamnări anterioare</w:t>
                            </w:r>
                            <w:r w:rsidR="00F53837">
                              <w:rPr>
                                <w:rFonts w:ascii="Times New Roman" w:hAnsi="Times New Roman"/>
                                <w:b/>
                                <w:color w:val="C00000"/>
                                <w:sz w:val="24"/>
                              </w:rPr>
                              <w:tab/>
                            </w:r>
                            <w:r w:rsidR="00F53837" w:rsidRPr="00F53837">
                              <w:rPr>
                                <w:rFonts w:ascii="Times New Roman" w:hAnsi="Times New Roman"/>
                                <w:b/>
                                <w:color w:val="C00000"/>
                                <w:sz w:val="24"/>
                              </w:rPr>
                              <w:br/>
                            </w:r>
                            <w:r w:rsidRPr="00F53837">
                              <w:rPr>
                                <w:rFonts w:ascii="Times New Roman" w:hAnsi="Times New Roman"/>
                                <w:b/>
                                <w:color w:val="C00000"/>
                                <w:sz w:val="24"/>
                              </w:rPr>
                              <w:t>În pofida creșterii numărului total de cereri</w:t>
                            </w:r>
                            <w:r w:rsidRPr="00F53837">
                              <w:rPr>
                                <w:rFonts w:ascii="Times New Roman" w:hAnsi="Times New Roman"/>
                                <w:color w:val="C00000"/>
                                <w:sz w:val="24"/>
                              </w:rPr>
                              <w:t xml:space="preserve">, persistă încă problema, menționată în rapoartele statistice anterioare, că </w:t>
                            </w:r>
                            <w:r w:rsidRPr="00F53837">
                              <w:rPr>
                                <w:rFonts w:ascii="Times New Roman" w:hAnsi="Times New Roman"/>
                                <w:b/>
                                <w:color w:val="C00000"/>
                                <w:sz w:val="24"/>
                              </w:rPr>
                              <w:t>unele state membre nu trimit aproape deloc cereri</w:t>
                            </w:r>
                            <w:r w:rsidRPr="00F53837">
                              <w:rPr>
                                <w:rFonts w:ascii="Times New Roman" w:hAnsi="Times New Roman"/>
                                <w:color w:val="C00000"/>
                                <w:sz w:val="24"/>
                              </w:rPr>
                              <w:t xml:space="preserve"> (Grecia) sau </w:t>
                            </w:r>
                            <w:r w:rsidRPr="00F53837">
                              <w:rPr>
                                <w:rFonts w:ascii="Times New Roman" w:hAnsi="Times New Roman"/>
                                <w:b/>
                                <w:color w:val="C00000"/>
                                <w:sz w:val="24"/>
                              </w:rPr>
                              <w:t>trimit doar un număr scăzut de cereri</w:t>
                            </w:r>
                            <w:r w:rsidRPr="00F53837">
                              <w:rPr>
                                <w:rFonts w:ascii="Times New Roman" w:hAnsi="Times New Roman"/>
                                <w:color w:val="C00000"/>
                                <w:sz w:val="24"/>
                              </w:rPr>
                              <w:t xml:space="preserve"> în legătură cu resortisanții altor state membre ale UE aflați pe teritoriul lor (Bulgaria, Estonia, Ungaria, Irlanda, Italia, Letonia, Malta și Slovenia), problemă care se observă, în principal, la </w:t>
                            </w:r>
                            <w:r w:rsidRPr="00F53837">
                              <w:rPr>
                                <w:rFonts w:ascii="Times New Roman" w:hAnsi="Times New Roman"/>
                                <w:b/>
                                <w:color w:val="C00000"/>
                                <w:sz w:val="24"/>
                              </w:rPr>
                              <w:t>aceleași state membre</w:t>
                            </w:r>
                            <w:r w:rsidRPr="00F53837">
                              <w:rPr>
                                <w:rFonts w:ascii="Times New Roman" w:hAnsi="Times New Roman"/>
                                <w:color w:val="C00000"/>
                                <w:sz w:val="24"/>
                              </w:rPr>
                              <w:t>.</w:t>
                            </w:r>
                          </w:p>
                          <w:p w14:paraId="0F3B4267" w14:textId="218563EA" w:rsidR="00CE59F4" w:rsidRPr="00CE59F4" w:rsidRDefault="00CE59F4" w:rsidP="00C21978">
                            <w:pPr>
                              <w:ind w:left="360"/>
                              <w:jc w:val="both"/>
                              <w:rPr>
                                <w:rFonts w:ascii="Times New Roman" w:hAnsi="Times New Roman" w:cs="Times New Roman"/>
                                <w:color w:val="C00000"/>
                                <w:sz w:val="24"/>
                                <w:szCs w:val="24"/>
                              </w:rPr>
                            </w:pPr>
                            <w:r>
                              <w:rPr>
                                <w:rFonts w:ascii="Times New Roman" w:hAnsi="Times New Roman"/>
                                <w:color w:val="C00000"/>
                                <w:sz w:val="24"/>
                              </w:rPr>
                              <w:t xml:space="preserve">Mai multe state membre </w:t>
                            </w:r>
                            <w:r>
                              <w:rPr>
                                <w:rFonts w:ascii="Times New Roman" w:hAnsi="Times New Roman"/>
                                <w:b/>
                                <w:color w:val="C00000"/>
                                <w:sz w:val="24"/>
                              </w:rPr>
                              <w:t>utilizează ECRIS exclusiv sau aproape exclusiv în scopul proceselor penale</w:t>
                            </w:r>
                            <w:r>
                              <w:rPr>
                                <w:rFonts w:ascii="Times New Roman" w:hAnsi="Times New Roman"/>
                                <w:color w:val="C00000"/>
                                <w:sz w:val="24"/>
                              </w:rPr>
                              <w:t xml:space="preserve"> (Belgia, Croația, Ungaria, Irlanda, Italia, Luxemburg, Slovenia și Slovacia). Alte state membre solicită informații </w:t>
                            </w:r>
                            <w:r>
                              <w:rPr>
                                <w:rFonts w:ascii="Times New Roman" w:hAnsi="Times New Roman"/>
                                <w:b/>
                                <w:color w:val="C00000"/>
                                <w:sz w:val="24"/>
                              </w:rPr>
                              <w:t>aproape exclusiv în alte scopuri decât procesele penale</w:t>
                            </w:r>
                            <w:r>
                              <w:rPr>
                                <w:rFonts w:ascii="Times New Roman" w:hAnsi="Times New Roman"/>
                                <w:color w:val="C00000"/>
                                <w:sz w:val="24"/>
                              </w:rPr>
                              <w:t xml:space="preserve"> (Cehia, Cipru, Grecia și Spania).</w:t>
                            </w:r>
                          </w:p>
                          <w:p w14:paraId="6F6F1BD8" w14:textId="77777777" w:rsidR="00CE59F4" w:rsidRPr="00965AEC" w:rsidRDefault="00CE59F4" w:rsidP="00CE59F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688334" id="_x0000_s1035" type="#_x0000_t202" style="position:absolute;left:0;text-align:left;margin-left:-.1pt;margin-top:245.9pt;width:462.5pt;height:181.8pt;z-index:251607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">
                <v:textbox>
                  <w:txbxContent>
                    <w:p w14:paraId="0FECEC8B" w14:textId="07D6D6E0" w:rsidR="00CE59F4" w:rsidRPr="00F53837" w:rsidRDefault="00CE59F4" w:rsidP="009069C1">
                      <w:pPr>
                        <w:pStyle w:val="ListParagraph"/>
                        <w:numPr>
                          <w:ilvl w:val="0"/>
                          <w:numId w:val="21"/>
                        </w:numPr>
                        <w:jc w:val="both"/>
                        <w:rPr>
                          <w:rFonts w:ascii="Times New Roman" w:hAnsi="Times New Roman" w:cs="Times New Roman"/>
                          <w:b/>
                          <w:color w:val="C00000"/>
                          <w:sz w:val="24"/>
                          <w:szCs w:val="24"/>
                        </w:rPr>
                      </w:pPr>
                      <w:r w:rsidRPr="00F53837">
                        <w:rPr>
                          <w:rFonts w:ascii="Times New Roman" w:hAnsi="Times New Roman"/>
                          <w:b/>
                          <w:color w:val="C00000"/>
                          <w:sz w:val="24"/>
                        </w:rPr>
                        <w:t>ECRIS încă nu este întotdeauna utilizat pentru solicitarea de informații cu privire la condamnări anterioare</w:t>
                      </w:r>
                      <w:r w:rsidR="00F53837">
                        <w:rPr>
                          <w:rFonts w:ascii="Times New Roman" w:hAnsi="Times New Roman"/>
                          <w:b/>
                          <w:color w:val="C00000"/>
                          <w:sz w:val="24"/>
                        </w:rPr>
                        <w:tab/>
                      </w:r>
                      <w:r w:rsidR="00F53837" w:rsidRPr="00F53837">
                        <w:rPr>
                          <w:rFonts w:ascii="Times New Roman" w:hAnsi="Times New Roman"/>
                          <w:b/>
                          <w:color w:val="C00000"/>
                          <w:sz w:val="24"/>
                        </w:rPr>
                        <w:br/>
                      </w:r>
                      <w:r w:rsidRPr="00F53837">
                        <w:rPr>
                          <w:rFonts w:ascii="Times New Roman" w:hAnsi="Times New Roman"/>
                          <w:b/>
                          <w:color w:val="C00000"/>
                          <w:sz w:val="24"/>
                        </w:rPr>
                        <w:t>În pofida creșterii numărului total de cereri</w:t>
                      </w:r>
                      <w:r w:rsidRPr="00F53837">
                        <w:rPr>
                          <w:rFonts w:ascii="Times New Roman" w:hAnsi="Times New Roman"/>
                          <w:color w:val="C00000"/>
                          <w:sz w:val="24"/>
                        </w:rPr>
                        <w:t xml:space="preserve">, persistă încă problema, menționată în rapoartele statistice anterioare, că </w:t>
                      </w:r>
                      <w:r w:rsidRPr="00F53837">
                        <w:rPr>
                          <w:rFonts w:ascii="Times New Roman" w:hAnsi="Times New Roman"/>
                          <w:b/>
                          <w:color w:val="C00000"/>
                          <w:sz w:val="24"/>
                        </w:rPr>
                        <w:t>unele state membre nu trimit aproape deloc cereri</w:t>
                      </w:r>
                      <w:r w:rsidRPr="00F53837">
                        <w:rPr>
                          <w:rFonts w:ascii="Times New Roman" w:hAnsi="Times New Roman"/>
                          <w:color w:val="C00000"/>
                          <w:sz w:val="24"/>
                        </w:rPr>
                        <w:t xml:space="preserve"> (Grecia) sau </w:t>
                      </w:r>
                      <w:r w:rsidRPr="00F53837">
                        <w:rPr>
                          <w:rFonts w:ascii="Times New Roman" w:hAnsi="Times New Roman"/>
                          <w:b/>
                          <w:color w:val="C00000"/>
                          <w:sz w:val="24"/>
                        </w:rPr>
                        <w:t>trimit doar un număr scăzut de cereri</w:t>
                      </w:r>
                      <w:r w:rsidRPr="00F53837">
                        <w:rPr>
                          <w:rFonts w:ascii="Times New Roman" w:hAnsi="Times New Roman"/>
                          <w:color w:val="C00000"/>
                          <w:sz w:val="24"/>
                        </w:rPr>
                        <w:t xml:space="preserve"> în legătură cu resortisanții altor state membre ale UE aflați pe teritoriul lor (Bulgaria, Estonia, Ungaria, Irlanda, Italia, Letonia, Malta și Slovenia), problemă care se observă, în principal, la </w:t>
                      </w:r>
                      <w:r w:rsidRPr="00F53837">
                        <w:rPr>
                          <w:rFonts w:ascii="Times New Roman" w:hAnsi="Times New Roman"/>
                          <w:b/>
                          <w:color w:val="C00000"/>
                          <w:sz w:val="24"/>
                        </w:rPr>
                        <w:t>aceleași state membre</w:t>
                      </w:r>
                      <w:r w:rsidRPr="00F53837">
                        <w:rPr>
                          <w:rFonts w:ascii="Times New Roman" w:hAnsi="Times New Roman"/>
                          <w:color w:val="C00000"/>
                          <w:sz w:val="24"/>
                        </w:rPr>
                        <w:t>.</w:t>
                      </w:r>
                    </w:p>
                    <w:p w14:paraId="0F3B4267" w14:textId="218563EA" w:rsidR="00CE59F4" w:rsidRPr="00CE59F4" w:rsidRDefault="00CE59F4" w:rsidP="00C21978">
                      <w:pPr>
                        <w:ind w:left="360"/>
                        <w:jc w:val="both"/>
                        <w:rPr>
                          <w:rFonts w:ascii="Times New Roman" w:hAnsi="Times New Roman" w:cs="Times New Roman"/>
                          <w:color w:val="C00000"/>
                          <w:sz w:val="24"/>
                          <w:szCs w:val="24"/>
                        </w:rPr>
                      </w:pPr>
                      <w:r>
                        <w:rPr>
                          <w:rFonts w:ascii="Times New Roman" w:hAnsi="Times New Roman"/>
                          <w:color w:val="C00000"/>
                          <w:sz w:val="24"/>
                        </w:rPr>
                        <w:t xml:space="preserve">Mai multe state membre </w:t>
                      </w:r>
                      <w:r>
                        <w:rPr>
                          <w:rFonts w:ascii="Times New Roman" w:hAnsi="Times New Roman"/>
                          <w:b/>
                          <w:color w:val="C00000"/>
                          <w:sz w:val="24"/>
                        </w:rPr>
                        <w:t>utilizează ECRIS exclusiv sau aproape exclusiv în scopul proceselor penale</w:t>
                      </w:r>
                      <w:r>
                        <w:rPr>
                          <w:rFonts w:ascii="Times New Roman" w:hAnsi="Times New Roman"/>
                          <w:color w:val="C00000"/>
                          <w:sz w:val="24"/>
                        </w:rPr>
                        <w:t xml:space="preserve"> (Belgia, Croația, Ungaria, Irlanda, Italia, Luxemburg, Slovenia și Slovacia). Alte state membre solicită informații </w:t>
                      </w:r>
                      <w:r>
                        <w:rPr>
                          <w:rFonts w:ascii="Times New Roman" w:hAnsi="Times New Roman"/>
                          <w:b/>
                          <w:color w:val="C00000"/>
                          <w:sz w:val="24"/>
                        </w:rPr>
                        <w:t>aproape exclusiv în alte scopuri decât procesele penale</w:t>
                      </w:r>
                      <w:r>
                        <w:rPr>
                          <w:rFonts w:ascii="Times New Roman" w:hAnsi="Times New Roman"/>
                          <w:color w:val="C00000"/>
                          <w:sz w:val="24"/>
                        </w:rPr>
                        <w:t xml:space="preserve"> (Cehia, Cipru, Grecia și Spania).</w:t>
                      </w:r>
                    </w:p>
                    <w:p w14:paraId="6F6F1BD8" w14:textId="77777777" w:rsidR="00CE59F4" w:rsidRPr="00965AEC" w:rsidRDefault="00CE59F4" w:rsidP="00CE59F4"/>
                  </w:txbxContent>
                </v:textbox>
                <w10:wrap type="square"/>
              </v:shape>
            </w:pict>
          </mc:Fallback>
        </mc:AlternateContent>
      </w:r>
      <w:r w:rsidR="000B12FB">
        <w:rPr>
          <w:rFonts w:ascii="Times New Roman" w:hAnsi="Times New Roman"/>
          <w:noProof/>
          <w:sz w:val="24"/>
        </w:rPr>
        <w:t xml:space="preserve">Din datele expuse anterior reiese, de asemenea, faptul că </w:t>
      </w:r>
      <w:r w:rsidR="000B12FB">
        <w:rPr>
          <w:rFonts w:ascii="Times New Roman" w:hAnsi="Times New Roman"/>
          <w:b/>
          <w:noProof/>
          <w:sz w:val="24"/>
        </w:rPr>
        <w:t>nu toate cererile de informații primesc răspuns</w:t>
      </w:r>
      <w:r w:rsidR="000B12FB">
        <w:rPr>
          <w:rFonts w:ascii="Times New Roman" w:hAnsi="Times New Roman"/>
          <w:noProof/>
          <w:sz w:val="24"/>
        </w:rPr>
        <w:t xml:space="preserve"> (a se vedea, de asemenea, secțiunea 2.6.). Dintre statele membre care au trimis cel mai mare număr de cereri, 7 % din cererile trimise de Germania (286 000), 5 % din cererile trimise de Austria (10 500) și 15 % din cererile trimise de Portugalia (21 300) nu au primit răspuns în perioada de raportare. În schimb, în cazul Spaniei, numărul de răspunsuri primite în această perioadă a depășit cu 11 % numărul de cereri trimise, probabil ca urmare a faptului că au fost primite răspunsuri din partea altor state membre la cererile restante.</w:t>
      </w:r>
    </w:p>
    <w:bookmarkEnd w:id="20"/>
    <w:p w14:paraId="7D5613F4" w14:textId="29D4E059" w:rsidR="008D3CBA" w:rsidRPr="00464550" w:rsidRDefault="008E6810">
      <w:pPr>
        <w:jc w:val="both"/>
        <w:rPr>
          <w:rFonts w:ascii="Times New Roman" w:hAnsi="Times New Roman" w:cs="Times New Roman"/>
          <w:b/>
          <w:noProof/>
          <w:sz w:val="24"/>
          <w:szCs w:val="24"/>
        </w:rPr>
      </w:pPr>
      <w:r>
        <w:rPr>
          <w:rFonts w:ascii="Times New Roman" w:hAnsi="Times New Roman"/>
          <w:b/>
          <w:noProof/>
          <w:sz w:val="24"/>
        </w:rPr>
        <w:t>2.6. Răspunsurile la cereri</w:t>
      </w:r>
    </w:p>
    <w:p w14:paraId="4BD3FD23" w14:textId="15D43703" w:rsidR="006C52B8" w:rsidRPr="00464550" w:rsidRDefault="00A81CAF">
      <w:pPr>
        <w:jc w:val="both"/>
        <w:rPr>
          <w:rFonts w:ascii="Times New Roman" w:hAnsi="Times New Roman" w:cs="Times New Roman"/>
          <w:noProof/>
          <w:sz w:val="24"/>
          <w:szCs w:val="24"/>
        </w:rPr>
      </w:pPr>
      <w:r>
        <w:rPr>
          <w:rFonts w:ascii="Times New Roman" w:hAnsi="Times New Roman"/>
          <w:noProof/>
          <w:sz w:val="24"/>
        </w:rPr>
        <w:t xml:space="preserve">Graficul de mai jos prezintă numărul total și procentul de răspunsuri trimise de fiecare stat membru </w:t>
      </w:r>
      <w:bookmarkStart w:id="24" w:name="_Hlk216036773"/>
      <w:r>
        <w:rPr>
          <w:rFonts w:ascii="Times New Roman" w:hAnsi="Times New Roman"/>
          <w:noProof/>
          <w:sz w:val="24"/>
        </w:rPr>
        <w:t xml:space="preserve">în perioada 2020-2024, </w:t>
      </w:r>
      <w:bookmarkEnd w:id="24"/>
      <w:r>
        <w:rPr>
          <w:rFonts w:ascii="Times New Roman" w:hAnsi="Times New Roman"/>
          <w:noProof/>
          <w:sz w:val="24"/>
        </w:rPr>
        <w:t>în comparație cu numărul de cereri corespunzătoare de informații primite</w:t>
      </w:r>
      <w:r>
        <w:rPr>
          <w:rStyle w:val="FootnoteReference"/>
          <w:rFonts w:ascii="Times New Roman" w:hAnsi="Times New Roman" w:cs="Times New Roman"/>
          <w:noProof/>
          <w:sz w:val="24"/>
          <w:szCs w:val="24"/>
        </w:rPr>
        <w:footnoteReference w:id="27"/>
      </w:r>
      <w:r>
        <w:rPr>
          <w:noProof/>
        </w:rPr>
        <w:t>.</w:t>
      </w:r>
      <w:r>
        <w:rPr>
          <w:rFonts w:ascii="Times New Roman" w:hAnsi="Times New Roman"/>
          <w:noProof/>
          <w:sz w:val="24"/>
        </w:rPr>
        <w:t xml:space="preserve"> </w:t>
      </w:r>
      <w:bookmarkStart w:id="25" w:name="_Hlk481164813"/>
    </w:p>
    <w:p w14:paraId="1EB2B930" w14:textId="0356C119" w:rsidR="006C52B8" w:rsidRPr="00464550" w:rsidRDefault="0097647D">
      <w:pPr>
        <w:jc w:val="both"/>
        <w:rPr>
          <w:rFonts w:ascii="Times New Roman" w:hAnsi="Times New Roman" w:cs="Times New Roman"/>
          <w:noProof/>
          <w:sz w:val="24"/>
          <w:szCs w:val="24"/>
        </w:rPr>
      </w:pPr>
      <w:r w:rsidRPr="0097647D">
        <w:rPr>
          <w:noProof/>
          <w:lang w:val="en-GB"/>
        </w:rPr>
        <w:drawing>
          <wp:inline distT="0" distB="0" distL="0" distR="0" wp14:anchorId="29F8775B" wp14:editId="7F34AF95">
            <wp:extent cx="5734800" cy="8708400"/>
            <wp:effectExtent l="0" t="0" r="0" b="0"/>
            <wp:docPr id="7146450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4800" cy="8708400"/>
                    </a:xfrm>
                    <a:prstGeom prst="rect">
                      <a:avLst/>
                    </a:prstGeom>
                    <a:noFill/>
                    <a:ln>
                      <a:noFill/>
                    </a:ln>
                  </pic:spPr>
                </pic:pic>
              </a:graphicData>
            </a:graphic>
          </wp:inline>
        </w:drawing>
      </w:r>
    </w:p>
    <w:p w14:paraId="7D5613F7" w14:textId="4799631E" w:rsidR="008D3CBA" w:rsidRPr="00464550" w:rsidRDefault="00CB09C4">
      <w:pPr>
        <w:jc w:val="both"/>
        <w:rPr>
          <w:rFonts w:ascii="Times New Roman" w:hAnsi="Times New Roman" w:cs="Times New Roman"/>
          <w:noProof/>
          <w:sz w:val="24"/>
          <w:szCs w:val="24"/>
        </w:rPr>
      </w:pPr>
      <w:bookmarkStart w:id="26" w:name="_Hlk218719925"/>
      <w:r>
        <w:rPr>
          <w:rFonts w:ascii="Times New Roman" w:hAnsi="Times New Roman"/>
          <w:noProof/>
          <w:sz w:val="24"/>
        </w:rPr>
        <w:t xml:space="preserve">În perioada 2020-2024, statele membre au trimis în total aproape </w:t>
      </w:r>
      <w:r>
        <w:rPr>
          <w:rFonts w:ascii="Times New Roman" w:hAnsi="Times New Roman"/>
          <w:b/>
          <w:noProof/>
          <w:sz w:val="24"/>
        </w:rPr>
        <w:t>5,2 milioane de răspunsuri la cererile de informații</w:t>
      </w:r>
      <w:r>
        <w:rPr>
          <w:rFonts w:ascii="Times New Roman" w:hAnsi="Times New Roman"/>
          <w:noProof/>
          <w:sz w:val="24"/>
        </w:rPr>
        <w:t xml:space="preserve">. </w:t>
      </w:r>
      <w:bookmarkEnd w:id="26"/>
      <w:r>
        <w:rPr>
          <w:rFonts w:ascii="Times New Roman" w:hAnsi="Times New Roman"/>
          <w:b/>
          <w:noProof/>
          <w:sz w:val="24"/>
        </w:rPr>
        <w:t>Numărul de cereri primite</w:t>
      </w:r>
      <w:r>
        <w:rPr>
          <w:rFonts w:ascii="Times New Roman" w:hAnsi="Times New Roman"/>
          <w:noProof/>
          <w:sz w:val="24"/>
        </w:rPr>
        <w:t xml:space="preserve"> în această perioadă </w:t>
      </w:r>
      <w:r>
        <w:rPr>
          <w:rFonts w:ascii="Times New Roman" w:hAnsi="Times New Roman"/>
          <w:b/>
          <w:noProof/>
          <w:sz w:val="24"/>
        </w:rPr>
        <w:t>a variat semnificativ la nivelul statelor membre</w:t>
      </w:r>
      <w:r>
        <w:rPr>
          <w:rFonts w:ascii="Times New Roman" w:hAnsi="Times New Roman"/>
          <w:noProof/>
          <w:sz w:val="24"/>
        </w:rPr>
        <w:t>, de la 933 000 de cereri primite de România și 884 000 de cereri primite de Polonia la 4 400 de cereri primite de Malta. Aceste variații pot fi explicate luând în considerare doi factori în special: populația totală a statului membru și numărul de resortisanți ai statului membru care își au reședința în alte state membre.</w:t>
      </w:r>
    </w:p>
    <w:p w14:paraId="7D5613F8" w14:textId="4CE7C99A" w:rsidR="008D3CBA" w:rsidRPr="00464550" w:rsidRDefault="00A81CAF">
      <w:pPr>
        <w:jc w:val="both"/>
        <w:rPr>
          <w:rFonts w:ascii="Times New Roman" w:hAnsi="Times New Roman" w:cs="Times New Roman"/>
          <w:noProof/>
          <w:sz w:val="24"/>
          <w:szCs w:val="24"/>
        </w:rPr>
      </w:pPr>
      <w:r>
        <w:rPr>
          <w:rFonts w:ascii="Times New Roman" w:hAnsi="Times New Roman"/>
          <w:noProof/>
          <w:sz w:val="24"/>
        </w:rPr>
        <w:t xml:space="preserve">Statele membre care </w:t>
      </w:r>
      <w:r>
        <w:rPr>
          <w:rFonts w:ascii="Times New Roman" w:hAnsi="Times New Roman"/>
          <w:b/>
          <w:noProof/>
          <w:sz w:val="24"/>
        </w:rPr>
        <w:t>au răspuns la cel mai mare număr de cereri</w:t>
      </w:r>
      <w:r>
        <w:rPr>
          <w:rFonts w:ascii="Times New Roman" w:hAnsi="Times New Roman"/>
          <w:noProof/>
          <w:sz w:val="24"/>
        </w:rPr>
        <w:t xml:space="preserve"> în termeni absoluți (nu neapărat la cel mai mare procent din numărul de cereri primite) în perioada de raportare de cinci ani au fost România (901 000 de răspunsuri – 17,5 % din totalul răspunsurilor trimise prin intermediul ECRIS), Polonia (835 000 – 16 %) și Italia (621 000 – 12 %)</w:t>
      </w:r>
      <w:r>
        <w:rPr>
          <w:rStyle w:val="FootnoteReference"/>
          <w:rFonts w:ascii="Times New Roman" w:hAnsi="Times New Roman" w:cs="Times New Roman"/>
          <w:noProof/>
          <w:sz w:val="24"/>
          <w:szCs w:val="24"/>
        </w:rPr>
        <w:footnoteReference w:id="28"/>
      </w:r>
      <w:r>
        <w:rPr>
          <w:noProof/>
        </w:rPr>
        <w:t>.</w:t>
      </w:r>
      <w:r>
        <w:rPr>
          <w:rFonts w:ascii="Times New Roman" w:hAnsi="Times New Roman"/>
          <w:noProof/>
          <w:sz w:val="24"/>
        </w:rPr>
        <w:t xml:space="preserve"> </w:t>
      </w:r>
    </w:p>
    <w:p w14:paraId="7D5613FB" w14:textId="7CD364BD" w:rsidR="008D3CBA" w:rsidRPr="00464550" w:rsidRDefault="00A81CAF">
      <w:pPr>
        <w:jc w:val="both"/>
        <w:rPr>
          <w:rFonts w:ascii="Times New Roman" w:hAnsi="Times New Roman" w:cs="Times New Roman"/>
          <w:bCs/>
          <w:noProof/>
          <w:sz w:val="24"/>
          <w:szCs w:val="24"/>
        </w:rPr>
      </w:pPr>
      <w:r>
        <w:rPr>
          <w:rFonts w:ascii="Times New Roman" w:hAnsi="Times New Roman"/>
          <w:noProof/>
          <w:sz w:val="24"/>
        </w:rPr>
        <w:t>Deși toate statele membre răspund în general la cereri, în perioada 2020-2024 existau încă</w:t>
      </w:r>
      <w:r>
        <w:rPr>
          <w:rFonts w:ascii="Times New Roman" w:hAnsi="Times New Roman"/>
          <w:b/>
          <w:noProof/>
          <w:sz w:val="24"/>
        </w:rPr>
        <w:t xml:space="preserve"> 317 000 de cereri de informații fără răspuns</w:t>
      </w:r>
      <w:r>
        <w:rPr>
          <w:rFonts w:ascii="Times New Roman" w:hAnsi="Times New Roman"/>
          <w:noProof/>
          <w:sz w:val="24"/>
        </w:rPr>
        <w:t>. Până la</w:t>
      </w:r>
      <w:r>
        <w:rPr>
          <w:rFonts w:ascii="Times New Roman" w:hAnsi="Times New Roman"/>
          <w:b/>
          <w:noProof/>
          <w:sz w:val="24"/>
        </w:rPr>
        <w:t xml:space="preserve"> o treime din statele membre</w:t>
      </w:r>
      <w:r>
        <w:rPr>
          <w:rFonts w:ascii="Times New Roman" w:hAnsi="Times New Roman"/>
          <w:noProof/>
          <w:sz w:val="24"/>
        </w:rPr>
        <w:t xml:space="preserve"> au trimis mai puține răspunsuri decât numărul de cereri primite, înregistrându-se în medie o rată de </w:t>
      </w:r>
      <w:r>
        <w:rPr>
          <w:rFonts w:ascii="Times New Roman" w:hAnsi="Times New Roman"/>
          <w:b/>
          <w:noProof/>
          <w:sz w:val="24"/>
        </w:rPr>
        <w:t>cereri rămase fără răspuns de aproximativ</w:t>
      </w:r>
      <w:r>
        <w:rPr>
          <w:rFonts w:ascii="Times New Roman" w:hAnsi="Times New Roman"/>
          <w:noProof/>
          <w:sz w:val="24"/>
        </w:rPr>
        <w:t xml:space="preserve"> </w:t>
      </w:r>
      <w:r>
        <w:rPr>
          <w:rFonts w:ascii="Times New Roman" w:hAnsi="Times New Roman"/>
          <w:b/>
          <w:noProof/>
          <w:sz w:val="24"/>
        </w:rPr>
        <w:t xml:space="preserve">5,8 %, în creștere față de 4,1 % în 2019 și 3,6 % în 2016. </w:t>
      </w:r>
      <w:r>
        <w:rPr>
          <w:rFonts w:ascii="Times New Roman" w:hAnsi="Times New Roman"/>
          <w:noProof/>
          <w:sz w:val="24"/>
        </w:rPr>
        <w:t xml:space="preserve">Această </w:t>
      </w:r>
      <w:r>
        <w:rPr>
          <w:rFonts w:ascii="Times New Roman" w:hAnsi="Times New Roman"/>
          <w:b/>
          <w:noProof/>
          <w:sz w:val="24"/>
        </w:rPr>
        <w:t>tendință tot mai pronunțată de încălcare a obligației de a transmite un răspuns la cererile</w:t>
      </w:r>
      <w:r>
        <w:rPr>
          <w:rFonts w:ascii="Times New Roman" w:hAnsi="Times New Roman"/>
          <w:noProof/>
          <w:sz w:val="24"/>
        </w:rPr>
        <w:t xml:space="preserve"> de informații este alarmantă, putând avea consecințe grave.</w:t>
      </w:r>
    </w:p>
    <w:p w14:paraId="7D5613FC" w14:textId="1DB2CFCF" w:rsidR="008D3CBA" w:rsidRPr="00464550" w:rsidRDefault="00316A30">
      <w:pPr>
        <w:jc w:val="both"/>
        <w:rPr>
          <w:rFonts w:ascii="Times New Roman" w:hAnsi="Times New Roman" w:cs="Times New Roman"/>
          <w:noProof/>
          <w:sz w:val="24"/>
          <w:szCs w:val="24"/>
        </w:rPr>
      </w:pPr>
      <w:r>
        <w:rPr>
          <w:rFonts w:ascii="Times New Roman" w:hAnsi="Times New Roman"/>
          <w:noProof/>
          <w:sz w:val="24"/>
        </w:rPr>
        <w:t xml:space="preserve">Dintre statele membre care au primit cel mai mare număr de cereri, Bulgaria nu a răspuns la 31 % din cererile primite (105 000), Croația – la 15,5 % (44 000), Spania – la 15 % (39 800), Grecia – la 14 % (39 800), Polonia – la 5,5 % (49 000), Franța – la 4 % (10 400) și România – la 3,4 % (32 000). Italia, statul membru care a primit al treilea cel mai mare număr de cereri, a reușit să răspundă la aproape toate cererile. </w:t>
      </w:r>
      <w:bookmarkStart w:id="27" w:name="_Hlk481154445"/>
    </w:p>
    <w:p w14:paraId="7D5613FE" w14:textId="0A5051AB" w:rsidR="00C460FC" w:rsidRDefault="00CE59F4">
      <w:pPr>
        <w:jc w:val="both"/>
        <w:rPr>
          <w:rFonts w:ascii="Times New Roman" w:hAnsi="Times New Roman"/>
          <w:noProof/>
          <w:sz w:val="24"/>
        </w:rPr>
      </w:pPr>
      <w:bookmarkStart w:id="28" w:name="_Hlk481154348"/>
      <w:r>
        <w:rPr>
          <w:rFonts w:ascii="Times New Roman" w:hAnsi="Times New Roman"/>
          <w:noProof/>
          <w:sz w:val="24"/>
        </w:rPr>
        <w:t xml:space="preserve">Cipru a fost statul membru cu </w:t>
      </w:r>
      <w:r>
        <w:rPr>
          <w:rFonts w:ascii="Times New Roman" w:hAnsi="Times New Roman"/>
          <w:b/>
          <w:noProof/>
          <w:sz w:val="24"/>
        </w:rPr>
        <w:t>cel mai mare procent de cereri la care nu s-a răspuns</w:t>
      </w:r>
      <w:r>
        <w:rPr>
          <w:rFonts w:ascii="Times New Roman" w:hAnsi="Times New Roman"/>
          <w:noProof/>
          <w:sz w:val="24"/>
        </w:rPr>
        <w:t xml:space="preserve"> (62 % din cererile primite). În schimb, în Letonia, Lituania, Irlanda și Portugalia, numărul de răspunsuri trimise în această perioadă a depășit cu 1-4 % numărul de cereri primite, probabil ca urmare a faptului că au fost trimise răspunsuri la cereri restante. Pentru o analiză detaliată a statisticilor privind răspunsurile la cereri pentru fiecare stat membru în parte, a se vedea secțiunea 3 din SWD. </w:t>
      </w:r>
    </w:p>
    <w:p w14:paraId="7BCE644B" w14:textId="429E37E2" w:rsidR="00466182" w:rsidRPr="00464550" w:rsidRDefault="00466182">
      <w:pPr>
        <w:jc w:val="both"/>
        <w:rPr>
          <w:rFonts w:ascii="Times New Roman" w:hAnsi="Times New Roman" w:cs="Times New Roman"/>
          <w:noProof/>
          <w:sz w:val="24"/>
          <w:szCs w:val="24"/>
        </w:rPr>
      </w:pPr>
      <w:r>
        <w:rPr>
          <w:rFonts w:ascii="Times New Roman" w:hAnsi="Times New Roman"/>
          <w:noProof/>
          <w:sz w:val="24"/>
          <w:lang w:val="en-GB"/>
        </w:rPr>
        <mc:AlternateContent>
          <mc:Choice Requires="wps">
            <w:drawing>
              <wp:anchor distT="45720" distB="45720" distL="114300" distR="114300" simplePos="0" relativeHeight="251686912" behindDoc="0" locked="0" layoutInCell="1" allowOverlap="1" wp14:anchorId="2CE70A44" wp14:editId="3681ADE4">
                <wp:simplePos x="0" y="0"/>
                <wp:positionH relativeFrom="column">
                  <wp:posOffset>0</wp:posOffset>
                </wp:positionH>
                <wp:positionV relativeFrom="paragraph">
                  <wp:posOffset>299720</wp:posOffset>
                </wp:positionV>
                <wp:extent cx="5740400" cy="1587500"/>
                <wp:effectExtent l="0" t="0" r="12700" b="12700"/>
                <wp:wrapSquare wrapText="bothSides"/>
                <wp:docPr id="9148299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1587500"/>
                        </a:xfrm>
                        <a:prstGeom prst="rect">
                          <a:avLst/>
                        </a:prstGeom>
                        <a:solidFill>
                          <a:srgbClr val="FFFFFF"/>
                        </a:solidFill>
                        <a:ln w="9525">
                          <a:solidFill>
                            <a:srgbClr val="000000"/>
                          </a:solidFill>
                          <a:miter lim="800000"/>
                          <a:headEnd/>
                          <a:tailEnd/>
                        </a:ln>
                      </wps:spPr>
                      <wps:txbx>
                        <w:txbxContent>
                          <w:p w14:paraId="0AA50AFC" w14:textId="77777777" w:rsidR="00466182" w:rsidRPr="00CE59F4" w:rsidRDefault="00466182" w:rsidP="00466182">
                            <w:pPr>
                              <w:pStyle w:val="ListParagraph"/>
                              <w:numPr>
                                <w:ilvl w:val="0"/>
                                <w:numId w:val="21"/>
                              </w:numPr>
                              <w:jc w:val="both"/>
                              <w:rPr>
                                <w:rFonts w:ascii="Times New Roman" w:hAnsi="Times New Roman"/>
                                <w:b/>
                                <w:color w:val="C00000"/>
                                <w:sz w:val="24"/>
                              </w:rPr>
                            </w:pPr>
                            <w:r>
                              <w:rPr>
                                <w:rFonts w:ascii="Times New Roman" w:hAnsi="Times New Roman"/>
                                <w:b/>
                                <w:color w:val="C00000"/>
                                <w:sz w:val="24"/>
                              </w:rPr>
                              <w:t>Număr tot mai mare de cereri de informații fără răspuns</w:t>
                            </w:r>
                          </w:p>
                          <w:p w14:paraId="78A32B60" w14:textId="77777777" w:rsidR="00466182" w:rsidRPr="00CE59F4" w:rsidRDefault="00466182" w:rsidP="00466182">
                            <w:pPr>
                              <w:ind w:left="360"/>
                              <w:jc w:val="both"/>
                              <w:rPr>
                                <w:rFonts w:ascii="Times New Roman" w:hAnsi="Times New Roman" w:cs="Times New Roman"/>
                                <w:b/>
                                <w:color w:val="C00000"/>
                                <w:sz w:val="24"/>
                                <w:szCs w:val="24"/>
                              </w:rPr>
                            </w:pPr>
                            <w:r>
                              <w:rPr>
                                <w:rFonts w:ascii="Times New Roman" w:hAnsi="Times New Roman"/>
                                <w:color w:val="C00000"/>
                                <w:sz w:val="24"/>
                              </w:rPr>
                              <w:t xml:space="preserve">Deși toate statele membre răspund în general la cereri, </w:t>
                            </w:r>
                            <w:r>
                              <w:rPr>
                                <w:rFonts w:ascii="Times New Roman" w:hAnsi="Times New Roman"/>
                                <w:b/>
                                <w:color w:val="C00000"/>
                                <w:sz w:val="24"/>
                              </w:rPr>
                              <w:t>în perioada 2020-2024 existau încă 317 000 de cereri de informații fără răspuns,</w:t>
                            </w:r>
                            <w:r>
                              <w:rPr>
                                <w:rFonts w:ascii="Times New Roman" w:hAnsi="Times New Roman"/>
                                <w:color w:val="C00000"/>
                                <w:sz w:val="24"/>
                              </w:rPr>
                              <w:t xml:space="preserve"> reprezentând </w:t>
                            </w:r>
                            <w:r>
                              <w:rPr>
                                <w:rFonts w:ascii="Times New Roman" w:hAnsi="Times New Roman"/>
                                <w:b/>
                                <w:color w:val="C00000"/>
                                <w:sz w:val="24"/>
                              </w:rPr>
                              <w:t>5,8 % din totalul cererilor</w:t>
                            </w:r>
                            <w:r>
                              <w:rPr>
                                <w:rFonts w:ascii="Times New Roman" w:hAnsi="Times New Roman"/>
                                <w:color w:val="C00000"/>
                                <w:sz w:val="24"/>
                              </w:rPr>
                              <w:t>, în creștere față de procentul de 4,1 % înregistrat în 2019. Tendința tot mai pronunțată de încălcare a obligației de a transmite un răspuns la cererile de informații este alarmantă, putând avea consecințe grave. Statele membre care au înregistrat cele mai ridicate procente de cereri primite la care nu au răspuns au fost Cipru, Bulgaria, Croația, Spania și Grecia.</w:t>
                            </w:r>
                          </w:p>
                          <w:p w14:paraId="26C40D2B" w14:textId="77777777" w:rsidR="00466182" w:rsidRDefault="00466182" w:rsidP="004661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E70A44" id="_x0000_s1036" type="#_x0000_t202" style="position:absolute;left:0;text-align:left;margin-left:0;margin-top:23.6pt;width:452pt;height:125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">
                <v:textbox>
                  <w:txbxContent>
                    <w:p w14:paraId="0AA50AFC" w14:textId="77777777" w:rsidR="00466182" w:rsidRPr="00CE59F4" w:rsidRDefault="00466182" w:rsidP="00466182">
                      <w:pPr>
                        <w:pStyle w:val="ListParagraph"/>
                        <w:numPr>
                          <w:ilvl w:val="0"/>
                          <w:numId w:val="21"/>
                        </w:numPr>
                        <w:jc w:val="both"/>
                        <w:rPr>
                          <w:rFonts w:ascii="Times New Roman" w:hAnsi="Times New Roman"/>
                          <w:b/>
                          <w:color w:val="C00000"/>
                          <w:sz w:val="24"/>
                        </w:rPr>
                      </w:pPr>
                      <w:r>
                        <w:rPr>
                          <w:rFonts w:ascii="Times New Roman" w:hAnsi="Times New Roman"/>
                          <w:b/>
                          <w:color w:val="C00000"/>
                          <w:sz w:val="24"/>
                        </w:rPr>
                        <w:t>Număr tot mai mare de cereri de informații fără răspuns</w:t>
                      </w:r>
                    </w:p>
                    <w:p w14:paraId="78A32B60" w14:textId="77777777" w:rsidR="00466182" w:rsidRPr="00CE59F4" w:rsidRDefault="00466182" w:rsidP="00466182">
                      <w:pPr>
                        <w:ind w:left="360"/>
                        <w:jc w:val="both"/>
                        <w:rPr>
                          <w:rFonts w:ascii="Times New Roman" w:hAnsi="Times New Roman" w:cs="Times New Roman"/>
                          <w:b/>
                          <w:color w:val="C00000"/>
                          <w:sz w:val="24"/>
                          <w:szCs w:val="24"/>
                        </w:rPr>
                      </w:pPr>
                      <w:r>
                        <w:rPr>
                          <w:rFonts w:ascii="Times New Roman" w:hAnsi="Times New Roman"/>
                          <w:color w:val="C00000"/>
                          <w:sz w:val="24"/>
                        </w:rPr>
                        <w:t xml:space="preserve">Deși toate statele membre răspund în general la cereri, </w:t>
                      </w:r>
                      <w:r>
                        <w:rPr>
                          <w:rFonts w:ascii="Times New Roman" w:hAnsi="Times New Roman"/>
                          <w:b/>
                          <w:color w:val="C00000"/>
                          <w:sz w:val="24"/>
                        </w:rPr>
                        <w:t>în perioada 2020-2024 existau încă 317 000 de cereri de informații fără răspuns,</w:t>
                      </w:r>
                      <w:r>
                        <w:rPr>
                          <w:rFonts w:ascii="Times New Roman" w:hAnsi="Times New Roman"/>
                          <w:color w:val="C00000"/>
                          <w:sz w:val="24"/>
                        </w:rPr>
                        <w:t xml:space="preserve"> reprezentând </w:t>
                      </w:r>
                      <w:r>
                        <w:rPr>
                          <w:rFonts w:ascii="Times New Roman" w:hAnsi="Times New Roman"/>
                          <w:b/>
                          <w:color w:val="C00000"/>
                          <w:sz w:val="24"/>
                        </w:rPr>
                        <w:t>5,8 % din totalul cererilor</w:t>
                      </w:r>
                      <w:r>
                        <w:rPr>
                          <w:rFonts w:ascii="Times New Roman" w:hAnsi="Times New Roman"/>
                          <w:color w:val="C00000"/>
                          <w:sz w:val="24"/>
                        </w:rPr>
                        <w:t>, în creștere față de procentul de 4,1 % înregistrat în 2019. Tendința tot mai pronunțată de încălcare a obligației de a transmite un răspuns la cererile de informații este alarmantă, putând avea consecințe grave. Statele membre care au înregistrat cele mai ridicate procente de cereri primite la care nu au răspuns au fost Cipru, Bulgaria, Croația, Spania și Grecia.</w:t>
                      </w:r>
                    </w:p>
                    <w:p w14:paraId="26C40D2B" w14:textId="77777777" w:rsidR="00466182" w:rsidRDefault="00466182" w:rsidP="00466182"/>
                  </w:txbxContent>
                </v:textbox>
                <w10:wrap type="square"/>
              </v:shape>
            </w:pict>
          </mc:Fallback>
        </mc:AlternateContent>
      </w:r>
    </w:p>
    <w:bookmarkEnd w:id="25"/>
    <w:bookmarkEnd w:id="27"/>
    <w:bookmarkEnd w:id="28"/>
    <w:p w14:paraId="7D561400" w14:textId="67580876" w:rsidR="008D3CBA" w:rsidRPr="00464550" w:rsidRDefault="00FB606C">
      <w:pPr>
        <w:jc w:val="both"/>
        <w:rPr>
          <w:rFonts w:ascii="Times New Roman" w:hAnsi="Times New Roman" w:cs="Times New Roman"/>
          <w:b/>
          <w:noProof/>
          <w:sz w:val="24"/>
          <w:szCs w:val="24"/>
        </w:rPr>
      </w:pPr>
      <w:r>
        <w:rPr>
          <w:rFonts w:ascii="Times New Roman" w:hAnsi="Times New Roman"/>
          <w:b/>
          <w:noProof/>
          <w:sz w:val="24"/>
        </w:rPr>
        <w:t>2.7. Răspunsuri care nu respectă termenele legale</w:t>
      </w:r>
    </w:p>
    <w:p w14:paraId="4DA315D2" w14:textId="45D46BD8" w:rsidR="00711CA1" w:rsidRDefault="00A81CAF" w:rsidP="005742C6">
      <w:pPr>
        <w:jc w:val="both"/>
        <w:rPr>
          <w:rFonts w:ascii="Times New Roman" w:hAnsi="Times New Roman" w:cs="Times New Roman"/>
          <w:noProof/>
          <w:sz w:val="24"/>
          <w:szCs w:val="24"/>
        </w:rPr>
      </w:pPr>
      <w:r>
        <w:rPr>
          <w:rFonts w:ascii="Times New Roman" w:hAnsi="Times New Roman"/>
          <w:noProof/>
          <w:sz w:val="24"/>
        </w:rPr>
        <w:t>O altă problemă recurentă o reprezintă nefurnizarea unui răspuns la cereri în termenele legale</w:t>
      </w:r>
      <w:r>
        <w:rPr>
          <w:rStyle w:val="FootnoteReference"/>
          <w:rFonts w:ascii="Times New Roman" w:hAnsi="Times New Roman" w:cs="Times New Roman"/>
          <w:noProof/>
          <w:sz w:val="24"/>
          <w:szCs w:val="24"/>
        </w:rPr>
        <w:footnoteReference w:id="29"/>
      </w:r>
      <w:r>
        <w:rPr>
          <w:noProof/>
        </w:rPr>
        <w:t>.</w:t>
      </w:r>
      <w:r>
        <w:rPr>
          <w:rFonts w:ascii="Times New Roman" w:hAnsi="Times New Roman"/>
          <w:noProof/>
          <w:sz w:val="24"/>
        </w:rPr>
        <w:t xml:space="preserve"> Graficul de mai jos oferă o imagine de ansamblu asupra volumelor totale și a procentelor de răspunsuri trimise după expirarea termenelor legale în perioada 2020-2024 la nivelul tuturor statelor membre, precum și o imagine de ansamblu asupra cererilor în cazul cărora a expirat termenul de răspuns, înregistrate la sfârșitul fiecărui an calendaristic</w:t>
      </w:r>
      <w:r>
        <w:rPr>
          <w:rStyle w:val="FootnoteReference"/>
          <w:rFonts w:ascii="Times New Roman" w:hAnsi="Times New Roman" w:cs="Times New Roman"/>
          <w:noProof/>
          <w:sz w:val="24"/>
          <w:szCs w:val="24"/>
        </w:rPr>
        <w:footnoteReference w:id="30"/>
      </w:r>
      <w:r>
        <w:rPr>
          <w:noProof/>
        </w:rPr>
        <w:t>.</w:t>
      </w:r>
    </w:p>
    <w:p w14:paraId="33B01080" w14:textId="56C2E946" w:rsidR="00F42A7E" w:rsidRPr="00464550" w:rsidRDefault="00316593" w:rsidP="005742C6">
      <w:pPr>
        <w:jc w:val="both"/>
        <w:rPr>
          <w:rFonts w:ascii="Times New Roman" w:hAnsi="Times New Roman" w:cs="Times New Roman"/>
          <w:noProof/>
          <w:sz w:val="24"/>
          <w:szCs w:val="24"/>
        </w:rPr>
      </w:pPr>
      <w:r>
        <w:rPr>
          <w:rFonts w:ascii="Times New Roman" w:hAnsi="Times New Roman" w:cs="Times New Roman"/>
          <w:noProof/>
          <w:sz w:val="24"/>
          <w:szCs w:val="24"/>
          <w:lang w:val="en-GB"/>
        </w:rPr>
        <w:drawing>
          <wp:inline distT="0" distB="0" distL="0" distR="0" wp14:anchorId="5A74AB26" wp14:editId="229BBC4A">
            <wp:extent cx="5756400" cy="8953200"/>
            <wp:effectExtent l="0" t="0" r="0" b="635"/>
            <wp:docPr id="106549016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6400" cy="8953200"/>
                    </a:xfrm>
                    <a:prstGeom prst="rect">
                      <a:avLst/>
                    </a:prstGeom>
                    <a:noFill/>
                  </pic:spPr>
                </pic:pic>
              </a:graphicData>
            </a:graphic>
          </wp:inline>
        </w:drawing>
      </w:r>
    </w:p>
    <w:p w14:paraId="665BA480" w14:textId="024DAA44" w:rsidR="000D1305" w:rsidRPr="00464550" w:rsidRDefault="00316593" w:rsidP="002F1622">
      <w:pPr>
        <w:rPr>
          <w:rFonts w:ascii="Times New Roman" w:hAnsi="Times New Roman" w:cs="Times New Roman"/>
          <w:noProof/>
          <w:sz w:val="24"/>
          <w:szCs w:val="24"/>
        </w:rPr>
      </w:pPr>
      <w:r>
        <w:rPr>
          <w:rFonts w:ascii="Times New Roman" w:hAnsi="Times New Roman" w:cs="Times New Roman"/>
          <w:noProof/>
          <w:sz w:val="24"/>
          <w:szCs w:val="24"/>
          <w:lang w:val="en-GB"/>
        </w:rPr>
        <w:drawing>
          <wp:inline distT="0" distB="0" distL="0" distR="0" wp14:anchorId="47D9DA19" wp14:editId="70B31E3B">
            <wp:extent cx="5774400" cy="8686800"/>
            <wp:effectExtent l="0" t="0" r="0" b="0"/>
            <wp:docPr id="175644257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74400" cy="8686800"/>
                    </a:xfrm>
                    <a:prstGeom prst="rect">
                      <a:avLst/>
                    </a:prstGeom>
                    <a:noFill/>
                  </pic:spPr>
                </pic:pic>
              </a:graphicData>
            </a:graphic>
          </wp:inline>
        </w:drawing>
      </w:r>
    </w:p>
    <w:p w14:paraId="103D3AF8" w14:textId="33F027F9" w:rsidR="00406521" w:rsidRPr="00464550" w:rsidRDefault="00406521">
      <w:pPr>
        <w:jc w:val="both"/>
        <w:rPr>
          <w:rFonts w:ascii="Times New Roman" w:hAnsi="Times New Roman" w:cs="Times New Roman"/>
          <w:bCs/>
          <w:noProof/>
          <w:sz w:val="24"/>
          <w:szCs w:val="24"/>
        </w:rPr>
      </w:pPr>
      <w:r>
        <w:rPr>
          <w:rFonts w:ascii="Times New Roman" w:hAnsi="Times New Roman"/>
          <w:noProof/>
          <w:sz w:val="24"/>
        </w:rPr>
        <w:t xml:space="preserve">În perioada 2020-2024, </w:t>
      </w:r>
      <w:r>
        <w:rPr>
          <w:rFonts w:ascii="Times New Roman" w:hAnsi="Times New Roman"/>
          <w:b/>
          <w:noProof/>
          <w:sz w:val="24"/>
        </w:rPr>
        <w:t xml:space="preserve">s-a răspuns după expirarea termenului legal </w:t>
      </w:r>
      <w:bookmarkStart w:id="29" w:name="_Hlk216045888"/>
      <w:r>
        <w:rPr>
          <w:rFonts w:ascii="Times New Roman" w:hAnsi="Times New Roman"/>
          <w:b/>
          <w:noProof/>
          <w:sz w:val="24"/>
        </w:rPr>
        <w:t xml:space="preserve">la peste 500 000 de cereri, </w:t>
      </w:r>
      <w:r>
        <w:rPr>
          <w:rFonts w:ascii="Times New Roman" w:hAnsi="Times New Roman"/>
          <w:noProof/>
          <w:sz w:val="24"/>
        </w:rPr>
        <w:t xml:space="preserve">reprezentând </w:t>
      </w:r>
      <w:r>
        <w:rPr>
          <w:rFonts w:ascii="Times New Roman" w:hAnsi="Times New Roman"/>
          <w:b/>
          <w:noProof/>
          <w:sz w:val="24"/>
        </w:rPr>
        <w:t>9,7 %</w:t>
      </w:r>
      <w:r>
        <w:rPr>
          <w:rFonts w:ascii="Times New Roman" w:hAnsi="Times New Roman"/>
          <w:noProof/>
          <w:sz w:val="24"/>
        </w:rPr>
        <w:t xml:space="preserve"> </w:t>
      </w:r>
      <w:r>
        <w:rPr>
          <w:rFonts w:ascii="Times New Roman" w:hAnsi="Times New Roman"/>
          <w:b/>
          <w:noProof/>
          <w:sz w:val="24"/>
        </w:rPr>
        <w:t>din numărul total</w:t>
      </w:r>
      <w:r>
        <w:rPr>
          <w:rFonts w:ascii="Times New Roman" w:hAnsi="Times New Roman"/>
          <w:noProof/>
          <w:sz w:val="24"/>
        </w:rPr>
        <w:t xml:space="preserve"> de răspunsuri trimise în perioada respectivă. În plus, au fost înregistrate </w:t>
      </w:r>
      <w:r>
        <w:rPr>
          <w:rFonts w:ascii="Times New Roman" w:hAnsi="Times New Roman"/>
          <w:b/>
          <w:noProof/>
          <w:sz w:val="24"/>
        </w:rPr>
        <w:t>38 000 de cereri în cazul cărora a expirat termenul de răspuns</w:t>
      </w:r>
      <w:bookmarkEnd w:id="29"/>
      <w:r>
        <w:rPr>
          <w:rFonts w:ascii="Times New Roman" w:hAnsi="Times New Roman"/>
          <w:noProof/>
          <w:sz w:val="24"/>
        </w:rPr>
        <w:t xml:space="preserve">, reprezentând </w:t>
      </w:r>
      <w:r>
        <w:rPr>
          <w:rFonts w:ascii="Times New Roman" w:hAnsi="Times New Roman"/>
          <w:b/>
          <w:noProof/>
          <w:sz w:val="24"/>
        </w:rPr>
        <w:t>0,7 %</w:t>
      </w:r>
      <w:r>
        <w:rPr>
          <w:rFonts w:ascii="Times New Roman" w:hAnsi="Times New Roman"/>
          <w:noProof/>
          <w:sz w:val="24"/>
        </w:rPr>
        <w:t xml:space="preserve"> din numărul total de cereri.</w:t>
      </w:r>
    </w:p>
    <w:p w14:paraId="05F78D3D" w14:textId="009D893E" w:rsidR="00406521" w:rsidRPr="00464550" w:rsidRDefault="002F443F">
      <w:pPr>
        <w:jc w:val="both"/>
        <w:rPr>
          <w:rFonts w:ascii="Times New Roman" w:hAnsi="Times New Roman" w:cs="Times New Roman"/>
          <w:noProof/>
          <w:sz w:val="24"/>
          <w:szCs w:val="24"/>
        </w:rPr>
      </w:pPr>
      <w:r>
        <w:rPr>
          <w:rFonts w:ascii="Times New Roman" w:hAnsi="Times New Roman"/>
          <w:noProof/>
          <w:sz w:val="24"/>
        </w:rPr>
        <w:t xml:space="preserve">Aceste cifre indică o </w:t>
      </w:r>
      <w:r>
        <w:rPr>
          <w:rFonts w:ascii="Times New Roman" w:hAnsi="Times New Roman"/>
          <w:b/>
          <w:noProof/>
          <w:sz w:val="24"/>
        </w:rPr>
        <w:t>îmbunătățire semnificativă</w:t>
      </w:r>
      <w:r>
        <w:rPr>
          <w:rFonts w:ascii="Times New Roman" w:hAnsi="Times New Roman"/>
          <w:noProof/>
          <w:sz w:val="24"/>
        </w:rPr>
        <w:t xml:space="preserve"> în ceea ce privește furnizarea unui răspuns la cereri în timp util. În comparație cu datele de referință pentru 2019</w:t>
      </w:r>
      <w:r>
        <w:rPr>
          <w:rStyle w:val="FootnoteReference"/>
          <w:rFonts w:ascii="Times New Roman" w:hAnsi="Times New Roman" w:cs="Times New Roman"/>
          <w:noProof/>
          <w:sz w:val="24"/>
          <w:szCs w:val="24"/>
        </w:rPr>
        <w:footnoteReference w:id="31"/>
      </w:r>
      <w:r>
        <w:rPr>
          <w:rFonts w:ascii="Times New Roman" w:hAnsi="Times New Roman"/>
          <w:noProof/>
          <w:sz w:val="24"/>
        </w:rPr>
        <w:t xml:space="preserve">, </w:t>
      </w:r>
      <w:r>
        <w:rPr>
          <w:rFonts w:ascii="Times New Roman" w:hAnsi="Times New Roman"/>
          <w:b/>
          <w:noProof/>
          <w:sz w:val="24"/>
        </w:rPr>
        <w:t>numărul de răspunsuri trimise cu întârziere a scăzut la jumătate</w:t>
      </w:r>
      <w:r>
        <w:rPr>
          <w:rFonts w:ascii="Times New Roman" w:hAnsi="Times New Roman"/>
          <w:noProof/>
          <w:sz w:val="24"/>
        </w:rPr>
        <w:t xml:space="preserve">, iar numărul de </w:t>
      </w:r>
      <w:r>
        <w:rPr>
          <w:rFonts w:ascii="Times New Roman" w:hAnsi="Times New Roman"/>
          <w:b/>
          <w:noProof/>
          <w:sz w:val="24"/>
        </w:rPr>
        <w:t>cereri în cazul cărora a expirat termenul de răspuns a scăzut de peste cinci ori</w:t>
      </w:r>
      <w:r>
        <w:rPr>
          <w:rFonts w:ascii="Times New Roman" w:hAnsi="Times New Roman"/>
          <w:noProof/>
          <w:sz w:val="24"/>
        </w:rPr>
        <w:t>.</w:t>
      </w:r>
    </w:p>
    <w:p w14:paraId="3D75F438" w14:textId="41886F0D" w:rsidR="00E67E95" w:rsidRPr="00464550" w:rsidRDefault="006E0E76">
      <w:pPr>
        <w:jc w:val="both"/>
        <w:rPr>
          <w:rFonts w:ascii="Times New Roman" w:hAnsi="Times New Roman" w:cs="Times New Roman"/>
          <w:noProof/>
          <w:sz w:val="24"/>
          <w:szCs w:val="24"/>
        </w:rPr>
      </w:pPr>
      <w:r>
        <w:rPr>
          <w:rFonts w:ascii="Times New Roman" w:hAnsi="Times New Roman"/>
          <w:noProof/>
          <w:sz w:val="24"/>
        </w:rPr>
        <w:t xml:space="preserve">În pofida scăderii generale a numărului de răspunsuri care nu respectă termenele legale, problema trimiterii cu întârziere a răspunsurilor, care a fost deja semnalată în rapoartele statistice anterioare, persistă în mai multe state membre. În timp ce marea majoritate a statelor membre se mențin sub 0,5 % în ceea ce privește răspunsurile trimise cu întârziere, </w:t>
      </w:r>
      <w:r>
        <w:rPr>
          <w:rFonts w:ascii="Times New Roman" w:hAnsi="Times New Roman"/>
          <w:b/>
          <w:noProof/>
          <w:sz w:val="24"/>
        </w:rPr>
        <w:t>dificultăți legate de respectarea termenelor legale</w:t>
      </w:r>
      <w:r>
        <w:rPr>
          <w:rFonts w:ascii="Times New Roman" w:hAnsi="Times New Roman"/>
          <w:noProof/>
          <w:sz w:val="24"/>
        </w:rPr>
        <w:t xml:space="preserve"> se observă în principal la </w:t>
      </w:r>
      <w:r>
        <w:rPr>
          <w:rFonts w:ascii="Times New Roman" w:hAnsi="Times New Roman"/>
          <w:b/>
          <w:noProof/>
          <w:sz w:val="24"/>
        </w:rPr>
        <w:t xml:space="preserve">statele membre </w:t>
      </w:r>
      <w:r>
        <w:rPr>
          <w:rFonts w:ascii="Times New Roman" w:hAnsi="Times New Roman"/>
          <w:noProof/>
          <w:sz w:val="24"/>
        </w:rPr>
        <w:t>care</w:t>
      </w:r>
      <w:r>
        <w:rPr>
          <w:rFonts w:ascii="Times New Roman" w:hAnsi="Times New Roman"/>
          <w:b/>
          <w:noProof/>
          <w:sz w:val="24"/>
        </w:rPr>
        <w:t xml:space="preserve"> s-au confruntat cu un volum enorm de cereri de informații</w:t>
      </w:r>
      <w:r>
        <w:rPr>
          <w:rStyle w:val="FootnoteReference"/>
          <w:rFonts w:ascii="Times New Roman" w:hAnsi="Times New Roman" w:cs="Times New Roman"/>
          <w:noProof/>
          <w:sz w:val="24"/>
          <w:szCs w:val="24"/>
        </w:rPr>
        <w:footnoteReference w:id="32"/>
      </w:r>
      <w:r>
        <w:rPr>
          <w:rFonts w:ascii="Times New Roman" w:hAnsi="Times New Roman"/>
          <w:b/>
          <w:noProof/>
          <w:sz w:val="24"/>
        </w:rPr>
        <w:t xml:space="preserve"> </w:t>
      </w:r>
      <w:r>
        <w:rPr>
          <w:rFonts w:ascii="Times New Roman" w:hAnsi="Times New Roman"/>
          <w:noProof/>
          <w:sz w:val="24"/>
        </w:rPr>
        <w:t xml:space="preserve">(PL: unde 22 % dintre răspunsuri au fost trimise cu întârziere în perioada 2020-2024, reprezentând 190 800 de răspunsuri trimise cu întârziere), RO (18 %; 163 700), EL </w:t>
      </w:r>
      <w:bookmarkStart w:id="30" w:name="_Hlk216047402"/>
      <w:r>
        <w:rPr>
          <w:rFonts w:ascii="Times New Roman" w:hAnsi="Times New Roman"/>
          <w:noProof/>
          <w:sz w:val="24"/>
        </w:rPr>
        <w:t xml:space="preserve">(13 %; 31 200), </w:t>
      </w:r>
      <w:bookmarkEnd w:id="30"/>
      <w:r>
        <w:rPr>
          <w:rFonts w:ascii="Times New Roman" w:hAnsi="Times New Roman"/>
          <w:noProof/>
          <w:sz w:val="24"/>
        </w:rPr>
        <w:t xml:space="preserve">HR (11 %; 27 000), BG (10 %; 24 900), IT </w:t>
      </w:r>
      <w:bookmarkStart w:id="31" w:name="_Hlk216048108"/>
      <w:r>
        <w:rPr>
          <w:rFonts w:ascii="Times New Roman" w:hAnsi="Times New Roman"/>
          <w:noProof/>
          <w:sz w:val="24"/>
        </w:rPr>
        <w:t>(9 %; 5 900)</w:t>
      </w:r>
      <w:bookmarkEnd w:id="31"/>
      <w:r>
        <w:rPr>
          <w:rFonts w:ascii="Times New Roman" w:hAnsi="Times New Roman"/>
          <w:noProof/>
          <w:sz w:val="24"/>
        </w:rPr>
        <w:t xml:space="preserve">), dar și la alte state membre [BE (43 %; 39 700), MT (17 %; 700), LV (9 %; 5 700), SI (9 %; 3 000), PT (7 %; 6 600)]. </w:t>
      </w:r>
    </w:p>
    <w:p w14:paraId="7D561405" w14:textId="074FE67E" w:rsidR="008D3CBA" w:rsidRDefault="00CE59F4">
      <w:pPr>
        <w:jc w:val="both"/>
        <w:rPr>
          <w:rFonts w:ascii="Times New Roman" w:hAnsi="Times New Roman"/>
          <w:noProof/>
          <w:sz w:val="24"/>
        </w:rPr>
      </w:pPr>
      <w:r>
        <w:rPr>
          <w:rFonts w:ascii="Times New Roman" w:hAnsi="Times New Roman"/>
          <w:noProof/>
          <w:sz w:val="24"/>
        </w:rPr>
        <w:t xml:space="preserve">Problema cererilor cu </w:t>
      </w:r>
      <w:r>
        <w:rPr>
          <w:rFonts w:ascii="Times New Roman" w:hAnsi="Times New Roman"/>
          <w:b/>
          <w:noProof/>
          <w:sz w:val="24"/>
        </w:rPr>
        <w:t>termen de răspuns expirat</w:t>
      </w:r>
      <w:r>
        <w:rPr>
          <w:rFonts w:ascii="Times New Roman" w:hAnsi="Times New Roman"/>
          <w:noProof/>
          <w:sz w:val="24"/>
        </w:rPr>
        <w:t xml:space="preserve">, care înseamnă fie că răspunsurile au fost trimise cu întârziere, fie că cererile nu au primit răspuns, </w:t>
      </w:r>
      <w:r>
        <w:rPr>
          <w:rFonts w:ascii="Times New Roman" w:hAnsi="Times New Roman"/>
          <w:b/>
          <w:noProof/>
          <w:sz w:val="24"/>
        </w:rPr>
        <w:t>a fost marginală.</w:t>
      </w:r>
      <w:r>
        <w:rPr>
          <w:rFonts w:ascii="Times New Roman" w:hAnsi="Times New Roman"/>
          <w:noProof/>
          <w:sz w:val="24"/>
        </w:rPr>
        <w:t xml:space="preserve"> S-a regăsit în 3,5 % dintre cereri în Grecia (9 600 de cereri cu termen de răspuns expirat), 3 % dintre cereri în Bulgaria (10 100), 2 % dintre cereri în Croația (5 900), 2 % dintre cereri în Belgia (1 800), 2 % dintre cereri în Luxemburg (600), 1 % dintre cereri în Polonia (6 500) și 1 % dintre cereri în Franța (1 600).</w:t>
      </w:r>
    </w:p>
    <w:p w14:paraId="7B92F045" w14:textId="7504F718" w:rsidR="00466182" w:rsidRPr="00464550" w:rsidRDefault="00466182">
      <w:pPr>
        <w:jc w:val="both"/>
        <w:rPr>
          <w:rFonts w:ascii="Times New Roman" w:hAnsi="Times New Roman" w:cs="Times New Roman"/>
          <w:noProof/>
          <w:sz w:val="24"/>
          <w:szCs w:val="24"/>
        </w:rPr>
      </w:pPr>
      <w:r>
        <w:rPr>
          <w:rFonts w:ascii="Times New Roman" w:hAnsi="Times New Roman"/>
          <w:b/>
          <w:noProof/>
          <w:sz w:val="24"/>
          <w:lang w:val="en-GB"/>
        </w:rPr>
        <mc:AlternateContent>
          <mc:Choice Requires="wps">
            <w:drawing>
              <wp:anchor distT="45720" distB="45720" distL="114300" distR="114300" simplePos="0" relativeHeight="251687936" behindDoc="0" locked="0" layoutInCell="1" allowOverlap="1" wp14:anchorId="5A885245" wp14:editId="3AC91954">
                <wp:simplePos x="0" y="0"/>
                <wp:positionH relativeFrom="column">
                  <wp:posOffset>0</wp:posOffset>
                </wp:positionH>
                <wp:positionV relativeFrom="paragraph">
                  <wp:posOffset>299720</wp:posOffset>
                </wp:positionV>
                <wp:extent cx="5772150" cy="2343150"/>
                <wp:effectExtent l="0" t="0" r="19050" b="19050"/>
                <wp:wrapSquare wrapText="bothSides"/>
                <wp:docPr id="20050367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0" cy="2343150"/>
                        </a:xfrm>
                        <a:prstGeom prst="rect">
                          <a:avLst/>
                        </a:prstGeom>
                        <a:solidFill>
                          <a:srgbClr val="FFFFFF"/>
                        </a:solidFill>
                        <a:ln w="9525">
                          <a:solidFill>
                            <a:srgbClr val="000000"/>
                          </a:solidFill>
                          <a:miter lim="800000"/>
                          <a:headEnd/>
                          <a:tailEnd/>
                        </a:ln>
                      </wps:spPr>
                      <wps:txbx>
                        <w:txbxContent>
                          <w:p w14:paraId="101D0FE0" w14:textId="77777777" w:rsidR="00466182" w:rsidRPr="005F52A5" w:rsidRDefault="00466182" w:rsidP="00466182">
                            <w:pPr>
                              <w:pStyle w:val="ListParagraph"/>
                              <w:numPr>
                                <w:ilvl w:val="0"/>
                                <w:numId w:val="21"/>
                              </w:numPr>
                              <w:jc w:val="both"/>
                              <w:rPr>
                                <w:rFonts w:ascii="Times New Roman" w:hAnsi="Times New Roman" w:cs="Times New Roman"/>
                                <w:color w:val="C00000"/>
                                <w:sz w:val="24"/>
                                <w:szCs w:val="24"/>
                              </w:rPr>
                            </w:pPr>
                            <w:r>
                              <w:rPr>
                                <w:rFonts w:ascii="Times New Roman" w:hAnsi="Times New Roman"/>
                                <w:b/>
                                <w:color w:val="C00000"/>
                                <w:sz w:val="24"/>
                              </w:rPr>
                              <w:t>Îmbunătățire semnificativă în ceea ce privește furnizarea unui răspuns la cereri în termenul stabilit</w:t>
                            </w:r>
                          </w:p>
                          <w:p w14:paraId="45F6B381" w14:textId="77777777" w:rsidR="00466182" w:rsidRPr="00CE59F4" w:rsidRDefault="00466182" w:rsidP="00466182">
                            <w:pPr>
                              <w:ind w:left="360"/>
                              <w:jc w:val="both"/>
                              <w:rPr>
                                <w:rFonts w:ascii="Times New Roman" w:hAnsi="Times New Roman" w:cs="Times New Roman"/>
                                <w:bCs/>
                                <w:color w:val="C00000"/>
                                <w:sz w:val="24"/>
                                <w:szCs w:val="24"/>
                              </w:rPr>
                            </w:pPr>
                            <w:r>
                              <w:rPr>
                                <w:rFonts w:ascii="Times New Roman" w:hAnsi="Times New Roman"/>
                                <w:color w:val="C00000"/>
                                <w:sz w:val="24"/>
                              </w:rPr>
                              <w:t xml:space="preserve">În comparație cu datele de referință pentru 2019, </w:t>
                            </w:r>
                            <w:r>
                              <w:rPr>
                                <w:rFonts w:ascii="Times New Roman" w:hAnsi="Times New Roman"/>
                                <w:b/>
                                <w:color w:val="C00000"/>
                                <w:sz w:val="24"/>
                              </w:rPr>
                              <w:t>numărul de răspunsuri trimise cu întârziere a scăzut la jumătate</w:t>
                            </w:r>
                            <w:r>
                              <w:rPr>
                                <w:rFonts w:ascii="Times New Roman" w:hAnsi="Times New Roman"/>
                                <w:color w:val="C00000"/>
                                <w:sz w:val="24"/>
                              </w:rPr>
                              <w:t xml:space="preserve"> în perioada 2020-2024, iar numărul de </w:t>
                            </w:r>
                            <w:r>
                              <w:rPr>
                                <w:rFonts w:ascii="Times New Roman" w:hAnsi="Times New Roman"/>
                                <w:b/>
                                <w:color w:val="C00000"/>
                                <w:sz w:val="24"/>
                              </w:rPr>
                              <w:t>cereri în cazul cărora a expirat termenul de răspuns a scăzut de peste cinci ori</w:t>
                            </w:r>
                            <w:r>
                              <w:rPr>
                                <w:rFonts w:ascii="Times New Roman" w:hAnsi="Times New Roman"/>
                                <w:color w:val="C00000"/>
                                <w:sz w:val="24"/>
                              </w:rPr>
                              <w:t xml:space="preserve">. Cu toate acestea, </w:t>
                            </w:r>
                            <w:r>
                              <w:rPr>
                                <w:rFonts w:ascii="Times New Roman" w:hAnsi="Times New Roman"/>
                                <w:b/>
                                <w:color w:val="C00000"/>
                                <w:sz w:val="24"/>
                              </w:rPr>
                              <w:t xml:space="preserve">s-a răspuns după expirarea termenului legal la peste 500 000 de cereri </w:t>
                            </w:r>
                            <w:r>
                              <w:rPr>
                                <w:rFonts w:ascii="Times New Roman" w:hAnsi="Times New Roman"/>
                                <w:color w:val="C00000"/>
                                <w:sz w:val="24"/>
                              </w:rPr>
                              <w:t>(</w:t>
                            </w:r>
                            <w:r>
                              <w:rPr>
                                <w:rFonts w:ascii="Times New Roman" w:hAnsi="Times New Roman"/>
                                <w:b/>
                                <w:color w:val="C00000"/>
                                <w:sz w:val="24"/>
                              </w:rPr>
                              <w:t>9,7 %</w:t>
                            </w:r>
                            <w:r>
                              <w:rPr>
                                <w:rFonts w:ascii="Times New Roman" w:hAnsi="Times New Roman"/>
                                <w:color w:val="C00000"/>
                                <w:sz w:val="24"/>
                              </w:rPr>
                              <w:t xml:space="preserve"> din numărul total de răspunsuri) și au fost înregistrate </w:t>
                            </w:r>
                            <w:r>
                              <w:rPr>
                                <w:rFonts w:ascii="Times New Roman" w:hAnsi="Times New Roman"/>
                                <w:b/>
                                <w:color w:val="C00000"/>
                                <w:sz w:val="24"/>
                              </w:rPr>
                              <w:t>38 000 de cereri în cazul cărora a expirat termenul de răspuns</w:t>
                            </w:r>
                            <w:r>
                              <w:rPr>
                                <w:rFonts w:ascii="Times New Roman" w:hAnsi="Times New Roman"/>
                                <w:color w:val="C00000"/>
                                <w:sz w:val="24"/>
                              </w:rPr>
                              <w:t xml:space="preserve"> (</w:t>
                            </w:r>
                            <w:r>
                              <w:rPr>
                                <w:rFonts w:ascii="Times New Roman" w:hAnsi="Times New Roman"/>
                                <w:b/>
                                <w:color w:val="C00000"/>
                                <w:sz w:val="24"/>
                              </w:rPr>
                              <w:t>0,7 %</w:t>
                            </w:r>
                            <w:r>
                              <w:rPr>
                                <w:rFonts w:ascii="Times New Roman" w:hAnsi="Times New Roman"/>
                                <w:color w:val="C00000"/>
                                <w:sz w:val="24"/>
                              </w:rPr>
                              <w:t xml:space="preserve"> din numărul total de cereri).</w:t>
                            </w:r>
                          </w:p>
                          <w:p w14:paraId="24513F5F" w14:textId="77777777" w:rsidR="00466182" w:rsidRPr="00CE59F4" w:rsidRDefault="00466182" w:rsidP="00466182">
                            <w:pPr>
                              <w:ind w:left="360"/>
                              <w:jc w:val="both"/>
                              <w:rPr>
                                <w:rFonts w:ascii="Times New Roman" w:hAnsi="Times New Roman" w:cs="Times New Roman"/>
                                <w:color w:val="C00000"/>
                                <w:sz w:val="24"/>
                                <w:szCs w:val="24"/>
                              </w:rPr>
                            </w:pPr>
                            <w:r>
                              <w:rPr>
                                <w:rFonts w:ascii="Times New Roman" w:hAnsi="Times New Roman"/>
                                <w:b/>
                                <w:color w:val="C00000"/>
                                <w:sz w:val="24"/>
                              </w:rPr>
                              <w:t xml:space="preserve">Problema trimiterii cu întârziere a răspunsurilor s-a observat </w:t>
                            </w:r>
                            <w:r>
                              <w:rPr>
                                <w:rFonts w:ascii="Times New Roman" w:hAnsi="Times New Roman"/>
                                <w:color w:val="C00000"/>
                                <w:sz w:val="24"/>
                              </w:rPr>
                              <w:t xml:space="preserve">în principal la </w:t>
                            </w:r>
                            <w:r>
                              <w:rPr>
                                <w:rFonts w:ascii="Times New Roman" w:hAnsi="Times New Roman"/>
                                <w:b/>
                                <w:color w:val="C00000"/>
                                <w:sz w:val="24"/>
                              </w:rPr>
                              <w:t>statele membre</w:t>
                            </w:r>
                            <w:r>
                              <w:rPr>
                                <w:rFonts w:ascii="Times New Roman" w:hAnsi="Times New Roman"/>
                                <w:color w:val="C00000"/>
                                <w:sz w:val="24"/>
                              </w:rPr>
                              <w:t xml:space="preserve"> care </w:t>
                            </w:r>
                            <w:r>
                              <w:rPr>
                                <w:rFonts w:ascii="Times New Roman" w:hAnsi="Times New Roman"/>
                                <w:b/>
                                <w:color w:val="C00000"/>
                                <w:sz w:val="24"/>
                              </w:rPr>
                              <w:t xml:space="preserve">s-au confruntat cu un volum enorm de cereri </w:t>
                            </w:r>
                            <w:r>
                              <w:rPr>
                                <w:rFonts w:ascii="Times New Roman" w:hAnsi="Times New Roman"/>
                                <w:color w:val="C00000"/>
                                <w:sz w:val="24"/>
                              </w:rPr>
                              <w:t>de informații (Polonia, România, Grecia, Croația, Bulgaria și Italia), dar și la alte state membre (Belgia și Malta).</w:t>
                            </w:r>
                          </w:p>
                          <w:p w14:paraId="5BF8DB61" w14:textId="77777777" w:rsidR="00466182" w:rsidRDefault="00466182" w:rsidP="004661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885245" id="_x0000_s1037" type="#_x0000_t202" style="position:absolute;left:0;text-align:left;margin-left:0;margin-top:23.6pt;width:454.5pt;height:184.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">
                <v:textbox>
                  <w:txbxContent>
                    <w:p w14:paraId="101D0FE0" w14:textId="77777777" w:rsidR="00466182" w:rsidRPr="005F52A5" w:rsidRDefault="00466182" w:rsidP="00466182">
                      <w:pPr>
                        <w:pStyle w:val="ListParagraph"/>
                        <w:numPr>
                          <w:ilvl w:val="0"/>
                          <w:numId w:val="21"/>
                        </w:numPr>
                        <w:jc w:val="both"/>
                        <w:rPr>
                          <w:rFonts w:ascii="Times New Roman" w:hAnsi="Times New Roman" w:cs="Times New Roman"/>
                          <w:color w:val="C00000"/>
                          <w:sz w:val="24"/>
                          <w:szCs w:val="24"/>
                        </w:rPr>
                      </w:pPr>
                      <w:r>
                        <w:rPr>
                          <w:rFonts w:ascii="Times New Roman" w:hAnsi="Times New Roman"/>
                          <w:b/>
                          <w:color w:val="C00000"/>
                          <w:sz w:val="24"/>
                        </w:rPr>
                        <w:t>Îmbunătățire semnificativă în ceea ce privește furnizarea unui răspuns la cereri în termenul stabilit</w:t>
                      </w:r>
                    </w:p>
                    <w:p w14:paraId="45F6B381" w14:textId="77777777" w:rsidR="00466182" w:rsidRPr="00CE59F4" w:rsidRDefault="00466182" w:rsidP="00466182">
                      <w:pPr>
                        <w:ind w:left="360"/>
                        <w:jc w:val="both"/>
                        <w:rPr>
                          <w:rFonts w:ascii="Times New Roman" w:hAnsi="Times New Roman" w:cs="Times New Roman"/>
                          <w:bCs/>
                          <w:color w:val="C00000"/>
                          <w:sz w:val="24"/>
                          <w:szCs w:val="24"/>
                        </w:rPr>
                      </w:pPr>
                      <w:r>
                        <w:rPr>
                          <w:rFonts w:ascii="Times New Roman" w:hAnsi="Times New Roman"/>
                          <w:color w:val="C00000"/>
                          <w:sz w:val="24"/>
                        </w:rPr>
                        <w:t xml:space="preserve">În comparație cu datele de referință pentru 2019, </w:t>
                      </w:r>
                      <w:r>
                        <w:rPr>
                          <w:rFonts w:ascii="Times New Roman" w:hAnsi="Times New Roman"/>
                          <w:b/>
                          <w:color w:val="C00000"/>
                          <w:sz w:val="24"/>
                        </w:rPr>
                        <w:t>numărul de răspunsuri trimise cu întârziere a scăzut la jumătate</w:t>
                      </w:r>
                      <w:r>
                        <w:rPr>
                          <w:rFonts w:ascii="Times New Roman" w:hAnsi="Times New Roman"/>
                          <w:color w:val="C00000"/>
                          <w:sz w:val="24"/>
                        </w:rPr>
                        <w:t xml:space="preserve"> în perioada 2020-2024, iar numărul de </w:t>
                      </w:r>
                      <w:r>
                        <w:rPr>
                          <w:rFonts w:ascii="Times New Roman" w:hAnsi="Times New Roman"/>
                          <w:b/>
                          <w:color w:val="C00000"/>
                          <w:sz w:val="24"/>
                        </w:rPr>
                        <w:t>cereri în cazul cărora a expirat termenul de răspuns a scăzut de peste cinci ori</w:t>
                      </w:r>
                      <w:r>
                        <w:rPr>
                          <w:rFonts w:ascii="Times New Roman" w:hAnsi="Times New Roman"/>
                          <w:color w:val="C00000"/>
                          <w:sz w:val="24"/>
                        </w:rPr>
                        <w:t xml:space="preserve">. Cu toate acestea, </w:t>
                      </w:r>
                      <w:r>
                        <w:rPr>
                          <w:rFonts w:ascii="Times New Roman" w:hAnsi="Times New Roman"/>
                          <w:b/>
                          <w:color w:val="C00000"/>
                          <w:sz w:val="24"/>
                        </w:rPr>
                        <w:t xml:space="preserve">s-a răspuns după expirarea termenului legal la peste 500 000 de cereri </w:t>
                      </w:r>
                      <w:r>
                        <w:rPr>
                          <w:rFonts w:ascii="Times New Roman" w:hAnsi="Times New Roman"/>
                          <w:color w:val="C00000"/>
                          <w:sz w:val="24"/>
                        </w:rPr>
                        <w:t>(</w:t>
                      </w:r>
                      <w:r>
                        <w:rPr>
                          <w:rFonts w:ascii="Times New Roman" w:hAnsi="Times New Roman"/>
                          <w:b/>
                          <w:color w:val="C00000"/>
                          <w:sz w:val="24"/>
                        </w:rPr>
                        <w:t>9,7 %</w:t>
                      </w:r>
                      <w:r>
                        <w:rPr>
                          <w:rFonts w:ascii="Times New Roman" w:hAnsi="Times New Roman"/>
                          <w:color w:val="C00000"/>
                          <w:sz w:val="24"/>
                        </w:rPr>
                        <w:t xml:space="preserve"> din numărul total de răspunsuri) și au fost înregistrate </w:t>
                      </w:r>
                      <w:r>
                        <w:rPr>
                          <w:rFonts w:ascii="Times New Roman" w:hAnsi="Times New Roman"/>
                          <w:b/>
                          <w:color w:val="C00000"/>
                          <w:sz w:val="24"/>
                        </w:rPr>
                        <w:t>38 000 de cereri în cazul cărora a expirat termenul de răspuns</w:t>
                      </w:r>
                      <w:r>
                        <w:rPr>
                          <w:rFonts w:ascii="Times New Roman" w:hAnsi="Times New Roman"/>
                          <w:color w:val="C00000"/>
                          <w:sz w:val="24"/>
                        </w:rPr>
                        <w:t xml:space="preserve"> (</w:t>
                      </w:r>
                      <w:r>
                        <w:rPr>
                          <w:rFonts w:ascii="Times New Roman" w:hAnsi="Times New Roman"/>
                          <w:b/>
                          <w:color w:val="C00000"/>
                          <w:sz w:val="24"/>
                        </w:rPr>
                        <w:t>0,7 %</w:t>
                      </w:r>
                      <w:r>
                        <w:rPr>
                          <w:rFonts w:ascii="Times New Roman" w:hAnsi="Times New Roman"/>
                          <w:color w:val="C00000"/>
                          <w:sz w:val="24"/>
                        </w:rPr>
                        <w:t xml:space="preserve"> din numărul total de cereri).</w:t>
                      </w:r>
                    </w:p>
                    <w:p w14:paraId="24513F5F" w14:textId="77777777" w:rsidR="00466182" w:rsidRPr="00CE59F4" w:rsidRDefault="00466182" w:rsidP="00466182">
                      <w:pPr>
                        <w:ind w:left="360"/>
                        <w:jc w:val="both"/>
                        <w:rPr>
                          <w:rFonts w:ascii="Times New Roman" w:hAnsi="Times New Roman" w:cs="Times New Roman"/>
                          <w:color w:val="C00000"/>
                          <w:sz w:val="24"/>
                          <w:szCs w:val="24"/>
                        </w:rPr>
                      </w:pPr>
                      <w:r>
                        <w:rPr>
                          <w:rFonts w:ascii="Times New Roman" w:hAnsi="Times New Roman"/>
                          <w:b/>
                          <w:color w:val="C00000"/>
                          <w:sz w:val="24"/>
                        </w:rPr>
                        <w:t xml:space="preserve">Problema trimiterii cu întârziere a răspunsurilor s-a observat </w:t>
                      </w:r>
                      <w:r>
                        <w:rPr>
                          <w:rFonts w:ascii="Times New Roman" w:hAnsi="Times New Roman"/>
                          <w:color w:val="C00000"/>
                          <w:sz w:val="24"/>
                        </w:rPr>
                        <w:t xml:space="preserve">în principal la </w:t>
                      </w:r>
                      <w:r>
                        <w:rPr>
                          <w:rFonts w:ascii="Times New Roman" w:hAnsi="Times New Roman"/>
                          <w:b/>
                          <w:color w:val="C00000"/>
                          <w:sz w:val="24"/>
                        </w:rPr>
                        <w:t>statele membre</w:t>
                      </w:r>
                      <w:r>
                        <w:rPr>
                          <w:rFonts w:ascii="Times New Roman" w:hAnsi="Times New Roman"/>
                          <w:color w:val="C00000"/>
                          <w:sz w:val="24"/>
                        </w:rPr>
                        <w:t xml:space="preserve"> care </w:t>
                      </w:r>
                      <w:r>
                        <w:rPr>
                          <w:rFonts w:ascii="Times New Roman" w:hAnsi="Times New Roman"/>
                          <w:b/>
                          <w:color w:val="C00000"/>
                          <w:sz w:val="24"/>
                        </w:rPr>
                        <w:t xml:space="preserve">s-au confruntat cu un volum enorm de cereri </w:t>
                      </w:r>
                      <w:r>
                        <w:rPr>
                          <w:rFonts w:ascii="Times New Roman" w:hAnsi="Times New Roman"/>
                          <w:color w:val="C00000"/>
                          <w:sz w:val="24"/>
                        </w:rPr>
                        <w:t>de informații (Polonia, România, Grecia, Croația, Bulgaria și Italia), dar și la alte state membre (Belgia și Malta).</w:t>
                      </w:r>
                    </w:p>
                    <w:p w14:paraId="5BF8DB61" w14:textId="77777777" w:rsidR="00466182" w:rsidRDefault="00466182" w:rsidP="00466182"/>
                  </w:txbxContent>
                </v:textbox>
                <w10:wrap type="square"/>
              </v:shape>
            </w:pict>
          </mc:Fallback>
        </mc:AlternateContent>
      </w:r>
    </w:p>
    <w:p w14:paraId="7D561407" w14:textId="2C2055E7" w:rsidR="008D3CBA" w:rsidRPr="00464550" w:rsidRDefault="00FB606C">
      <w:pPr>
        <w:rPr>
          <w:rFonts w:ascii="Times New Roman" w:hAnsi="Times New Roman" w:cs="Times New Roman"/>
          <w:b/>
          <w:noProof/>
          <w:sz w:val="24"/>
          <w:szCs w:val="24"/>
        </w:rPr>
      </w:pPr>
      <w:bookmarkStart w:id="32" w:name="_Toc479267023"/>
      <w:r>
        <w:rPr>
          <w:rFonts w:ascii="Times New Roman" w:hAnsi="Times New Roman"/>
          <w:b/>
          <w:noProof/>
          <w:sz w:val="24"/>
        </w:rPr>
        <w:t>2.8. Cererile adresate în scopul proceselor penale și în alte scopuri</w:t>
      </w:r>
      <w:bookmarkEnd w:id="32"/>
    </w:p>
    <w:p w14:paraId="7D56140B" w14:textId="03C59650" w:rsidR="008D3CBA" w:rsidRDefault="00A81CAF" w:rsidP="001667C7">
      <w:pPr>
        <w:spacing w:after="0"/>
        <w:jc w:val="both"/>
        <w:rPr>
          <w:rFonts w:ascii="Times New Roman" w:hAnsi="Times New Roman" w:cs="Times New Roman"/>
          <w:noProof/>
          <w:sz w:val="24"/>
          <w:szCs w:val="24"/>
        </w:rPr>
      </w:pPr>
      <w:bookmarkStart w:id="33" w:name="_Hlk481158644"/>
      <w:r>
        <w:rPr>
          <w:rFonts w:ascii="Times New Roman" w:hAnsi="Times New Roman"/>
          <w:noProof/>
          <w:sz w:val="24"/>
        </w:rPr>
        <w:t>Graficele de mai jos prezintă proporția cererilor adresate în scopul proceselor penale și cea a cererilor adresate în alte scopuri decât procesele penale în perioada de raportare 2020-2024, pentru toată perioada și pentru fiecare an în parte.</w:t>
      </w:r>
    </w:p>
    <w:p w14:paraId="466EEDFE" w14:textId="6CA6D6BB" w:rsidR="00F42A7E" w:rsidRDefault="0053590E">
      <w:pPr>
        <w:spacing w:after="0"/>
        <w:jc w:val="center"/>
        <w:rPr>
          <w:rFonts w:ascii="Times New Roman" w:hAnsi="Times New Roman" w:cs="Times New Roman"/>
          <w:noProof/>
          <w:sz w:val="24"/>
          <w:szCs w:val="24"/>
        </w:rPr>
      </w:pPr>
      <w:r>
        <w:rPr>
          <w:rFonts w:ascii="Times New Roman" w:hAnsi="Times New Roman" w:cs="Times New Roman"/>
          <w:noProof/>
          <w:sz w:val="24"/>
          <w:szCs w:val="24"/>
          <w:lang w:val="en-GB"/>
        </w:rPr>
        <w:drawing>
          <wp:inline distT="0" distB="0" distL="0" distR="0" wp14:anchorId="6F31A059" wp14:editId="29563E75">
            <wp:extent cx="4289090" cy="3088005"/>
            <wp:effectExtent l="0" t="0" r="0" b="0"/>
            <wp:docPr id="18073004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93476" cy="3091163"/>
                    </a:xfrm>
                    <a:prstGeom prst="rect">
                      <a:avLst/>
                    </a:prstGeom>
                    <a:noFill/>
                  </pic:spPr>
                </pic:pic>
              </a:graphicData>
            </a:graphic>
          </wp:inline>
        </w:drawing>
      </w:r>
    </w:p>
    <w:p w14:paraId="5612AE4E" w14:textId="77777777" w:rsidR="001667C7" w:rsidRPr="00464550" w:rsidRDefault="001667C7">
      <w:pPr>
        <w:spacing w:after="0"/>
        <w:jc w:val="center"/>
        <w:rPr>
          <w:rFonts w:ascii="Times New Roman" w:hAnsi="Times New Roman" w:cs="Times New Roman"/>
          <w:noProof/>
          <w:sz w:val="24"/>
          <w:szCs w:val="24"/>
        </w:rPr>
      </w:pPr>
    </w:p>
    <w:bookmarkEnd w:id="33"/>
    <w:p w14:paraId="7D56140D" w14:textId="0E04706F" w:rsidR="008D3CBA" w:rsidRPr="00464550" w:rsidRDefault="0053590E">
      <w:pPr>
        <w:jc w:val="center"/>
        <w:rPr>
          <w:rFonts w:ascii="Times New Roman" w:hAnsi="Times New Roman" w:cs="Times New Roman"/>
          <w:noProof/>
          <w:sz w:val="24"/>
          <w:szCs w:val="24"/>
        </w:rPr>
      </w:pPr>
      <w:r>
        <w:rPr>
          <w:rFonts w:ascii="Times New Roman" w:hAnsi="Times New Roman" w:cs="Times New Roman"/>
          <w:noProof/>
          <w:sz w:val="24"/>
          <w:szCs w:val="24"/>
          <w:lang w:val="en-GB"/>
        </w:rPr>
        <w:drawing>
          <wp:inline distT="0" distB="0" distL="0" distR="0" wp14:anchorId="356EBDBD" wp14:editId="4B932A4A">
            <wp:extent cx="5641200" cy="4060800"/>
            <wp:effectExtent l="0" t="0" r="0" b="0"/>
            <wp:docPr id="119684344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41200" cy="4060800"/>
                    </a:xfrm>
                    <a:prstGeom prst="rect">
                      <a:avLst/>
                    </a:prstGeom>
                    <a:noFill/>
                  </pic:spPr>
                </pic:pic>
              </a:graphicData>
            </a:graphic>
          </wp:inline>
        </w:drawing>
      </w:r>
    </w:p>
    <w:p w14:paraId="70A72C60" w14:textId="60604FF3" w:rsidR="00713182" w:rsidRPr="00464550" w:rsidRDefault="00E60C9E">
      <w:pPr>
        <w:jc w:val="both"/>
        <w:rPr>
          <w:rFonts w:ascii="Times New Roman" w:hAnsi="Times New Roman" w:cs="Times New Roman"/>
          <w:noProof/>
          <w:sz w:val="24"/>
          <w:szCs w:val="24"/>
        </w:rPr>
      </w:pPr>
      <w:r>
        <w:rPr>
          <w:rFonts w:ascii="Times New Roman" w:hAnsi="Times New Roman"/>
          <w:noProof/>
          <w:sz w:val="24"/>
        </w:rPr>
        <w:t xml:space="preserve">Timp de mulți ani, procentul cererilor adresate în alte scopuri decât procesele penale s-a situat în medie la 20 % din totalul cererilor. Astfel cum s-a menționat anterior, în </w:t>
      </w:r>
      <w:r>
        <w:rPr>
          <w:rFonts w:ascii="Times New Roman" w:hAnsi="Times New Roman"/>
          <w:b/>
          <w:noProof/>
          <w:sz w:val="24"/>
        </w:rPr>
        <w:t>2019</w:t>
      </w:r>
      <w:r>
        <w:rPr>
          <w:rFonts w:ascii="Times New Roman" w:hAnsi="Times New Roman"/>
          <w:noProof/>
          <w:sz w:val="24"/>
        </w:rPr>
        <w:t xml:space="preserve"> s-a produs o </w:t>
      </w:r>
      <w:r>
        <w:rPr>
          <w:rFonts w:ascii="Times New Roman" w:hAnsi="Times New Roman"/>
          <w:b/>
          <w:noProof/>
          <w:sz w:val="24"/>
        </w:rPr>
        <w:t>schimbare fundamentală în ceea ce privește utilizarea sistemului, care a început să fie consultat la fel de des în scopul proceselor penale și în alte scopuri (50/50 %).</w:t>
      </w:r>
      <w:r>
        <w:rPr>
          <w:rFonts w:ascii="Times New Roman" w:hAnsi="Times New Roman"/>
          <w:noProof/>
          <w:sz w:val="24"/>
        </w:rPr>
        <w:t xml:space="preserve"> </w:t>
      </w:r>
    </w:p>
    <w:p w14:paraId="1F406272" w14:textId="2657F254" w:rsidR="00007D65" w:rsidRPr="00464550" w:rsidRDefault="0079288C">
      <w:pPr>
        <w:jc w:val="both"/>
        <w:rPr>
          <w:rFonts w:ascii="Times New Roman" w:hAnsi="Times New Roman" w:cs="Times New Roman"/>
          <w:noProof/>
          <w:sz w:val="24"/>
          <w:szCs w:val="24"/>
        </w:rPr>
      </w:pPr>
      <w:r>
        <w:rPr>
          <w:rFonts w:ascii="Times New Roman" w:hAnsi="Times New Roman"/>
          <w:noProof/>
          <w:sz w:val="24"/>
        </w:rPr>
        <w:t xml:space="preserve">Această tendință a continuat în anii următori și, în </w:t>
      </w:r>
      <w:r>
        <w:rPr>
          <w:rFonts w:ascii="Times New Roman" w:hAnsi="Times New Roman"/>
          <w:b/>
          <w:noProof/>
          <w:sz w:val="24"/>
        </w:rPr>
        <w:t>2024, procentul cererilor adresate în alte scopuri decât procesele penale</w:t>
      </w:r>
      <w:r>
        <w:rPr>
          <w:rFonts w:ascii="Times New Roman" w:hAnsi="Times New Roman"/>
          <w:noProof/>
          <w:sz w:val="24"/>
        </w:rPr>
        <w:t xml:space="preserve"> s-a situat la </w:t>
      </w:r>
      <w:r>
        <w:rPr>
          <w:rFonts w:ascii="Times New Roman" w:hAnsi="Times New Roman"/>
          <w:b/>
          <w:noProof/>
          <w:sz w:val="24"/>
        </w:rPr>
        <w:t>56 % din totalul cererilor</w:t>
      </w:r>
      <w:r>
        <w:rPr>
          <w:rFonts w:ascii="Times New Roman" w:hAnsi="Times New Roman"/>
          <w:noProof/>
          <w:sz w:val="24"/>
        </w:rPr>
        <w:t xml:space="preserve">, fiind înregistrate </w:t>
      </w:r>
      <w:r>
        <w:rPr>
          <w:rFonts w:ascii="Times New Roman" w:hAnsi="Times New Roman"/>
          <w:b/>
          <w:noProof/>
          <w:sz w:val="24"/>
        </w:rPr>
        <w:t>692 500</w:t>
      </w:r>
      <w:r>
        <w:rPr>
          <w:rFonts w:ascii="Times New Roman" w:hAnsi="Times New Roman"/>
          <w:noProof/>
          <w:sz w:val="24"/>
        </w:rPr>
        <w:t xml:space="preserve"> de astfel de cereri. Numărul de </w:t>
      </w:r>
      <w:r>
        <w:rPr>
          <w:rFonts w:ascii="Times New Roman" w:hAnsi="Times New Roman"/>
          <w:b/>
          <w:noProof/>
          <w:sz w:val="24"/>
        </w:rPr>
        <w:t>cereri adresate în scopul proceselor penale</w:t>
      </w:r>
      <w:r>
        <w:rPr>
          <w:rFonts w:ascii="Times New Roman" w:hAnsi="Times New Roman"/>
          <w:noProof/>
          <w:sz w:val="24"/>
        </w:rPr>
        <w:t xml:space="preserve"> a rămas stabil, la aproximativ </w:t>
      </w:r>
      <w:r>
        <w:rPr>
          <w:rFonts w:ascii="Times New Roman" w:hAnsi="Times New Roman"/>
          <w:b/>
          <w:noProof/>
          <w:sz w:val="24"/>
        </w:rPr>
        <w:t>540 000</w:t>
      </w:r>
      <w:r>
        <w:rPr>
          <w:rFonts w:ascii="Times New Roman" w:hAnsi="Times New Roman"/>
          <w:noProof/>
          <w:sz w:val="24"/>
        </w:rPr>
        <w:t>.</w:t>
      </w:r>
    </w:p>
    <w:p w14:paraId="139E1AAC" w14:textId="7D19EB7B" w:rsidR="00FA76A8" w:rsidRPr="00464550" w:rsidRDefault="00A81CAF">
      <w:pPr>
        <w:jc w:val="both"/>
        <w:rPr>
          <w:rFonts w:ascii="Times New Roman" w:hAnsi="Times New Roman" w:cs="Times New Roman"/>
          <w:noProof/>
          <w:sz w:val="24"/>
          <w:szCs w:val="24"/>
        </w:rPr>
      </w:pPr>
      <w:r>
        <w:rPr>
          <w:rFonts w:ascii="Times New Roman" w:hAnsi="Times New Roman"/>
          <w:noProof/>
          <w:sz w:val="24"/>
        </w:rPr>
        <w:t xml:space="preserve">Creșterea numărului de cereri adresate în alte scopuri decât procesele penale se datorează, în principal, </w:t>
      </w:r>
      <w:r>
        <w:rPr>
          <w:rFonts w:ascii="Times New Roman" w:hAnsi="Times New Roman"/>
          <w:b/>
          <w:noProof/>
          <w:sz w:val="24"/>
        </w:rPr>
        <w:t xml:space="preserve">creșterii semnificative a numărului de cereri adresate în scopul recrutării persoanelor pentru activități </w:t>
      </w:r>
      <w:r>
        <w:rPr>
          <w:rFonts w:ascii="Times New Roman" w:hAnsi="Times New Roman"/>
          <w:noProof/>
          <w:sz w:val="24"/>
        </w:rPr>
        <w:t xml:space="preserve">profesionale sau activități organizate de voluntariat </w:t>
      </w:r>
      <w:r>
        <w:rPr>
          <w:rFonts w:ascii="Times New Roman" w:hAnsi="Times New Roman"/>
          <w:b/>
          <w:noProof/>
          <w:sz w:val="24"/>
        </w:rPr>
        <w:t>care presupun contactul direct și periodic cu copiii</w:t>
      </w:r>
      <w:r>
        <w:rPr>
          <w:rFonts w:ascii="Times New Roman" w:hAnsi="Times New Roman"/>
          <w:noProof/>
          <w:sz w:val="24"/>
        </w:rPr>
        <w:t xml:space="preserve">, în conformitate cu </w:t>
      </w:r>
      <w:r>
        <w:rPr>
          <w:rFonts w:ascii="Times New Roman" w:hAnsi="Times New Roman"/>
          <w:b/>
          <w:noProof/>
          <w:sz w:val="24"/>
        </w:rPr>
        <w:t>Directiva 2011/93/UE</w:t>
      </w:r>
      <w:r>
        <w:rPr>
          <w:rStyle w:val="FootnoteReference"/>
          <w:rFonts w:ascii="Times New Roman" w:hAnsi="Times New Roman" w:cs="Times New Roman"/>
          <w:bCs/>
          <w:noProof/>
          <w:sz w:val="24"/>
          <w:szCs w:val="24"/>
        </w:rPr>
        <w:footnoteReference w:id="33"/>
      </w:r>
      <w:r>
        <w:rPr>
          <w:noProof/>
        </w:rPr>
        <w:t>.</w:t>
      </w:r>
      <w:r>
        <w:rPr>
          <w:rFonts w:ascii="Times New Roman" w:hAnsi="Times New Roman"/>
          <w:noProof/>
          <w:sz w:val="24"/>
        </w:rPr>
        <w:t xml:space="preserve"> În total, </w:t>
      </w:r>
      <w:r>
        <w:rPr>
          <w:rFonts w:ascii="Times New Roman" w:hAnsi="Times New Roman"/>
          <w:b/>
          <w:noProof/>
          <w:sz w:val="24"/>
        </w:rPr>
        <w:t>233 400</w:t>
      </w:r>
      <w:r>
        <w:rPr>
          <w:rFonts w:ascii="Times New Roman" w:hAnsi="Times New Roman"/>
          <w:noProof/>
          <w:sz w:val="24"/>
        </w:rPr>
        <w:t xml:space="preserve"> de astfel de cereri au fost trimise</w:t>
      </w:r>
      <w:r>
        <w:rPr>
          <w:rFonts w:ascii="Times New Roman" w:hAnsi="Times New Roman"/>
          <w:b/>
          <w:noProof/>
          <w:sz w:val="24"/>
        </w:rPr>
        <w:t xml:space="preserve"> în 2024</w:t>
      </w:r>
      <w:r>
        <w:rPr>
          <w:rFonts w:ascii="Times New Roman" w:hAnsi="Times New Roman"/>
          <w:noProof/>
          <w:sz w:val="24"/>
        </w:rPr>
        <w:t xml:space="preserve">, o creștere semnificativă față de cele 115 000 de cereri trimise în 2019. Al doilea factor care a contribuit la această creștere a fost </w:t>
      </w:r>
      <w:r>
        <w:rPr>
          <w:rFonts w:ascii="Times New Roman" w:hAnsi="Times New Roman"/>
          <w:b/>
          <w:noProof/>
          <w:sz w:val="24"/>
        </w:rPr>
        <w:t>numărul aproape dublu de cereri generale în scopuri administrative</w:t>
      </w:r>
      <w:r>
        <w:rPr>
          <w:rFonts w:ascii="Times New Roman" w:hAnsi="Times New Roman"/>
          <w:noProof/>
          <w:sz w:val="24"/>
        </w:rPr>
        <w:t xml:space="preserve"> în comparație cu 2019, în 2024 fiind trimise 34 100 de astfel de cereri. În al treilea rând, numărul de cereri legate de </w:t>
      </w:r>
      <w:r>
        <w:rPr>
          <w:rFonts w:ascii="Times New Roman" w:hAnsi="Times New Roman"/>
          <w:b/>
          <w:noProof/>
          <w:sz w:val="24"/>
        </w:rPr>
        <w:t>verificarea înaintea angajării a crescut de șapte ori</w:t>
      </w:r>
      <w:r>
        <w:rPr>
          <w:rFonts w:ascii="Times New Roman" w:hAnsi="Times New Roman"/>
          <w:noProof/>
          <w:sz w:val="24"/>
        </w:rPr>
        <w:t xml:space="preserve"> în 2024 față de 2019, ajungând la 14 000.</w:t>
      </w:r>
      <w:r>
        <w:rPr>
          <w:rFonts w:ascii="Times New Roman" w:hAnsi="Times New Roman"/>
          <w:b/>
          <w:noProof/>
          <w:sz w:val="24"/>
        </w:rPr>
        <w:t xml:space="preserve"> Numărul anual de cereri formulate de persoane fizice care doreau să obțină informații cu privire la propriile caziere judiciare</w:t>
      </w:r>
      <w:r>
        <w:rPr>
          <w:rFonts w:ascii="Times New Roman" w:hAnsi="Times New Roman"/>
          <w:noProof/>
          <w:sz w:val="24"/>
        </w:rPr>
        <w:t xml:space="preserve"> s-a menținut la aproape același nivel ridicat începând din 2019, și anume </w:t>
      </w:r>
      <w:r>
        <w:rPr>
          <w:rFonts w:ascii="Times New Roman" w:hAnsi="Times New Roman"/>
          <w:b/>
          <w:noProof/>
          <w:sz w:val="24"/>
        </w:rPr>
        <w:t>380 400 de cereri</w:t>
      </w:r>
      <w:r>
        <w:rPr>
          <w:rFonts w:ascii="Times New Roman" w:hAnsi="Times New Roman"/>
          <w:noProof/>
          <w:sz w:val="24"/>
        </w:rPr>
        <w:t xml:space="preserve">. </w:t>
      </w:r>
    </w:p>
    <w:p w14:paraId="7D561410" w14:textId="0C2E2390" w:rsidR="00147AB6" w:rsidRPr="00464550" w:rsidRDefault="00AA58F1">
      <w:pPr>
        <w:jc w:val="both"/>
        <w:rPr>
          <w:rFonts w:ascii="Times New Roman" w:hAnsi="Times New Roman" w:cs="Times New Roman"/>
          <w:b/>
          <w:noProof/>
          <w:sz w:val="24"/>
          <w:szCs w:val="24"/>
        </w:rPr>
      </w:pPr>
      <w:bookmarkStart w:id="34" w:name="_Hlk218764498"/>
      <w:r>
        <w:rPr>
          <w:rFonts w:ascii="Times New Roman" w:hAnsi="Times New Roman"/>
          <w:b/>
          <w:noProof/>
          <w:sz w:val="24"/>
        </w:rPr>
        <w:t>Germania</w:t>
      </w:r>
      <w:r>
        <w:rPr>
          <w:rFonts w:ascii="Times New Roman" w:hAnsi="Times New Roman"/>
          <w:noProof/>
          <w:sz w:val="24"/>
        </w:rPr>
        <w:t xml:space="preserve"> este principalul stat membru care a determinat creșterea numărului de cereri adresate în alte scopuri decât procesele penale, cu aproape </w:t>
      </w:r>
      <w:r>
        <w:rPr>
          <w:rFonts w:ascii="Times New Roman" w:hAnsi="Times New Roman"/>
          <w:b/>
          <w:noProof/>
          <w:sz w:val="24"/>
        </w:rPr>
        <w:t>2 milioane de astfel de cereri (68 %</w:t>
      </w:r>
      <w:r>
        <w:rPr>
          <w:rFonts w:ascii="Times New Roman" w:hAnsi="Times New Roman"/>
          <w:noProof/>
          <w:sz w:val="24"/>
        </w:rPr>
        <w:t xml:space="preserve"> din totalul cererilor adresate în alte scopuri) trimise în perioada 2020-2024.</w:t>
      </w:r>
    </w:p>
    <w:bookmarkEnd w:id="34"/>
    <w:p w14:paraId="2A3700C6" w14:textId="0A9A52F7" w:rsidR="007C7D47" w:rsidRDefault="00A81CAF">
      <w:pPr>
        <w:jc w:val="both"/>
        <w:rPr>
          <w:rFonts w:ascii="Times New Roman" w:hAnsi="Times New Roman" w:cs="Times New Roman"/>
          <w:noProof/>
          <w:sz w:val="24"/>
          <w:szCs w:val="24"/>
        </w:rPr>
      </w:pPr>
      <w:r>
        <w:rPr>
          <w:rFonts w:ascii="Times New Roman" w:hAnsi="Times New Roman"/>
          <w:noProof/>
          <w:sz w:val="24"/>
        </w:rPr>
        <w:t xml:space="preserve">În 2024, cele mai multe cereri adresate în alte scopuri decât procesele penale au fost tot cele formulate de </w:t>
      </w:r>
      <w:r>
        <w:rPr>
          <w:rFonts w:ascii="Times New Roman" w:hAnsi="Times New Roman"/>
          <w:b/>
          <w:noProof/>
          <w:sz w:val="24"/>
        </w:rPr>
        <w:t>persoane fizice care doreau să obțină informații cu privire la propriile caziere judiciare</w:t>
      </w:r>
      <w:r>
        <w:rPr>
          <w:rFonts w:ascii="Times New Roman" w:hAnsi="Times New Roman"/>
          <w:noProof/>
          <w:sz w:val="24"/>
        </w:rPr>
        <w:t xml:space="preserve">: </w:t>
      </w:r>
      <w:r>
        <w:rPr>
          <w:rFonts w:ascii="Times New Roman" w:hAnsi="Times New Roman"/>
          <w:b/>
          <w:noProof/>
          <w:sz w:val="24"/>
        </w:rPr>
        <w:t>55 % din numărul total de cereri în alte scopuri decât procesele penale</w:t>
      </w:r>
      <w:r>
        <w:rPr>
          <w:rFonts w:ascii="Times New Roman" w:hAnsi="Times New Roman"/>
          <w:noProof/>
          <w:sz w:val="24"/>
        </w:rPr>
        <w:t xml:space="preserve"> și 31 % din numărul total de cereri trimise. Cu toate acestea, procentul cererilor adresate în aceste scopuri a scăzut de la 70 % în anul de referință 2019. Numărul imediat următor de cereri se referă la cereri formulate </w:t>
      </w:r>
      <w:r>
        <w:rPr>
          <w:rFonts w:ascii="Times New Roman" w:hAnsi="Times New Roman"/>
          <w:b/>
          <w:noProof/>
          <w:sz w:val="24"/>
        </w:rPr>
        <w:t xml:space="preserve">în scopul recrutării în conformitate cu Directiva 2011/93/UE (34 % </w:t>
      </w:r>
      <w:r>
        <w:rPr>
          <w:rFonts w:ascii="Times New Roman" w:hAnsi="Times New Roman"/>
          <w:noProof/>
          <w:sz w:val="24"/>
        </w:rPr>
        <w:t>din numărul de cereri adresate în alte scopuri decât procesele penale</w:t>
      </w:r>
      <w:r>
        <w:rPr>
          <w:rStyle w:val="FootnoteReference"/>
          <w:rFonts w:ascii="Times New Roman" w:hAnsi="Times New Roman" w:cs="Times New Roman"/>
          <w:noProof/>
          <w:sz w:val="24"/>
          <w:szCs w:val="24"/>
        </w:rPr>
        <w:footnoteReference w:id="34"/>
      </w:r>
      <w:r>
        <w:rPr>
          <w:rFonts w:ascii="Times New Roman" w:hAnsi="Times New Roman"/>
          <w:noProof/>
          <w:sz w:val="24"/>
        </w:rPr>
        <w:t xml:space="preserve">, în creștere de la 22 % în 2019). Procentul cererilor generale în </w:t>
      </w:r>
      <w:r>
        <w:rPr>
          <w:rFonts w:ascii="Times New Roman" w:hAnsi="Times New Roman"/>
          <w:b/>
          <w:noProof/>
          <w:sz w:val="24"/>
        </w:rPr>
        <w:t>scopuri administrative</w:t>
      </w:r>
      <w:r>
        <w:rPr>
          <w:rFonts w:ascii="Times New Roman" w:hAnsi="Times New Roman"/>
          <w:noProof/>
          <w:sz w:val="24"/>
        </w:rPr>
        <w:t xml:space="preserve"> a crescut de la 3,8 % din numărul de cereri adresate în alte scopuri decât procesele penale în 2019 la </w:t>
      </w:r>
      <w:r>
        <w:rPr>
          <w:rFonts w:ascii="Times New Roman" w:hAnsi="Times New Roman"/>
          <w:b/>
          <w:noProof/>
          <w:sz w:val="24"/>
        </w:rPr>
        <w:t xml:space="preserve">5 % </w:t>
      </w:r>
      <w:r>
        <w:rPr>
          <w:rFonts w:ascii="Times New Roman" w:hAnsi="Times New Roman"/>
          <w:noProof/>
          <w:sz w:val="24"/>
        </w:rPr>
        <w:t xml:space="preserve">în 2024 (și 3 % din numărul total de cereri), plasându-se pe locul al treilea. Numărul de cereri adresate în scopul </w:t>
      </w:r>
      <w:r>
        <w:rPr>
          <w:rFonts w:ascii="Times New Roman" w:hAnsi="Times New Roman"/>
          <w:b/>
          <w:noProof/>
          <w:sz w:val="24"/>
        </w:rPr>
        <w:t>dobândirii altei cetățenii</w:t>
      </w:r>
      <w:r>
        <w:rPr>
          <w:rFonts w:ascii="Times New Roman" w:hAnsi="Times New Roman"/>
          <w:noProof/>
          <w:sz w:val="24"/>
        </w:rPr>
        <w:t xml:space="preserve"> a fost de patru ori mai mare în 2024 decât în 2019, plasându-se pe locul al patrulea, cu un procent de </w:t>
      </w:r>
      <w:r>
        <w:rPr>
          <w:rFonts w:ascii="Times New Roman" w:hAnsi="Times New Roman"/>
          <w:b/>
          <w:noProof/>
          <w:sz w:val="24"/>
        </w:rPr>
        <w:t>2,5 %</w:t>
      </w:r>
      <w:r>
        <w:rPr>
          <w:rFonts w:ascii="Times New Roman" w:hAnsi="Times New Roman"/>
          <w:noProof/>
          <w:sz w:val="24"/>
        </w:rPr>
        <w:t xml:space="preserve"> (17 400). În cele din urmă, procentul cererilor legate de </w:t>
      </w:r>
      <w:r>
        <w:rPr>
          <w:rFonts w:ascii="Times New Roman" w:hAnsi="Times New Roman"/>
          <w:b/>
          <w:noProof/>
          <w:sz w:val="24"/>
        </w:rPr>
        <w:t>verificarea în vederea angajării</w:t>
      </w:r>
      <w:r>
        <w:rPr>
          <w:rFonts w:ascii="Times New Roman" w:hAnsi="Times New Roman"/>
          <w:noProof/>
          <w:sz w:val="24"/>
        </w:rPr>
        <w:t xml:space="preserve"> s-a situat la </w:t>
      </w:r>
      <w:r>
        <w:rPr>
          <w:rFonts w:ascii="Times New Roman" w:hAnsi="Times New Roman"/>
          <w:b/>
          <w:noProof/>
          <w:sz w:val="24"/>
        </w:rPr>
        <w:t>2 %</w:t>
      </w:r>
      <w:r>
        <w:rPr>
          <w:rFonts w:ascii="Times New Roman" w:hAnsi="Times New Roman"/>
          <w:noProof/>
          <w:sz w:val="24"/>
        </w:rPr>
        <w:t xml:space="preserve"> din numărul cererilor adresate în alte scopuri decât procesele penale</w:t>
      </w:r>
      <w:r>
        <w:rPr>
          <w:rStyle w:val="FootnoteReference"/>
          <w:rFonts w:ascii="Times New Roman" w:hAnsi="Times New Roman" w:cs="Times New Roman"/>
          <w:noProof/>
          <w:sz w:val="24"/>
          <w:szCs w:val="24"/>
        </w:rPr>
        <w:footnoteReference w:id="35"/>
      </w:r>
      <w:r>
        <w:rPr>
          <w:noProof/>
        </w:rPr>
        <w:t>.</w:t>
      </w:r>
      <w:r w:rsidR="00965AEC">
        <w:rPr>
          <w:rFonts w:ascii="Times New Roman" w:hAnsi="Times New Roman"/>
          <w:noProof/>
          <w:sz w:val="24"/>
        </w:rPr>
        <w:t xml:space="preserve"> </w:t>
      </w:r>
    </w:p>
    <w:p w14:paraId="7D561413" w14:textId="04D57A7A" w:rsidR="00AB42D3" w:rsidRPr="006B6EDD" w:rsidRDefault="006B6EDD" w:rsidP="006B6EDD">
      <w:pPr>
        <w:jc w:val="both"/>
        <w:rPr>
          <w:rFonts w:ascii="Times New Roman" w:hAnsi="Times New Roman" w:cs="Times New Roman"/>
          <w:noProof/>
          <w:sz w:val="24"/>
          <w:szCs w:val="24"/>
        </w:rPr>
      </w:pPr>
      <w:r>
        <w:rPr>
          <w:rFonts w:ascii="Times New Roman" w:hAnsi="Times New Roman"/>
          <w:noProof/>
          <w:sz w:val="24"/>
        </w:rPr>
        <w:t>Întrucât</w:t>
      </w:r>
      <w:bookmarkStart w:id="35" w:name="_Toc479267024"/>
      <w:r>
        <w:rPr>
          <w:rFonts w:ascii="Times New Roman" w:hAnsi="Times New Roman"/>
          <w:noProof/>
          <w:sz w:val="24"/>
        </w:rPr>
        <w:t xml:space="preserve"> </w:t>
      </w:r>
      <w:r>
        <w:rPr>
          <w:rFonts w:ascii="Times New Roman" w:hAnsi="Times New Roman"/>
          <w:b/>
          <w:noProof/>
          <w:sz w:val="24"/>
        </w:rPr>
        <w:t>utilizarea categoriilor de scopuri în care sunt formulate cererile</w:t>
      </w:r>
      <w:r>
        <w:rPr>
          <w:rFonts w:ascii="Times New Roman" w:hAnsi="Times New Roman"/>
          <w:noProof/>
          <w:sz w:val="24"/>
        </w:rPr>
        <w:t xml:space="preserve">, atunci când se solicită informații prin intermediul ECRIS, </w:t>
      </w:r>
      <w:r>
        <w:rPr>
          <w:rFonts w:ascii="Times New Roman" w:hAnsi="Times New Roman"/>
          <w:b/>
          <w:noProof/>
          <w:sz w:val="24"/>
        </w:rPr>
        <w:t>diferă semnificativ de la un stat membru la altul</w:t>
      </w:r>
      <w:r>
        <w:rPr>
          <w:rFonts w:ascii="Times New Roman" w:hAnsi="Times New Roman"/>
          <w:noProof/>
          <w:sz w:val="24"/>
        </w:rPr>
        <w:t xml:space="preserve">, nu este posibil să se tragă concluzii ferme din statisticile actuale cu privire la numărul de cereri din fiecare </w:t>
      </w:r>
      <w:r>
        <w:rPr>
          <w:rFonts w:ascii="Times New Roman" w:hAnsi="Times New Roman"/>
          <w:b/>
          <w:noProof/>
          <w:sz w:val="24"/>
        </w:rPr>
        <w:t>subcategorie</w:t>
      </w:r>
      <w:r>
        <w:rPr>
          <w:rFonts w:ascii="Times New Roman" w:hAnsi="Times New Roman"/>
          <w:noProof/>
          <w:sz w:val="24"/>
        </w:rPr>
        <w:t>. Unele state membre tind să utilizeze doar categorii generale de cereri, de exemplu „scopuri administrative” sau „verificare în vederea angajării”, în loc să indice scopul specific al cererii.</w:t>
      </w:r>
    </w:p>
    <w:p w14:paraId="5871A0C7" w14:textId="6A07F48C" w:rsidR="00CE552B" w:rsidRDefault="00EF640A" w:rsidP="002338ED">
      <w:pPr>
        <w:jc w:val="both"/>
        <w:rPr>
          <w:rFonts w:ascii="Times New Roman" w:hAnsi="Times New Roman"/>
          <w:noProof/>
          <w:sz w:val="24"/>
        </w:rPr>
      </w:pPr>
      <w:r>
        <w:rPr>
          <w:rFonts w:ascii="Times New Roman" w:hAnsi="Times New Roman"/>
          <w:noProof/>
          <w:sz w:val="24"/>
          <w:lang w:val="en-GB"/>
        </w:rPr>
        <mc:AlternateContent>
          <mc:Choice Requires="wps">
            <w:drawing>
              <wp:anchor distT="45720" distB="45720" distL="114300" distR="114300" simplePos="0" relativeHeight="251672064" behindDoc="0" locked="0" layoutInCell="1" allowOverlap="1" wp14:anchorId="777112D0" wp14:editId="2571C2AB">
                <wp:simplePos x="0" y="0"/>
                <wp:positionH relativeFrom="column">
                  <wp:posOffset>-1270</wp:posOffset>
                </wp:positionH>
                <wp:positionV relativeFrom="paragraph">
                  <wp:posOffset>1553210</wp:posOffset>
                </wp:positionV>
                <wp:extent cx="5778500" cy="2910840"/>
                <wp:effectExtent l="0" t="0" r="12700" b="22860"/>
                <wp:wrapSquare wrapText="bothSides"/>
                <wp:docPr id="20687200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0" cy="2910840"/>
                        </a:xfrm>
                        <a:prstGeom prst="rect">
                          <a:avLst/>
                        </a:prstGeom>
                        <a:solidFill>
                          <a:srgbClr val="FFFFFF"/>
                        </a:solidFill>
                        <a:ln w="9525">
                          <a:solidFill>
                            <a:srgbClr val="000000"/>
                          </a:solidFill>
                          <a:miter lim="800000"/>
                          <a:headEnd/>
                          <a:tailEnd/>
                        </a:ln>
                      </wps:spPr>
                      <wps:txbx>
                        <w:txbxContent>
                          <w:p w14:paraId="6B8F042A" w14:textId="77777777" w:rsidR="00466182" w:rsidRDefault="00466182" w:rsidP="00466182">
                            <w:pPr>
                              <w:pStyle w:val="ListParagraph"/>
                              <w:numPr>
                                <w:ilvl w:val="0"/>
                                <w:numId w:val="21"/>
                              </w:numPr>
                              <w:jc w:val="both"/>
                              <w:rPr>
                                <w:rFonts w:ascii="Times New Roman" w:hAnsi="Times New Roman" w:cs="Times New Roman"/>
                                <w:b/>
                                <w:color w:val="C00000"/>
                                <w:sz w:val="24"/>
                                <w:szCs w:val="24"/>
                              </w:rPr>
                            </w:pPr>
                            <w:r>
                              <w:rPr>
                                <w:rFonts w:ascii="Times New Roman" w:hAnsi="Times New Roman"/>
                                <w:b/>
                                <w:color w:val="C00000"/>
                                <w:sz w:val="24"/>
                              </w:rPr>
                              <w:t>ECRIS este utilizat mai puțin în scopul proceselor penale și mai frecvent în alte scopuri decât procesele penale!</w:t>
                            </w:r>
                          </w:p>
                          <w:p w14:paraId="689FBC50" w14:textId="77777777" w:rsidR="00466182" w:rsidRPr="000B12FB" w:rsidRDefault="00466182" w:rsidP="00466182">
                            <w:pPr>
                              <w:ind w:left="360"/>
                              <w:jc w:val="both"/>
                              <w:rPr>
                                <w:rFonts w:ascii="Times New Roman" w:hAnsi="Times New Roman" w:cs="Times New Roman"/>
                                <w:color w:val="C00000"/>
                                <w:sz w:val="24"/>
                                <w:szCs w:val="24"/>
                              </w:rPr>
                            </w:pPr>
                            <w:r>
                              <w:rPr>
                                <w:rFonts w:ascii="Times New Roman" w:hAnsi="Times New Roman"/>
                                <w:color w:val="C00000"/>
                                <w:sz w:val="24"/>
                              </w:rPr>
                              <w:t xml:space="preserve">În </w:t>
                            </w:r>
                            <w:r>
                              <w:rPr>
                                <w:rFonts w:ascii="Times New Roman" w:hAnsi="Times New Roman"/>
                                <w:b/>
                                <w:color w:val="C00000"/>
                                <w:sz w:val="24"/>
                              </w:rPr>
                              <w:t>2019</w:t>
                            </w:r>
                            <w:r>
                              <w:rPr>
                                <w:rFonts w:ascii="Times New Roman" w:hAnsi="Times New Roman"/>
                                <w:color w:val="C00000"/>
                                <w:sz w:val="24"/>
                              </w:rPr>
                              <w:t xml:space="preserve"> s-a produs o </w:t>
                            </w:r>
                            <w:r>
                              <w:rPr>
                                <w:rFonts w:ascii="Times New Roman" w:hAnsi="Times New Roman"/>
                                <w:b/>
                                <w:color w:val="C00000"/>
                                <w:sz w:val="24"/>
                              </w:rPr>
                              <w:t>schimbare fundamentală legată de utilizarea ECRIS</w:t>
                            </w:r>
                            <w:r>
                              <w:rPr>
                                <w:rFonts w:ascii="Times New Roman" w:hAnsi="Times New Roman"/>
                                <w:color w:val="C00000"/>
                                <w:sz w:val="24"/>
                              </w:rPr>
                              <w:t xml:space="preserve">, care a fost consultat tot </w:t>
                            </w:r>
                            <w:r>
                              <w:rPr>
                                <w:rFonts w:ascii="Times New Roman" w:hAnsi="Times New Roman"/>
                                <w:b/>
                                <w:color w:val="C00000"/>
                                <w:sz w:val="24"/>
                              </w:rPr>
                              <w:t xml:space="preserve">mai frecvent în alte scopuri decât procesele penale </w:t>
                            </w:r>
                            <w:r>
                              <w:rPr>
                                <w:rFonts w:ascii="Times New Roman" w:hAnsi="Times New Roman"/>
                                <w:color w:val="C00000"/>
                                <w:sz w:val="24"/>
                              </w:rPr>
                              <w:t xml:space="preserve">(de exemplu, verificări prealabile angajării, cereri privind propriul cazier judiciar etc.). În 2024, procentul acestor cereri s-a situat la </w:t>
                            </w:r>
                            <w:r>
                              <w:rPr>
                                <w:rFonts w:ascii="Times New Roman" w:hAnsi="Times New Roman"/>
                                <w:b/>
                                <w:color w:val="C00000"/>
                                <w:sz w:val="24"/>
                              </w:rPr>
                              <w:t>56 % din totalul cererilor trimise</w:t>
                            </w:r>
                            <w:r>
                              <w:rPr>
                                <w:rFonts w:ascii="Times New Roman" w:hAnsi="Times New Roman"/>
                                <w:color w:val="C00000"/>
                                <w:sz w:val="24"/>
                              </w:rPr>
                              <w:t>,</w:t>
                            </w:r>
                            <w:r>
                              <w:rPr>
                                <w:rFonts w:ascii="Times New Roman" w:hAnsi="Times New Roman"/>
                                <w:b/>
                                <w:color w:val="C00000"/>
                                <w:sz w:val="24"/>
                              </w:rPr>
                              <w:t xml:space="preserve"> fiind înregistrate 692 500 de astfel de cereri.</w:t>
                            </w:r>
                          </w:p>
                          <w:p w14:paraId="5308290B" w14:textId="77777777" w:rsidR="00466182" w:rsidRPr="000B12FB" w:rsidRDefault="00466182" w:rsidP="00466182">
                            <w:pPr>
                              <w:ind w:left="360"/>
                              <w:jc w:val="both"/>
                              <w:rPr>
                                <w:rFonts w:ascii="Times New Roman" w:hAnsi="Times New Roman" w:cs="Times New Roman"/>
                                <w:color w:val="C00000"/>
                                <w:sz w:val="24"/>
                                <w:szCs w:val="24"/>
                              </w:rPr>
                            </w:pPr>
                            <w:r>
                              <w:rPr>
                                <w:rFonts w:ascii="Times New Roman" w:hAnsi="Times New Roman"/>
                                <w:color w:val="C00000"/>
                                <w:sz w:val="24"/>
                              </w:rPr>
                              <w:t xml:space="preserve">Trei factori au contribuit în principal la această creștere. În primul rând, </w:t>
                            </w:r>
                            <w:r>
                              <w:rPr>
                                <w:rFonts w:ascii="Times New Roman" w:hAnsi="Times New Roman"/>
                                <w:b/>
                                <w:color w:val="C00000"/>
                                <w:sz w:val="24"/>
                              </w:rPr>
                              <w:t>dublarea</w:t>
                            </w:r>
                            <w:r>
                              <w:rPr>
                                <w:rFonts w:ascii="Times New Roman" w:hAnsi="Times New Roman"/>
                                <w:color w:val="C00000"/>
                                <w:sz w:val="24"/>
                              </w:rPr>
                              <w:t xml:space="preserve"> față de 2019</w:t>
                            </w:r>
                            <w:r>
                              <w:rPr>
                                <w:rFonts w:ascii="Times New Roman" w:hAnsi="Times New Roman"/>
                                <w:b/>
                                <w:color w:val="C00000"/>
                                <w:sz w:val="24"/>
                              </w:rPr>
                              <w:t xml:space="preserve"> a numărului de cereri adresate în scopul recrutării persoanelor </w:t>
                            </w:r>
                            <w:r>
                              <w:rPr>
                                <w:rFonts w:ascii="Times New Roman" w:hAnsi="Times New Roman"/>
                                <w:color w:val="C00000"/>
                                <w:sz w:val="24"/>
                              </w:rPr>
                              <w:t xml:space="preserve">pentru </w:t>
                            </w:r>
                            <w:r>
                              <w:rPr>
                                <w:rFonts w:ascii="Times New Roman" w:hAnsi="Times New Roman"/>
                                <w:b/>
                                <w:color w:val="C00000"/>
                                <w:sz w:val="24"/>
                              </w:rPr>
                              <w:t>activități care presupun contactul cu copiii</w:t>
                            </w:r>
                            <w:r>
                              <w:rPr>
                                <w:rFonts w:ascii="Times New Roman" w:hAnsi="Times New Roman"/>
                                <w:color w:val="C00000"/>
                                <w:sz w:val="24"/>
                              </w:rPr>
                              <w:t xml:space="preserve">, în conformitate cu </w:t>
                            </w:r>
                            <w:r>
                              <w:rPr>
                                <w:rFonts w:ascii="Times New Roman" w:hAnsi="Times New Roman"/>
                                <w:b/>
                                <w:color w:val="C00000"/>
                                <w:sz w:val="24"/>
                              </w:rPr>
                              <w:t xml:space="preserve">Directiva 2011/93/UE </w:t>
                            </w:r>
                            <w:r>
                              <w:rPr>
                                <w:rFonts w:ascii="Times New Roman" w:hAnsi="Times New Roman"/>
                                <w:color w:val="C00000"/>
                                <w:sz w:val="24"/>
                              </w:rPr>
                              <w:t>(233 400 de cereri, reprezentând 34 % din numărul de cereri adresate în alte scopuri decât procesele penale). În al doilea rând,</w:t>
                            </w:r>
                            <w:r>
                              <w:rPr>
                                <w:rFonts w:ascii="Times New Roman" w:hAnsi="Times New Roman"/>
                                <w:b/>
                                <w:color w:val="C00000"/>
                                <w:sz w:val="24"/>
                              </w:rPr>
                              <w:t xml:space="preserve"> numărul mare de cereri formulate de persoane fizice care doreau să obțină informații cu privire la propriile caziere judiciare</w:t>
                            </w:r>
                            <w:r>
                              <w:rPr>
                                <w:rFonts w:ascii="Times New Roman" w:hAnsi="Times New Roman"/>
                                <w:color w:val="C00000"/>
                                <w:sz w:val="24"/>
                              </w:rPr>
                              <w:t xml:space="preserve"> (380 400 de cereri, 55 %). În al treilea rând, </w:t>
                            </w:r>
                            <w:r>
                              <w:rPr>
                                <w:rFonts w:ascii="Times New Roman" w:hAnsi="Times New Roman"/>
                                <w:b/>
                                <w:color w:val="C00000"/>
                                <w:sz w:val="24"/>
                              </w:rPr>
                              <w:t>numărul aproape dublu de cereri generale în scopuri administrative</w:t>
                            </w:r>
                            <w:r>
                              <w:rPr>
                                <w:rFonts w:ascii="Times New Roman" w:hAnsi="Times New Roman"/>
                                <w:color w:val="C00000"/>
                                <w:sz w:val="24"/>
                              </w:rPr>
                              <w:t xml:space="preserve"> (34 100 de cereri, 5 %). </w:t>
                            </w:r>
                          </w:p>
                          <w:p w14:paraId="7B1B7EFB" w14:textId="77777777" w:rsidR="00466182" w:rsidRDefault="00466182" w:rsidP="004661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7112D0" id="_x0000_s1038" type="#_x0000_t202" style="position:absolute;left:0;text-align:left;margin-left:-.1pt;margin-top:122.3pt;width:455pt;height:229.2pt;z-index:251672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">
                <v:textbox>
                  <w:txbxContent>
                    <w:p w14:paraId="6B8F042A" w14:textId="77777777" w:rsidR="00466182" w:rsidRDefault="00466182" w:rsidP="00466182">
                      <w:pPr>
                        <w:pStyle w:val="ListParagraph"/>
                        <w:numPr>
                          <w:ilvl w:val="0"/>
                          <w:numId w:val="21"/>
                        </w:numPr>
                        <w:jc w:val="both"/>
                        <w:rPr>
                          <w:rFonts w:ascii="Times New Roman" w:hAnsi="Times New Roman" w:cs="Times New Roman"/>
                          <w:b/>
                          <w:color w:val="C00000"/>
                          <w:sz w:val="24"/>
                          <w:szCs w:val="24"/>
                        </w:rPr>
                      </w:pPr>
                      <w:r>
                        <w:rPr>
                          <w:rFonts w:ascii="Times New Roman" w:hAnsi="Times New Roman"/>
                          <w:b/>
                          <w:color w:val="C00000"/>
                          <w:sz w:val="24"/>
                        </w:rPr>
                        <w:t>ECRIS este utilizat mai puțin în scopul proceselor penale și mai frecvent în alte scopuri decât procesele penale!</w:t>
                      </w:r>
                    </w:p>
                    <w:p w14:paraId="689FBC50" w14:textId="77777777" w:rsidR="00466182" w:rsidRPr="000B12FB" w:rsidRDefault="00466182" w:rsidP="00466182">
                      <w:pPr>
                        <w:ind w:left="360"/>
                        <w:jc w:val="both"/>
                        <w:rPr>
                          <w:rFonts w:ascii="Times New Roman" w:hAnsi="Times New Roman" w:cs="Times New Roman"/>
                          <w:color w:val="C00000"/>
                          <w:sz w:val="24"/>
                          <w:szCs w:val="24"/>
                        </w:rPr>
                      </w:pPr>
                      <w:r>
                        <w:rPr>
                          <w:rFonts w:ascii="Times New Roman" w:hAnsi="Times New Roman"/>
                          <w:color w:val="C00000"/>
                          <w:sz w:val="24"/>
                        </w:rPr>
                        <w:t xml:space="preserve">În </w:t>
                      </w:r>
                      <w:r>
                        <w:rPr>
                          <w:rFonts w:ascii="Times New Roman" w:hAnsi="Times New Roman"/>
                          <w:b/>
                          <w:color w:val="C00000"/>
                          <w:sz w:val="24"/>
                        </w:rPr>
                        <w:t>2019</w:t>
                      </w:r>
                      <w:r>
                        <w:rPr>
                          <w:rFonts w:ascii="Times New Roman" w:hAnsi="Times New Roman"/>
                          <w:color w:val="C00000"/>
                          <w:sz w:val="24"/>
                        </w:rPr>
                        <w:t xml:space="preserve"> s-a produs o </w:t>
                      </w:r>
                      <w:r>
                        <w:rPr>
                          <w:rFonts w:ascii="Times New Roman" w:hAnsi="Times New Roman"/>
                          <w:b/>
                          <w:color w:val="C00000"/>
                          <w:sz w:val="24"/>
                        </w:rPr>
                        <w:t>schimbare fundamentală legată de utilizarea ECRIS</w:t>
                      </w:r>
                      <w:r>
                        <w:rPr>
                          <w:rFonts w:ascii="Times New Roman" w:hAnsi="Times New Roman"/>
                          <w:color w:val="C00000"/>
                          <w:sz w:val="24"/>
                        </w:rPr>
                        <w:t xml:space="preserve">, care a fost consultat tot </w:t>
                      </w:r>
                      <w:r>
                        <w:rPr>
                          <w:rFonts w:ascii="Times New Roman" w:hAnsi="Times New Roman"/>
                          <w:b/>
                          <w:color w:val="C00000"/>
                          <w:sz w:val="24"/>
                        </w:rPr>
                        <w:t xml:space="preserve">mai frecvent în alte scopuri decât procesele penale </w:t>
                      </w:r>
                      <w:r>
                        <w:rPr>
                          <w:rFonts w:ascii="Times New Roman" w:hAnsi="Times New Roman"/>
                          <w:color w:val="C00000"/>
                          <w:sz w:val="24"/>
                        </w:rPr>
                        <w:t xml:space="preserve">(de exemplu, verificări prealabile angajării, cereri privind propriul cazier judiciar etc.). În 2024, procentul acestor cereri s-a situat la </w:t>
                      </w:r>
                      <w:r>
                        <w:rPr>
                          <w:rFonts w:ascii="Times New Roman" w:hAnsi="Times New Roman"/>
                          <w:b/>
                          <w:color w:val="C00000"/>
                          <w:sz w:val="24"/>
                        </w:rPr>
                        <w:t>56 % din totalul cererilor trimise</w:t>
                      </w:r>
                      <w:r>
                        <w:rPr>
                          <w:rFonts w:ascii="Times New Roman" w:hAnsi="Times New Roman"/>
                          <w:color w:val="C00000"/>
                          <w:sz w:val="24"/>
                        </w:rPr>
                        <w:t>,</w:t>
                      </w:r>
                      <w:r>
                        <w:rPr>
                          <w:rFonts w:ascii="Times New Roman" w:hAnsi="Times New Roman"/>
                          <w:b/>
                          <w:color w:val="C00000"/>
                          <w:sz w:val="24"/>
                        </w:rPr>
                        <w:t xml:space="preserve"> fiind înregistrate 692 500 de astfel de cereri.</w:t>
                      </w:r>
                    </w:p>
                    <w:p w14:paraId="5308290B" w14:textId="77777777" w:rsidR="00466182" w:rsidRPr="000B12FB" w:rsidRDefault="00466182" w:rsidP="00466182">
                      <w:pPr>
                        <w:ind w:left="360"/>
                        <w:jc w:val="both"/>
                        <w:rPr>
                          <w:rFonts w:ascii="Times New Roman" w:hAnsi="Times New Roman" w:cs="Times New Roman"/>
                          <w:color w:val="C00000"/>
                          <w:sz w:val="24"/>
                          <w:szCs w:val="24"/>
                        </w:rPr>
                      </w:pPr>
                      <w:r>
                        <w:rPr>
                          <w:rFonts w:ascii="Times New Roman" w:hAnsi="Times New Roman"/>
                          <w:color w:val="C00000"/>
                          <w:sz w:val="24"/>
                        </w:rPr>
                        <w:t xml:space="preserve">Trei factori au contribuit în principal la această creștere. În primul rând, </w:t>
                      </w:r>
                      <w:r>
                        <w:rPr>
                          <w:rFonts w:ascii="Times New Roman" w:hAnsi="Times New Roman"/>
                          <w:b/>
                          <w:color w:val="C00000"/>
                          <w:sz w:val="24"/>
                        </w:rPr>
                        <w:t>dublarea</w:t>
                      </w:r>
                      <w:r>
                        <w:rPr>
                          <w:rFonts w:ascii="Times New Roman" w:hAnsi="Times New Roman"/>
                          <w:color w:val="C00000"/>
                          <w:sz w:val="24"/>
                        </w:rPr>
                        <w:t xml:space="preserve"> față de 2019</w:t>
                      </w:r>
                      <w:r>
                        <w:rPr>
                          <w:rFonts w:ascii="Times New Roman" w:hAnsi="Times New Roman"/>
                          <w:b/>
                          <w:color w:val="C00000"/>
                          <w:sz w:val="24"/>
                        </w:rPr>
                        <w:t xml:space="preserve"> a numărului de cereri adresate în scopul recrutării persoanelor </w:t>
                      </w:r>
                      <w:r>
                        <w:rPr>
                          <w:rFonts w:ascii="Times New Roman" w:hAnsi="Times New Roman"/>
                          <w:color w:val="C00000"/>
                          <w:sz w:val="24"/>
                        </w:rPr>
                        <w:t xml:space="preserve">pentru </w:t>
                      </w:r>
                      <w:r>
                        <w:rPr>
                          <w:rFonts w:ascii="Times New Roman" w:hAnsi="Times New Roman"/>
                          <w:b/>
                          <w:color w:val="C00000"/>
                          <w:sz w:val="24"/>
                        </w:rPr>
                        <w:t>activități care presupun contactul cu copiii</w:t>
                      </w:r>
                      <w:r>
                        <w:rPr>
                          <w:rFonts w:ascii="Times New Roman" w:hAnsi="Times New Roman"/>
                          <w:color w:val="C00000"/>
                          <w:sz w:val="24"/>
                        </w:rPr>
                        <w:t xml:space="preserve">, în conformitate cu </w:t>
                      </w:r>
                      <w:r>
                        <w:rPr>
                          <w:rFonts w:ascii="Times New Roman" w:hAnsi="Times New Roman"/>
                          <w:b/>
                          <w:color w:val="C00000"/>
                          <w:sz w:val="24"/>
                        </w:rPr>
                        <w:t xml:space="preserve">Directiva 2011/93/UE </w:t>
                      </w:r>
                      <w:r>
                        <w:rPr>
                          <w:rFonts w:ascii="Times New Roman" w:hAnsi="Times New Roman"/>
                          <w:color w:val="C00000"/>
                          <w:sz w:val="24"/>
                        </w:rPr>
                        <w:t>(233 400 de cereri, reprezentând 34 % din numărul de cereri adresate în alte scopuri decât procesele penale). În al doilea rând,</w:t>
                      </w:r>
                      <w:r>
                        <w:rPr>
                          <w:rFonts w:ascii="Times New Roman" w:hAnsi="Times New Roman"/>
                          <w:b/>
                          <w:color w:val="C00000"/>
                          <w:sz w:val="24"/>
                        </w:rPr>
                        <w:t xml:space="preserve"> numărul mare de cereri formulate de persoane fizice care doreau să obțină informații cu privire la propriile caziere judiciare</w:t>
                      </w:r>
                      <w:r>
                        <w:rPr>
                          <w:rFonts w:ascii="Times New Roman" w:hAnsi="Times New Roman"/>
                          <w:color w:val="C00000"/>
                          <w:sz w:val="24"/>
                        </w:rPr>
                        <w:t xml:space="preserve"> (380 400 de cereri, 55 %). În al treilea rând, </w:t>
                      </w:r>
                      <w:r>
                        <w:rPr>
                          <w:rFonts w:ascii="Times New Roman" w:hAnsi="Times New Roman"/>
                          <w:b/>
                          <w:color w:val="C00000"/>
                          <w:sz w:val="24"/>
                        </w:rPr>
                        <w:t>numărul aproape dublu de cereri generale în scopuri administrative</w:t>
                      </w:r>
                      <w:r>
                        <w:rPr>
                          <w:rFonts w:ascii="Times New Roman" w:hAnsi="Times New Roman"/>
                          <w:color w:val="C00000"/>
                          <w:sz w:val="24"/>
                        </w:rPr>
                        <w:t xml:space="preserve"> (34 100 de cereri, 5 %). </w:t>
                      </w:r>
                    </w:p>
                    <w:p w14:paraId="7B1B7EFB" w14:textId="77777777" w:rsidR="00466182" w:rsidRDefault="00466182" w:rsidP="00466182"/>
                  </w:txbxContent>
                </v:textbox>
                <w10:wrap type="square"/>
              </v:shape>
            </w:pict>
          </mc:Fallback>
        </mc:AlternateContent>
      </w:r>
      <w:r w:rsidR="00BF118B">
        <w:rPr>
          <w:rFonts w:ascii="Times New Roman" w:hAnsi="Times New Roman"/>
          <w:noProof/>
          <w:sz w:val="24"/>
        </w:rPr>
        <w:t xml:space="preserve">Statisticile arată, de asemenea, că </w:t>
      </w:r>
      <w:r w:rsidR="00BF118B">
        <w:rPr>
          <w:rFonts w:ascii="Times New Roman" w:hAnsi="Times New Roman"/>
          <w:b/>
          <w:noProof/>
          <w:sz w:val="24"/>
        </w:rPr>
        <w:t>mai multe state membre utilizează ECRIS exclusiv sau aproape exclusiv în scopul proceselor penale</w:t>
      </w:r>
      <w:r w:rsidR="00BF118B">
        <w:rPr>
          <w:rFonts w:ascii="Times New Roman" w:hAnsi="Times New Roman"/>
          <w:noProof/>
          <w:sz w:val="24"/>
        </w:rPr>
        <w:t xml:space="preserve"> (Belgia – 100 % din cererile adresate; Ungaria și Slovenia – 99 %; Croația și Luxemburg – 96 %; Irlanda – 93 %; Italia – 91 %; Slovacia – 86 %). Pe de altă parte, unele state membre solicită informații </w:t>
      </w:r>
      <w:r w:rsidR="00BF118B">
        <w:rPr>
          <w:rFonts w:ascii="Times New Roman" w:hAnsi="Times New Roman"/>
          <w:b/>
          <w:noProof/>
          <w:sz w:val="24"/>
        </w:rPr>
        <w:t>aproape exclusiv în alte scopuri decât procesele penale</w:t>
      </w:r>
      <w:r w:rsidR="00BF118B">
        <w:rPr>
          <w:rFonts w:ascii="Times New Roman" w:hAnsi="Times New Roman"/>
          <w:noProof/>
          <w:sz w:val="24"/>
        </w:rPr>
        <w:t xml:space="preserve"> (Spania – 97 % din cereri; Grecia – 93 %; Cehia – 88 %; Cipru – 97 % din cereri în 2022 și 2024). Ambele tendințe duc la o lipsă de informații vitale, care ar putea avea consecințe grave.</w:t>
      </w:r>
    </w:p>
    <w:p w14:paraId="7D561414" w14:textId="37971119" w:rsidR="008D3CBA" w:rsidRPr="008E6810" w:rsidRDefault="008E6810">
      <w:pPr>
        <w:rPr>
          <w:rFonts w:ascii="Times New Roman" w:hAnsi="Times New Roman" w:cs="Times New Roman"/>
          <w:b/>
          <w:noProof/>
          <w:sz w:val="24"/>
          <w:szCs w:val="24"/>
        </w:rPr>
      </w:pPr>
      <w:r>
        <w:rPr>
          <w:rFonts w:ascii="Times New Roman" w:hAnsi="Times New Roman"/>
          <w:b/>
          <w:noProof/>
          <w:sz w:val="24"/>
        </w:rPr>
        <w:t xml:space="preserve">2.9. Cererile privind resortisanții UE și </w:t>
      </w:r>
      <w:bookmarkEnd w:id="35"/>
      <w:r>
        <w:rPr>
          <w:rFonts w:ascii="Times New Roman" w:hAnsi="Times New Roman"/>
          <w:b/>
          <w:noProof/>
          <w:sz w:val="24"/>
        </w:rPr>
        <w:t>resortisanții țărilor terțe</w:t>
      </w:r>
    </w:p>
    <w:p w14:paraId="7D561415" w14:textId="6361245F" w:rsidR="008D3CBA" w:rsidRPr="00464550" w:rsidRDefault="00A81CAF">
      <w:pPr>
        <w:spacing w:after="0"/>
        <w:jc w:val="both"/>
        <w:rPr>
          <w:rFonts w:ascii="Times New Roman" w:hAnsi="Times New Roman" w:cs="Times New Roman"/>
          <w:noProof/>
          <w:sz w:val="24"/>
          <w:szCs w:val="24"/>
        </w:rPr>
      </w:pPr>
      <w:r>
        <w:rPr>
          <w:rFonts w:ascii="Times New Roman" w:hAnsi="Times New Roman"/>
          <w:noProof/>
          <w:sz w:val="24"/>
        </w:rPr>
        <w:t>Graficele de mai jos prezintă proporția cererilor privind resortisanții UE și cea a cererilor privind resortisanții țărilor terțe în perioada de raportare 2020-2024, pentru toată perioada și pentru fiecare an în parte</w:t>
      </w:r>
      <w:r>
        <w:rPr>
          <w:rStyle w:val="FootnoteReference"/>
          <w:rFonts w:ascii="Times New Roman" w:hAnsi="Times New Roman" w:cs="Times New Roman"/>
          <w:noProof/>
          <w:sz w:val="24"/>
          <w:szCs w:val="24"/>
        </w:rPr>
        <w:footnoteReference w:id="36"/>
      </w:r>
      <w:r>
        <w:rPr>
          <w:noProof/>
        </w:rPr>
        <w:t>.</w:t>
      </w:r>
    </w:p>
    <w:p w14:paraId="7D561419" w14:textId="65AC1D8D" w:rsidR="008D3CBA" w:rsidRPr="00464550" w:rsidRDefault="008D3CBA" w:rsidP="005D059A">
      <w:pPr>
        <w:contextualSpacing/>
        <w:rPr>
          <w:rFonts w:ascii="Times New Roman" w:hAnsi="Times New Roman" w:cs="Times New Roman"/>
          <w:noProof/>
          <w:sz w:val="24"/>
          <w:szCs w:val="24"/>
        </w:rPr>
      </w:pPr>
    </w:p>
    <w:p w14:paraId="6513F8E7" w14:textId="74D3A1B3" w:rsidR="002A0272" w:rsidRPr="00BC5124" w:rsidRDefault="00592CEE" w:rsidP="00C940F5">
      <w:pPr>
        <w:contextualSpacing/>
        <w:jc w:val="center"/>
        <w:rPr>
          <w:rFonts w:ascii="Times New Roman" w:hAnsi="Times New Roman" w:cs="Times New Roman"/>
          <w:noProof/>
          <w:sz w:val="24"/>
          <w:szCs w:val="24"/>
        </w:rPr>
      </w:pPr>
      <w:r>
        <w:rPr>
          <w:rFonts w:ascii="Times New Roman" w:hAnsi="Times New Roman" w:cs="Times New Roman"/>
          <w:noProof/>
          <w:sz w:val="24"/>
          <w:szCs w:val="24"/>
          <w:lang w:val="en-GB"/>
        </w:rPr>
        <w:drawing>
          <wp:inline distT="0" distB="0" distL="0" distR="0" wp14:anchorId="7BC08437" wp14:editId="7D565A50">
            <wp:extent cx="4638040" cy="3326997"/>
            <wp:effectExtent l="0" t="0" r="0" b="6985"/>
            <wp:docPr id="116977225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643566" cy="3330961"/>
                    </a:xfrm>
                    <a:prstGeom prst="rect">
                      <a:avLst/>
                    </a:prstGeom>
                    <a:noFill/>
                  </pic:spPr>
                </pic:pic>
              </a:graphicData>
            </a:graphic>
          </wp:inline>
        </w:drawing>
      </w:r>
    </w:p>
    <w:p w14:paraId="7ADBA346" w14:textId="77777777" w:rsidR="00B466EC" w:rsidRDefault="00B466EC">
      <w:pPr>
        <w:jc w:val="both"/>
        <w:rPr>
          <w:rFonts w:ascii="Times New Roman" w:hAnsi="Times New Roman" w:cs="Times New Roman"/>
          <w:noProof/>
          <w:sz w:val="24"/>
          <w:szCs w:val="24"/>
        </w:rPr>
      </w:pPr>
    </w:p>
    <w:p w14:paraId="1A0A16A5" w14:textId="04EEBE1E" w:rsidR="00C940F5" w:rsidRPr="00BC5124" w:rsidRDefault="00592CEE">
      <w:pPr>
        <w:jc w:val="both"/>
        <w:rPr>
          <w:rFonts w:ascii="Times New Roman" w:hAnsi="Times New Roman" w:cs="Times New Roman"/>
          <w:noProof/>
          <w:sz w:val="24"/>
          <w:szCs w:val="24"/>
        </w:rPr>
      </w:pPr>
      <w:r>
        <w:rPr>
          <w:rFonts w:ascii="Times New Roman" w:hAnsi="Times New Roman" w:cs="Times New Roman"/>
          <w:noProof/>
          <w:sz w:val="24"/>
          <w:szCs w:val="24"/>
          <w:lang w:val="en-GB"/>
        </w:rPr>
        <w:drawing>
          <wp:inline distT="0" distB="0" distL="0" distR="0" wp14:anchorId="78673EDE" wp14:editId="67CA36B1">
            <wp:extent cx="5709600" cy="4089600"/>
            <wp:effectExtent l="0" t="0" r="5715" b="6350"/>
            <wp:docPr id="66229442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09600" cy="4089600"/>
                    </a:xfrm>
                    <a:prstGeom prst="rect">
                      <a:avLst/>
                    </a:prstGeom>
                    <a:noFill/>
                  </pic:spPr>
                </pic:pic>
              </a:graphicData>
            </a:graphic>
          </wp:inline>
        </w:drawing>
      </w:r>
    </w:p>
    <w:p w14:paraId="7D56141B" w14:textId="0F2F9955" w:rsidR="008D3CBA" w:rsidRPr="00BC5124" w:rsidRDefault="00A81CAF">
      <w:pPr>
        <w:jc w:val="both"/>
        <w:rPr>
          <w:rFonts w:ascii="Times New Roman" w:hAnsi="Times New Roman" w:cs="Times New Roman"/>
          <w:noProof/>
          <w:sz w:val="24"/>
          <w:szCs w:val="24"/>
        </w:rPr>
      </w:pPr>
      <w:bookmarkStart w:id="36" w:name="_Hlk218764114"/>
      <w:r>
        <w:rPr>
          <w:rFonts w:ascii="Times New Roman" w:hAnsi="Times New Roman"/>
          <w:noProof/>
          <w:sz w:val="24"/>
        </w:rPr>
        <w:t>În medie,</w:t>
      </w:r>
      <w:r>
        <w:rPr>
          <w:rFonts w:ascii="Times New Roman" w:hAnsi="Times New Roman"/>
          <w:b/>
          <w:noProof/>
          <w:sz w:val="24"/>
        </w:rPr>
        <w:t xml:space="preserve"> 93 %</w:t>
      </w:r>
      <w:r>
        <w:rPr>
          <w:rFonts w:ascii="Times New Roman" w:hAnsi="Times New Roman"/>
          <w:noProof/>
          <w:sz w:val="24"/>
        </w:rPr>
        <w:t xml:space="preserve"> din numărul total de cereri trimise în perioada 2020-2024 au vizat </w:t>
      </w:r>
      <w:r>
        <w:rPr>
          <w:rFonts w:ascii="Times New Roman" w:hAnsi="Times New Roman"/>
          <w:b/>
          <w:noProof/>
          <w:sz w:val="24"/>
        </w:rPr>
        <w:t>resortisanți ai UE</w:t>
      </w:r>
      <w:r>
        <w:rPr>
          <w:rFonts w:ascii="Times New Roman" w:hAnsi="Times New Roman"/>
          <w:noProof/>
          <w:sz w:val="24"/>
        </w:rPr>
        <w:t xml:space="preserve"> și în jur de </w:t>
      </w:r>
      <w:r>
        <w:rPr>
          <w:rFonts w:ascii="Times New Roman" w:hAnsi="Times New Roman"/>
          <w:b/>
          <w:noProof/>
          <w:sz w:val="24"/>
        </w:rPr>
        <w:t xml:space="preserve">7 % </w:t>
      </w:r>
      <w:r>
        <w:rPr>
          <w:rFonts w:ascii="Times New Roman" w:hAnsi="Times New Roman"/>
          <w:noProof/>
          <w:sz w:val="24"/>
        </w:rPr>
        <w:t xml:space="preserve">(378 400 de cereri) </w:t>
      </w:r>
      <w:r>
        <w:rPr>
          <w:rFonts w:ascii="Times New Roman" w:hAnsi="Times New Roman"/>
          <w:b/>
          <w:noProof/>
          <w:sz w:val="24"/>
        </w:rPr>
        <w:t>au vizat resortisanți ai țărilor terțe</w:t>
      </w:r>
      <w:r>
        <w:rPr>
          <w:rFonts w:ascii="Times New Roman" w:hAnsi="Times New Roman"/>
          <w:noProof/>
          <w:sz w:val="24"/>
        </w:rPr>
        <w:t>. Rata cererilor pentru apatrizi a fost nesemnificativă (0,01 %, 550 de cereri).</w:t>
      </w:r>
    </w:p>
    <w:bookmarkEnd w:id="36"/>
    <w:p w14:paraId="7D56141C" w14:textId="7C283212" w:rsidR="008D3CBA" w:rsidRPr="00BC5124" w:rsidRDefault="001D2B03">
      <w:pPr>
        <w:jc w:val="both"/>
        <w:rPr>
          <w:rFonts w:ascii="Times New Roman" w:hAnsi="Times New Roman" w:cs="Times New Roman"/>
          <w:bCs/>
          <w:noProof/>
          <w:sz w:val="24"/>
          <w:szCs w:val="24"/>
        </w:rPr>
      </w:pPr>
      <w:r>
        <w:rPr>
          <w:rFonts w:ascii="Times New Roman" w:hAnsi="Times New Roman"/>
          <w:noProof/>
          <w:sz w:val="24"/>
        </w:rPr>
        <w:t xml:space="preserve">Deși </w:t>
      </w:r>
      <w:r>
        <w:rPr>
          <w:rFonts w:ascii="Times New Roman" w:hAnsi="Times New Roman"/>
          <w:b/>
          <w:noProof/>
          <w:sz w:val="24"/>
        </w:rPr>
        <w:t xml:space="preserve">procentul cererilor de informații privind resortisanții țărilor terțe </w:t>
      </w:r>
      <w:r>
        <w:rPr>
          <w:rFonts w:ascii="Times New Roman" w:hAnsi="Times New Roman"/>
          <w:noProof/>
          <w:sz w:val="24"/>
        </w:rPr>
        <w:t>s-a menținut la</w:t>
      </w:r>
      <w:r>
        <w:rPr>
          <w:rFonts w:ascii="Times New Roman" w:hAnsi="Times New Roman"/>
          <w:b/>
          <w:noProof/>
          <w:sz w:val="24"/>
        </w:rPr>
        <w:t xml:space="preserve"> același nivel </w:t>
      </w:r>
      <w:r>
        <w:rPr>
          <w:rFonts w:ascii="Times New Roman" w:hAnsi="Times New Roman"/>
          <w:noProof/>
          <w:sz w:val="24"/>
        </w:rPr>
        <w:t xml:space="preserve">începând din 2019, </w:t>
      </w:r>
      <w:r>
        <w:rPr>
          <w:rFonts w:ascii="Times New Roman" w:hAnsi="Times New Roman"/>
          <w:b/>
          <w:noProof/>
          <w:sz w:val="24"/>
        </w:rPr>
        <w:t xml:space="preserve">numărul efectiv de astfel de cereri a crescut </w:t>
      </w:r>
      <w:r>
        <w:rPr>
          <w:rFonts w:ascii="Times New Roman" w:hAnsi="Times New Roman"/>
          <w:noProof/>
          <w:sz w:val="24"/>
        </w:rPr>
        <w:t xml:space="preserve">în mod constant, ajungând la </w:t>
      </w:r>
      <w:r>
        <w:rPr>
          <w:rFonts w:ascii="Times New Roman" w:hAnsi="Times New Roman"/>
          <w:b/>
          <w:noProof/>
          <w:sz w:val="24"/>
        </w:rPr>
        <w:t>88 600 în 2024.</w:t>
      </w:r>
    </w:p>
    <w:p w14:paraId="7D56141D" w14:textId="66CEF485" w:rsidR="008D3CBA" w:rsidRDefault="00CE59F4">
      <w:pPr>
        <w:jc w:val="both"/>
        <w:rPr>
          <w:rFonts w:ascii="Times New Roman" w:hAnsi="Times New Roman"/>
          <w:noProof/>
          <w:sz w:val="24"/>
        </w:rPr>
      </w:pPr>
      <w:r>
        <w:rPr>
          <w:rFonts w:ascii="Times New Roman" w:hAnsi="Times New Roman"/>
          <w:noProof/>
          <w:sz w:val="24"/>
        </w:rPr>
        <w:t>În 2019 au fost adoptate acte legislative suplimentare</w:t>
      </w:r>
      <w:r>
        <w:rPr>
          <w:rStyle w:val="FootnoteReference"/>
          <w:rFonts w:ascii="Times New Roman" w:hAnsi="Times New Roman" w:cs="Times New Roman"/>
          <w:noProof/>
          <w:sz w:val="24"/>
          <w:szCs w:val="24"/>
        </w:rPr>
        <w:footnoteReference w:id="37"/>
      </w:r>
      <w:r>
        <w:rPr>
          <w:rFonts w:ascii="Times New Roman" w:hAnsi="Times New Roman"/>
          <w:noProof/>
          <w:sz w:val="24"/>
        </w:rPr>
        <w:t>, prin care a fost instituit un sistem centralizat, ECRIS-TCN, care permite determinarea eficientă a statelor membre care dețin informații privind cazierele judiciare ale resortisanților țărilor terțe care au fost condamnați în UE. După ce sistemul va deveni operațional, acesta va permite efectuarea prin ECRIS a unor schimburi mai eficiente de informații privind resortisanții țărilor terțe, fapt care se preconizează că va conduce la o creștere considerabilă a numărului de cereri de informații.</w:t>
      </w:r>
    </w:p>
    <w:p w14:paraId="07C1F8F5" w14:textId="2C877FCA" w:rsidR="00466182" w:rsidRPr="00BC5124" w:rsidRDefault="003F570E">
      <w:pPr>
        <w:jc w:val="both"/>
        <w:rPr>
          <w:rFonts w:ascii="Times New Roman" w:hAnsi="Times New Roman" w:cs="Times New Roman"/>
          <w:noProof/>
          <w:sz w:val="24"/>
          <w:szCs w:val="24"/>
        </w:rPr>
      </w:pPr>
      <w:r>
        <w:rPr>
          <w:rFonts w:ascii="Times New Roman" w:hAnsi="Times New Roman"/>
          <w:noProof/>
          <w:sz w:val="24"/>
          <w:lang w:val="en-GB"/>
        </w:rPr>
        <mc:AlternateContent>
          <mc:Choice Requires="wps">
            <w:drawing>
              <wp:anchor distT="45720" distB="45720" distL="114300" distR="114300" simplePos="0" relativeHeight="251689984" behindDoc="0" locked="0" layoutInCell="1" allowOverlap="1" wp14:anchorId="5A45A870" wp14:editId="15ED71CE">
                <wp:simplePos x="0" y="0"/>
                <wp:positionH relativeFrom="column">
                  <wp:posOffset>0</wp:posOffset>
                </wp:positionH>
                <wp:positionV relativeFrom="paragraph">
                  <wp:posOffset>299085</wp:posOffset>
                </wp:positionV>
                <wp:extent cx="5740400" cy="1377950"/>
                <wp:effectExtent l="0" t="0" r="12700" b="12700"/>
                <wp:wrapSquare wrapText="bothSides"/>
                <wp:docPr id="15348849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1377950"/>
                        </a:xfrm>
                        <a:prstGeom prst="rect">
                          <a:avLst/>
                        </a:prstGeom>
                        <a:solidFill>
                          <a:srgbClr val="FFFFFF"/>
                        </a:solidFill>
                        <a:ln w="9525">
                          <a:solidFill>
                            <a:srgbClr val="000000"/>
                          </a:solidFill>
                          <a:miter lim="800000"/>
                          <a:headEnd/>
                          <a:tailEnd/>
                        </a:ln>
                      </wps:spPr>
                      <wps:txbx>
                        <w:txbxContent>
                          <w:p w14:paraId="072437C2" w14:textId="77777777" w:rsidR="00466182" w:rsidRPr="00CE59F4" w:rsidRDefault="00466182" w:rsidP="00466182">
                            <w:pPr>
                              <w:pStyle w:val="ListParagraph"/>
                              <w:numPr>
                                <w:ilvl w:val="0"/>
                                <w:numId w:val="21"/>
                              </w:numPr>
                              <w:jc w:val="both"/>
                              <w:rPr>
                                <w:rFonts w:ascii="Times New Roman" w:hAnsi="Times New Roman" w:cs="Times New Roman"/>
                                <w:color w:val="C00000"/>
                                <w:sz w:val="24"/>
                                <w:szCs w:val="24"/>
                              </w:rPr>
                            </w:pPr>
                            <w:r>
                              <w:rPr>
                                <w:rFonts w:ascii="Times New Roman" w:hAnsi="Times New Roman"/>
                                <w:b/>
                                <w:color w:val="C00000"/>
                                <w:sz w:val="24"/>
                              </w:rPr>
                              <w:t>ECRIS continuă să fie utilizat rar pentru resortisanții țărilor terțe</w:t>
                            </w:r>
                          </w:p>
                          <w:p w14:paraId="137BB81D" w14:textId="77777777" w:rsidR="00466182" w:rsidRPr="00CE59F4" w:rsidRDefault="00466182" w:rsidP="00466182">
                            <w:pPr>
                              <w:jc w:val="both"/>
                              <w:rPr>
                                <w:rFonts w:ascii="Times New Roman" w:hAnsi="Times New Roman" w:cs="Times New Roman"/>
                                <w:color w:val="C00000"/>
                                <w:sz w:val="24"/>
                                <w:szCs w:val="24"/>
                                <w:u w:val="single"/>
                              </w:rPr>
                            </w:pPr>
                            <w:r>
                              <w:rPr>
                                <w:rFonts w:ascii="Times New Roman" w:hAnsi="Times New Roman"/>
                                <w:color w:val="C00000"/>
                                <w:sz w:val="24"/>
                              </w:rPr>
                              <w:t>În perioada 2020-2024, în medie, din numărul total de cereri</w:t>
                            </w:r>
                            <w:r>
                              <w:rPr>
                                <w:rFonts w:ascii="Times New Roman" w:hAnsi="Times New Roman"/>
                                <w:b/>
                                <w:color w:val="C00000"/>
                                <w:sz w:val="24"/>
                              </w:rPr>
                              <w:t xml:space="preserve"> 93 %</w:t>
                            </w:r>
                            <w:r>
                              <w:rPr>
                                <w:rFonts w:ascii="Times New Roman" w:hAnsi="Times New Roman"/>
                                <w:color w:val="C00000"/>
                                <w:sz w:val="24"/>
                              </w:rPr>
                              <w:t xml:space="preserve"> au vizat </w:t>
                            </w:r>
                            <w:r>
                              <w:rPr>
                                <w:rFonts w:ascii="Times New Roman" w:hAnsi="Times New Roman"/>
                                <w:b/>
                                <w:color w:val="C00000"/>
                                <w:sz w:val="24"/>
                              </w:rPr>
                              <w:t>resortisanți ai UE</w:t>
                            </w:r>
                            <w:r>
                              <w:rPr>
                                <w:rFonts w:ascii="Times New Roman" w:hAnsi="Times New Roman"/>
                                <w:color w:val="C00000"/>
                                <w:sz w:val="24"/>
                              </w:rPr>
                              <w:t xml:space="preserve"> și în jur de </w:t>
                            </w:r>
                            <w:r>
                              <w:rPr>
                                <w:rFonts w:ascii="Times New Roman" w:hAnsi="Times New Roman"/>
                                <w:b/>
                                <w:color w:val="C00000"/>
                                <w:sz w:val="24"/>
                              </w:rPr>
                              <w:t>7 % au vizat resortisanți ai țărilor terțe și apatrizi</w:t>
                            </w:r>
                            <w:r>
                              <w:rPr>
                                <w:rFonts w:ascii="Times New Roman" w:hAnsi="Times New Roman"/>
                                <w:color w:val="C00000"/>
                                <w:sz w:val="24"/>
                              </w:rPr>
                              <w:t xml:space="preserve">. Numărul de cereri de informații privind resortisanții țărilor terțe a </w:t>
                            </w:r>
                            <w:r>
                              <w:rPr>
                                <w:rFonts w:ascii="Times New Roman" w:hAnsi="Times New Roman"/>
                                <w:b/>
                                <w:color w:val="C00000"/>
                                <w:sz w:val="24"/>
                              </w:rPr>
                              <w:t>crescut</w:t>
                            </w:r>
                            <w:r>
                              <w:rPr>
                                <w:rFonts w:ascii="Times New Roman" w:hAnsi="Times New Roman"/>
                                <w:color w:val="C00000"/>
                                <w:sz w:val="24"/>
                              </w:rPr>
                              <w:t xml:space="preserve"> în mod constant din 2017, depășind </w:t>
                            </w:r>
                            <w:r>
                              <w:rPr>
                                <w:rFonts w:ascii="Times New Roman" w:hAnsi="Times New Roman"/>
                                <w:b/>
                                <w:color w:val="C00000"/>
                                <w:sz w:val="24"/>
                              </w:rPr>
                              <w:t>88 000 în 2024</w:t>
                            </w:r>
                            <w:r>
                              <w:rPr>
                                <w:rFonts w:ascii="Times New Roman" w:hAnsi="Times New Roman"/>
                                <w:color w:val="C00000"/>
                                <w:sz w:val="24"/>
                              </w:rPr>
                              <w:t xml:space="preserve">. Se preconizează că intrarea în funcțiune a sistemului </w:t>
                            </w:r>
                            <w:r>
                              <w:rPr>
                                <w:rFonts w:ascii="Times New Roman" w:hAnsi="Times New Roman"/>
                                <w:b/>
                                <w:color w:val="C00000"/>
                                <w:sz w:val="24"/>
                              </w:rPr>
                              <w:t>ECRIS-TCN</w:t>
                            </w:r>
                            <w:r>
                              <w:rPr>
                                <w:rFonts w:ascii="Times New Roman" w:hAnsi="Times New Roman"/>
                                <w:color w:val="C00000"/>
                                <w:sz w:val="24"/>
                              </w:rPr>
                              <w:t xml:space="preserve"> va conduce la o creștere considerabilă a numărului de schimburi de informații privind resortisanții țărilor terțe realizate prin ECRIS.</w:t>
                            </w:r>
                          </w:p>
                          <w:p w14:paraId="0C52F194" w14:textId="77777777" w:rsidR="00466182" w:rsidRDefault="00466182" w:rsidP="004661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45A870" id="_x0000_s1039" type="#_x0000_t202" style="position:absolute;left:0;text-align:left;margin-left:0;margin-top:23.55pt;width:452pt;height:108.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">
                <v:textbox>
                  <w:txbxContent>
                    <w:p w14:paraId="072437C2" w14:textId="77777777" w:rsidR="00466182" w:rsidRPr="00CE59F4" w:rsidRDefault="00466182" w:rsidP="00466182">
                      <w:pPr>
                        <w:pStyle w:val="ListParagraph"/>
                        <w:numPr>
                          <w:ilvl w:val="0"/>
                          <w:numId w:val="21"/>
                        </w:numPr>
                        <w:jc w:val="both"/>
                        <w:rPr>
                          <w:rFonts w:ascii="Times New Roman" w:hAnsi="Times New Roman" w:cs="Times New Roman"/>
                          <w:color w:val="C00000"/>
                          <w:sz w:val="24"/>
                          <w:szCs w:val="24"/>
                        </w:rPr>
                      </w:pPr>
                      <w:r>
                        <w:rPr>
                          <w:rFonts w:ascii="Times New Roman" w:hAnsi="Times New Roman"/>
                          <w:b/>
                          <w:color w:val="C00000"/>
                          <w:sz w:val="24"/>
                        </w:rPr>
                        <w:t>ECRIS continuă să fie utilizat rar pentru resortisanții țărilor terțe</w:t>
                      </w:r>
                    </w:p>
                    <w:p w14:paraId="137BB81D" w14:textId="77777777" w:rsidR="00466182" w:rsidRPr="00CE59F4" w:rsidRDefault="00466182" w:rsidP="00466182">
                      <w:pPr>
                        <w:jc w:val="both"/>
                        <w:rPr>
                          <w:rFonts w:ascii="Times New Roman" w:hAnsi="Times New Roman" w:cs="Times New Roman"/>
                          <w:color w:val="C00000"/>
                          <w:sz w:val="24"/>
                          <w:szCs w:val="24"/>
                          <w:u w:val="single"/>
                        </w:rPr>
                      </w:pPr>
                      <w:r>
                        <w:rPr>
                          <w:rFonts w:ascii="Times New Roman" w:hAnsi="Times New Roman"/>
                          <w:color w:val="C00000"/>
                          <w:sz w:val="24"/>
                        </w:rPr>
                        <w:t>În perioada 2020-2024, în medie, din numărul total de cereri</w:t>
                      </w:r>
                      <w:r>
                        <w:rPr>
                          <w:rFonts w:ascii="Times New Roman" w:hAnsi="Times New Roman"/>
                          <w:b/>
                          <w:color w:val="C00000"/>
                          <w:sz w:val="24"/>
                        </w:rPr>
                        <w:t xml:space="preserve"> 93 %</w:t>
                      </w:r>
                      <w:r>
                        <w:rPr>
                          <w:rFonts w:ascii="Times New Roman" w:hAnsi="Times New Roman"/>
                          <w:color w:val="C00000"/>
                          <w:sz w:val="24"/>
                        </w:rPr>
                        <w:t xml:space="preserve"> au vizat </w:t>
                      </w:r>
                      <w:r>
                        <w:rPr>
                          <w:rFonts w:ascii="Times New Roman" w:hAnsi="Times New Roman"/>
                          <w:b/>
                          <w:color w:val="C00000"/>
                          <w:sz w:val="24"/>
                        </w:rPr>
                        <w:t>resortisanți ai UE</w:t>
                      </w:r>
                      <w:r>
                        <w:rPr>
                          <w:rFonts w:ascii="Times New Roman" w:hAnsi="Times New Roman"/>
                          <w:color w:val="C00000"/>
                          <w:sz w:val="24"/>
                        </w:rPr>
                        <w:t xml:space="preserve"> și în jur de </w:t>
                      </w:r>
                      <w:r>
                        <w:rPr>
                          <w:rFonts w:ascii="Times New Roman" w:hAnsi="Times New Roman"/>
                          <w:b/>
                          <w:color w:val="C00000"/>
                          <w:sz w:val="24"/>
                        </w:rPr>
                        <w:t>7 % au vizat resortisanți ai țărilor terțe și apatrizi</w:t>
                      </w:r>
                      <w:r>
                        <w:rPr>
                          <w:rFonts w:ascii="Times New Roman" w:hAnsi="Times New Roman"/>
                          <w:color w:val="C00000"/>
                          <w:sz w:val="24"/>
                        </w:rPr>
                        <w:t xml:space="preserve">. Numărul de cereri de informații privind resortisanții țărilor terțe a </w:t>
                      </w:r>
                      <w:r>
                        <w:rPr>
                          <w:rFonts w:ascii="Times New Roman" w:hAnsi="Times New Roman"/>
                          <w:b/>
                          <w:color w:val="C00000"/>
                          <w:sz w:val="24"/>
                        </w:rPr>
                        <w:t>crescut</w:t>
                      </w:r>
                      <w:r>
                        <w:rPr>
                          <w:rFonts w:ascii="Times New Roman" w:hAnsi="Times New Roman"/>
                          <w:color w:val="C00000"/>
                          <w:sz w:val="24"/>
                        </w:rPr>
                        <w:t xml:space="preserve"> în mod constant din 2017, depășind </w:t>
                      </w:r>
                      <w:r>
                        <w:rPr>
                          <w:rFonts w:ascii="Times New Roman" w:hAnsi="Times New Roman"/>
                          <w:b/>
                          <w:color w:val="C00000"/>
                          <w:sz w:val="24"/>
                        </w:rPr>
                        <w:t>88 000 în 2024</w:t>
                      </w:r>
                      <w:r>
                        <w:rPr>
                          <w:rFonts w:ascii="Times New Roman" w:hAnsi="Times New Roman"/>
                          <w:color w:val="C00000"/>
                          <w:sz w:val="24"/>
                        </w:rPr>
                        <w:t xml:space="preserve">. Se preconizează că intrarea în funcțiune a sistemului </w:t>
                      </w:r>
                      <w:r>
                        <w:rPr>
                          <w:rFonts w:ascii="Times New Roman" w:hAnsi="Times New Roman"/>
                          <w:b/>
                          <w:color w:val="C00000"/>
                          <w:sz w:val="24"/>
                        </w:rPr>
                        <w:t>ECRIS-TCN</w:t>
                      </w:r>
                      <w:r>
                        <w:rPr>
                          <w:rFonts w:ascii="Times New Roman" w:hAnsi="Times New Roman"/>
                          <w:color w:val="C00000"/>
                          <w:sz w:val="24"/>
                        </w:rPr>
                        <w:t xml:space="preserve"> va conduce la o creștere considerabilă a numărului de schimburi de informații privind resortisanții țărilor terțe realizate prin ECRIS.</w:t>
                      </w:r>
                    </w:p>
                    <w:p w14:paraId="0C52F194" w14:textId="77777777" w:rsidR="00466182" w:rsidRDefault="00466182" w:rsidP="00466182"/>
                  </w:txbxContent>
                </v:textbox>
                <w10:wrap type="square"/>
              </v:shape>
            </w:pict>
          </mc:Fallback>
        </mc:AlternateContent>
      </w:r>
    </w:p>
    <w:p w14:paraId="7D56141F" w14:textId="09A8766A" w:rsidR="008D3CBA" w:rsidRPr="00BC5124" w:rsidRDefault="00FB606C">
      <w:pPr>
        <w:rPr>
          <w:rFonts w:ascii="Times New Roman" w:hAnsi="Times New Roman" w:cs="Times New Roman"/>
          <w:b/>
          <w:noProof/>
          <w:sz w:val="24"/>
          <w:szCs w:val="24"/>
        </w:rPr>
      </w:pPr>
      <w:bookmarkStart w:id="37" w:name="_Toc479267025"/>
      <w:r>
        <w:rPr>
          <w:rFonts w:ascii="Times New Roman" w:hAnsi="Times New Roman"/>
          <w:b/>
          <w:noProof/>
          <w:sz w:val="24"/>
        </w:rPr>
        <w:t>2.10.</w:t>
      </w:r>
      <w:bookmarkEnd w:id="37"/>
      <w:r>
        <w:rPr>
          <w:rFonts w:ascii="Times New Roman" w:hAnsi="Times New Roman"/>
          <w:b/>
          <w:noProof/>
          <w:sz w:val="24"/>
        </w:rPr>
        <w:t xml:space="preserve"> Răspunsurile care conțin informații referitoare la condamnări</w:t>
      </w:r>
    </w:p>
    <w:p w14:paraId="6AD2F73B" w14:textId="577DDD0C" w:rsidR="005408FB" w:rsidRDefault="00A763BE" w:rsidP="005D059A">
      <w:pPr>
        <w:jc w:val="both"/>
        <w:rPr>
          <w:rFonts w:ascii="Times New Roman" w:hAnsi="Times New Roman" w:cs="Times New Roman"/>
          <w:noProof/>
          <w:sz w:val="24"/>
          <w:szCs w:val="24"/>
        </w:rPr>
      </w:pPr>
      <w:r>
        <w:rPr>
          <w:rFonts w:ascii="Times New Roman" w:hAnsi="Times New Roman"/>
          <w:noProof/>
          <w:sz w:val="24"/>
        </w:rPr>
        <w:t>Graficele de mai jos prezintă proporția răspunsurilor la cereri care conțin informații privind una sau mai multe condamnări, a răspunsurilor lipsite de informații cu privire la condamnări, a cererilor respinse și a altor răspunsuri în perioada de raportare 2020-2024, pentru toată perioada și pentru fiecare an în parte</w:t>
      </w:r>
      <w:r>
        <w:rPr>
          <w:rStyle w:val="FootnoteReference"/>
          <w:rFonts w:ascii="Times New Roman" w:hAnsi="Times New Roman" w:cs="Times New Roman"/>
          <w:noProof/>
          <w:sz w:val="24"/>
          <w:szCs w:val="24"/>
        </w:rPr>
        <w:footnoteReference w:id="38"/>
      </w:r>
      <w:r>
        <w:rPr>
          <w:noProof/>
        </w:rPr>
        <w:t>.</w:t>
      </w:r>
    </w:p>
    <w:p w14:paraId="05F84B80" w14:textId="77777777" w:rsidR="004C35A4" w:rsidRPr="00464550" w:rsidRDefault="004C35A4" w:rsidP="004C35A4">
      <w:pPr>
        <w:contextualSpacing/>
        <w:rPr>
          <w:rFonts w:ascii="Times New Roman" w:hAnsi="Times New Roman" w:cs="Times New Roman"/>
          <w:noProof/>
          <w:sz w:val="24"/>
          <w:szCs w:val="24"/>
        </w:rPr>
      </w:pPr>
    </w:p>
    <w:p w14:paraId="130D9030" w14:textId="0BA3162E" w:rsidR="006702A6" w:rsidRPr="00BC5124" w:rsidRDefault="00466182">
      <w:pPr>
        <w:jc w:val="center"/>
        <w:rPr>
          <w:rFonts w:ascii="Times New Roman" w:hAnsi="Times New Roman" w:cs="Times New Roman"/>
          <w:noProof/>
          <w:sz w:val="24"/>
          <w:szCs w:val="24"/>
        </w:rPr>
      </w:pPr>
      <w:r>
        <w:rPr>
          <w:rFonts w:ascii="Times New Roman" w:hAnsi="Times New Roman" w:cs="Times New Roman"/>
          <w:noProof/>
          <w:sz w:val="24"/>
          <w:szCs w:val="24"/>
          <w:lang w:val="en-GB"/>
        </w:rPr>
        <w:drawing>
          <wp:inline distT="0" distB="0" distL="0" distR="0" wp14:anchorId="6AA12AD1" wp14:editId="1082F94F">
            <wp:extent cx="4506616" cy="3234055"/>
            <wp:effectExtent l="0" t="0" r="8255" b="4445"/>
            <wp:docPr id="77548952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10821" cy="3237073"/>
                    </a:xfrm>
                    <a:prstGeom prst="rect">
                      <a:avLst/>
                    </a:prstGeom>
                    <a:noFill/>
                  </pic:spPr>
                </pic:pic>
              </a:graphicData>
            </a:graphic>
          </wp:inline>
        </w:drawing>
      </w:r>
    </w:p>
    <w:p w14:paraId="2422AB1C" w14:textId="77777777" w:rsidR="006702A6" w:rsidRPr="00BC5124" w:rsidRDefault="006702A6">
      <w:pPr>
        <w:jc w:val="center"/>
        <w:rPr>
          <w:rFonts w:ascii="Times New Roman" w:hAnsi="Times New Roman" w:cs="Times New Roman"/>
          <w:noProof/>
          <w:sz w:val="24"/>
          <w:szCs w:val="24"/>
        </w:rPr>
      </w:pPr>
    </w:p>
    <w:p w14:paraId="5FB5C05B" w14:textId="11F44C65" w:rsidR="00B07533" w:rsidRPr="00BC5124" w:rsidRDefault="00466182" w:rsidP="00C940F5">
      <w:pPr>
        <w:rPr>
          <w:rFonts w:ascii="Times New Roman" w:hAnsi="Times New Roman" w:cs="Times New Roman"/>
          <w:noProof/>
          <w:sz w:val="24"/>
          <w:szCs w:val="24"/>
        </w:rPr>
      </w:pPr>
      <w:r>
        <w:rPr>
          <w:rFonts w:ascii="Times New Roman" w:hAnsi="Times New Roman" w:cs="Times New Roman"/>
          <w:noProof/>
          <w:sz w:val="24"/>
          <w:szCs w:val="24"/>
          <w:lang w:val="en-GB"/>
        </w:rPr>
        <w:drawing>
          <wp:inline distT="0" distB="0" distL="0" distR="0" wp14:anchorId="51371CA4" wp14:editId="402B4634">
            <wp:extent cx="5702400" cy="4107600"/>
            <wp:effectExtent l="0" t="0" r="0" b="7620"/>
            <wp:docPr id="96790884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02400" cy="4107600"/>
                    </a:xfrm>
                    <a:prstGeom prst="rect">
                      <a:avLst/>
                    </a:prstGeom>
                    <a:noFill/>
                  </pic:spPr>
                </pic:pic>
              </a:graphicData>
            </a:graphic>
          </wp:inline>
        </w:drawing>
      </w:r>
    </w:p>
    <w:p w14:paraId="5AF8E193" w14:textId="77777777" w:rsidR="004C35A4" w:rsidRDefault="005F52A5">
      <w:pPr>
        <w:jc w:val="both"/>
        <w:rPr>
          <w:rFonts w:ascii="Times New Roman" w:hAnsi="Times New Roman" w:cs="Times New Roman"/>
          <w:noProof/>
          <w:sz w:val="24"/>
          <w:szCs w:val="24"/>
        </w:rPr>
      </w:pPr>
      <w:bookmarkStart w:id="38" w:name="_Hlk218797816"/>
      <w:r>
        <w:rPr>
          <w:rFonts w:ascii="Times New Roman" w:hAnsi="Times New Roman"/>
          <w:noProof/>
          <w:sz w:val="24"/>
        </w:rPr>
        <w:t xml:space="preserve">În cei 13 ani de funcționare a ECRIS, </w:t>
      </w:r>
      <w:r>
        <w:rPr>
          <w:rFonts w:ascii="Times New Roman" w:hAnsi="Times New Roman"/>
          <w:b/>
          <w:noProof/>
          <w:sz w:val="24"/>
        </w:rPr>
        <w:t xml:space="preserve">în medie, 23 % din răspunsuri au cuprins informații cu privire la condamnări anterioare. </w:t>
      </w:r>
      <w:r>
        <w:rPr>
          <w:rFonts w:ascii="Times New Roman" w:hAnsi="Times New Roman"/>
          <w:noProof/>
          <w:sz w:val="24"/>
        </w:rPr>
        <w:t xml:space="preserve">Aceasta înseamnă că, în </w:t>
      </w:r>
      <w:r>
        <w:rPr>
          <w:rFonts w:ascii="Times New Roman" w:hAnsi="Times New Roman"/>
          <w:b/>
          <w:noProof/>
          <w:sz w:val="24"/>
        </w:rPr>
        <w:t>aproape un caz din patru, persoana în cauză fusese deja condamnată</w:t>
      </w:r>
      <w:r>
        <w:rPr>
          <w:rFonts w:ascii="Times New Roman" w:hAnsi="Times New Roman"/>
          <w:noProof/>
          <w:sz w:val="24"/>
        </w:rPr>
        <w:t xml:space="preserve"> o dată sau de mai multe ori, fiind dovedită astfel valoarea ECRIS ca instrument de obținere a informațiilor cu privire la cazierele judiciare.</w:t>
      </w:r>
    </w:p>
    <w:p w14:paraId="7D561426" w14:textId="1FEA7A40" w:rsidR="002A1630" w:rsidRPr="00BC5124" w:rsidRDefault="00E613E1">
      <w:pPr>
        <w:jc w:val="both"/>
        <w:rPr>
          <w:rFonts w:ascii="Times New Roman" w:hAnsi="Times New Roman" w:cs="Times New Roman"/>
          <w:noProof/>
          <w:sz w:val="24"/>
          <w:szCs w:val="24"/>
        </w:rPr>
      </w:pPr>
      <w:r>
        <w:rPr>
          <w:rFonts w:ascii="Times New Roman" w:hAnsi="Times New Roman"/>
          <w:noProof/>
          <w:sz w:val="24"/>
        </w:rPr>
        <w:t xml:space="preserve">Acest procent s-a menținut timp de mulți ani la un nivel stabil de aproximativ 30 %, pentru ca </w:t>
      </w:r>
      <w:r>
        <w:rPr>
          <w:rFonts w:ascii="Times New Roman" w:hAnsi="Times New Roman"/>
          <w:b/>
          <w:noProof/>
          <w:sz w:val="24"/>
        </w:rPr>
        <w:t xml:space="preserve">în 2019 să scadă brusc la 19 % </w:t>
      </w:r>
      <w:r>
        <w:rPr>
          <w:rFonts w:ascii="Times New Roman" w:hAnsi="Times New Roman"/>
          <w:noProof/>
          <w:sz w:val="24"/>
        </w:rPr>
        <w:t>și apoi la</w:t>
      </w:r>
      <w:r>
        <w:rPr>
          <w:rFonts w:ascii="Times New Roman" w:hAnsi="Times New Roman"/>
          <w:b/>
          <w:noProof/>
          <w:sz w:val="24"/>
        </w:rPr>
        <w:t xml:space="preserve"> 16,6 % în 2024</w:t>
      </w:r>
      <w:r>
        <w:rPr>
          <w:rFonts w:ascii="Times New Roman" w:hAnsi="Times New Roman"/>
          <w:noProof/>
          <w:sz w:val="24"/>
        </w:rPr>
        <w:t xml:space="preserve">, în paralel cu creșterea spectaculoasă a numărului de cereri adresate în alte scopuri decât procesele penale. Este un </w:t>
      </w:r>
      <w:r>
        <w:rPr>
          <w:rFonts w:ascii="Times New Roman" w:hAnsi="Times New Roman"/>
          <w:b/>
          <w:noProof/>
          <w:sz w:val="24"/>
        </w:rPr>
        <w:t>semn pozitiv</w:t>
      </w:r>
      <w:r>
        <w:rPr>
          <w:rFonts w:ascii="Times New Roman" w:hAnsi="Times New Roman"/>
          <w:noProof/>
          <w:sz w:val="24"/>
        </w:rPr>
        <w:t xml:space="preserve"> că majoritatea persoanelor care au făcut obiectul unor cereri de informații legate, de exemplu, de verificarea în vederea recrutării, de obținerea unei autorizații sau de proceduri administrative nu au avut condamnări anterioare.</w:t>
      </w:r>
    </w:p>
    <w:p w14:paraId="6D923844" w14:textId="60AB4BC6" w:rsidR="00776701" w:rsidRPr="00457386" w:rsidRDefault="004C35A4" w:rsidP="00200526">
      <w:pPr>
        <w:contextualSpacing/>
        <w:jc w:val="both"/>
        <w:rPr>
          <w:rFonts w:ascii="Times New Roman" w:hAnsi="Times New Roman" w:cs="Times New Roman"/>
          <w:noProof/>
          <w:sz w:val="24"/>
          <w:szCs w:val="24"/>
        </w:rPr>
      </w:pPr>
      <w:r>
        <w:rPr>
          <w:rStyle w:val="Hyperlink"/>
          <w:rFonts w:ascii="Times New Roman" w:hAnsi="Times New Roman"/>
          <w:noProof/>
          <w:color w:val="auto"/>
          <w:sz w:val="24"/>
          <w:u w:val="none"/>
          <w:lang w:val="en-GB"/>
        </w:rPr>
        <mc:AlternateContent>
          <mc:Choice Requires="wps">
            <w:drawing>
              <wp:anchor distT="45720" distB="45720" distL="114300" distR="114300" simplePos="0" relativeHeight="251656704" behindDoc="0" locked="0" layoutInCell="1" allowOverlap="1" wp14:anchorId="7A873474" wp14:editId="1688EE05">
                <wp:simplePos x="0" y="0"/>
                <wp:positionH relativeFrom="column">
                  <wp:posOffset>1270</wp:posOffset>
                </wp:positionH>
                <wp:positionV relativeFrom="paragraph">
                  <wp:posOffset>873760</wp:posOffset>
                </wp:positionV>
                <wp:extent cx="5778500" cy="1930400"/>
                <wp:effectExtent l="0" t="0" r="12700" b="12700"/>
                <wp:wrapSquare wrapText="bothSides"/>
                <wp:docPr id="17938208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0" cy="1930400"/>
                        </a:xfrm>
                        <a:prstGeom prst="rect">
                          <a:avLst/>
                        </a:prstGeom>
                        <a:solidFill>
                          <a:srgbClr val="FFFFFF"/>
                        </a:solidFill>
                        <a:ln w="9525">
                          <a:solidFill>
                            <a:srgbClr val="000000"/>
                          </a:solidFill>
                          <a:miter lim="800000"/>
                          <a:headEnd/>
                          <a:tailEnd/>
                        </a:ln>
                      </wps:spPr>
                      <wps:txbx>
                        <w:txbxContent>
                          <w:p w14:paraId="480127ED" w14:textId="4756E270" w:rsidR="00CE59F4" w:rsidRPr="00C940F5" w:rsidRDefault="00CE59F4" w:rsidP="00C940F5">
                            <w:pPr>
                              <w:pStyle w:val="ListParagraph"/>
                              <w:numPr>
                                <w:ilvl w:val="0"/>
                                <w:numId w:val="21"/>
                              </w:numPr>
                              <w:jc w:val="both"/>
                              <w:rPr>
                                <w:rFonts w:ascii="Times New Roman" w:hAnsi="Times New Roman"/>
                                <w:b/>
                                <w:color w:val="C00000"/>
                                <w:sz w:val="24"/>
                              </w:rPr>
                            </w:pPr>
                            <w:r>
                              <w:rPr>
                                <w:rFonts w:ascii="Times New Roman" w:hAnsi="Times New Roman"/>
                                <w:b/>
                                <w:color w:val="C00000"/>
                                <w:sz w:val="24"/>
                              </w:rPr>
                              <w:t>Doar 16,6 % din răspunsuri au cuprins informații cu privire la condamnări penale anterioare</w:t>
                            </w:r>
                          </w:p>
                          <w:p w14:paraId="6F6588A2" w14:textId="3F43C187" w:rsidR="00CE59F4" w:rsidRPr="00CE59F4" w:rsidRDefault="00BE393F" w:rsidP="00C940F5">
                            <w:pPr>
                              <w:ind w:left="360"/>
                              <w:jc w:val="both"/>
                              <w:rPr>
                                <w:rFonts w:ascii="Times New Roman" w:hAnsi="Times New Roman" w:cs="Times New Roman"/>
                                <w:b/>
                                <w:color w:val="C00000"/>
                                <w:sz w:val="24"/>
                                <w:szCs w:val="24"/>
                              </w:rPr>
                            </w:pPr>
                            <w:r>
                              <w:rPr>
                                <w:rFonts w:ascii="Times New Roman" w:hAnsi="Times New Roman"/>
                                <w:color w:val="C00000"/>
                                <w:sz w:val="24"/>
                              </w:rPr>
                              <w:t xml:space="preserve">În cei 13 ani de funcționare a ECRIS, în medie, </w:t>
                            </w:r>
                            <w:r>
                              <w:rPr>
                                <w:rFonts w:ascii="Times New Roman" w:hAnsi="Times New Roman"/>
                                <w:b/>
                                <w:color w:val="C00000"/>
                                <w:sz w:val="24"/>
                              </w:rPr>
                              <w:t>23 % din răspunsurile la cererile de informații au cuprins informații cu privire la condamnări penale anterioare</w:t>
                            </w:r>
                            <w:r>
                              <w:rPr>
                                <w:rFonts w:ascii="Times New Roman" w:hAnsi="Times New Roman"/>
                                <w:color w:val="C00000"/>
                                <w:sz w:val="24"/>
                              </w:rPr>
                              <w:t xml:space="preserve"> ale persoanei în cauză. Odată cu creșterea spectaculoasă, începând din 2019, a numărului de cereri adresate în alte scopuri decât procesele penale, răspunsurile la acestea neevidențiind, de obicei, condamnări anterioare ale persoanelor în cauză, </w:t>
                            </w:r>
                            <w:r>
                              <w:rPr>
                                <w:rFonts w:ascii="Times New Roman" w:hAnsi="Times New Roman"/>
                                <w:b/>
                                <w:color w:val="C00000"/>
                                <w:sz w:val="24"/>
                              </w:rPr>
                              <w:t>acest procent a continuat să scadă, ajungând la 16,6 % în 2024</w:t>
                            </w:r>
                            <w:r>
                              <w:rPr>
                                <w:rFonts w:ascii="Times New Roman" w:hAnsi="Times New Roman"/>
                                <w:color w:val="C00000"/>
                                <w:sz w:val="24"/>
                              </w:rPr>
                              <w:t xml:space="preserve">. Cu toate acestea, peste </w:t>
                            </w:r>
                            <w:r>
                              <w:rPr>
                                <w:rFonts w:ascii="Times New Roman" w:hAnsi="Times New Roman"/>
                                <w:b/>
                                <w:color w:val="C00000"/>
                                <w:sz w:val="24"/>
                              </w:rPr>
                              <w:t>197 000 de răspunsuri</w:t>
                            </w:r>
                            <w:r>
                              <w:rPr>
                                <w:rFonts w:ascii="Times New Roman" w:hAnsi="Times New Roman"/>
                                <w:color w:val="C00000"/>
                                <w:sz w:val="24"/>
                              </w:rPr>
                              <w:t xml:space="preserve"> furnizate în anul respectiv conțineau informații cu privire la condamnări anterioare.</w:t>
                            </w:r>
                            <w:r>
                              <w:rPr>
                                <w:rFonts w:ascii="Times New Roman" w:hAnsi="Times New Roman"/>
                                <w:b/>
                                <w:color w:val="C00000"/>
                                <w:sz w:val="24"/>
                              </w:rPr>
                              <w:t xml:space="preserve"> </w:t>
                            </w:r>
                          </w:p>
                          <w:p w14:paraId="563169F3" w14:textId="79979A23" w:rsidR="00CE59F4" w:rsidRDefault="00CE59F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873474" id="_x0000_s1040" type="#_x0000_t202" style="position:absolute;left:0;text-align:left;margin-left:.1pt;margin-top:68.8pt;width:455pt;height:152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">
                <v:textbox>
                  <w:txbxContent>
                    <w:p w14:paraId="480127ED" w14:textId="4756E270" w:rsidR="00CE59F4" w:rsidRPr="00C940F5" w:rsidRDefault="00CE59F4" w:rsidP="00C940F5">
                      <w:pPr>
                        <w:pStyle w:val="ListParagraph"/>
                        <w:numPr>
                          <w:ilvl w:val="0"/>
                          <w:numId w:val="21"/>
                        </w:numPr>
                        <w:jc w:val="both"/>
                        <w:rPr>
                          <w:rFonts w:ascii="Times New Roman" w:hAnsi="Times New Roman"/>
                          <w:b/>
                          <w:color w:val="C00000"/>
                          <w:sz w:val="24"/>
                        </w:rPr>
                      </w:pPr>
                      <w:r>
                        <w:rPr>
                          <w:rFonts w:ascii="Times New Roman" w:hAnsi="Times New Roman"/>
                          <w:b/>
                          <w:color w:val="C00000"/>
                          <w:sz w:val="24"/>
                        </w:rPr>
                        <w:t>Doar 16,6 % din răspunsuri au cuprins informații cu privire la condamnări penale anterioare</w:t>
                      </w:r>
                    </w:p>
                    <w:p w14:paraId="6F6588A2" w14:textId="3F43C187" w:rsidR="00CE59F4" w:rsidRPr="00CE59F4" w:rsidRDefault="00BE393F" w:rsidP="00C940F5">
                      <w:pPr>
                        <w:ind w:left="360"/>
                        <w:jc w:val="both"/>
                        <w:rPr>
                          <w:rFonts w:ascii="Times New Roman" w:hAnsi="Times New Roman" w:cs="Times New Roman"/>
                          <w:b/>
                          <w:color w:val="C00000"/>
                          <w:sz w:val="24"/>
                          <w:szCs w:val="24"/>
                        </w:rPr>
                      </w:pPr>
                      <w:r>
                        <w:rPr>
                          <w:rFonts w:ascii="Times New Roman" w:hAnsi="Times New Roman"/>
                          <w:color w:val="C00000"/>
                          <w:sz w:val="24"/>
                        </w:rPr>
                        <w:t xml:space="preserve">În cei 13 ani de funcționare a ECRIS, în medie, </w:t>
                      </w:r>
                      <w:r>
                        <w:rPr>
                          <w:rFonts w:ascii="Times New Roman" w:hAnsi="Times New Roman"/>
                          <w:b/>
                          <w:color w:val="C00000"/>
                          <w:sz w:val="24"/>
                        </w:rPr>
                        <w:t>23 % din răspunsurile la cererile de informații au cuprins informații cu privire la condamnări penale anterioare</w:t>
                      </w:r>
                      <w:r>
                        <w:rPr>
                          <w:rFonts w:ascii="Times New Roman" w:hAnsi="Times New Roman"/>
                          <w:color w:val="C00000"/>
                          <w:sz w:val="24"/>
                        </w:rPr>
                        <w:t xml:space="preserve"> ale persoanei în cauză. Odată cu creșterea spectaculoasă, începând din 2019, a numărului de cereri adresate în alte scopuri decât procesele penale, răspunsurile la acestea neevidențiind, de obicei, condamnări anterioare ale persoanelor în cauză, </w:t>
                      </w:r>
                      <w:r>
                        <w:rPr>
                          <w:rFonts w:ascii="Times New Roman" w:hAnsi="Times New Roman"/>
                          <w:b/>
                          <w:color w:val="C00000"/>
                          <w:sz w:val="24"/>
                        </w:rPr>
                        <w:t>acest procent a continuat să scadă, ajungând la 16,6 % în 2024</w:t>
                      </w:r>
                      <w:r>
                        <w:rPr>
                          <w:rFonts w:ascii="Times New Roman" w:hAnsi="Times New Roman"/>
                          <w:color w:val="C00000"/>
                          <w:sz w:val="24"/>
                        </w:rPr>
                        <w:t xml:space="preserve">. Cu toate acestea, peste </w:t>
                      </w:r>
                      <w:r>
                        <w:rPr>
                          <w:rFonts w:ascii="Times New Roman" w:hAnsi="Times New Roman"/>
                          <w:b/>
                          <w:color w:val="C00000"/>
                          <w:sz w:val="24"/>
                        </w:rPr>
                        <w:t>197 000 de răspunsuri</w:t>
                      </w:r>
                      <w:r>
                        <w:rPr>
                          <w:rFonts w:ascii="Times New Roman" w:hAnsi="Times New Roman"/>
                          <w:color w:val="C00000"/>
                          <w:sz w:val="24"/>
                        </w:rPr>
                        <w:t xml:space="preserve"> furnizate în anul respectiv conțineau informații cu privire la condamnări anterioare.</w:t>
                      </w:r>
                      <w:r>
                        <w:rPr>
                          <w:rFonts w:ascii="Times New Roman" w:hAnsi="Times New Roman"/>
                          <w:b/>
                          <w:color w:val="C00000"/>
                          <w:sz w:val="24"/>
                        </w:rPr>
                        <w:t xml:space="preserve"> </w:t>
                      </w:r>
                    </w:p>
                    <w:p w14:paraId="563169F3" w14:textId="79979A23" w:rsidR="00CE59F4" w:rsidRDefault="00CE59F4"/>
                  </w:txbxContent>
                </v:textbox>
                <w10:wrap type="square"/>
              </v:shape>
            </w:pict>
          </mc:Fallback>
        </mc:AlternateContent>
      </w:r>
      <w:r>
        <w:rPr>
          <w:rFonts w:ascii="Times New Roman" w:hAnsi="Times New Roman"/>
          <w:noProof/>
          <w:sz w:val="24"/>
        </w:rPr>
        <w:t xml:space="preserve">În </w:t>
      </w:r>
      <w:r>
        <w:rPr>
          <w:rFonts w:ascii="Times New Roman" w:hAnsi="Times New Roman"/>
          <w:b/>
          <w:noProof/>
          <w:sz w:val="24"/>
        </w:rPr>
        <w:t xml:space="preserve">2024, 197 600 </w:t>
      </w:r>
      <w:r>
        <w:rPr>
          <w:rFonts w:ascii="Times New Roman" w:hAnsi="Times New Roman"/>
          <w:noProof/>
          <w:sz w:val="24"/>
        </w:rPr>
        <w:t>din toate răspunsurile la cererile de informații</w:t>
      </w:r>
      <w:r>
        <w:rPr>
          <w:rFonts w:ascii="Times New Roman" w:hAnsi="Times New Roman"/>
          <w:b/>
          <w:noProof/>
          <w:sz w:val="24"/>
        </w:rPr>
        <w:t xml:space="preserve"> includeau informații referitoare la condamnări</w:t>
      </w:r>
      <w:r>
        <w:rPr>
          <w:rFonts w:ascii="Times New Roman" w:hAnsi="Times New Roman"/>
          <w:noProof/>
          <w:sz w:val="24"/>
        </w:rPr>
        <w:t xml:space="preserve"> (în creștere de la 188 000 în 2019).</w:t>
      </w:r>
      <w:r>
        <w:rPr>
          <w:rFonts w:ascii="Times New Roman" w:hAnsi="Times New Roman"/>
          <w:b/>
          <w:noProof/>
          <w:sz w:val="24"/>
        </w:rPr>
        <w:t xml:space="preserve"> </w:t>
      </w:r>
      <w:r>
        <w:rPr>
          <w:rFonts w:ascii="Times New Roman" w:hAnsi="Times New Roman"/>
          <w:noProof/>
          <w:sz w:val="24"/>
        </w:rPr>
        <w:t>Răspunsurile lipsite de informații cu privire la condamnări au reprezentat 78 % din numărul total de răspunsuri, iar alte răspunsuri și cererile respinse 5 %.</w:t>
      </w:r>
      <w:bookmarkStart w:id="39" w:name="_Toc479267027"/>
      <w:bookmarkStart w:id="40" w:name="_Toc479267028"/>
      <w:bookmarkStart w:id="41" w:name="_Toc479267029"/>
      <w:bookmarkStart w:id="42" w:name="_Toc479267030"/>
      <w:bookmarkStart w:id="43" w:name="_Toc479267031"/>
      <w:bookmarkStart w:id="44" w:name="_Toc479267032"/>
      <w:bookmarkStart w:id="45" w:name="_Toc479267033"/>
      <w:bookmarkStart w:id="46" w:name="_Toc479267034"/>
      <w:bookmarkStart w:id="47" w:name="_Toc479267035"/>
      <w:bookmarkStart w:id="48" w:name="_Toc479267036"/>
      <w:bookmarkStart w:id="49" w:name="_Toc479267037"/>
      <w:bookmarkStart w:id="50" w:name="_Toc479267038"/>
      <w:bookmarkStart w:id="51" w:name="_Toc479267039"/>
      <w:bookmarkStart w:id="52" w:name="_Toc479267040"/>
      <w:bookmarkStart w:id="53" w:name="_Toc479267041"/>
      <w:bookmarkStart w:id="54" w:name="_Toc479267042"/>
      <w:bookmarkStart w:id="55" w:name="_Toc479267043"/>
      <w:bookmarkStart w:id="56" w:name="_Toc479267044"/>
      <w:bookmarkStart w:id="57" w:name="_Toc479267045"/>
      <w:bookmarkStart w:id="58" w:name="_Toc479267046"/>
      <w:bookmarkStart w:id="59" w:name="_Toc479267047"/>
      <w:bookmarkStart w:id="60" w:name="_Toc479267048"/>
      <w:bookmarkStart w:id="61" w:name="_Toc479267049"/>
      <w:bookmarkStart w:id="62" w:name="_Toc479267050"/>
      <w:bookmarkStart w:id="63" w:name="_Toc479267051"/>
      <w:bookmarkStart w:id="64" w:name="_Toc479267052"/>
      <w:bookmarkStart w:id="65" w:name="_Toc479267053"/>
      <w:bookmarkStart w:id="66" w:name="_Toc479267054"/>
      <w:bookmarkStart w:id="67" w:name="_Toc479267055"/>
      <w:bookmarkStart w:id="68" w:name="_Toc479267056"/>
      <w:bookmarkStart w:id="69" w:name="_Toc479267057"/>
      <w:bookmarkStart w:id="70" w:name="_Toc479267058"/>
      <w:bookmarkStart w:id="71" w:name="_Toc479267059"/>
      <w:bookmarkStart w:id="72" w:name="_Toc479267060"/>
      <w:bookmarkStart w:id="73" w:name="_Toc479267061"/>
      <w:bookmarkStart w:id="74" w:name="_Toc479267062"/>
      <w:bookmarkStart w:id="75" w:name="_Toc479267063"/>
      <w:bookmarkStart w:id="76" w:name="_Toc479267064"/>
      <w:bookmarkStart w:id="77" w:name="_Toc479267065"/>
      <w:bookmarkStart w:id="78" w:name="_Toc479267066"/>
      <w:bookmarkStart w:id="79" w:name="_Toc479267067"/>
      <w:bookmarkStart w:id="80" w:name="_Toc479267068"/>
      <w:bookmarkStart w:id="81" w:name="_Toc479267069"/>
      <w:bookmarkStart w:id="82" w:name="_Toc479267070"/>
      <w:bookmarkStart w:id="83" w:name="_Toc479267071"/>
      <w:bookmarkStart w:id="84" w:name="_Toc479267072"/>
      <w:bookmarkStart w:id="85" w:name="_Toc479267073"/>
      <w:bookmarkStart w:id="86" w:name="_Toc479267074"/>
      <w:bookmarkStart w:id="87" w:name="_Toc479267075"/>
      <w:bookmarkStart w:id="88" w:name="_Toc479267076"/>
      <w:bookmarkStart w:id="89" w:name="_Toc479267077"/>
      <w:bookmarkStart w:id="90" w:name="_Toc479267078"/>
      <w:bookmarkStart w:id="91" w:name="_Toc479267079"/>
      <w:bookmarkStart w:id="92" w:name="_Toc479267080"/>
      <w:bookmarkStart w:id="93" w:name="_Toc479267081"/>
      <w:bookmarkStart w:id="94" w:name="_Toc479267082"/>
      <w:bookmarkStart w:id="95" w:name="_Toc479267083"/>
      <w:bookmarkStart w:id="96" w:name="_Toc479267084"/>
      <w:bookmarkStart w:id="97" w:name="_Toc479267085"/>
      <w:bookmarkStart w:id="98" w:name="_Toc479267086"/>
      <w:bookmarkStart w:id="99" w:name="_Toc479267087"/>
      <w:bookmarkStart w:id="100" w:name="_Toc479267088"/>
      <w:bookmarkStart w:id="101" w:name="_Toc479267089"/>
      <w:bookmarkStart w:id="102" w:name="_Toc479267090"/>
      <w:bookmarkStart w:id="103" w:name="_Toc479267091"/>
      <w:bookmarkStart w:id="104" w:name="_Toc479267092"/>
      <w:bookmarkStart w:id="105" w:name="_Toc479267093"/>
      <w:bookmarkStart w:id="106" w:name="_Toc479267094"/>
      <w:bookmarkStart w:id="107" w:name="_Toc479267095"/>
      <w:bookmarkStart w:id="108" w:name="_Toc479267096"/>
      <w:bookmarkStart w:id="109" w:name="_Toc479267097"/>
      <w:bookmarkStart w:id="110" w:name="_Toc479267098"/>
      <w:bookmarkStart w:id="111" w:name="_Toc479267099"/>
      <w:bookmarkStart w:id="112" w:name="_Toc479267100"/>
      <w:bookmarkStart w:id="113" w:name="_Toc479267101"/>
      <w:bookmarkStart w:id="114" w:name="_Toc479267102"/>
      <w:bookmarkStart w:id="115" w:name="_Toc479267103"/>
      <w:bookmarkStart w:id="116" w:name="_Toc479267104"/>
      <w:bookmarkStart w:id="117" w:name="_Toc479267105"/>
      <w:bookmarkStart w:id="118" w:name="_Toc479267106"/>
      <w:bookmarkStart w:id="119" w:name="_Toc479267107"/>
      <w:bookmarkStart w:id="120" w:name="_Toc479267108"/>
      <w:bookmarkStart w:id="121" w:name="_Toc479267109"/>
      <w:bookmarkStart w:id="122" w:name="_Toc479267110"/>
      <w:bookmarkStart w:id="123" w:name="_Toc479267111"/>
      <w:bookmarkStart w:id="124" w:name="_Toc479267112"/>
      <w:bookmarkStart w:id="125" w:name="_Toc479267113"/>
      <w:bookmarkStart w:id="126" w:name="_Toc479267114"/>
      <w:bookmarkStart w:id="127" w:name="_Toc479267115"/>
      <w:bookmarkStart w:id="128" w:name="_Toc479267116"/>
      <w:bookmarkStart w:id="129" w:name="_Toc479267117"/>
      <w:bookmarkStart w:id="130" w:name="_Toc479267118"/>
      <w:bookmarkStart w:id="131" w:name="_Toc479267119"/>
      <w:bookmarkStart w:id="132" w:name="_Toc479267120"/>
      <w:bookmarkStart w:id="133" w:name="_Toc479267121"/>
      <w:bookmarkStart w:id="134" w:name="_Toc479267122"/>
      <w:bookmarkStart w:id="135" w:name="_Toc479267123"/>
      <w:bookmarkStart w:id="136" w:name="_Toc479267124"/>
      <w:bookmarkStart w:id="137" w:name="_Toc479267125"/>
      <w:bookmarkStart w:id="138" w:name="_Toc479267126"/>
      <w:bookmarkStart w:id="139" w:name="_Toc479267127"/>
      <w:bookmarkStart w:id="140" w:name="_Toc479267128"/>
      <w:bookmarkStart w:id="141" w:name="_Toc479267129"/>
      <w:bookmarkStart w:id="142" w:name="_Toc479267130"/>
      <w:bookmarkStart w:id="143" w:name="_Toc479267131"/>
      <w:bookmarkStart w:id="144" w:name="_Toc479267132"/>
      <w:bookmarkStart w:id="145" w:name="_Toc479267133"/>
      <w:bookmarkStart w:id="146" w:name="_Toc479267134"/>
      <w:bookmarkStart w:id="147" w:name="_Toc479267135"/>
      <w:bookmarkStart w:id="148" w:name="_Toc479267136"/>
      <w:bookmarkStart w:id="149" w:name="_Toc479267137"/>
      <w:bookmarkStart w:id="150" w:name="_Toc479267138"/>
      <w:bookmarkStart w:id="151" w:name="_Toc479267139"/>
      <w:bookmarkStart w:id="152" w:name="_Toc479267140"/>
      <w:bookmarkStart w:id="153" w:name="_Toc479267141"/>
      <w:bookmarkStart w:id="154" w:name="_Toc479267142"/>
      <w:bookmarkStart w:id="155" w:name="_Toc479267143"/>
      <w:bookmarkStart w:id="156" w:name="_Toc479267144"/>
      <w:bookmarkStart w:id="157" w:name="_Toc479267145"/>
      <w:bookmarkStart w:id="158" w:name="_Toc479267146"/>
      <w:bookmarkStart w:id="159" w:name="_Toc479267147"/>
      <w:bookmarkStart w:id="160" w:name="_Toc479267148"/>
      <w:bookmarkStart w:id="161" w:name="_Toc479267149"/>
      <w:bookmarkStart w:id="162" w:name="_Toc479267150"/>
      <w:bookmarkStart w:id="163" w:name="_Toc479267151"/>
      <w:bookmarkStart w:id="164" w:name="_Toc479267152"/>
      <w:bookmarkStart w:id="165" w:name="_Toc479267153"/>
      <w:bookmarkStart w:id="166" w:name="_Toc479267154"/>
      <w:bookmarkStart w:id="167" w:name="_Toc479267155"/>
      <w:bookmarkStart w:id="168" w:name="_Toc479267156"/>
      <w:bookmarkStart w:id="169" w:name="_Toc479267157"/>
      <w:bookmarkStart w:id="170" w:name="_Toc479267158"/>
      <w:bookmarkStart w:id="171" w:name="_Toc479267159"/>
      <w:bookmarkStart w:id="172" w:name="_Toc479267160"/>
      <w:bookmarkStart w:id="173" w:name="_Toc479267161"/>
      <w:bookmarkStart w:id="174" w:name="_Toc479267162"/>
      <w:bookmarkStart w:id="175" w:name="_Toc479267163"/>
      <w:bookmarkStart w:id="176" w:name="_Toc479267164"/>
      <w:bookmarkStart w:id="177" w:name="_Toc479267165"/>
      <w:bookmarkStart w:id="178" w:name="_Toc479267166"/>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38"/>
    </w:p>
    <w:sectPr w:rsidR="00776701" w:rsidRPr="00457386">
      <w:headerReference w:type="even" r:id="rId29"/>
      <w:headerReference w:type="default" r:id="rId30"/>
      <w:footerReference w:type="even" r:id="rId31"/>
      <w:footerReference w:type="default" r:id="rId32"/>
      <w:headerReference w:type="first" r:id="rId33"/>
      <w:footerReference w:type="first" r:id="rId34"/>
      <w:pgSz w:w="11907" w:h="16840" w:code="9"/>
      <w:pgMar w:top="1418" w:right="1418" w:bottom="1418" w:left="1418" w:header="851" w:footer="255"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561470" w14:textId="77777777" w:rsidR="00435F5B" w:rsidRDefault="00435F5B">
      <w:r>
        <w:separator/>
      </w:r>
    </w:p>
  </w:endnote>
  <w:endnote w:type="continuationSeparator" w:id="0">
    <w:p w14:paraId="7D561471" w14:textId="77777777" w:rsidR="00435F5B" w:rsidRDefault="00435F5B">
      <w:r>
        <w:continuationSeparator/>
      </w:r>
    </w:p>
  </w:endnote>
  <w:endnote w:type="continuationNotice" w:id="1">
    <w:p w14:paraId="7D561472" w14:textId="77777777" w:rsidR="00435F5B" w:rsidRDefault="00435F5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TimesNewRoma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A06F9" w14:textId="1AE96CBB" w:rsidR="00955354" w:rsidRPr="00955354" w:rsidRDefault="00955354" w:rsidP="00955354">
    <w:pPr>
      <w:pStyle w:val="FooterCoverPage"/>
      <w:rPr>
        <w:rFonts w:ascii="Arial" w:hAnsi="Arial" w:cs="Arial"/>
        <w:b/>
        <w:sz w:val="48"/>
      </w:rPr>
    </w:pPr>
    <w:r w:rsidRPr="00955354">
      <w:rPr>
        <w:rFonts w:ascii="Arial" w:hAnsi="Arial" w:cs="Arial"/>
        <w:b/>
        <w:sz w:val="48"/>
      </w:rPr>
      <w:t>RO</w:t>
    </w:r>
    <w:r w:rsidRPr="00955354">
      <w:rPr>
        <w:rFonts w:ascii="Arial" w:hAnsi="Arial" w:cs="Arial"/>
        <w:b/>
        <w:sz w:val="48"/>
      </w:rPr>
      <w:tab/>
    </w:r>
    <w:r w:rsidRPr="00955354">
      <w:rPr>
        <w:rFonts w:ascii="Arial" w:hAnsi="Arial" w:cs="Arial"/>
        <w:b/>
        <w:sz w:val="48"/>
      </w:rPr>
      <w:tab/>
    </w:r>
    <w:r w:rsidRPr="00955354">
      <w:tab/>
    </w:r>
    <w:r w:rsidRPr="00955354">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E464C" w14:textId="74540050" w:rsidR="00955354" w:rsidRPr="00955354" w:rsidRDefault="00955354" w:rsidP="00955354">
    <w:pPr>
      <w:pStyle w:val="FooterCoverPage"/>
      <w:rPr>
        <w:rFonts w:ascii="Arial" w:hAnsi="Arial" w:cs="Arial"/>
        <w:b/>
        <w:sz w:val="48"/>
      </w:rPr>
    </w:pPr>
    <w:r w:rsidRPr="00955354">
      <w:rPr>
        <w:rFonts w:ascii="Arial" w:hAnsi="Arial" w:cs="Arial"/>
        <w:b/>
        <w:sz w:val="48"/>
      </w:rPr>
      <w:t>RO</w:t>
    </w:r>
    <w:r w:rsidRPr="00955354">
      <w:rPr>
        <w:rFonts w:ascii="Arial" w:hAnsi="Arial" w:cs="Arial"/>
        <w:b/>
        <w:sz w:val="48"/>
      </w:rPr>
      <w:tab/>
    </w:r>
    <w:r w:rsidRPr="00955354">
      <w:rPr>
        <w:rFonts w:ascii="Arial" w:hAnsi="Arial" w:cs="Arial"/>
        <w:b/>
        <w:sz w:val="48"/>
      </w:rPr>
      <w:tab/>
    </w:r>
    <w:r w:rsidRPr="00955354">
      <w:tab/>
    </w:r>
    <w:r w:rsidRPr="0095535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3487B" w14:textId="77777777" w:rsidR="00955354" w:rsidRPr="00955354" w:rsidRDefault="00955354" w:rsidP="0095535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6147B" w14:textId="77777777" w:rsidR="008D3CBA" w:rsidRDefault="008D3CB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1614629"/>
      <w:docPartObj>
        <w:docPartGallery w:val="Page Numbers (Bottom of Page)"/>
        <w:docPartUnique/>
      </w:docPartObj>
    </w:sdtPr>
    <w:sdtEndPr>
      <w:rPr>
        <w:noProof/>
      </w:rPr>
    </w:sdtEndPr>
    <w:sdtContent>
      <w:p w14:paraId="7D56147C" w14:textId="6B42FBF2" w:rsidR="008D3CBA" w:rsidRDefault="00A81CAF">
        <w:pPr>
          <w:pStyle w:val="Footer"/>
        </w:pPr>
        <w:r>
          <w:fldChar w:fldCharType="begin"/>
        </w:r>
        <w:r>
          <w:instrText xml:space="preserve"> PAGE   \* MERGEFORMAT </w:instrText>
        </w:r>
        <w:r>
          <w:fldChar w:fldCharType="separate"/>
        </w:r>
        <w:r w:rsidR="00955354">
          <w:rPr>
            <w:noProof/>
          </w:rPr>
          <w:t>13</w:t>
        </w:r>
        <w:r>
          <w:fldChar w:fldCharType="end"/>
        </w:r>
      </w:p>
    </w:sdtContent>
  </w:sdt>
  <w:p w14:paraId="7D56147D" w14:textId="77777777" w:rsidR="008D3CBA" w:rsidRDefault="008D3CB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1531446"/>
      <w:docPartObj>
        <w:docPartGallery w:val="Page Numbers (Bottom of Page)"/>
        <w:docPartUnique/>
      </w:docPartObj>
    </w:sdtPr>
    <w:sdtEndPr>
      <w:rPr>
        <w:noProof/>
      </w:rPr>
    </w:sdtEndPr>
    <w:sdtContent>
      <w:p w14:paraId="7D56147F" w14:textId="669B9E92" w:rsidR="008D3CBA" w:rsidRDefault="00A81CAF">
        <w:pPr>
          <w:pStyle w:val="Footer"/>
        </w:pPr>
        <w:r>
          <w:fldChar w:fldCharType="begin"/>
        </w:r>
        <w:r>
          <w:instrText xml:space="preserve"> PAGE   \* MERGEFORMAT </w:instrText>
        </w:r>
        <w:r>
          <w:fldChar w:fldCharType="separate"/>
        </w:r>
        <w:r w:rsidR="00955354">
          <w:rPr>
            <w:noProof/>
          </w:rPr>
          <w:t>1</w:t>
        </w:r>
        <w:r>
          <w:fldChar w:fldCharType="end"/>
        </w:r>
      </w:p>
    </w:sdtContent>
  </w:sdt>
  <w:p w14:paraId="7D561480" w14:textId="77777777" w:rsidR="008D3CBA" w:rsidRDefault="008D3CB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56146D" w14:textId="77777777" w:rsidR="00435F5B" w:rsidRDefault="00435F5B">
      <w:r>
        <w:separator/>
      </w:r>
    </w:p>
  </w:footnote>
  <w:footnote w:type="continuationSeparator" w:id="0">
    <w:p w14:paraId="7D56146E" w14:textId="77777777" w:rsidR="00435F5B" w:rsidRDefault="00435F5B">
      <w:r>
        <w:continuationSeparator/>
      </w:r>
    </w:p>
  </w:footnote>
  <w:footnote w:type="continuationNotice" w:id="1">
    <w:p w14:paraId="7D56146F" w14:textId="77777777" w:rsidR="00435F5B" w:rsidRDefault="00435F5B">
      <w:pPr>
        <w:spacing w:after="0"/>
      </w:pPr>
    </w:p>
  </w:footnote>
  <w:footnote w:id="2">
    <w:p w14:paraId="7D561481" w14:textId="5C5E1C75" w:rsidR="008D3CBA" w:rsidRPr="0009154E" w:rsidRDefault="00A81CAF">
      <w:pPr>
        <w:pStyle w:val="FootnoteText"/>
        <w:spacing w:after="0"/>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sz w:val="20"/>
        </w:rPr>
        <w:t xml:space="preserve"> </w:t>
      </w:r>
      <w:r>
        <w:tab/>
      </w:r>
      <w:r>
        <w:rPr>
          <w:rFonts w:ascii="Times New Roman" w:hAnsi="Times New Roman"/>
          <w:sz w:val="20"/>
        </w:rPr>
        <w:t xml:space="preserve">JO L 93, 7.4.2009, p. 23, astfel cum a fost modificată prin Directiva (UE) 2019/884, JO L 151, 7.6.2019, p. 143. </w:t>
      </w:r>
    </w:p>
  </w:footnote>
  <w:footnote w:id="3">
    <w:p w14:paraId="7D561482" w14:textId="09C83E14" w:rsidR="008D3CBA" w:rsidRPr="00E744F9" w:rsidRDefault="00A81CAF" w:rsidP="002B4ED5">
      <w:pPr>
        <w:pStyle w:val="FootnoteText"/>
        <w:spacing w:after="0"/>
        <w:rPr>
          <w:rFonts w:ascii="Times New Roman" w:hAnsi="Times New Roman" w:cs="Times New Roman"/>
        </w:rPr>
      </w:pPr>
      <w:r>
        <w:rPr>
          <w:rStyle w:val="FootnoteReference"/>
          <w:rFonts w:ascii="Times New Roman" w:hAnsi="Times New Roman" w:cs="Times New Roman"/>
          <w:sz w:val="20"/>
        </w:rPr>
        <w:footnoteRef/>
      </w:r>
      <w:r>
        <w:rPr>
          <w:rFonts w:ascii="Times New Roman" w:hAnsi="Times New Roman"/>
          <w:sz w:val="20"/>
        </w:rPr>
        <w:t xml:space="preserve"> </w:t>
      </w:r>
      <w:r>
        <w:tab/>
      </w:r>
      <w:r>
        <w:rPr>
          <w:rFonts w:ascii="Times New Roman" w:hAnsi="Times New Roman"/>
          <w:sz w:val="20"/>
        </w:rPr>
        <w:t xml:space="preserve">JO L 93, 7.4.2009, p. 33. Această decizie a fost înlocuită de Directiva (UE) 2019/884 pentru </w:t>
      </w:r>
      <w:r>
        <w:tab/>
      </w:r>
      <w:r>
        <w:rPr>
          <w:rFonts w:ascii="Times New Roman" w:hAnsi="Times New Roman"/>
          <w:sz w:val="20"/>
        </w:rPr>
        <w:t>statele membre pentru care directiva este obligatorie, începând cu 28 iunie 2022.</w:t>
      </w:r>
    </w:p>
  </w:footnote>
  <w:footnote w:id="4">
    <w:p w14:paraId="1D2C462C" w14:textId="0E40BDC0" w:rsidR="003C076F" w:rsidRPr="00B36C2C" w:rsidRDefault="003C076F" w:rsidP="00B6461D">
      <w:pPr>
        <w:spacing w:after="0"/>
        <w:ind w:left="709" w:hanging="709"/>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COM(2017) 341 final; SWD(2017) 242 final.</w:t>
      </w:r>
    </w:p>
  </w:footnote>
  <w:footnote w:id="5">
    <w:p w14:paraId="29AFAC21" w14:textId="5C2C8EA2" w:rsidR="00D72E58" w:rsidRPr="00E84FC5" w:rsidRDefault="00D72E58" w:rsidP="00457386">
      <w:pPr>
        <w:pStyle w:val="FootnoteText"/>
        <w:spacing w:after="0"/>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sz w:val="20"/>
        </w:rPr>
        <w:t xml:space="preserve"> </w:t>
      </w:r>
      <w:r>
        <w:tab/>
      </w:r>
      <w:r>
        <w:rPr>
          <w:rFonts w:ascii="Times New Roman" w:hAnsi="Times New Roman"/>
          <w:sz w:val="20"/>
        </w:rPr>
        <w:t>COM(2020) 778 final; SWD(2020) 378 final.</w:t>
      </w:r>
    </w:p>
  </w:footnote>
  <w:footnote w:id="6">
    <w:p w14:paraId="0A0464F7" w14:textId="6202288E" w:rsidR="00E84FC5" w:rsidRPr="00E84FC5" w:rsidRDefault="00E84FC5" w:rsidP="00457386">
      <w:pPr>
        <w:pStyle w:val="FootnoteText"/>
        <w:spacing w:after="0"/>
      </w:pPr>
      <w:r>
        <w:rPr>
          <w:rStyle w:val="FootnoteReference"/>
          <w:rFonts w:ascii="Times New Roman" w:hAnsi="Times New Roman" w:cs="Times New Roman"/>
          <w:sz w:val="20"/>
        </w:rPr>
        <w:footnoteRef/>
      </w:r>
      <w:r>
        <w:rPr>
          <w:rFonts w:ascii="Times New Roman" w:hAnsi="Times New Roman"/>
          <w:sz w:val="20"/>
        </w:rPr>
        <w:t xml:space="preserve"> </w:t>
      </w:r>
      <w:r>
        <w:tab/>
      </w:r>
      <w:r>
        <w:rPr>
          <w:rFonts w:ascii="Times New Roman" w:hAnsi="Times New Roman"/>
          <w:sz w:val="20"/>
        </w:rPr>
        <w:t>În temeiul articolului 13a alineatul (3) din Decizia-cadru 2009/315/JAI.</w:t>
      </w:r>
    </w:p>
  </w:footnote>
  <w:footnote w:id="7">
    <w:p w14:paraId="449ECEF9" w14:textId="77777777" w:rsidR="00C24FA8" w:rsidRPr="002F3A76" w:rsidRDefault="00C24FA8" w:rsidP="008E6810">
      <w:pPr>
        <w:pStyle w:val="FootnoteText"/>
        <w:spacing w:after="0"/>
      </w:pPr>
      <w:r>
        <w:rPr>
          <w:rStyle w:val="FootnoteReference"/>
        </w:rPr>
        <w:footnoteRef/>
      </w:r>
      <w:r>
        <w:t xml:space="preserve"> </w:t>
      </w:r>
      <w:r>
        <w:tab/>
      </w:r>
      <w:r>
        <w:rPr>
          <w:rFonts w:ascii="Times New Roman" w:hAnsi="Times New Roman"/>
          <w:sz w:val="20"/>
        </w:rPr>
        <w:t>A se vedea secțiunea 2.9.</w:t>
      </w:r>
    </w:p>
  </w:footnote>
  <w:footnote w:id="8">
    <w:p w14:paraId="0BD7B570" w14:textId="0DD20ABB" w:rsidR="00CE7328" w:rsidRPr="00CE7328" w:rsidRDefault="00CE7328" w:rsidP="00457386">
      <w:pPr>
        <w:pStyle w:val="FootnoteText"/>
        <w:spacing w:after="0"/>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sz w:val="20"/>
        </w:rPr>
        <w:t xml:space="preserve"> </w:t>
      </w:r>
      <w:r>
        <w:tab/>
      </w:r>
      <w:r>
        <w:rPr>
          <w:rFonts w:ascii="Times New Roman" w:hAnsi="Times New Roman"/>
          <w:sz w:val="20"/>
        </w:rPr>
        <w:t>Regatul Unit a fost stat membru al UE până la 31 ianuarie 2020, dar, în temeiul articolului 127 alineatul</w:t>
      </w:r>
      <w:r w:rsidR="003F570E">
        <w:rPr>
          <w:rFonts w:ascii="Times New Roman" w:hAnsi="Times New Roman"/>
          <w:sz w:val="20"/>
        </w:rPr>
        <w:t> </w:t>
      </w:r>
      <w:r>
        <w:rPr>
          <w:rFonts w:ascii="Times New Roman" w:hAnsi="Times New Roman"/>
          <w:sz w:val="20"/>
        </w:rPr>
        <w:t>(1) din Acordul de retragere, a continuat să facă schimb de informații prin intermediul ECRIS în perioada de tranziție care s-a încheiat la 31 decembrie 2020. În prezent, Regatul Unit face schimb de informații privind cazierele judiciare cu statele membre ale UE pe baza Acordului comercial și de cooperare.</w:t>
      </w:r>
    </w:p>
  </w:footnote>
  <w:footnote w:id="9">
    <w:p w14:paraId="6928EC41" w14:textId="04417BA8" w:rsidR="00EE2C45" w:rsidRPr="00B6461D" w:rsidRDefault="00EE2C45" w:rsidP="00B6461D">
      <w:pPr>
        <w:pStyle w:val="FootnoteText"/>
        <w:spacing w:after="0"/>
        <w:ind w:left="709" w:hanging="709"/>
        <w:rPr>
          <w:rFonts w:ascii="Times New Roman" w:hAnsi="Times New Roman" w:cs="Times New Roman"/>
          <w:sz w:val="20"/>
        </w:rPr>
      </w:pPr>
      <w:r>
        <w:rPr>
          <w:rStyle w:val="FootnoteReference"/>
        </w:rPr>
        <w:footnoteRef/>
      </w:r>
      <w:r>
        <w:t xml:space="preserve"> </w:t>
      </w:r>
      <w:r>
        <w:tab/>
      </w:r>
      <w:r>
        <w:rPr>
          <w:rFonts w:ascii="Times New Roman" w:hAnsi="Times New Roman"/>
          <w:sz w:val="20"/>
        </w:rPr>
        <w:t>Pentru o descriere detaliată a principiilor generale care guvernează schimbul de informații realizat prin intermediul ECRIS, a se vedea secțiunea 1 din SWD.</w:t>
      </w:r>
    </w:p>
  </w:footnote>
  <w:footnote w:id="10">
    <w:p w14:paraId="1C634414" w14:textId="3758F654" w:rsidR="002E2727" w:rsidRPr="002E2727" w:rsidRDefault="002E2727" w:rsidP="00457386">
      <w:pPr>
        <w:pStyle w:val="FootnoteText"/>
        <w:spacing w:after="0"/>
      </w:pPr>
      <w:r>
        <w:rPr>
          <w:rStyle w:val="FootnoteReference"/>
        </w:rPr>
        <w:footnoteRef/>
      </w:r>
      <w:r>
        <w:t xml:space="preserve"> </w:t>
      </w:r>
      <w:r>
        <w:tab/>
      </w:r>
      <w:r>
        <w:rPr>
          <w:rFonts w:ascii="Times New Roman" w:hAnsi="Times New Roman"/>
          <w:sz w:val="20"/>
        </w:rPr>
        <w:t>Pentru istoricul conexiunilor la rețeaua ECRIS, a se vedea secțiunea 2.1 din SWD.</w:t>
      </w:r>
    </w:p>
  </w:footnote>
  <w:footnote w:id="11">
    <w:p w14:paraId="44C9A3C8" w14:textId="5EE90038" w:rsidR="0046559B" w:rsidRPr="0046559B" w:rsidRDefault="0046559B" w:rsidP="00457386">
      <w:pPr>
        <w:pStyle w:val="FootnoteText"/>
        <w:spacing w:after="0"/>
      </w:pPr>
      <w:r>
        <w:rPr>
          <w:rStyle w:val="FootnoteReference"/>
        </w:rPr>
        <w:footnoteRef/>
      </w:r>
      <w:r>
        <w:t xml:space="preserve"> </w:t>
      </w:r>
      <w:r>
        <w:tab/>
      </w:r>
      <w:r>
        <w:rPr>
          <w:rFonts w:ascii="Times New Roman" w:hAnsi="Times New Roman"/>
          <w:sz w:val="20"/>
        </w:rPr>
        <w:t>Acest număr ia în considerare numărul actual de state membre, după Brexit, și anume 27 (27*26).</w:t>
      </w:r>
    </w:p>
  </w:footnote>
  <w:footnote w:id="12">
    <w:p w14:paraId="7D561486" w14:textId="51E19DDB" w:rsidR="008D3CBA" w:rsidRDefault="00A81CAF" w:rsidP="00457386">
      <w:pPr>
        <w:pStyle w:val="FootnoteText"/>
        <w:spacing w:after="0"/>
        <w:ind w:left="709" w:hanging="709"/>
        <w:rPr>
          <w:rFonts w:ascii="Times New Roman" w:hAnsi="Times New Roman" w:cs="Times New Roman"/>
          <w:sz w:val="20"/>
        </w:rPr>
      </w:pPr>
      <w:r>
        <w:rPr>
          <w:rStyle w:val="FootnoteReference"/>
          <w:rFonts w:ascii="Times New Roman" w:hAnsi="Times New Roman" w:cs="Times New Roman"/>
          <w:sz w:val="20"/>
        </w:rPr>
        <w:footnoteRef/>
      </w:r>
      <w:r>
        <w:t xml:space="preserve"> </w:t>
      </w:r>
      <w:r>
        <w:tab/>
      </w:r>
      <w:r>
        <w:rPr>
          <w:rFonts w:ascii="Times New Roman" w:hAnsi="Times New Roman"/>
          <w:sz w:val="20"/>
        </w:rPr>
        <w:t>Alte răspunsuri înseamnă, de exemplu, răspunsuri cu mai multe persoane descoperite, cu o persoană care nu este resortisant al statului membru solicitat etc.</w:t>
      </w:r>
    </w:p>
  </w:footnote>
  <w:footnote w:id="13">
    <w:p w14:paraId="204C345B" w14:textId="05B58165" w:rsidR="001B1885" w:rsidRPr="001B1885" w:rsidRDefault="001B1885" w:rsidP="00457386">
      <w:pPr>
        <w:pStyle w:val="FootnoteText"/>
        <w:spacing w:after="0"/>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sz w:val="20"/>
        </w:rPr>
        <w:t xml:space="preserve"> </w:t>
      </w:r>
      <w:r>
        <w:tab/>
      </w:r>
      <w:r>
        <w:rPr>
          <w:rFonts w:ascii="Times New Roman" w:hAnsi="Times New Roman"/>
          <w:sz w:val="20"/>
        </w:rPr>
        <w:t>Această creștere a fost cauzată în principal de faptul că Regatul Unit a transmis 95 000 de notificări restante în 2020 (triplu față de numărul obișnuit de notificări trimise anual de Regatul Unit) înainte de a ieși din ECRIS.</w:t>
      </w:r>
    </w:p>
  </w:footnote>
  <w:footnote w:id="14">
    <w:p w14:paraId="47C2ACD2" w14:textId="519283DB" w:rsidR="00377921" w:rsidRPr="00377921" w:rsidRDefault="00377921" w:rsidP="00457386">
      <w:pPr>
        <w:pStyle w:val="FootnoteText"/>
        <w:spacing w:after="0"/>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sz w:val="20"/>
        </w:rPr>
        <w:t xml:space="preserve"> </w:t>
      </w:r>
      <w:r>
        <w:tab/>
      </w:r>
      <w:r>
        <w:rPr>
          <w:rFonts w:ascii="Times New Roman" w:hAnsi="Times New Roman"/>
          <w:sz w:val="20"/>
        </w:rPr>
        <w:t>Astfel cum se precizează în secțiunea 2.4. de mai jos.</w:t>
      </w:r>
    </w:p>
  </w:footnote>
  <w:footnote w:id="15">
    <w:p w14:paraId="3DD38413" w14:textId="4E29A785" w:rsidR="00072724" w:rsidRPr="009F02B2" w:rsidRDefault="00072724" w:rsidP="00457386">
      <w:pPr>
        <w:pStyle w:val="FootnoteText"/>
        <w:spacing w:after="0"/>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sz w:val="20"/>
        </w:rPr>
        <w:t xml:space="preserve"> </w:t>
      </w:r>
      <w:r>
        <w:tab/>
      </w:r>
      <w:r>
        <w:rPr>
          <w:rFonts w:ascii="Times New Roman" w:hAnsi="Times New Roman"/>
          <w:sz w:val="20"/>
        </w:rPr>
        <w:t>Perioada 2017-2019 acoperită de cel de al doilea raport statistic.</w:t>
      </w:r>
    </w:p>
  </w:footnote>
  <w:footnote w:id="16">
    <w:p w14:paraId="7D561487" w14:textId="0BBE0ACA" w:rsidR="00E55788" w:rsidRPr="009F02B2" w:rsidRDefault="00E55788" w:rsidP="0013711E">
      <w:pPr>
        <w:pStyle w:val="FootnoteText"/>
        <w:spacing w:after="0"/>
        <w:ind w:left="709" w:hanging="709"/>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sz w:val="20"/>
        </w:rPr>
        <w:t xml:space="preserve"> </w:t>
      </w:r>
      <w:r>
        <w:tab/>
      </w:r>
      <w:r>
        <w:rPr>
          <w:rFonts w:ascii="Times New Roman" w:hAnsi="Times New Roman"/>
          <w:sz w:val="20"/>
        </w:rPr>
        <w:t>JO L 220, 15.8.2008, p. 32.</w:t>
      </w:r>
    </w:p>
  </w:footnote>
  <w:footnote w:id="17">
    <w:p w14:paraId="15839769" w14:textId="05E556F6" w:rsidR="00210A9C" w:rsidRPr="00B6461D" w:rsidRDefault="00210A9C" w:rsidP="00457386">
      <w:pPr>
        <w:pStyle w:val="FootnoteText"/>
        <w:spacing w:after="0"/>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sz w:val="20"/>
        </w:rPr>
        <w:t xml:space="preserve"> </w:t>
      </w:r>
      <w:r>
        <w:tab/>
      </w:r>
      <w:r>
        <w:rPr>
          <w:rFonts w:ascii="Times New Roman" w:hAnsi="Times New Roman"/>
          <w:sz w:val="20"/>
        </w:rPr>
        <w:t>Pentru datele anuale din această perioadă, a se vedea secțiunea 2.2. din SWD.</w:t>
      </w:r>
    </w:p>
  </w:footnote>
  <w:footnote w:id="18">
    <w:p w14:paraId="18CB1CDB" w14:textId="3F5839A0" w:rsidR="005F5B84" w:rsidRPr="005F5B84" w:rsidRDefault="005F5B84" w:rsidP="00457386">
      <w:pPr>
        <w:pStyle w:val="FootnoteText"/>
        <w:spacing w:after="0"/>
      </w:pPr>
      <w:r>
        <w:rPr>
          <w:rStyle w:val="FootnoteReference"/>
        </w:rPr>
        <w:footnoteRef/>
      </w:r>
      <w:r>
        <w:t xml:space="preserve"> </w:t>
      </w:r>
      <w:r>
        <w:tab/>
      </w:r>
      <w:r>
        <w:rPr>
          <w:rFonts w:ascii="Times New Roman" w:hAnsi="Times New Roman"/>
          <w:sz w:val="20"/>
        </w:rPr>
        <w:t>La fel, Austria (226 300 de cereri trimise, 154 000 de cereri primite) și Cehia (191 300 trimise, 126 500 primite).</w:t>
      </w:r>
    </w:p>
  </w:footnote>
  <w:footnote w:id="19">
    <w:p w14:paraId="0E1EB48B" w14:textId="02DB112B" w:rsidR="00572FC7" w:rsidRPr="00572FC7" w:rsidRDefault="00572FC7" w:rsidP="00457386">
      <w:pPr>
        <w:pStyle w:val="FootnoteText"/>
        <w:spacing w:after="0"/>
      </w:pPr>
      <w:r>
        <w:rPr>
          <w:rStyle w:val="FootnoteReference"/>
        </w:rPr>
        <w:footnoteRef/>
      </w:r>
      <w:r>
        <w:t xml:space="preserve"> </w:t>
      </w:r>
      <w:r>
        <w:tab/>
      </w:r>
      <w:r>
        <w:rPr>
          <w:rFonts w:ascii="Times New Roman" w:hAnsi="Times New Roman"/>
          <w:sz w:val="20"/>
        </w:rPr>
        <w:t>La fel, Franța (254 000 de răspunsuri furnizate față de 83 500 de cereri trimise), Croația (239 400 față de 16 300), Bulgaria (238 000 față de 1 300), Grecia (236 000 față de 12), Slovacia (209 000 față de 6 400) și Ungaria (199 000 față de 2 700).</w:t>
      </w:r>
    </w:p>
  </w:footnote>
  <w:footnote w:id="20">
    <w:p w14:paraId="39A9EE66" w14:textId="5885B143" w:rsidR="00281E5A" w:rsidRPr="00B6461D" w:rsidRDefault="00281E5A" w:rsidP="0013711E">
      <w:pPr>
        <w:pStyle w:val="FootnoteText"/>
        <w:spacing w:after="0"/>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sz w:val="20"/>
        </w:rPr>
        <w:t xml:space="preserve"> </w:t>
      </w:r>
      <w:r>
        <w:tab/>
      </w:r>
      <w:r>
        <w:rPr>
          <w:rFonts w:ascii="Times New Roman" w:hAnsi="Times New Roman"/>
          <w:sz w:val="20"/>
        </w:rPr>
        <w:t>Pentru datele anuale din această perioadă, a se vedea secțiunea 2.3 din SWD.</w:t>
      </w:r>
    </w:p>
  </w:footnote>
  <w:footnote w:id="21">
    <w:p w14:paraId="7D561488" w14:textId="1BEE40B1" w:rsidR="0041503A" w:rsidRPr="00F36687" w:rsidRDefault="0041503A" w:rsidP="00E55788">
      <w:pPr>
        <w:pStyle w:val="FootnoteText"/>
        <w:spacing w:after="0"/>
        <w:ind w:left="709" w:hanging="709"/>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sz w:val="20"/>
        </w:rPr>
        <w:t xml:space="preserve"> </w:t>
      </w:r>
      <w:r>
        <w:tab/>
      </w:r>
      <w:r>
        <w:rPr>
          <w:rFonts w:ascii="Times New Roman" w:hAnsi="Times New Roman"/>
          <w:sz w:val="20"/>
        </w:rPr>
        <w:t>A se vedea statisticile Eurostat: https://ec.europa.eu/eurostat/statistics-explained/index.php?title=File:Non-national_population_by_group_of_citizenship,_1_January_2024.png.</w:t>
      </w:r>
    </w:p>
    <w:p w14:paraId="7D561489" w14:textId="77777777" w:rsidR="0041503A" w:rsidRDefault="0041503A">
      <w:pPr>
        <w:pStyle w:val="FootnoteText"/>
      </w:pPr>
    </w:p>
  </w:footnote>
  <w:footnote w:id="22">
    <w:p w14:paraId="28C38D49" w14:textId="3155C774" w:rsidR="008C0E6C" w:rsidRPr="008C0E6C" w:rsidRDefault="008C0E6C">
      <w:pPr>
        <w:pStyle w:val="FootnoteText"/>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sz w:val="20"/>
        </w:rPr>
        <w:t xml:space="preserve"> </w:t>
      </w:r>
      <w:r>
        <w:tab/>
      </w:r>
      <w:r>
        <w:rPr>
          <w:rFonts w:ascii="Times New Roman" w:hAnsi="Times New Roman"/>
          <w:sz w:val="20"/>
        </w:rPr>
        <w:t>Belgia, Bulgaria, Cipru, Cehia, Germania, Estonia, Grecia, Spania, Finlanda, Croația, Ungaria, Italia, Letonia, Malta, Țările de Jos, Polonia, Portugalia, Suedia și Regatul Unit.</w:t>
      </w:r>
    </w:p>
  </w:footnote>
  <w:footnote w:id="23">
    <w:p w14:paraId="6FA6982A" w14:textId="7DA0F910" w:rsidR="00281E5A" w:rsidRPr="00B6461D" w:rsidRDefault="00281E5A" w:rsidP="00B6461D">
      <w:pPr>
        <w:spacing w:after="0"/>
        <w:ind w:left="709" w:hanging="709"/>
        <w:jc w:val="both"/>
        <w:rPr>
          <w:rFonts w:ascii="Times New Roman" w:hAnsi="Times New Roman" w:cs="Times New Roman"/>
          <w:b/>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Pentru o analiză detaliată a statisticilor privind condamnările și notificările pentru fiecare stat membru în parte, a se vedea secțiunea 3 din SWD.</w:t>
      </w:r>
    </w:p>
  </w:footnote>
  <w:footnote w:id="24">
    <w:p w14:paraId="524A9EEB" w14:textId="72FBF5D0" w:rsidR="00281E5A" w:rsidRPr="00B6461D" w:rsidRDefault="00281E5A" w:rsidP="00B6461D">
      <w:pPr>
        <w:pStyle w:val="FootnoteText"/>
        <w:spacing w:after="0"/>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sz w:val="20"/>
        </w:rPr>
        <w:t xml:space="preserve"> </w:t>
      </w:r>
      <w:r>
        <w:tab/>
      </w:r>
      <w:r>
        <w:rPr>
          <w:rFonts w:ascii="Times New Roman" w:hAnsi="Times New Roman"/>
          <w:sz w:val="20"/>
        </w:rPr>
        <w:t>Pentru datele anuale din această perioadă, a se vedea secțiunea 2.4 din SWD.</w:t>
      </w:r>
    </w:p>
  </w:footnote>
  <w:footnote w:id="25">
    <w:p w14:paraId="5CEC7ED1" w14:textId="633EDFD3" w:rsidR="00C04A92" w:rsidRPr="00C04A92" w:rsidRDefault="00C04A92" w:rsidP="00457386">
      <w:pPr>
        <w:pStyle w:val="FootnoteText"/>
        <w:spacing w:after="0"/>
      </w:pPr>
      <w:r>
        <w:rPr>
          <w:rStyle w:val="FootnoteReference"/>
        </w:rPr>
        <w:footnoteRef/>
      </w:r>
      <w:r>
        <w:t xml:space="preserve"> </w:t>
      </w:r>
      <w:r>
        <w:tab/>
      </w:r>
      <w:r>
        <w:rPr>
          <w:rFonts w:ascii="Times New Roman" w:hAnsi="Times New Roman"/>
          <w:sz w:val="20"/>
        </w:rPr>
        <w:t>Urmate de Cehia (3,5 %</w:t>
      </w:r>
      <w:r>
        <w:t xml:space="preserve"> </w:t>
      </w:r>
      <w:r>
        <w:rPr>
          <w:rFonts w:ascii="Times New Roman" w:hAnsi="Times New Roman"/>
          <w:sz w:val="20"/>
        </w:rPr>
        <w:t>din totalul cererilor trimise în perioada 2020-2024), Suedia (2,6 %), Portugalia (2,5 %) și Țările de Jos (2,2 %).</w:t>
      </w:r>
    </w:p>
  </w:footnote>
  <w:footnote w:id="26">
    <w:p w14:paraId="56B8974E" w14:textId="2BAED54C" w:rsidR="00BF630E" w:rsidRPr="00BF630E" w:rsidRDefault="00BF630E" w:rsidP="00457386">
      <w:pPr>
        <w:pStyle w:val="FootnoteText"/>
        <w:spacing w:after="0"/>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sz w:val="20"/>
        </w:rPr>
        <w:t xml:space="preserve"> </w:t>
      </w:r>
      <w:r>
        <w:tab/>
      </w:r>
      <w:r>
        <w:rPr>
          <w:rFonts w:ascii="Times New Roman" w:hAnsi="Times New Roman"/>
          <w:sz w:val="20"/>
        </w:rPr>
        <w:t>Bulgaria a trimis în total 1 300 de cereri în perioada 2020-2024, în timp ce Estonia a trimis 4 350, Ungaria - 2 700, Irlanda - 5 100, Italia - 4 800, Letonia - 1 800, Malta - 370 și Slovenia - 2 500.</w:t>
      </w:r>
    </w:p>
  </w:footnote>
  <w:footnote w:id="27">
    <w:p w14:paraId="54151127" w14:textId="2878372A" w:rsidR="00281E5A" w:rsidRPr="00B6461D" w:rsidRDefault="00281E5A" w:rsidP="00457386">
      <w:pPr>
        <w:spacing w:after="0"/>
        <w:jc w:val="both"/>
        <w:rPr>
          <w:rFonts w:ascii="Times New Roman" w:hAnsi="Times New Roman" w:cs="Times New Roman"/>
          <w:noProof/>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Pentru datele anuale din această perioadă, a se vedea secțiunea 2.5 din SWD.</w:t>
      </w:r>
    </w:p>
    <w:p w14:paraId="0C2BC496" w14:textId="4A9B4E8C" w:rsidR="00281E5A" w:rsidRPr="00281E5A" w:rsidRDefault="00281E5A">
      <w:pPr>
        <w:pStyle w:val="FootnoteText"/>
      </w:pPr>
    </w:p>
  </w:footnote>
  <w:footnote w:id="28">
    <w:p w14:paraId="0E056397" w14:textId="22C0904C" w:rsidR="00673CC0" w:rsidRPr="00673CC0" w:rsidRDefault="00673CC0" w:rsidP="00457386">
      <w:pPr>
        <w:pStyle w:val="FootnoteText"/>
        <w:spacing w:after="0"/>
        <w:rPr>
          <w:rFonts w:ascii="Times New Roman" w:hAnsi="Times New Roman" w:cs="Times New Roman"/>
          <w:sz w:val="20"/>
        </w:rPr>
      </w:pPr>
      <w:r>
        <w:rPr>
          <w:rStyle w:val="FootnoteReference"/>
        </w:rPr>
        <w:footnoteRef/>
      </w:r>
      <w:r>
        <w:t xml:space="preserve"> </w:t>
      </w:r>
      <w:r>
        <w:tab/>
      </w:r>
      <w:r>
        <w:rPr>
          <w:rFonts w:ascii="Times New Roman" w:hAnsi="Times New Roman"/>
          <w:sz w:val="20"/>
        </w:rPr>
        <w:t>Urmate de mai multe state membre, fiecare cu aproximativ 5 % din totalul răspunsurilor trimise prin intermediul ECRIS: Franța (254 000 de răspunsuri trimise), Croația (239 000), Bulgaria (238 000) și Grecia (235 800).</w:t>
      </w:r>
    </w:p>
  </w:footnote>
  <w:footnote w:id="29">
    <w:p w14:paraId="6DBE9467" w14:textId="506C7D1D" w:rsidR="00782CB8" w:rsidRPr="00782CB8" w:rsidRDefault="00782CB8" w:rsidP="00457386">
      <w:pPr>
        <w:pStyle w:val="FootnoteText"/>
        <w:spacing w:after="0"/>
        <w:rPr>
          <w:rFonts w:ascii="Times New Roman" w:hAnsi="Times New Roman" w:cs="Times New Roman"/>
          <w:sz w:val="20"/>
        </w:rPr>
      </w:pPr>
      <w:r>
        <w:rPr>
          <w:rStyle w:val="FootnoteReference"/>
          <w:rFonts w:ascii="Times New Roman" w:hAnsi="Times New Roman" w:cs="Times New Roman"/>
          <w:sz w:val="20"/>
        </w:rPr>
        <w:footnoteRef/>
      </w:r>
      <w:r>
        <w:tab/>
      </w:r>
      <w:r>
        <w:rPr>
          <w:rFonts w:ascii="Times New Roman" w:hAnsi="Times New Roman"/>
          <w:sz w:val="20"/>
        </w:rPr>
        <w:t>A se vedea secțiunea 1.2 de mai sus.</w:t>
      </w:r>
    </w:p>
  </w:footnote>
  <w:footnote w:id="30">
    <w:p w14:paraId="32F898B3" w14:textId="2819ACA1" w:rsidR="00711CA1" w:rsidRPr="00B6461D" w:rsidRDefault="00711CA1" w:rsidP="00457386">
      <w:pPr>
        <w:pStyle w:val="FootnoteText"/>
        <w:spacing w:after="0"/>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sz w:val="20"/>
        </w:rPr>
        <w:t xml:space="preserve"> </w:t>
      </w:r>
      <w:r>
        <w:tab/>
      </w:r>
      <w:r>
        <w:rPr>
          <w:rFonts w:ascii="Times New Roman" w:hAnsi="Times New Roman"/>
          <w:sz w:val="20"/>
        </w:rPr>
        <w:t>Pentru mai multe detalii, a se vedea SWD: datele anuale privind răspunsurile trimise după expirarea termenul legal sunt prezentate în secțiunea 2.6, iar statisticile privind răspunsurile trimise cu întârziere pentru fiecare stat membru în parte sunt prezentate în secțiunea 3.</w:t>
      </w:r>
    </w:p>
  </w:footnote>
  <w:footnote w:id="31">
    <w:p w14:paraId="518FB398" w14:textId="6A8565D0" w:rsidR="00AF72C1" w:rsidRPr="00AF72C1" w:rsidRDefault="00AF72C1" w:rsidP="00457386">
      <w:pPr>
        <w:pStyle w:val="FootnoteText"/>
        <w:spacing w:after="0"/>
      </w:pPr>
      <w:r>
        <w:rPr>
          <w:rStyle w:val="FootnoteReference"/>
        </w:rPr>
        <w:footnoteRef/>
      </w:r>
      <w:r>
        <w:t xml:space="preserve"> </w:t>
      </w:r>
      <w:r>
        <w:tab/>
      </w:r>
      <w:r>
        <w:rPr>
          <w:rFonts w:ascii="Times New Roman" w:hAnsi="Times New Roman"/>
          <w:sz w:val="20"/>
        </w:rPr>
        <w:t xml:space="preserve">190 000 de răspunsuri trimise cu întârziere (18,4 % din numărul total de răspunsuri); 42 000 de cereri în cazul cărora a expirat termenul de răspuns. </w:t>
      </w:r>
    </w:p>
  </w:footnote>
  <w:footnote w:id="32">
    <w:p w14:paraId="46B7B2F9" w14:textId="1A9FBCC6" w:rsidR="00BB21F0" w:rsidRPr="00BB21F0" w:rsidRDefault="00BB21F0" w:rsidP="00457386">
      <w:pPr>
        <w:pStyle w:val="FootnoteText"/>
        <w:spacing w:after="0"/>
      </w:pPr>
      <w:r>
        <w:rPr>
          <w:rStyle w:val="FootnoteReference"/>
        </w:rPr>
        <w:footnoteRef/>
      </w:r>
      <w:r>
        <w:t xml:space="preserve"> </w:t>
      </w:r>
      <w:r>
        <w:tab/>
      </w:r>
      <w:r>
        <w:rPr>
          <w:rFonts w:ascii="Times New Roman" w:hAnsi="Times New Roman"/>
          <w:sz w:val="20"/>
        </w:rPr>
        <w:t>Cu excepția Franței.</w:t>
      </w:r>
    </w:p>
  </w:footnote>
  <w:footnote w:id="33">
    <w:p w14:paraId="0B224D7B" w14:textId="77777777" w:rsidR="00940F5D" w:rsidRPr="0077561E" w:rsidRDefault="00940F5D" w:rsidP="00940F5D">
      <w:pPr>
        <w:pStyle w:val="FootnoteText"/>
        <w:spacing w:after="0"/>
        <w:rPr>
          <w:sz w:val="20"/>
        </w:rPr>
      </w:pPr>
      <w:r>
        <w:rPr>
          <w:rStyle w:val="FootnoteReference"/>
          <w:sz w:val="20"/>
        </w:rPr>
        <w:footnoteRef/>
      </w:r>
      <w:r>
        <w:rPr>
          <w:sz w:val="20"/>
        </w:rPr>
        <w:t xml:space="preserve"> </w:t>
      </w:r>
      <w:r>
        <w:tab/>
      </w:r>
      <w:r>
        <w:rPr>
          <w:rFonts w:ascii="Times New Roman" w:hAnsi="Times New Roman"/>
          <w:sz w:val="20"/>
        </w:rPr>
        <w:t xml:space="preserve">Directiva 2011/93/UE a Parlamentului European și a Consiliului privind combaterea abuzului sexual asupra copiilor, a exploatării sexuale a copiilor și a pornografiei infantile, </w:t>
      </w:r>
      <w:r>
        <w:tab/>
      </w:r>
      <w:r>
        <w:rPr>
          <w:rFonts w:ascii="Times New Roman" w:hAnsi="Times New Roman"/>
          <w:sz w:val="20"/>
        </w:rPr>
        <w:t>JO L 335, 17.12.2011, p. 1.</w:t>
      </w:r>
    </w:p>
  </w:footnote>
  <w:footnote w:id="34">
    <w:p w14:paraId="043C8FE3" w14:textId="01777001" w:rsidR="00432952" w:rsidRPr="00432952" w:rsidRDefault="00432952" w:rsidP="00601F6E">
      <w:pPr>
        <w:pStyle w:val="FootnoteText"/>
        <w:spacing w:after="0"/>
      </w:pPr>
      <w:r>
        <w:rPr>
          <w:rStyle w:val="FootnoteReference"/>
        </w:rPr>
        <w:footnoteRef/>
      </w:r>
      <w:r>
        <w:t xml:space="preserve"> </w:t>
      </w:r>
      <w:r>
        <w:tab/>
      </w:r>
      <w:r>
        <w:rPr>
          <w:rFonts w:ascii="Times New Roman" w:hAnsi="Times New Roman"/>
          <w:sz w:val="20"/>
        </w:rPr>
        <w:t>19 % din numărul total de cereri adresate.</w:t>
      </w:r>
    </w:p>
  </w:footnote>
  <w:footnote w:id="35">
    <w:p w14:paraId="5E69DB99" w14:textId="54AE8130" w:rsidR="00AA1A56" w:rsidRPr="00AA1A56" w:rsidRDefault="00AA1A56" w:rsidP="00601F6E">
      <w:pPr>
        <w:spacing w:after="0"/>
        <w:ind w:left="709" w:hanging="709"/>
        <w:jc w:val="both"/>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Pentru mai multe detalii cu privire la numărul de cereri pentru diverse categorii de scopuri în perioada 2020-2024, a se vedea secțiunea 2.7 din SWD.</w:t>
      </w:r>
    </w:p>
  </w:footnote>
  <w:footnote w:id="36">
    <w:p w14:paraId="7D56148B" w14:textId="7E4CE5ED" w:rsidR="008D3CBA" w:rsidRDefault="00A81CAF" w:rsidP="00601F6E">
      <w:pPr>
        <w:pStyle w:val="FootnoteText"/>
        <w:spacing w:after="0"/>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sz w:val="20"/>
        </w:rPr>
        <w:t xml:space="preserve"> </w:t>
      </w:r>
      <w:r>
        <w:tab/>
      </w:r>
      <w:r>
        <w:rPr>
          <w:rFonts w:ascii="Times New Roman" w:hAnsi="Times New Roman"/>
          <w:sz w:val="20"/>
        </w:rPr>
        <w:t>A se vedea, de asemenea, tabelul din secțiunea 2.8 din SWD.</w:t>
      </w:r>
    </w:p>
  </w:footnote>
  <w:footnote w:id="37">
    <w:p w14:paraId="7D56148C" w14:textId="349C7BB6" w:rsidR="00AC474D" w:rsidRPr="00007D65" w:rsidRDefault="00AC474D" w:rsidP="00F36687">
      <w:pPr>
        <w:pStyle w:val="FootnoteText"/>
        <w:spacing w:after="0"/>
        <w:ind w:left="680" w:hanging="680"/>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sz w:val="20"/>
        </w:rPr>
        <w:t xml:space="preserve"> </w:t>
      </w:r>
      <w:r>
        <w:tab/>
      </w:r>
      <w:r>
        <w:rPr>
          <w:rFonts w:ascii="Times New Roman" w:hAnsi="Times New Roman"/>
          <w:sz w:val="20"/>
        </w:rPr>
        <w:t>Regulamentul (UE) 2019/816 de stabilire a sistemului ECRIS-TCN, JO L 135, 22.5.2019, p. 1; Directiva 2019/884/UE.</w:t>
      </w:r>
    </w:p>
  </w:footnote>
  <w:footnote w:id="38">
    <w:p w14:paraId="7D56148D" w14:textId="5A07134F" w:rsidR="008D3CBA" w:rsidRDefault="00A81CAF" w:rsidP="00601F6E">
      <w:pPr>
        <w:pStyle w:val="FootnoteText"/>
        <w:spacing w:after="0"/>
        <w:ind w:left="709" w:hanging="709"/>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sz w:val="20"/>
        </w:rPr>
        <w:t xml:space="preserve"> </w:t>
      </w:r>
      <w:r>
        <w:tab/>
      </w:r>
      <w:r>
        <w:rPr>
          <w:rFonts w:ascii="Times New Roman" w:hAnsi="Times New Roman"/>
          <w:sz w:val="20"/>
        </w:rPr>
        <w:t>A se vedea nota de subsol 11. A se vedea, de asemenea, tabelul din secțiunea 2.9 din SWD.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B85A9" w14:textId="77777777" w:rsidR="00955354" w:rsidRPr="00955354" w:rsidRDefault="00955354" w:rsidP="0095535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749E4" w14:textId="77777777" w:rsidR="00955354" w:rsidRPr="00955354" w:rsidRDefault="00955354" w:rsidP="0095535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D5C36" w14:textId="77777777" w:rsidR="00955354" w:rsidRPr="00955354" w:rsidRDefault="00955354" w:rsidP="0095535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61479" w14:textId="77777777" w:rsidR="008D3CBA" w:rsidRDefault="008D3CB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6147A" w14:textId="77777777" w:rsidR="008D3CBA" w:rsidRDefault="008D3CB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6147E" w14:textId="77777777" w:rsidR="008D3CBA" w:rsidRDefault="008D3C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527B5"/>
    <w:multiLevelType w:val="hybridMultilevel"/>
    <w:tmpl w:val="587E3CAE"/>
    <w:lvl w:ilvl="0" w:tplc="147079E8">
      <w:start w:val="1"/>
      <w:numFmt w:val="bullet"/>
      <w:pStyle w:val="Listbullet2cm"/>
      <w:lvlText w:val=""/>
      <w:lvlJc w:val="left"/>
      <w:pPr>
        <w:tabs>
          <w:tab w:val="num" w:pos="1494"/>
        </w:tabs>
        <w:ind w:left="1474" w:hanging="340"/>
      </w:pPr>
      <w:rPr>
        <w:rFonts w:ascii="Symbol" w:hAnsi="Symbol" w:hint="default"/>
        <w:sz w:val="20"/>
      </w:rPr>
    </w:lvl>
    <w:lvl w:ilvl="1" w:tplc="2752F458">
      <w:start w:val="1"/>
      <w:numFmt w:val="bullet"/>
      <w:pStyle w:val="Listbullet2cm"/>
      <w:lvlText w:val=""/>
      <w:lvlJc w:val="left"/>
      <w:pPr>
        <w:tabs>
          <w:tab w:val="num" w:pos="1440"/>
        </w:tabs>
        <w:ind w:left="1420" w:hanging="340"/>
      </w:pPr>
      <w:rPr>
        <w:rFonts w:ascii="Symbol" w:hAnsi="Symbol" w:hint="default"/>
      </w:rPr>
    </w:lvl>
    <w:lvl w:ilvl="2" w:tplc="53A40F5C" w:tentative="1">
      <w:start w:val="1"/>
      <w:numFmt w:val="bullet"/>
      <w:lvlText w:val=""/>
      <w:lvlJc w:val="left"/>
      <w:pPr>
        <w:tabs>
          <w:tab w:val="num" w:pos="2160"/>
        </w:tabs>
        <w:ind w:left="2160" w:hanging="360"/>
      </w:pPr>
      <w:rPr>
        <w:rFonts w:ascii="Wingdings" w:hAnsi="Wingdings" w:hint="default"/>
      </w:rPr>
    </w:lvl>
    <w:lvl w:ilvl="3" w:tplc="7A2C8FDE" w:tentative="1">
      <w:start w:val="1"/>
      <w:numFmt w:val="bullet"/>
      <w:lvlText w:val=""/>
      <w:lvlJc w:val="left"/>
      <w:pPr>
        <w:tabs>
          <w:tab w:val="num" w:pos="2880"/>
        </w:tabs>
        <w:ind w:left="2880" w:hanging="360"/>
      </w:pPr>
      <w:rPr>
        <w:rFonts w:ascii="Symbol" w:hAnsi="Symbol" w:hint="default"/>
      </w:rPr>
    </w:lvl>
    <w:lvl w:ilvl="4" w:tplc="B874C7CC" w:tentative="1">
      <w:start w:val="1"/>
      <w:numFmt w:val="bullet"/>
      <w:lvlText w:val="o"/>
      <w:lvlJc w:val="left"/>
      <w:pPr>
        <w:tabs>
          <w:tab w:val="num" w:pos="3600"/>
        </w:tabs>
        <w:ind w:left="3600" w:hanging="360"/>
      </w:pPr>
      <w:rPr>
        <w:rFonts w:ascii="Courier New" w:hAnsi="Courier New" w:hint="default"/>
      </w:rPr>
    </w:lvl>
    <w:lvl w:ilvl="5" w:tplc="63D690E6" w:tentative="1">
      <w:start w:val="1"/>
      <w:numFmt w:val="bullet"/>
      <w:lvlText w:val=""/>
      <w:lvlJc w:val="left"/>
      <w:pPr>
        <w:tabs>
          <w:tab w:val="num" w:pos="4320"/>
        </w:tabs>
        <w:ind w:left="4320" w:hanging="360"/>
      </w:pPr>
      <w:rPr>
        <w:rFonts w:ascii="Wingdings" w:hAnsi="Wingdings" w:hint="default"/>
      </w:rPr>
    </w:lvl>
    <w:lvl w:ilvl="6" w:tplc="2D3E0C88" w:tentative="1">
      <w:start w:val="1"/>
      <w:numFmt w:val="bullet"/>
      <w:lvlText w:val=""/>
      <w:lvlJc w:val="left"/>
      <w:pPr>
        <w:tabs>
          <w:tab w:val="num" w:pos="5040"/>
        </w:tabs>
        <w:ind w:left="5040" w:hanging="360"/>
      </w:pPr>
      <w:rPr>
        <w:rFonts w:ascii="Symbol" w:hAnsi="Symbol" w:hint="default"/>
      </w:rPr>
    </w:lvl>
    <w:lvl w:ilvl="7" w:tplc="0AEC5C3E" w:tentative="1">
      <w:start w:val="1"/>
      <w:numFmt w:val="bullet"/>
      <w:lvlText w:val="o"/>
      <w:lvlJc w:val="left"/>
      <w:pPr>
        <w:tabs>
          <w:tab w:val="num" w:pos="5760"/>
        </w:tabs>
        <w:ind w:left="5760" w:hanging="360"/>
      </w:pPr>
      <w:rPr>
        <w:rFonts w:ascii="Courier New" w:hAnsi="Courier New" w:hint="default"/>
      </w:rPr>
    </w:lvl>
    <w:lvl w:ilvl="8" w:tplc="180A8BE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9B3A6D"/>
    <w:multiLevelType w:val="hybridMultilevel"/>
    <w:tmpl w:val="853E3856"/>
    <w:lvl w:ilvl="0" w:tplc="1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1A431A5"/>
    <w:multiLevelType w:val="singleLevel"/>
    <w:tmpl w:val="FCDAD016"/>
    <w:lvl w:ilvl="0">
      <w:start w:val="1"/>
      <w:numFmt w:val="bullet"/>
      <w:pStyle w:val="ListBullet1"/>
      <w:lvlText w:val=""/>
      <w:lvlJc w:val="left"/>
      <w:pPr>
        <w:tabs>
          <w:tab w:val="num" w:pos="360"/>
        </w:tabs>
        <w:ind w:left="360" w:hanging="360"/>
      </w:pPr>
      <w:rPr>
        <w:rFonts w:ascii="Wingdings" w:hAnsi="Wingdings" w:hint="default"/>
      </w:rPr>
    </w:lvl>
  </w:abstractNum>
  <w:abstractNum w:abstractNumId="3" w15:restartNumberingAfterBreak="0">
    <w:nsid w:val="06EF40B5"/>
    <w:multiLevelType w:val="hybridMultilevel"/>
    <w:tmpl w:val="4D5C16C8"/>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BF20208"/>
    <w:multiLevelType w:val="singleLevel"/>
    <w:tmpl w:val="B5AC3962"/>
    <w:lvl w:ilvl="0">
      <w:start w:val="1"/>
      <w:numFmt w:val="bullet"/>
      <w:pStyle w:val="Bullet"/>
      <w:lvlText w:val=""/>
      <w:lvlJc w:val="left"/>
      <w:pPr>
        <w:tabs>
          <w:tab w:val="num" w:pos="360"/>
        </w:tabs>
        <w:ind w:left="360" w:hanging="360"/>
      </w:pPr>
      <w:rPr>
        <w:rFonts w:ascii="Symbol" w:hAnsi="Symbol" w:hint="default"/>
      </w:rPr>
    </w:lvl>
  </w:abstractNum>
  <w:abstractNum w:abstractNumId="5" w15:restartNumberingAfterBreak="0">
    <w:nsid w:val="0DF52CF9"/>
    <w:multiLevelType w:val="hybridMultilevel"/>
    <w:tmpl w:val="18B66522"/>
    <w:lvl w:ilvl="0" w:tplc="1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11D3773A"/>
    <w:multiLevelType w:val="singleLevel"/>
    <w:tmpl w:val="18CA76E8"/>
    <w:lvl w:ilvl="0">
      <w:start w:val="1"/>
      <w:numFmt w:val="bullet"/>
      <w:pStyle w:val="TaBult1"/>
      <w:lvlText w:val=""/>
      <w:lvlJc w:val="left"/>
      <w:pPr>
        <w:tabs>
          <w:tab w:val="num" w:pos="360"/>
        </w:tabs>
        <w:ind w:left="360" w:hanging="360"/>
      </w:pPr>
      <w:rPr>
        <w:rFonts w:ascii="Wingdings" w:hAnsi="Wingdings" w:hint="default"/>
      </w:rPr>
    </w:lvl>
  </w:abstractNum>
  <w:abstractNum w:abstractNumId="7" w15:restartNumberingAfterBreak="0">
    <w:nsid w:val="17BD6D06"/>
    <w:multiLevelType w:val="hybridMultilevel"/>
    <w:tmpl w:val="91260240"/>
    <w:lvl w:ilvl="0" w:tplc="9FDEB330">
      <w:start w:val="1"/>
      <w:numFmt w:val="decimal"/>
      <w:lvlText w:val="%1)"/>
      <w:lvlJc w:val="left"/>
      <w:pPr>
        <w:ind w:left="1020" w:hanging="360"/>
      </w:pPr>
    </w:lvl>
    <w:lvl w:ilvl="1" w:tplc="B5529966">
      <w:start w:val="1"/>
      <w:numFmt w:val="decimal"/>
      <w:lvlText w:val="%2)"/>
      <w:lvlJc w:val="left"/>
      <w:pPr>
        <w:ind w:left="1020" w:hanging="360"/>
      </w:pPr>
    </w:lvl>
    <w:lvl w:ilvl="2" w:tplc="55B0ADB6">
      <w:start w:val="1"/>
      <w:numFmt w:val="decimal"/>
      <w:lvlText w:val="%3)"/>
      <w:lvlJc w:val="left"/>
      <w:pPr>
        <w:ind w:left="1020" w:hanging="360"/>
      </w:pPr>
    </w:lvl>
    <w:lvl w:ilvl="3" w:tplc="B3E6087C">
      <w:start w:val="1"/>
      <w:numFmt w:val="decimal"/>
      <w:lvlText w:val="%4)"/>
      <w:lvlJc w:val="left"/>
      <w:pPr>
        <w:ind w:left="1020" w:hanging="360"/>
      </w:pPr>
    </w:lvl>
    <w:lvl w:ilvl="4" w:tplc="E43A2AB8">
      <w:start w:val="1"/>
      <w:numFmt w:val="decimal"/>
      <w:lvlText w:val="%5)"/>
      <w:lvlJc w:val="left"/>
      <w:pPr>
        <w:ind w:left="1020" w:hanging="360"/>
      </w:pPr>
    </w:lvl>
    <w:lvl w:ilvl="5" w:tplc="29B450BE">
      <w:start w:val="1"/>
      <w:numFmt w:val="decimal"/>
      <w:lvlText w:val="%6)"/>
      <w:lvlJc w:val="left"/>
      <w:pPr>
        <w:ind w:left="1020" w:hanging="360"/>
      </w:pPr>
    </w:lvl>
    <w:lvl w:ilvl="6" w:tplc="E68C09C4">
      <w:start w:val="1"/>
      <w:numFmt w:val="decimal"/>
      <w:lvlText w:val="%7)"/>
      <w:lvlJc w:val="left"/>
      <w:pPr>
        <w:ind w:left="1020" w:hanging="360"/>
      </w:pPr>
    </w:lvl>
    <w:lvl w:ilvl="7" w:tplc="184453A6">
      <w:start w:val="1"/>
      <w:numFmt w:val="decimal"/>
      <w:lvlText w:val="%8)"/>
      <w:lvlJc w:val="left"/>
      <w:pPr>
        <w:ind w:left="1020" w:hanging="360"/>
      </w:pPr>
    </w:lvl>
    <w:lvl w:ilvl="8" w:tplc="68002FC2">
      <w:start w:val="1"/>
      <w:numFmt w:val="decimal"/>
      <w:lvlText w:val="%9)"/>
      <w:lvlJc w:val="left"/>
      <w:pPr>
        <w:ind w:left="1020" w:hanging="360"/>
      </w:pPr>
    </w:lvl>
  </w:abstractNum>
  <w:abstractNum w:abstractNumId="8" w15:restartNumberingAfterBreak="0">
    <w:nsid w:val="20231E57"/>
    <w:multiLevelType w:val="singleLevel"/>
    <w:tmpl w:val="B5E20F18"/>
    <w:lvl w:ilvl="0">
      <w:start w:val="1"/>
      <w:numFmt w:val="bullet"/>
      <w:pStyle w:val="Bullet1"/>
      <w:lvlText w:val=""/>
      <w:lvlJc w:val="left"/>
      <w:pPr>
        <w:tabs>
          <w:tab w:val="num" w:pos="360"/>
        </w:tabs>
        <w:ind w:left="360" w:hanging="360"/>
      </w:pPr>
      <w:rPr>
        <w:rFonts w:ascii="Symbol" w:hAnsi="Symbol" w:hint="default"/>
      </w:rPr>
    </w:lvl>
  </w:abstractNum>
  <w:abstractNum w:abstractNumId="9" w15:restartNumberingAfterBreak="0">
    <w:nsid w:val="22E44180"/>
    <w:multiLevelType w:val="multilevel"/>
    <w:tmpl w:val="6C90453A"/>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23CF01AE"/>
    <w:multiLevelType w:val="multilevel"/>
    <w:tmpl w:val="1E66B5CC"/>
    <w:lvl w:ilvl="0">
      <w:start w:val="1"/>
      <w:numFmt w:val="bullet"/>
      <w:pStyle w:val="List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75631B"/>
    <w:multiLevelType w:val="singleLevel"/>
    <w:tmpl w:val="D1F2C4D8"/>
    <w:lvl w:ilvl="0">
      <w:start w:val="1"/>
      <w:numFmt w:val="bullet"/>
      <w:pStyle w:val="ListNumber"/>
      <w:lvlText w:val=""/>
      <w:lvlJc w:val="left"/>
      <w:pPr>
        <w:tabs>
          <w:tab w:val="num" w:pos="765"/>
        </w:tabs>
        <w:ind w:left="765" w:hanging="283"/>
      </w:pPr>
      <w:rPr>
        <w:rFonts w:ascii="Symbol" w:hAnsi="Symbol"/>
      </w:rPr>
    </w:lvl>
  </w:abstractNum>
  <w:abstractNum w:abstractNumId="12" w15:restartNumberingAfterBreak="0">
    <w:nsid w:val="2F144D28"/>
    <w:multiLevelType w:val="singleLevel"/>
    <w:tmpl w:val="6DC45E2C"/>
    <w:lvl w:ilvl="0">
      <w:start w:val="1"/>
      <w:numFmt w:val="bullet"/>
      <w:pStyle w:val="Bullet10"/>
      <w:lvlText w:val=""/>
      <w:lvlJc w:val="left"/>
      <w:pPr>
        <w:tabs>
          <w:tab w:val="num" w:pos="360"/>
        </w:tabs>
        <w:ind w:left="360" w:hanging="360"/>
      </w:pPr>
      <w:rPr>
        <w:rFonts w:ascii="Symbol" w:hAnsi="Symbol" w:hint="default"/>
      </w:rPr>
    </w:lvl>
  </w:abstractNum>
  <w:abstractNum w:abstractNumId="13" w15:restartNumberingAfterBreak="0">
    <w:nsid w:val="39A10859"/>
    <w:multiLevelType w:val="hybridMultilevel"/>
    <w:tmpl w:val="E5BE5EAC"/>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4" w15:restartNumberingAfterBreak="0">
    <w:nsid w:val="3C914D61"/>
    <w:multiLevelType w:val="singleLevel"/>
    <w:tmpl w:val="C2F6FA2A"/>
    <w:lvl w:ilvl="0">
      <w:start w:val="1"/>
      <w:numFmt w:val="decimal"/>
      <w:pStyle w:val="Listnumber2cm"/>
      <w:lvlText w:val="%1"/>
      <w:lvlJc w:val="left"/>
      <w:pPr>
        <w:tabs>
          <w:tab w:val="num" w:pos="1701"/>
        </w:tabs>
        <w:ind w:left="1701" w:hanging="567"/>
      </w:pPr>
      <w:rPr>
        <w:rFonts w:hint="default"/>
      </w:rPr>
    </w:lvl>
  </w:abstractNum>
  <w:abstractNum w:abstractNumId="15" w15:restartNumberingAfterBreak="0">
    <w:nsid w:val="43485F67"/>
    <w:multiLevelType w:val="hybridMultilevel"/>
    <w:tmpl w:val="5806720E"/>
    <w:lvl w:ilvl="0" w:tplc="EE72473C">
      <w:start w:val="5"/>
      <w:numFmt w:val="decimal"/>
      <w:lvlText w:val="%1."/>
      <w:lvlJc w:val="left"/>
      <w:pPr>
        <w:ind w:left="1074" w:hanging="360"/>
      </w:pPr>
      <w:rPr>
        <w:rFonts w:hint="default"/>
      </w:rPr>
    </w:lvl>
    <w:lvl w:ilvl="1" w:tplc="18090019" w:tentative="1">
      <w:start w:val="1"/>
      <w:numFmt w:val="lowerLetter"/>
      <w:lvlText w:val="%2."/>
      <w:lvlJc w:val="left"/>
      <w:pPr>
        <w:ind w:left="1794" w:hanging="360"/>
      </w:pPr>
    </w:lvl>
    <w:lvl w:ilvl="2" w:tplc="1809001B" w:tentative="1">
      <w:start w:val="1"/>
      <w:numFmt w:val="lowerRoman"/>
      <w:lvlText w:val="%3."/>
      <w:lvlJc w:val="right"/>
      <w:pPr>
        <w:ind w:left="2514" w:hanging="180"/>
      </w:pPr>
    </w:lvl>
    <w:lvl w:ilvl="3" w:tplc="1809000F" w:tentative="1">
      <w:start w:val="1"/>
      <w:numFmt w:val="decimal"/>
      <w:lvlText w:val="%4."/>
      <w:lvlJc w:val="left"/>
      <w:pPr>
        <w:ind w:left="3234" w:hanging="360"/>
      </w:pPr>
    </w:lvl>
    <w:lvl w:ilvl="4" w:tplc="18090019" w:tentative="1">
      <w:start w:val="1"/>
      <w:numFmt w:val="lowerLetter"/>
      <w:lvlText w:val="%5."/>
      <w:lvlJc w:val="left"/>
      <w:pPr>
        <w:ind w:left="3954" w:hanging="360"/>
      </w:pPr>
    </w:lvl>
    <w:lvl w:ilvl="5" w:tplc="1809001B" w:tentative="1">
      <w:start w:val="1"/>
      <w:numFmt w:val="lowerRoman"/>
      <w:lvlText w:val="%6."/>
      <w:lvlJc w:val="right"/>
      <w:pPr>
        <w:ind w:left="4674" w:hanging="180"/>
      </w:pPr>
    </w:lvl>
    <w:lvl w:ilvl="6" w:tplc="1809000F" w:tentative="1">
      <w:start w:val="1"/>
      <w:numFmt w:val="decimal"/>
      <w:lvlText w:val="%7."/>
      <w:lvlJc w:val="left"/>
      <w:pPr>
        <w:ind w:left="5394" w:hanging="360"/>
      </w:pPr>
    </w:lvl>
    <w:lvl w:ilvl="7" w:tplc="18090019" w:tentative="1">
      <w:start w:val="1"/>
      <w:numFmt w:val="lowerLetter"/>
      <w:lvlText w:val="%8."/>
      <w:lvlJc w:val="left"/>
      <w:pPr>
        <w:ind w:left="6114" w:hanging="360"/>
      </w:pPr>
    </w:lvl>
    <w:lvl w:ilvl="8" w:tplc="1809001B" w:tentative="1">
      <w:start w:val="1"/>
      <w:numFmt w:val="lowerRoman"/>
      <w:lvlText w:val="%9."/>
      <w:lvlJc w:val="right"/>
      <w:pPr>
        <w:ind w:left="6834" w:hanging="180"/>
      </w:pPr>
    </w:lvl>
  </w:abstractNum>
  <w:abstractNum w:abstractNumId="16" w15:restartNumberingAfterBreak="0">
    <w:nsid w:val="44AA7DEB"/>
    <w:multiLevelType w:val="singleLevel"/>
    <w:tmpl w:val="5798E670"/>
    <w:lvl w:ilvl="0">
      <w:start w:val="1"/>
      <w:numFmt w:val="bullet"/>
      <w:pStyle w:val="Puce2"/>
      <w:lvlText w:val=""/>
      <w:lvlJc w:val="left"/>
      <w:pPr>
        <w:tabs>
          <w:tab w:val="num" w:pos="927"/>
        </w:tabs>
        <w:ind w:left="907" w:hanging="340"/>
      </w:pPr>
      <w:rPr>
        <w:rFonts w:ascii="Wingdings" w:hAnsi="Wingdings" w:hint="default"/>
      </w:rPr>
    </w:lvl>
  </w:abstractNum>
  <w:abstractNum w:abstractNumId="17" w15:restartNumberingAfterBreak="0">
    <w:nsid w:val="465D172F"/>
    <w:multiLevelType w:val="multilevel"/>
    <w:tmpl w:val="9CBAF6BE"/>
    <w:lvl w:ilvl="0">
      <w:start w:val="1"/>
      <w:numFmt w:val="decimal"/>
      <w:pStyle w:val="ListNumber1"/>
      <w:lvlText w:val="(%1)"/>
      <w:lvlJc w:val="left"/>
      <w:pPr>
        <w:tabs>
          <w:tab w:val="num" w:pos="1191"/>
        </w:tabs>
        <w:ind w:left="1191" w:hanging="709"/>
      </w:pPr>
      <w:rPr>
        <w:rFonts w:hint="default"/>
      </w:rPr>
    </w:lvl>
    <w:lvl w:ilvl="1">
      <w:start w:val="1"/>
      <w:numFmt w:val="lowerLetter"/>
      <w:pStyle w:val="ListNumber1Level2"/>
      <w:lvlText w:val="(%2)"/>
      <w:lvlJc w:val="left"/>
      <w:pPr>
        <w:tabs>
          <w:tab w:val="num" w:pos="1899"/>
        </w:tabs>
        <w:ind w:left="1899" w:hanging="708"/>
      </w:pPr>
      <w:rPr>
        <w:rFonts w:hint="default"/>
      </w:rPr>
    </w:lvl>
    <w:lvl w:ilvl="2">
      <w:start w:val="1"/>
      <w:numFmt w:val="bullet"/>
      <w:pStyle w:val="ListNumber1Level3"/>
      <w:lvlText w:val="–"/>
      <w:lvlJc w:val="left"/>
      <w:pPr>
        <w:tabs>
          <w:tab w:val="num" w:pos="2608"/>
        </w:tabs>
        <w:ind w:left="2608" w:hanging="709"/>
      </w:pPr>
      <w:rPr>
        <w:rFonts w:ascii="Times New Roman" w:hAnsi="Times New Roman" w:hint="default"/>
      </w:rPr>
    </w:lvl>
    <w:lvl w:ilvl="3">
      <w:start w:val="1"/>
      <w:numFmt w:val="bullet"/>
      <w:pStyle w:val="ListNumber1Level4"/>
      <w:lvlText w:val=""/>
      <w:lvlJc w:val="left"/>
      <w:pPr>
        <w:tabs>
          <w:tab w:val="num" w:pos="3317"/>
        </w:tabs>
        <w:ind w:left="3317" w:hanging="709"/>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2195C26"/>
    <w:multiLevelType w:val="singleLevel"/>
    <w:tmpl w:val="2A2099E6"/>
    <w:lvl w:ilvl="0">
      <w:start w:val="1"/>
      <w:numFmt w:val="bullet"/>
      <w:pStyle w:val="Lista"/>
      <w:lvlText w:val=""/>
      <w:lvlJc w:val="left"/>
      <w:pPr>
        <w:tabs>
          <w:tab w:val="num" w:pos="360"/>
        </w:tabs>
        <w:ind w:left="360" w:hanging="360"/>
      </w:pPr>
      <w:rPr>
        <w:rFonts w:ascii="Symbol" w:hAnsi="Symbol" w:hint="default"/>
      </w:rPr>
    </w:lvl>
  </w:abstractNum>
  <w:abstractNum w:abstractNumId="19" w15:restartNumberingAfterBreak="0">
    <w:nsid w:val="65EA11F0"/>
    <w:multiLevelType w:val="hybridMultilevel"/>
    <w:tmpl w:val="16D07B52"/>
    <w:lvl w:ilvl="0" w:tplc="E898B9B8">
      <w:start w:val="1"/>
      <w:numFmt w:val="bullet"/>
      <w:pStyle w:val="Listbullet1cm"/>
      <w:lvlText w:val=""/>
      <w:lvlJc w:val="left"/>
      <w:pPr>
        <w:tabs>
          <w:tab w:val="num" w:pos="1647"/>
        </w:tabs>
        <w:ind w:left="1627" w:hanging="340"/>
      </w:pPr>
      <w:rPr>
        <w:rFonts w:ascii="Symbol" w:hAnsi="Symbol" w:hint="default"/>
        <w:sz w:val="20"/>
      </w:rPr>
    </w:lvl>
    <w:lvl w:ilvl="1" w:tplc="387C74FA" w:tentative="1">
      <w:start w:val="1"/>
      <w:numFmt w:val="bullet"/>
      <w:lvlText w:val="o"/>
      <w:lvlJc w:val="left"/>
      <w:pPr>
        <w:tabs>
          <w:tab w:val="num" w:pos="1440"/>
        </w:tabs>
        <w:ind w:left="1440" w:hanging="360"/>
      </w:pPr>
      <w:rPr>
        <w:rFonts w:ascii="Courier New" w:hAnsi="Courier New" w:hint="default"/>
      </w:rPr>
    </w:lvl>
    <w:lvl w:ilvl="2" w:tplc="3B7E9B3E" w:tentative="1">
      <w:start w:val="1"/>
      <w:numFmt w:val="bullet"/>
      <w:lvlText w:val=""/>
      <w:lvlJc w:val="left"/>
      <w:pPr>
        <w:tabs>
          <w:tab w:val="num" w:pos="2160"/>
        </w:tabs>
        <w:ind w:left="2160" w:hanging="360"/>
      </w:pPr>
      <w:rPr>
        <w:rFonts w:ascii="Wingdings" w:hAnsi="Wingdings" w:hint="default"/>
      </w:rPr>
    </w:lvl>
    <w:lvl w:ilvl="3" w:tplc="24345B38" w:tentative="1">
      <w:start w:val="1"/>
      <w:numFmt w:val="bullet"/>
      <w:lvlText w:val=""/>
      <w:lvlJc w:val="left"/>
      <w:pPr>
        <w:tabs>
          <w:tab w:val="num" w:pos="2880"/>
        </w:tabs>
        <w:ind w:left="2880" w:hanging="360"/>
      </w:pPr>
      <w:rPr>
        <w:rFonts w:ascii="Symbol" w:hAnsi="Symbol" w:hint="default"/>
      </w:rPr>
    </w:lvl>
    <w:lvl w:ilvl="4" w:tplc="C8B8E8CC" w:tentative="1">
      <w:start w:val="1"/>
      <w:numFmt w:val="bullet"/>
      <w:lvlText w:val="o"/>
      <w:lvlJc w:val="left"/>
      <w:pPr>
        <w:tabs>
          <w:tab w:val="num" w:pos="3600"/>
        </w:tabs>
        <w:ind w:left="3600" w:hanging="360"/>
      </w:pPr>
      <w:rPr>
        <w:rFonts w:ascii="Courier New" w:hAnsi="Courier New" w:hint="default"/>
      </w:rPr>
    </w:lvl>
    <w:lvl w:ilvl="5" w:tplc="83DABCBE" w:tentative="1">
      <w:start w:val="1"/>
      <w:numFmt w:val="bullet"/>
      <w:lvlText w:val=""/>
      <w:lvlJc w:val="left"/>
      <w:pPr>
        <w:tabs>
          <w:tab w:val="num" w:pos="4320"/>
        </w:tabs>
        <w:ind w:left="4320" w:hanging="360"/>
      </w:pPr>
      <w:rPr>
        <w:rFonts w:ascii="Wingdings" w:hAnsi="Wingdings" w:hint="default"/>
      </w:rPr>
    </w:lvl>
    <w:lvl w:ilvl="6" w:tplc="65D04D92" w:tentative="1">
      <w:start w:val="1"/>
      <w:numFmt w:val="bullet"/>
      <w:lvlText w:val=""/>
      <w:lvlJc w:val="left"/>
      <w:pPr>
        <w:tabs>
          <w:tab w:val="num" w:pos="5040"/>
        </w:tabs>
        <w:ind w:left="5040" w:hanging="360"/>
      </w:pPr>
      <w:rPr>
        <w:rFonts w:ascii="Symbol" w:hAnsi="Symbol" w:hint="default"/>
      </w:rPr>
    </w:lvl>
    <w:lvl w:ilvl="7" w:tplc="476C85D6" w:tentative="1">
      <w:start w:val="1"/>
      <w:numFmt w:val="bullet"/>
      <w:lvlText w:val="o"/>
      <w:lvlJc w:val="left"/>
      <w:pPr>
        <w:tabs>
          <w:tab w:val="num" w:pos="5760"/>
        </w:tabs>
        <w:ind w:left="5760" w:hanging="360"/>
      </w:pPr>
      <w:rPr>
        <w:rFonts w:ascii="Courier New" w:hAnsi="Courier New" w:hint="default"/>
      </w:rPr>
    </w:lvl>
    <w:lvl w:ilvl="8" w:tplc="DF8A4592"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62B5C67"/>
    <w:multiLevelType w:val="singleLevel"/>
    <w:tmpl w:val="8F10F890"/>
    <w:lvl w:ilvl="0">
      <w:start w:val="1"/>
      <w:numFmt w:val="bullet"/>
      <w:pStyle w:val="BodyTextIndent"/>
      <w:lvlText w:val="–"/>
      <w:lvlJc w:val="left"/>
      <w:pPr>
        <w:tabs>
          <w:tab w:val="num" w:pos="283"/>
        </w:tabs>
        <w:ind w:left="283" w:hanging="283"/>
      </w:pPr>
      <w:rPr>
        <w:rFonts w:ascii="Times New Roman" w:hAnsi="Times New Roman"/>
      </w:rPr>
    </w:lvl>
  </w:abstractNum>
  <w:abstractNum w:abstractNumId="21" w15:restartNumberingAfterBreak="0">
    <w:nsid w:val="66C02E3F"/>
    <w:multiLevelType w:val="hybridMultilevel"/>
    <w:tmpl w:val="91B0992A"/>
    <w:lvl w:ilvl="0" w:tplc="BE84792A">
      <w:start w:val="1"/>
      <w:numFmt w:val="decimal"/>
      <w:lvlText w:val="%1."/>
      <w:lvlJc w:val="left"/>
      <w:pPr>
        <w:tabs>
          <w:tab w:val="num" w:pos="720"/>
        </w:tabs>
        <w:ind w:left="720" w:hanging="360"/>
      </w:pPr>
    </w:lvl>
    <w:lvl w:ilvl="1" w:tplc="AB4ADF3A">
      <w:start w:val="1"/>
      <w:numFmt w:val="bullet"/>
      <w:pStyle w:val="TableBullet"/>
      <w:lvlText w:val=""/>
      <w:lvlJc w:val="left"/>
      <w:pPr>
        <w:tabs>
          <w:tab w:val="num" w:pos="1440"/>
        </w:tabs>
        <w:ind w:left="1420" w:hanging="340"/>
      </w:pPr>
      <w:rPr>
        <w:rFonts w:ascii="Symbol" w:hAnsi="Symbol" w:hint="default"/>
      </w:rPr>
    </w:lvl>
    <w:lvl w:ilvl="2" w:tplc="728012D0">
      <w:start w:val="1"/>
      <w:numFmt w:val="lowerRoman"/>
      <w:lvlText w:val="%3."/>
      <w:lvlJc w:val="right"/>
      <w:pPr>
        <w:tabs>
          <w:tab w:val="num" w:pos="2160"/>
        </w:tabs>
        <w:ind w:left="2160" w:hanging="180"/>
      </w:pPr>
    </w:lvl>
    <w:lvl w:ilvl="3" w:tplc="188E441A" w:tentative="1">
      <w:start w:val="1"/>
      <w:numFmt w:val="decimal"/>
      <w:lvlText w:val="%4."/>
      <w:lvlJc w:val="left"/>
      <w:pPr>
        <w:tabs>
          <w:tab w:val="num" w:pos="2880"/>
        </w:tabs>
        <w:ind w:left="2880" w:hanging="360"/>
      </w:pPr>
    </w:lvl>
    <w:lvl w:ilvl="4" w:tplc="FD262742" w:tentative="1">
      <w:start w:val="1"/>
      <w:numFmt w:val="lowerLetter"/>
      <w:lvlText w:val="%5."/>
      <w:lvlJc w:val="left"/>
      <w:pPr>
        <w:tabs>
          <w:tab w:val="num" w:pos="3600"/>
        </w:tabs>
        <w:ind w:left="3600" w:hanging="360"/>
      </w:pPr>
    </w:lvl>
    <w:lvl w:ilvl="5" w:tplc="77C2C0B4" w:tentative="1">
      <w:start w:val="1"/>
      <w:numFmt w:val="lowerRoman"/>
      <w:lvlText w:val="%6."/>
      <w:lvlJc w:val="right"/>
      <w:pPr>
        <w:tabs>
          <w:tab w:val="num" w:pos="4320"/>
        </w:tabs>
        <w:ind w:left="4320" w:hanging="180"/>
      </w:pPr>
    </w:lvl>
    <w:lvl w:ilvl="6" w:tplc="38D81E78" w:tentative="1">
      <w:start w:val="1"/>
      <w:numFmt w:val="decimal"/>
      <w:lvlText w:val="%7."/>
      <w:lvlJc w:val="left"/>
      <w:pPr>
        <w:tabs>
          <w:tab w:val="num" w:pos="5040"/>
        </w:tabs>
        <w:ind w:left="5040" w:hanging="360"/>
      </w:pPr>
    </w:lvl>
    <w:lvl w:ilvl="7" w:tplc="20EC8814" w:tentative="1">
      <w:start w:val="1"/>
      <w:numFmt w:val="lowerLetter"/>
      <w:lvlText w:val="%8."/>
      <w:lvlJc w:val="left"/>
      <w:pPr>
        <w:tabs>
          <w:tab w:val="num" w:pos="5760"/>
        </w:tabs>
        <w:ind w:left="5760" w:hanging="360"/>
      </w:pPr>
    </w:lvl>
    <w:lvl w:ilvl="8" w:tplc="EF3C8C46" w:tentative="1">
      <w:start w:val="1"/>
      <w:numFmt w:val="lowerRoman"/>
      <w:lvlText w:val="%9."/>
      <w:lvlJc w:val="right"/>
      <w:pPr>
        <w:tabs>
          <w:tab w:val="num" w:pos="6480"/>
        </w:tabs>
        <w:ind w:left="6480" w:hanging="180"/>
      </w:pPr>
    </w:lvl>
  </w:abstractNum>
  <w:abstractNum w:abstractNumId="22" w15:restartNumberingAfterBreak="0">
    <w:nsid w:val="6858419E"/>
    <w:multiLevelType w:val="multilevel"/>
    <w:tmpl w:val="DDD0F768"/>
    <w:lvl w:ilvl="0">
      <w:start w:val="1"/>
      <w:numFmt w:val="bullet"/>
      <w:pStyle w:val="SteriaBullet"/>
      <w:lvlText w:val=""/>
      <w:lvlJc w:val="left"/>
      <w:pPr>
        <w:tabs>
          <w:tab w:val="num" w:pos="4235"/>
        </w:tabs>
        <w:ind w:left="4235" w:hanging="360"/>
      </w:pPr>
      <w:rPr>
        <w:rFonts w:ascii="Wingdings" w:hAnsi="Wingdings" w:hint="default"/>
        <w:color w:val="FF5900"/>
        <w:sz w:val="16"/>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D6764EE"/>
    <w:multiLevelType w:val="multilevel"/>
    <w:tmpl w:val="590CAE2E"/>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3130"/>
        </w:tabs>
        <w:ind w:left="3130" w:hanging="720"/>
      </w:pPr>
    </w:lvl>
    <w:lvl w:ilvl="3">
      <w:start w:val="1"/>
      <w:numFmt w:val="decimal"/>
      <w:pStyle w:val="Heading4"/>
      <w:lvlText w:val="%1.%2.%3.%4"/>
      <w:lvlJc w:val="left"/>
      <w:pPr>
        <w:tabs>
          <w:tab w:val="num" w:pos="3842"/>
        </w:tabs>
        <w:ind w:left="3842" w:hanging="864"/>
      </w:pPr>
    </w:lvl>
    <w:lvl w:ilvl="4">
      <w:start w:val="1"/>
      <w:numFmt w:val="decimal"/>
      <w:pStyle w:val="Heading5"/>
      <w:lvlText w:val="%1.%2.%3.%4.%5"/>
      <w:lvlJc w:val="left"/>
      <w:pPr>
        <w:tabs>
          <w:tab w:val="num" w:pos="4269"/>
        </w:tabs>
        <w:ind w:left="4269"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4" w15:restartNumberingAfterBreak="0">
    <w:nsid w:val="74A06403"/>
    <w:multiLevelType w:val="hybridMultilevel"/>
    <w:tmpl w:val="9F4A8AF2"/>
    <w:lvl w:ilvl="0" w:tplc="DC7AC5D2">
      <w:start w:val="1"/>
      <w:numFmt w:val="decimal"/>
      <w:pStyle w:val="Listnumber1cm"/>
      <w:lvlText w:val="%1"/>
      <w:lvlJc w:val="left"/>
      <w:pPr>
        <w:tabs>
          <w:tab w:val="num" w:pos="927"/>
        </w:tabs>
        <w:ind w:left="851" w:hanging="284"/>
      </w:pPr>
      <w:rPr>
        <w:rFonts w:hint="default"/>
      </w:rPr>
    </w:lvl>
    <w:lvl w:ilvl="1" w:tplc="AFFCEF48" w:tentative="1">
      <w:start w:val="1"/>
      <w:numFmt w:val="lowerLetter"/>
      <w:lvlText w:val="%2."/>
      <w:lvlJc w:val="left"/>
      <w:pPr>
        <w:tabs>
          <w:tab w:val="num" w:pos="1440"/>
        </w:tabs>
        <w:ind w:left="1440" w:hanging="360"/>
      </w:pPr>
    </w:lvl>
    <w:lvl w:ilvl="2" w:tplc="279CE068" w:tentative="1">
      <w:start w:val="1"/>
      <w:numFmt w:val="lowerRoman"/>
      <w:lvlText w:val="%3."/>
      <w:lvlJc w:val="right"/>
      <w:pPr>
        <w:tabs>
          <w:tab w:val="num" w:pos="2160"/>
        </w:tabs>
        <w:ind w:left="2160" w:hanging="180"/>
      </w:pPr>
    </w:lvl>
    <w:lvl w:ilvl="3" w:tplc="BA000492" w:tentative="1">
      <w:start w:val="1"/>
      <w:numFmt w:val="decimal"/>
      <w:lvlText w:val="%4."/>
      <w:lvlJc w:val="left"/>
      <w:pPr>
        <w:tabs>
          <w:tab w:val="num" w:pos="2880"/>
        </w:tabs>
        <w:ind w:left="2880" w:hanging="360"/>
      </w:pPr>
    </w:lvl>
    <w:lvl w:ilvl="4" w:tplc="A1E8A902" w:tentative="1">
      <w:start w:val="1"/>
      <w:numFmt w:val="lowerLetter"/>
      <w:lvlText w:val="%5."/>
      <w:lvlJc w:val="left"/>
      <w:pPr>
        <w:tabs>
          <w:tab w:val="num" w:pos="3600"/>
        </w:tabs>
        <w:ind w:left="3600" w:hanging="360"/>
      </w:pPr>
    </w:lvl>
    <w:lvl w:ilvl="5" w:tplc="4D2E328A" w:tentative="1">
      <w:start w:val="1"/>
      <w:numFmt w:val="lowerRoman"/>
      <w:lvlText w:val="%6."/>
      <w:lvlJc w:val="right"/>
      <w:pPr>
        <w:tabs>
          <w:tab w:val="num" w:pos="4320"/>
        </w:tabs>
        <w:ind w:left="4320" w:hanging="180"/>
      </w:pPr>
    </w:lvl>
    <w:lvl w:ilvl="6" w:tplc="27E29162" w:tentative="1">
      <w:start w:val="1"/>
      <w:numFmt w:val="decimal"/>
      <w:lvlText w:val="%7."/>
      <w:lvlJc w:val="left"/>
      <w:pPr>
        <w:tabs>
          <w:tab w:val="num" w:pos="5040"/>
        </w:tabs>
        <w:ind w:left="5040" w:hanging="360"/>
      </w:pPr>
    </w:lvl>
    <w:lvl w:ilvl="7" w:tplc="D1B82ED0" w:tentative="1">
      <w:start w:val="1"/>
      <w:numFmt w:val="lowerLetter"/>
      <w:lvlText w:val="%8."/>
      <w:lvlJc w:val="left"/>
      <w:pPr>
        <w:tabs>
          <w:tab w:val="num" w:pos="5760"/>
        </w:tabs>
        <w:ind w:left="5760" w:hanging="360"/>
      </w:pPr>
    </w:lvl>
    <w:lvl w:ilvl="8" w:tplc="2C0A0A6A" w:tentative="1">
      <w:start w:val="1"/>
      <w:numFmt w:val="lowerRoman"/>
      <w:lvlText w:val="%9."/>
      <w:lvlJc w:val="right"/>
      <w:pPr>
        <w:tabs>
          <w:tab w:val="num" w:pos="6480"/>
        </w:tabs>
        <w:ind w:left="6480" w:hanging="180"/>
      </w:pPr>
    </w:lvl>
  </w:abstractNum>
  <w:num w:numId="1">
    <w:abstractNumId w:val="23"/>
  </w:num>
  <w:num w:numId="2">
    <w:abstractNumId w:val="21"/>
  </w:num>
  <w:num w:numId="3">
    <w:abstractNumId w:val="0"/>
  </w:num>
  <w:num w:numId="4">
    <w:abstractNumId w:val="14"/>
  </w:num>
  <w:num w:numId="5">
    <w:abstractNumId w:val="19"/>
  </w:num>
  <w:num w:numId="6">
    <w:abstractNumId w:val="24"/>
  </w:num>
  <w:num w:numId="7">
    <w:abstractNumId w:val="17"/>
  </w:num>
  <w:num w:numId="8">
    <w:abstractNumId w:val="4"/>
  </w:num>
  <w:num w:numId="9">
    <w:abstractNumId w:val="8"/>
  </w:num>
  <w:num w:numId="10">
    <w:abstractNumId w:val="12"/>
  </w:num>
  <w:num w:numId="11">
    <w:abstractNumId w:val="18"/>
  </w:num>
  <w:num w:numId="12">
    <w:abstractNumId w:val="10"/>
  </w:num>
  <w:num w:numId="13">
    <w:abstractNumId w:val="2"/>
  </w:num>
  <w:num w:numId="14">
    <w:abstractNumId w:val="11"/>
  </w:num>
  <w:num w:numId="15">
    <w:abstractNumId w:val="16"/>
  </w:num>
  <w:num w:numId="16">
    <w:abstractNumId w:val="22"/>
  </w:num>
  <w:num w:numId="17">
    <w:abstractNumId w:val="6"/>
  </w:num>
  <w:num w:numId="18">
    <w:abstractNumId w:val="20"/>
  </w:num>
  <w:num w:numId="19">
    <w:abstractNumId w:val="9"/>
  </w:num>
  <w:num w:numId="20">
    <w:abstractNumId w:val="15"/>
  </w:num>
  <w:num w:numId="21">
    <w:abstractNumId w:val="1"/>
  </w:num>
  <w:num w:numId="22">
    <w:abstractNumId w:val="3"/>
  </w:num>
  <w:num w:numId="23">
    <w:abstractNumId w:val="13"/>
  </w:num>
  <w:num w:numId="24">
    <w:abstractNumId w:val="5"/>
  </w:num>
  <w:num w:numId="25">
    <w:abstractNumId w:val="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rawingGridHorizontalSpacing w:val="181"/>
  <w:drawingGridVerticalSpacing w:val="181"/>
  <w:doNotUseMarginsForDrawingGridOrigin/>
  <w:drawingGridVerticalOrigin w:val="1985"/>
  <w:noPunctuationKerning/>
  <w:characterSpacingControl w:val="doNotCompress"/>
  <w:hdrShapeDefaults>
    <o:shapedefaults v:ext="edit" spidmax="12697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7E5C2C96-FFB3-4DDB-B057-1BE162C6BAD3"/>
    <w:docVar w:name="LW_COVERPAGE_TYPE" w:val="1"/>
    <w:docVar w:name="LW_CROSSREFERENCE" w:val="{SWD(2026) 152 final}"/>
    <w:docVar w:name="LW_DocType" w:val="NORMAL"/>
    <w:docVar w:name="LW_EMISSION" w:val="19.6.2026"/>
    <w:docVar w:name="LW_EMISSION_ISODATE" w:val="2026-06-19"/>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28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ivind schimburile de informa\u539?ii extrase din cazierele judiciare efectuate între statele membre prin intermediul Sistemului european de informa\u539?ii cu privire la cazierele judiciare (ECRIS)&lt;/FMT&gt;_x000d__x000d__x000b_"/>
    <w:docVar w:name="LW_TYPE.DOC.CP" w:val="RAPORT AL COMISIEI C\u258?TRE PARLAMENTUL EUROPEAN \u536?I CONSILIU"/>
    <w:docVar w:name="LwApiVersions" w:val="LW4CoDe 1.24.5.0; LW 9.2, Build 20251112"/>
  </w:docVars>
  <w:rsids>
    <w:rsidRoot w:val="008D3CBA"/>
    <w:rsid w:val="00000222"/>
    <w:rsid w:val="000024BD"/>
    <w:rsid w:val="000039AC"/>
    <w:rsid w:val="00004101"/>
    <w:rsid w:val="00004F08"/>
    <w:rsid w:val="00005E55"/>
    <w:rsid w:val="00007D65"/>
    <w:rsid w:val="000101B0"/>
    <w:rsid w:val="00011C13"/>
    <w:rsid w:val="00011ECD"/>
    <w:rsid w:val="00013C60"/>
    <w:rsid w:val="00015690"/>
    <w:rsid w:val="00016D49"/>
    <w:rsid w:val="00017239"/>
    <w:rsid w:val="00017E4C"/>
    <w:rsid w:val="00020322"/>
    <w:rsid w:val="00020D30"/>
    <w:rsid w:val="00021E8F"/>
    <w:rsid w:val="00021E9C"/>
    <w:rsid w:val="00022E97"/>
    <w:rsid w:val="0002392A"/>
    <w:rsid w:val="000270FE"/>
    <w:rsid w:val="0002743F"/>
    <w:rsid w:val="00027D8B"/>
    <w:rsid w:val="00027E2E"/>
    <w:rsid w:val="000302B8"/>
    <w:rsid w:val="0003113F"/>
    <w:rsid w:val="00031E88"/>
    <w:rsid w:val="00032470"/>
    <w:rsid w:val="00033441"/>
    <w:rsid w:val="00035332"/>
    <w:rsid w:val="00035388"/>
    <w:rsid w:val="000356FA"/>
    <w:rsid w:val="0003638C"/>
    <w:rsid w:val="00036DFC"/>
    <w:rsid w:val="00040923"/>
    <w:rsid w:val="00041012"/>
    <w:rsid w:val="00041422"/>
    <w:rsid w:val="000422BF"/>
    <w:rsid w:val="000426CA"/>
    <w:rsid w:val="00042DBC"/>
    <w:rsid w:val="00042FC2"/>
    <w:rsid w:val="00045D71"/>
    <w:rsid w:val="0004647C"/>
    <w:rsid w:val="00047D4C"/>
    <w:rsid w:val="00047FDA"/>
    <w:rsid w:val="00050C8A"/>
    <w:rsid w:val="00051674"/>
    <w:rsid w:val="00051679"/>
    <w:rsid w:val="00051A0A"/>
    <w:rsid w:val="000526E4"/>
    <w:rsid w:val="00053E5E"/>
    <w:rsid w:val="000542BF"/>
    <w:rsid w:val="0005632A"/>
    <w:rsid w:val="00056EF7"/>
    <w:rsid w:val="00057342"/>
    <w:rsid w:val="0005755A"/>
    <w:rsid w:val="00057996"/>
    <w:rsid w:val="00057A14"/>
    <w:rsid w:val="00060A65"/>
    <w:rsid w:val="00061507"/>
    <w:rsid w:val="000617A6"/>
    <w:rsid w:val="000617BE"/>
    <w:rsid w:val="00061862"/>
    <w:rsid w:val="00062186"/>
    <w:rsid w:val="000633FA"/>
    <w:rsid w:val="000635EB"/>
    <w:rsid w:val="00064147"/>
    <w:rsid w:val="00064223"/>
    <w:rsid w:val="0006422C"/>
    <w:rsid w:val="00065027"/>
    <w:rsid w:val="00065D59"/>
    <w:rsid w:val="0006640B"/>
    <w:rsid w:val="00066F6B"/>
    <w:rsid w:val="0006788E"/>
    <w:rsid w:val="00067C7B"/>
    <w:rsid w:val="00070F94"/>
    <w:rsid w:val="00071AC7"/>
    <w:rsid w:val="000721A6"/>
    <w:rsid w:val="00072724"/>
    <w:rsid w:val="0007298E"/>
    <w:rsid w:val="000735CA"/>
    <w:rsid w:val="00073FA7"/>
    <w:rsid w:val="000742A9"/>
    <w:rsid w:val="00074C62"/>
    <w:rsid w:val="00074F6F"/>
    <w:rsid w:val="00074FE0"/>
    <w:rsid w:val="00075419"/>
    <w:rsid w:val="000766B4"/>
    <w:rsid w:val="00076A1D"/>
    <w:rsid w:val="00076EEC"/>
    <w:rsid w:val="0008070E"/>
    <w:rsid w:val="00080DDF"/>
    <w:rsid w:val="0008146B"/>
    <w:rsid w:val="00081D42"/>
    <w:rsid w:val="000831BF"/>
    <w:rsid w:val="0008519F"/>
    <w:rsid w:val="0008525C"/>
    <w:rsid w:val="0009154E"/>
    <w:rsid w:val="0009160D"/>
    <w:rsid w:val="00092037"/>
    <w:rsid w:val="00092307"/>
    <w:rsid w:val="00092661"/>
    <w:rsid w:val="00094014"/>
    <w:rsid w:val="00094952"/>
    <w:rsid w:val="00095223"/>
    <w:rsid w:val="000955D2"/>
    <w:rsid w:val="0009683B"/>
    <w:rsid w:val="000977AF"/>
    <w:rsid w:val="00097ED3"/>
    <w:rsid w:val="00097F18"/>
    <w:rsid w:val="000A0026"/>
    <w:rsid w:val="000A0485"/>
    <w:rsid w:val="000A18B6"/>
    <w:rsid w:val="000A21B5"/>
    <w:rsid w:val="000A227E"/>
    <w:rsid w:val="000A29EB"/>
    <w:rsid w:val="000A388C"/>
    <w:rsid w:val="000A3AB6"/>
    <w:rsid w:val="000A40B7"/>
    <w:rsid w:val="000A4737"/>
    <w:rsid w:val="000A5EAE"/>
    <w:rsid w:val="000A60D9"/>
    <w:rsid w:val="000A76B3"/>
    <w:rsid w:val="000B12FB"/>
    <w:rsid w:val="000B1E14"/>
    <w:rsid w:val="000B2583"/>
    <w:rsid w:val="000B2E10"/>
    <w:rsid w:val="000B36DA"/>
    <w:rsid w:val="000B396C"/>
    <w:rsid w:val="000B6216"/>
    <w:rsid w:val="000B76F3"/>
    <w:rsid w:val="000B77F8"/>
    <w:rsid w:val="000C1A1B"/>
    <w:rsid w:val="000C1EF9"/>
    <w:rsid w:val="000C21AA"/>
    <w:rsid w:val="000C2884"/>
    <w:rsid w:val="000C29B9"/>
    <w:rsid w:val="000C318F"/>
    <w:rsid w:val="000C5D3A"/>
    <w:rsid w:val="000C6583"/>
    <w:rsid w:val="000C6EB6"/>
    <w:rsid w:val="000C6EE0"/>
    <w:rsid w:val="000C70CE"/>
    <w:rsid w:val="000C74CB"/>
    <w:rsid w:val="000D0562"/>
    <w:rsid w:val="000D09DC"/>
    <w:rsid w:val="000D0FCC"/>
    <w:rsid w:val="000D1305"/>
    <w:rsid w:val="000D23EA"/>
    <w:rsid w:val="000D30EA"/>
    <w:rsid w:val="000D3EB5"/>
    <w:rsid w:val="000D5F92"/>
    <w:rsid w:val="000D66BB"/>
    <w:rsid w:val="000E043D"/>
    <w:rsid w:val="000E0ADC"/>
    <w:rsid w:val="000E0D66"/>
    <w:rsid w:val="000E1810"/>
    <w:rsid w:val="000E1DA3"/>
    <w:rsid w:val="000E2EC6"/>
    <w:rsid w:val="000E3A2C"/>
    <w:rsid w:val="000E4CEB"/>
    <w:rsid w:val="000E4EE6"/>
    <w:rsid w:val="000E52FF"/>
    <w:rsid w:val="000E621B"/>
    <w:rsid w:val="000E7602"/>
    <w:rsid w:val="000E7EA9"/>
    <w:rsid w:val="000F1298"/>
    <w:rsid w:val="000F2832"/>
    <w:rsid w:val="000F4148"/>
    <w:rsid w:val="000F4A53"/>
    <w:rsid w:val="000F5662"/>
    <w:rsid w:val="000F5C16"/>
    <w:rsid w:val="000F6927"/>
    <w:rsid w:val="000F6C98"/>
    <w:rsid w:val="000F71D1"/>
    <w:rsid w:val="000F7398"/>
    <w:rsid w:val="00102545"/>
    <w:rsid w:val="0010553D"/>
    <w:rsid w:val="001057D9"/>
    <w:rsid w:val="00105E20"/>
    <w:rsid w:val="00107BFA"/>
    <w:rsid w:val="00110EC9"/>
    <w:rsid w:val="00111A99"/>
    <w:rsid w:val="00112C5B"/>
    <w:rsid w:val="0011354B"/>
    <w:rsid w:val="00114213"/>
    <w:rsid w:val="00114227"/>
    <w:rsid w:val="001154CD"/>
    <w:rsid w:val="001166F2"/>
    <w:rsid w:val="00117904"/>
    <w:rsid w:val="00120A74"/>
    <w:rsid w:val="00120B35"/>
    <w:rsid w:val="00120FEF"/>
    <w:rsid w:val="001210C7"/>
    <w:rsid w:val="00121808"/>
    <w:rsid w:val="0012233A"/>
    <w:rsid w:val="00122A90"/>
    <w:rsid w:val="001248D7"/>
    <w:rsid w:val="00124DF5"/>
    <w:rsid w:val="00126A26"/>
    <w:rsid w:val="00126F03"/>
    <w:rsid w:val="001303EB"/>
    <w:rsid w:val="001316E8"/>
    <w:rsid w:val="001323BD"/>
    <w:rsid w:val="00132A9C"/>
    <w:rsid w:val="00134984"/>
    <w:rsid w:val="00135605"/>
    <w:rsid w:val="00135E8A"/>
    <w:rsid w:val="001364A7"/>
    <w:rsid w:val="00136551"/>
    <w:rsid w:val="00136A7F"/>
    <w:rsid w:val="00136C72"/>
    <w:rsid w:val="00136DDE"/>
    <w:rsid w:val="00136DE2"/>
    <w:rsid w:val="0013711E"/>
    <w:rsid w:val="0014170F"/>
    <w:rsid w:val="00141FCB"/>
    <w:rsid w:val="00142169"/>
    <w:rsid w:val="001424EB"/>
    <w:rsid w:val="001427AF"/>
    <w:rsid w:val="001439CD"/>
    <w:rsid w:val="00143ABA"/>
    <w:rsid w:val="0014469C"/>
    <w:rsid w:val="00145598"/>
    <w:rsid w:val="001457EF"/>
    <w:rsid w:val="0014638C"/>
    <w:rsid w:val="00146EA9"/>
    <w:rsid w:val="00147AB6"/>
    <w:rsid w:val="00147D8D"/>
    <w:rsid w:val="0015087A"/>
    <w:rsid w:val="001509E7"/>
    <w:rsid w:val="0015193F"/>
    <w:rsid w:val="001536E0"/>
    <w:rsid w:val="00153761"/>
    <w:rsid w:val="00154FEB"/>
    <w:rsid w:val="00155254"/>
    <w:rsid w:val="001554A8"/>
    <w:rsid w:val="001554B7"/>
    <w:rsid w:val="00155CD0"/>
    <w:rsid w:val="00155D08"/>
    <w:rsid w:val="00155E9F"/>
    <w:rsid w:val="00156BE6"/>
    <w:rsid w:val="00157EF5"/>
    <w:rsid w:val="001634F2"/>
    <w:rsid w:val="0016463C"/>
    <w:rsid w:val="00164BBC"/>
    <w:rsid w:val="001650C8"/>
    <w:rsid w:val="00165419"/>
    <w:rsid w:val="001667C7"/>
    <w:rsid w:val="00166AD3"/>
    <w:rsid w:val="00166B3D"/>
    <w:rsid w:val="00171354"/>
    <w:rsid w:val="001714DA"/>
    <w:rsid w:val="00172C7B"/>
    <w:rsid w:val="001740E0"/>
    <w:rsid w:val="0017411D"/>
    <w:rsid w:val="0017416E"/>
    <w:rsid w:val="001744BB"/>
    <w:rsid w:val="00174A32"/>
    <w:rsid w:val="0017648A"/>
    <w:rsid w:val="00176C79"/>
    <w:rsid w:val="00176CF8"/>
    <w:rsid w:val="0017747E"/>
    <w:rsid w:val="00180C01"/>
    <w:rsid w:val="001816E5"/>
    <w:rsid w:val="001821DF"/>
    <w:rsid w:val="00183E61"/>
    <w:rsid w:val="00184676"/>
    <w:rsid w:val="00184E65"/>
    <w:rsid w:val="001859FD"/>
    <w:rsid w:val="0018617F"/>
    <w:rsid w:val="0018631E"/>
    <w:rsid w:val="0018643A"/>
    <w:rsid w:val="00186F83"/>
    <w:rsid w:val="0018723E"/>
    <w:rsid w:val="00193CF3"/>
    <w:rsid w:val="001943B9"/>
    <w:rsid w:val="00194F7D"/>
    <w:rsid w:val="001958FE"/>
    <w:rsid w:val="00195BBD"/>
    <w:rsid w:val="00196AB2"/>
    <w:rsid w:val="001970FA"/>
    <w:rsid w:val="001978A6"/>
    <w:rsid w:val="00197FB0"/>
    <w:rsid w:val="001A0C98"/>
    <w:rsid w:val="001A1593"/>
    <w:rsid w:val="001A2416"/>
    <w:rsid w:val="001A4151"/>
    <w:rsid w:val="001A4EF3"/>
    <w:rsid w:val="001A544E"/>
    <w:rsid w:val="001A5FF1"/>
    <w:rsid w:val="001A6639"/>
    <w:rsid w:val="001A68CA"/>
    <w:rsid w:val="001A7096"/>
    <w:rsid w:val="001A7E8F"/>
    <w:rsid w:val="001B033A"/>
    <w:rsid w:val="001B03A2"/>
    <w:rsid w:val="001B0B7A"/>
    <w:rsid w:val="001B0C71"/>
    <w:rsid w:val="001B1025"/>
    <w:rsid w:val="001B1295"/>
    <w:rsid w:val="001B1885"/>
    <w:rsid w:val="001B3780"/>
    <w:rsid w:val="001B490C"/>
    <w:rsid w:val="001B4C27"/>
    <w:rsid w:val="001B516E"/>
    <w:rsid w:val="001B5770"/>
    <w:rsid w:val="001B66BF"/>
    <w:rsid w:val="001B68D0"/>
    <w:rsid w:val="001B6E97"/>
    <w:rsid w:val="001C14C6"/>
    <w:rsid w:val="001C1BD2"/>
    <w:rsid w:val="001C2125"/>
    <w:rsid w:val="001C235A"/>
    <w:rsid w:val="001C2F12"/>
    <w:rsid w:val="001D1ACC"/>
    <w:rsid w:val="001D2902"/>
    <w:rsid w:val="001D2B03"/>
    <w:rsid w:val="001D3BBD"/>
    <w:rsid w:val="001D3E03"/>
    <w:rsid w:val="001D4112"/>
    <w:rsid w:val="001D423D"/>
    <w:rsid w:val="001D4992"/>
    <w:rsid w:val="001D6986"/>
    <w:rsid w:val="001D74AA"/>
    <w:rsid w:val="001D7E72"/>
    <w:rsid w:val="001E00D2"/>
    <w:rsid w:val="001E1D97"/>
    <w:rsid w:val="001E2350"/>
    <w:rsid w:val="001E2565"/>
    <w:rsid w:val="001E2F07"/>
    <w:rsid w:val="001E426C"/>
    <w:rsid w:val="001E56F2"/>
    <w:rsid w:val="001E72C5"/>
    <w:rsid w:val="001E753F"/>
    <w:rsid w:val="001F0007"/>
    <w:rsid w:val="001F1630"/>
    <w:rsid w:val="001F3661"/>
    <w:rsid w:val="001F49CB"/>
    <w:rsid w:val="001F49DA"/>
    <w:rsid w:val="001F4E96"/>
    <w:rsid w:val="001F51F0"/>
    <w:rsid w:val="001F52B1"/>
    <w:rsid w:val="001F630A"/>
    <w:rsid w:val="001F75B8"/>
    <w:rsid w:val="001F75C6"/>
    <w:rsid w:val="001F7A6B"/>
    <w:rsid w:val="001F7E0E"/>
    <w:rsid w:val="00200526"/>
    <w:rsid w:val="00200826"/>
    <w:rsid w:val="00200C60"/>
    <w:rsid w:val="00202330"/>
    <w:rsid w:val="0020292F"/>
    <w:rsid w:val="002041B4"/>
    <w:rsid w:val="00204B84"/>
    <w:rsid w:val="00204E3C"/>
    <w:rsid w:val="00205BF2"/>
    <w:rsid w:val="0020648A"/>
    <w:rsid w:val="0020757D"/>
    <w:rsid w:val="00210875"/>
    <w:rsid w:val="00210A9C"/>
    <w:rsid w:val="002136E9"/>
    <w:rsid w:val="00214E16"/>
    <w:rsid w:val="00214EE7"/>
    <w:rsid w:val="00215DF2"/>
    <w:rsid w:val="002170C8"/>
    <w:rsid w:val="002200BE"/>
    <w:rsid w:val="0022136D"/>
    <w:rsid w:val="00222A5B"/>
    <w:rsid w:val="002231AD"/>
    <w:rsid w:val="0022540F"/>
    <w:rsid w:val="00226486"/>
    <w:rsid w:val="00227989"/>
    <w:rsid w:val="00227A78"/>
    <w:rsid w:val="00233392"/>
    <w:rsid w:val="002338ED"/>
    <w:rsid w:val="00233A6E"/>
    <w:rsid w:val="002343FC"/>
    <w:rsid w:val="002346FC"/>
    <w:rsid w:val="002347D0"/>
    <w:rsid w:val="0023515B"/>
    <w:rsid w:val="0023533F"/>
    <w:rsid w:val="0023568F"/>
    <w:rsid w:val="00235A14"/>
    <w:rsid w:val="0023623C"/>
    <w:rsid w:val="0023670B"/>
    <w:rsid w:val="00236961"/>
    <w:rsid w:val="00236A0A"/>
    <w:rsid w:val="0023704F"/>
    <w:rsid w:val="0023741C"/>
    <w:rsid w:val="00237E0A"/>
    <w:rsid w:val="00240036"/>
    <w:rsid w:val="00240507"/>
    <w:rsid w:val="00240DA3"/>
    <w:rsid w:val="00241BA2"/>
    <w:rsid w:val="00242315"/>
    <w:rsid w:val="00242C6D"/>
    <w:rsid w:val="0024360D"/>
    <w:rsid w:val="00244A82"/>
    <w:rsid w:val="0024534F"/>
    <w:rsid w:val="00245462"/>
    <w:rsid w:val="002454E1"/>
    <w:rsid w:val="002459B0"/>
    <w:rsid w:val="00246741"/>
    <w:rsid w:val="002508F6"/>
    <w:rsid w:val="00251B7B"/>
    <w:rsid w:val="0025283B"/>
    <w:rsid w:val="002528F0"/>
    <w:rsid w:val="0025293A"/>
    <w:rsid w:val="00253850"/>
    <w:rsid w:val="0025494F"/>
    <w:rsid w:val="0025497D"/>
    <w:rsid w:val="00256B3D"/>
    <w:rsid w:val="00257380"/>
    <w:rsid w:val="002602E6"/>
    <w:rsid w:val="0026031F"/>
    <w:rsid w:val="00260508"/>
    <w:rsid w:val="00260911"/>
    <w:rsid w:val="00260CA3"/>
    <w:rsid w:val="002627FF"/>
    <w:rsid w:val="0026281A"/>
    <w:rsid w:val="00262D3E"/>
    <w:rsid w:val="00263307"/>
    <w:rsid w:val="002635CE"/>
    <w:rsid w:val="00264FC2"/>
    <w:rsid w:val="002652FF"/>
    <w:rsid w:val="00265998"/>
    <w:rsid w:val="00265AB0"/>
    <w:rsid w:val="00265D19"/>
    <w:rsid w:val="00266659"/>
    <w:rsid w:val="0026671E"/>
    <w:rsid w:val="0026758D"/>
    <w:rsid w:val="00270A82"/>
    <w:rsid w:val="00270D53"/>
    <w:rsid w:val="00271449"/>
    <w:rsid w:val="00272777"/>
    <w:rsid w:val="00272E12"/>
    <w:rsid w:val="002732E1"/>
    <w:rsid w:val="0027472D"/>
    <w:rsid w:val="002748B7"/>
    <w:rsid w:val="00274D34"/>
    <w:rsid w:val="0027512E"/>
    <w:rsid w:val="00275153"/>
    <w:rsid w:val="00275387"/>
    <w:rsid w:val="00275414"/>
    <w:rsid w:val="00276537"/>
    <w:rsid w:val="00276D17"/>
    <w:rsid w:val="002770F2"/>
    <w:rsid w:val="002777C5"/>
    <w:rsid w:val="0027797E"/>
    <w:rsid w:val="00277B5A"/>
    <w:rsid w:val="00277BC1"/>
    <w:rsid w:val="00280256"/>
    <w:rsid w:val="002807CD"/>
    <w:rsid w:val="00281E5A"/>
    <w:rsid w:val="0028214B"/>
    <w:rsid w:val="002823AC"/>
    <w:rsid w:val="002828E8"/>
    <w:rsid w:val="002831EC"/>
    <w:rsid w:val="002832EC"/>
    <w:rsid w:val="00283312"/>
    <w:rsid w:val="00284464"/>
    <w:rsid w:val="00285CA5"/>
    <w:rsid w:val="00286310"/>
    <w:rsid w:val="00286613"/>
    <w:rsid w:val="00286E46"/>
    <w:rsid w:val="0028785E"/>
    <w:rsid w:val="00287E58"/>
    <w:rsid w:val="002905DC"/>
    <w:rsid w:val="00290DB3"/>
    <w:rsid w:val="00291416"/>
    <w:rsid w:val="00291646"/>
    <w:rsid w:val="002919AA"/>
    <w:rsid w:val="00292811"/>
    <w:rsid w:val="00292EE3"/>
    <w:rsid w:val="0029336A"/>
    <w:rsid w:val="00294837"/>
    <w:rsid w:val="002948CC"/>
    <w:rsid w:val="00297622"/>
    <w:rsid w:val="002A0272"/>
    <w:rsid w:val="002A0CF8"/>
    <w:rsid w:val="002A1630"/>
    <w:rsid w:val="002A2D46"/>
    <w:rsid w:val="002A329F"/>
    <w:rsid w:val="002A4089"/>
    <w:rsid w:val="002A4926"/>
    <w:rsid w:val="002A51BB"/>
    <w:rsid w:val="002A577A"/>
    <w:rsid w:val="002A5D50"/>
    <w:rsid w:val="002A644A"/>
    <w:rsid w:val="002A72B3"/>
    <w:rsid w:val="002B0354"/>
    <w:rsid w:val="002B0AB7"/>
    <w:rsid w:val="002B1149"/>
    <w:rsid w:val="002B1F44"/>
    <w:rsid w:val="002B21CD"/>
    <w:rsid w:val="002B3CF9"/>
    <w:rsid w:val="002B3F11"/>
    <w:rsid w:val="002B400F"/>
    <w:rsid w:val="002B4ED5"/>
    <w:rsid w:val="002B5287"/>
    <w:rsid w:val="002B55B1"/>
    <w:rsid w:val="002B5A58"/>
    <w:rsid w:val="002B749E"/>
    <w:rsid w:val="002C045E"/>
    <w:rsid w:val="002C2C15"/>
    <w:rsid w:val="002C2D0F"/>
    <w:rsid w:val="002C4282"/>
    <w:rsid w:val="002C47B2"/>
    <w:rsid w:val="002C577B"/>
    <w:rsid w:val="002C66BE"/>
    <w:rsid w:val="002C6944"/>
    <w:rsid w:val="002C6A4F"/>
    <w:rsid w:val="002C784C"/>
    <w:rsid w:val="002C7DDF"/>
    <w:rsid w:val="002C7E8A"/>
    <w:rsid w:val="002D070A"/>
    <w:rsid w:val="002D16A7"/>
    <w:rsid w:val="002D1E6C"/>
    <w:rsid w:val="002D29ED"/>
    <w:rsid w:val="002D30DF"/>
    <w:rsid w:val="002D552F"/>
    <w:rsid w:val="002D5E17"/>
    <w:rsid w:val="002D6928"/>
    <w:rsid w:val="002D70CD"/>
    <w:rsid w:val="002E079F"/>
    <w:rsid w:val="002E07DD"/>
    <w:rsid w:val="002E0B55"/>
    <w:rsid w:val="002E112D"/>
    <w:rsid w:val="002E14DE"/>
    <w:rsid w:val="002E2727"/>
    <w:rsid w:val="002E2A9B"/>
    <w:rsid w:val="002E5D88"/>
    <w:rsid w:val="002E6A98"/>
    <w:rsid w:val="002E79B4"/>
    <w:rsid w:val="002F0067"/>
    <w:rsid w:val="002F0C7C"/>
    <w:rsid w:val="002F0F62"/>
    <w:rsid w:val="002F1622"/>
    <w:rsid w:val="002F1B02"/>
    <w:rsid w:val="002F34A7"/>
    <w:rsid w:val="002F37C0"/>
    <w:rsid w:val="002F3A76"/>
    <w:rsid w:val="002F3E84"/>
    <w:rsid w:val="002F3F77"/>
    <w:rsid w:val="002F443F"/>
    <w:rsid w:val="002F5630"/>
    <w:rsid w:val="002F5E1F"/>
    <w:rsid w:val="002F7183"/>
    <w:rsid w:val="003008E7"/>
    <w:rsid w:val="00301993"/>
    <w:rsid w:val="00303A8D"/>
    <w:rsid w:val="00303FC3"/>
    <w:rsid w:val="00305003"/>
    <w:rsid w:val="003058EB"/>
    <w:rsid w:val="00305AC4"/>
    <w:rsid w:val="00305BA5"/>
    <w:rsid w:val="003063E5"/>
    <w:rsid w:val="00306464"/>
    <w:rsid w:val="00306628"/>
    <w:rsid w:val="00306669"/>
    <w:rsid w:val="00307CAB"/>
    <w:rsid w:val="00307FEE"/>
    <w:rsid w:val="003118CB"/>
    <w:rsid w:val="00311FE1"/>
    <w:rsid w:val="00312794"/>
    <w:rsid w:val="00312900"/>
    <w:rsid w:val="00313D37"/>
    <w:rsid w:val="00314E1B"/>
    <w:rsid w:val="003153D2"/>
    <w:rsid w:val="003156A7"/>
    <w:rsid w:val="00315C57"/>
    <w:rsid w:val="00316593"/>
    <w:rsid w:val="00316A30"/>
    <w:rsid w:val="00316C19"/>
    <w:rsid w:val="0031784E"/>
    <w:rsid w:val="00320B4F"/>
    <w:rsid w:val="00320E6B"/>
    <w:rsid w:val="003244DB"/>
    <w:rsid w:val="0032487B"/>
    <w:rsid w:val="00325A78"/>
    <w:rsid w:val="00325FB2"/>
    <w:rsid w:val="00326C60"/>
    <w:rsid w:val="00326E02"/>
    <w:rsid w:val="00330252"/>
    <w:rsid w:val="003307E6"/>
    <w:rsid w:val="00332619"/>
    <w:rsid w:val="003357B7"/>
    <w:rsid w:val="003357F0"/>
    <w:rsid w:val="00336E62"/>
    <w:rsid w:val="00340AE5"/>
    <w:rsid w:val="003414ED"/>
    <w:rsid w:val="00344D2E"/>
    <w:rsid w:val="00345008"/>
    <w:rsid w:val="0034510E"/>
    <w:rsid w:val="003469A0"/>
    <w:rsid w:val="00346E27"/>
    <w:rsid w:val="00347167"/>
    <w:rsid w:val="00347246"/>
    <w:rsid w:val="00347611"/>
    <w:rsid w:val="00347B31"/>
    <w:rsid w:val="00350238"/>
    <w:rsid w:val="0035026C"/>
    <w:rsid w:val="003505D6"/>
    <w:rsid w:val="0035066C"/>
    <w:rsid w:val="003520CE"/>
    <w:rsid w:val="00352EE6"/>
    <w:rsid w:val="00353666"/>
    <w:rsid w:val="00355DFE"/>
    <w:rsid w:val="0035683F"/>
    <w:rsid w:val="00356918"/>
    <w:rsid w:val="003601E8"/>
    <w:rsid w:val="00360A6A"/>
    <w:rsid w:val="00361344"/>
    <w:rsid w:val="00361BD7"/>
    <w:rsid w:val="003621F0"/>
    <w:rsid w:val="00362824"/>
    <w:rsid w:val="003628D3"/>
    <w:rsid w:val="003629FD"/>
    <w:rsid w:val="00363260"/>
    <w:rsid w:val="00363BFF"/>
    <w:rsid w:val="00365CCD"/>
    <w:rsid w:val="003727E2"/>
    <w:rsid w:val="003735B8"/>
    <w:rsid w:val="00373628"/>
    <w:rsid w:val="003737AF"/>
    <w:rsid w:val="003740B9"/>
    <w:rsid w:val="00374624"/>
    <w:rsid w:val="00374F10"/>
    <w:rsid w:val="00375B5A"/>
    <w:rsid w:val="00376ED3"/>
    <w:rsid w:val="00377921"/>
    <w:rsid w:val="003803BD"/>
    <w:rsid w:val="00380D2C"/>
    <w:rsid w:val="00381F5C"/>
    <w:rsid w:val="003831D9"/>
    <w:rsid w:val="00383326"/>
    <w:rsid w:val="00383B0B"/>
    <w:rsid w:val="00383B79"/>
    <w:rsid w:val="003844C9"/>
    <w:rsid w:val="00384895"/>
    <w:rsid w:val="003855CE"/>
    <w:rsid w:val="00385BAB"/>
    <w:rsid w:val="00386127"/>
    <w:rsid w:val="00386C8B"/>
    <w:rsid w:val="00387BDD"/>
    <w:rsid w:val="00387C31"/>
    <w:rsid w:val="00390B07"/>
    <w:rsid w:val="00390D06"/>
    <w:rsid w:val="00391AB9"/>
    <w:rsid w:val="00392240"/>
    <w:rsid w:val="003926DC"/>
    <w:rsid w:val="00392A5A"/>
    <w:rsid w:val="00394083"/>
    <w:rsid w:val="003941B9"/>
    <w:rsid w:val="00394572"/>
    <w:rsid w:val="00394640"/>
    <w:rsid w:val="0039561E"/>
    <w:rsid w:val="003960BC"/>
    <w:rsid w:val="0039625D"/>
    <w:rsid w:val="003A1715"/>
    <w:rsid w:val="003A193C"/>
    <w:rsid w:val="003A313A"/>
    <w:rsid w:val="003A46F0"/>
    <w:rsid w:val="003A4D03"/>
    <w:rsid w:val="003A50E8"/>
    <w:rsid w:val="003A607E"/>
    <w:rsid w:val="003A60DE"/>
    <w:rsid w:val="003A6609"/>
    <w:rsid w:val="003B0252"/>
    <w:rsid w:val="003B0886"/>
    <w:rsid w:val="003B1C22"/>
    <w:rsid w:val="003B36C8"/>
    <w:rsid w:val="003B3BC2"/>
    <w:rsid w:val="003B4279"/>
    <w:rsid w:val="003B43BA"/>
    <w:rsid w:val="003B443B"/>
    <w:rsid w:val="003B6442"/>
    <w:rsid w:val="003B6486"/>
    <w:rsid w:val="003B6693"/>
    <w:rsid w:val="003B744B"/>
    <w:rsid w:val="003B7620"/>
    <w:rsid w:val="003B77EE"/>
    <w:rsid w:val="003C076F"/>
    <w:rsid w:val="003C07C8"/>
    <w:rsid w:val="003C1861"/>
    <w:rsid w:val="003C1DD2"/>
    <w:rsid w:val="003C2D4E"/>
    <w:rsid w:val="003C31E4"/>
    <w:rsid w:val="003C36E9"/>
    <w:rsid w:val="003C4405"/>
    <w:rsid w:val="003C51E8"/>
    <w:rsid w:val="003C5B05"/>
    <w:rsid w:val="003C60AB"/>
    <w:rsid w:val="003C7076"/>
    <w:rsid w:val="003C7690"/>
    <w:rsid w:val="003D0207"/>
    <w:rsid w:val="003D09FC"/>
    <w:rsid w:val="003D0E20"/>
    <w:rsid w:val="003D1FAB"/>
    <w:rsid w:val="003D231B"/>
    <w:rsid w:val="003D2FF8"/>
    <w:rsid w:val="003D421C"/>
    <w:rsid w:val="003D44ED"/>
    <w:rsid w:val="003D491C"/>
    <w:rsid w:val="003D4C2D"/>
    <w:rsid w:val="003D4C7E"/>
    <w:rsid w:val="003D5292"/>
    <w:rsid w:val="003D70C6"/>
    <w:rsid w:val="003D7D37"/>
    <w:rsid w:val="003E0266"/>
    <w:rsid w:val="003E270B"/>
    <w:rsid w:val="003E33B5"/>
    <w:rsid w:val="003E4176"/>
    <w:rsid w:val="003E43B9"/>
    <w:rsid w:val="003E45AC"/>
    <w:rsid w:val="003E4EA6"/>
    <w:rsid w:val="003E4F96"/>
    <w:rsid w:val="003E5339"/>
    <w:rsid w:val="003E5AE2"/>
    <w:rsid w:val="003E5D91"/>
    <w:rsid w:val="003E6A3D"/>
    <w:rsid w:val="003E6F57"/>
    <w:rsid w:val="003E7A33"/>
    <w:rsid w:val="003F2151"/>
    <w:rsid w:val="003F231E"/>
    <w:rsid w:val="003F2CE4"/>
    <w:rsid w:val="003F3230"/>
    <w:rsid w:val="003F3A6C"/>
    <w:rsid w:val="003F4FF9"/>
    <w:rsid w:val="003F5453"/>
    <w:rsid w:val="003F570E"/>
    <w:rsid w:val="003F5772"/>
    <w:rsid w:val="003F607D"/>
    <w:rsid w:val="003F6081"/>
    <w:rsid w:val="003F64D9"/>
    <w:rsid w:val="00401BAA"/>
    <w:rsid w:val="00402D80"/>
    <w:rsid w:val="00403038"/>
    <w:rsid w:val="0040393D"/>
    <w:rsid w:val="00404A44"/>
    <w:rsid w:val="004056AA"/>
    <w:rsid w:val="004060ED"/>
    <w:rsid w:val="00406521"/>
    <w:rsid w:val="00406C18"/>
    <w:rsid w:val="00407DCF"/>
    <w:rsid w:val="00410DA4"/>
    <w:rsid w:val="004114E7"/>
    <w:rsid w:val="00411A97"/>
    <w:rsid w:val="00412483"/>
    <w:rsid w:val="00412EB4"/>
    <w:rsid w:val="004130B7"/>
    <w:rsid w:val="00413602"/>
    <w:rsid w:val="004138D0"/>
    <w:rsid w:val="00413E1E"/>
    <w:rsid w:val="00414422"/>
    <w:rsid w:val="0041503A"/>
    <w:rsid w:val="00415142"/>
    <w:rsid w:val="00416ACF"/>
    <w:rsid w:val="00416FBF"/>
    <w:rsid w:val="004177EC"/>
    <w:rsid w:val="00417B80"/>
    <w:rsid w:val="004204BE"/>
    <w:rsid w:val="004208C6"/>
    <w:rsid w:val="00420BCF"/>
    <w:rsid w:val="004221F2"/>
    <w:rsid w:val="004229A4"/>
    <w:rsid w:val="004248EE"/>
    <w:rsid w:val="00425448"/>
    <w:rsid w:val="00425B96"/>
    <w:rsid w:val="00425C48"/>
    <w:rsid w:val="00426FFB"/>
    <w:rsid w:val="00430235"/>
    <w:rsid w:val="00430342"/>
    <w:rsid w:val="00430CB2"/>
    <w:rsid w:val="00431E25"/>
    <w:rsid w:val="00432952"/>
    <w:rsid w:val="0043330C"/>
    <w:rsid w:val="004334DD"/>
    <w:rsid w:val="00433BD9"/>
    <w:rsid w:val="00433E75"/>
    <w:rsid w:val="004343EA"/>
    <w:rsid w:val="00434906"/>
    <w:rsid w:val="00435F5B"/>
    <w:rsid w:val="00436781"/>
    <w:rsid w:val="0044007D"/>
    <w:rsid w:val="00442636"/>
    <w:rsid w:val="004431EB"/>
    <w:rsid w:val="00443200"/>
    <w:rsid w:val="00443254"/>
    <w:rsid w:val="004438EC"/>
    <w:rsid w:val="004449A3"/>
    <w:rsid w:val="00446F0A"/>
    <w:rsid w:val="00447CBF"/>
    <w:rsid w:val="00450246"/>
    <w:rsid w:val="00450C06"/>
    <w:rsid w:val="0045268C"/>
    <w:rsid w:val="00453402"/>
    <w:rsid w:val="0045381C"/>
    <w:rsid w:val="00453EAA"/>
    <w:rsid w:val="00454FBF"/>
    <w:rsid w:val="00455D85"/>
    <w:rsid w:val="00455F8B"/>
    <w:rsid w:val="00457386"/>
    <w:rsid w:val="00457A2A"/>
    <w:rsid w:val="00461115"/>
    <w:rsid w:val="0046166A"/>
    <w:rsid w:val="00461BA0"/>
    <w:rsid w:val="00462987"/>
    <w:rsid w:val="00462D03"/>
    <w:rsid w:val="004631A3"/>
    <w:rsid w:val="00464205"/>
    <w:rsid w:val="00464550"/>
    <w:rsid w:val="00464D3E"/>
    <w:rsid w:val="0046559B"/>
    <w:rsid w:val="00465B6E"/>
    <w:rsid w:val="00466182"/>
    <w:rsid w:val="004661ED"/>
    <w:rsid w:val="00466346"/>
    <w:rsid w:val="004673FE"/>
    <w:rsid w:val="004675F9"/>
    <w:rsid w:val="004677EB"/>
    <w:rsid w:val="004706A9"/>
    <w:rsid w:val="00470B07"/>
    <w:rsid w:val="004718BA"/>
    <w:rsid w:val="00471E7A"/>
    <w:rsid w:val="00472062"/>
    <w:rsid w:val="00472948"/>
    <w:rsid w:val="00472DBE"/>
    <w:rsid w:val="00473349"/>
    <w:rsid w:val="00473EA3"/>
    <w:rsid w:val="004741A3"/>
    <w:rsid w:val="004750D3"/>
    <w:rsid w:val="00477E7B"/>
    <w:rsid w:val="00477F2B"/>
    <w:rsid w:val="00480B90"/>
    <w:rsid w:val="00480D90"/>
    <w:rsid w:val="00481DC0"/>
    <w:rsid w:val="00482535"/>
    <w:rsid w:val="00482B00"/>
    <w:rsid w:val="00482DF0"/>
    <w:rsid w:val="004836BD"/>
    <w:rsid w:val="0048394C"/>
    <w:rsid w:val="00484ADE"/>
    <w:rsid w:val="00485168"/>
    <w:rsid w:val="00485549"/>
    <w:rsid w:val="004865CD"/>
    <w:rsid w:val="0048684A"/>
    <w:rsid w:val="00486AB5"/>
    <w:rsid w:val="0049043F"/>
    <w:rsid w:val="004912A3"/>
    <w:rsid w:val="0049184F"/>
    <w:rsid w:val="004918CB"/>
    <w:rsid w:val="004920EF"/>
    <w:rsid w:val="00492A66"/>
    <w:rsid w:val="00494610"/>
    <w:rsid w:val="00496385"/>
    <w:rsid w:val="00497217"/>
    <w:rsid w:val="004A0601"/>
    <w:rsid w:val="004A223D"/>
    <w:rsid w:val="004A2DA2"/>
    <w:rsid w:val="004A2FA4"/>
    <w:rsid w:val="004A3EA4"/>
    <w:rsid w:val="004A4801"/>
    <w:rsid w:val="004A70C7"/>
    <w:rsid w:val="004A7FC2"/>
    <w:rsid w:val="004B0B1D"/>
    <w:rsid w:val="004B1093"/>
    <w:rsid w:val="004B12BF"/>
    <w:rsid w:val="004B1C48"/>
    <w:rsid w:val="004B2131"/>
    <w:rsid w:val="004B30F8"/>
    <w:rsid w:val="004B394C"/>
    <w:rsid w:val="004B4FB1"/>
    <w:rsid w:val="004B681D"/>
    <w:rsid w:val="004B6F46"/>
    <w:rsid w:val="004B7237"/>
    <w:rsid w:val="004B7406"/>
    <w:rsid w:val="004B7480"/>
    <w:rsid w:val="004B7AD4"/>
    <w:rsid w:val="004C0038"/>
    <w:rsid w:val="004C088F"/>
    <w:rsid w:val="004C0AA3"/>
    <w:rsid w:val="004C1585"/>
    <w:rsid w:val="004C221C"/>
    <w:rsid w:val="004C222D"/>
    <w:rsid w:val="004C2735"/>
    <w:rsid w:val="004C35A4"/>
    <w:rsid w:val="004C3A88"/>
    <w:rsid w:val="004C3D76"/>
    <w:rsid w:val="004C3FAE"/>
    <w:rsid w:val="004C766C"/>
    <w:rsid w:val="004D0494"/>
    <w:rsid w:val="004D0EA1"/>
    <w:rsid w:val="004D1AE8"/>
    <w:rsid w:val="004D2952"/>
    <w:rsid w:val="004D3448"/>
    <w:rsid w:val="004D3EDE"/>
    <w:rsid w:val="004D429C"/>
    <w:rsid w:val="004D4E14"/>
    <w:rsid w:val="004D4EA4"/>
    <w:rsid w:val="004D5606"/>
    <w:rsid w:val="004D5A72"/>
    <w:rsid w:val="004D68C8"/>
    <w:rsid w:val="004D70D4"/>
    <w:rsid w:val="004D78CE"/>
    <w:rsid w:val="004D7F8A"/>
    <w:rsid w:val="004E0D50"/>
    <w:rsid w:val="004E19D1"/>
    <w:rsid w:val="004E2124"/>
    <w:rsid w:val="004E37DB"/>
    <w:rsid w:val="004E3B94"/>
    <w:rsid w:val="004E3D49"/>
    <w:rsid w:val="004E3E14"/>
    <w:rsid w:val="004E3F34"/>
    <w:rsid w:val="004E3F9A"/>
    <w:rsid w:val="004E4C8B"/>
    <w:rsid w:val="004E5EE7"/>
    <w:rsid w:val="004E67D5"/>
    <w:rsid w:val="004E70CC"/>
    <w:rsid w:val="004F00CB"/>
    <w:rsid w:val="004F1049"/>
    <w:rsid w:val="004F2329"/>
    <w:rsid w:val="004F6011"/>
    <w:rsid w:val="004F6931"/>
    <w:rsid w:val="004F7BDA"/>
    <w:rsid w:val="00500BF9"/>
    <w:rsid w:val="00500DE7"/>
    <w:rsid w:val="00501089"/>
    <w:rsid w:val="005020A2"/>
    <w:rsid w:val="00502666"/>
    <w:rsid w:val="005027FA"/>
    <w:rsid w:val="005048B5"/>
    <w:rsid w:val="005055B9"/>
    <w:rsid w:val="0050724A"/>
    <w:rsid w:val="005106C9"/>
    <w:rsid w:val="005113C0"/>
    <w:rsid w:val="00511714"/>
    <w:rsid w:val="00511E6B"/>
    <w:rsid w:val="0051213C"/>
    <w:rsid w:val="00512A32"/>
    <w:rsid w:val="00512AF1"/>
    <w:rsid w:val="005135D8"/>
    <w:rsid w:val="00513B26"/>
    <w:rsid w:val="00513E7E"/>
    <w:rsid w:val="00514967"/>
    <w:rsid w:val="00515D79"/>
    <w:rsid w:val="00515F95"/>
    <w:rsid w:val="0051649D"/>
    <w:rsid w:val="00517BE1"/>
    <w:rsid w:val="00517D60"/>
    <w:rsid w:val="00517FB2"/>
    <w:rsid w:val="005200B3"/>
    <w:rsid w:val="0052078E"/>
    <w:rsid w:val="00521337"/>
    <w:rsid w:val="005215EE"/>
    <w:rsid w:val="00521CE7"/>
    <w:rsid w:val="0052380F"/>
    <w:rsid w:val="00525625"/>
    <w:rsid w:val="005273AF"/>
    <w:rsid w:val="005279BA"/>
    <w:rsid w:val="00527F50"/>
    <w:rsid w:val="0053059A"/>
    <w:rsid w:val="00530666"/>
    <w:rsid w:val="005315BB"/>
    <w:rsid w:val="00532909"/>
    <w:rsid w:val="00532B32"/>
    <w:rsid w:val="00533364"/>
    <w:rsid w:val="0053503F"/>
    <w:rsid w:val="00535328"/>
    <w:rsid w:val="00535349"/>
    <w:rsid w:val="0053590E"/>
    <w:rsid w:val="00535FB9"/>
    <w:rsid w:val="00536A8D"/>
    <w:rsid w:val="005408FB"/>
    <w:rsid w:val="00541204"/>
    <w:rsid w:val="00541A26"/>
    <w:rsid w:val="0054267D"/>
    <w:rsid w:val="0054359C"/>
    <w:rsid w:val="00543DA5"/>
    <w:rsid w:val="005445E2"/>
    <w:rsid w:val="00544897"/>
    <w:rsid w:val="00544CEA"/>
    <w:rsid w:val="00544F1A"/>
    <w:rsid w:val="00545203"/>
    <w:rsid w:val="005452E8"/>
    <w:rsid w:val="00545A93"/>
    <w:rsid w:val="005461F2"/>
    <w:rsid w:val="0054666B"/>
    <w:rsid w:val="00546A0C"/>
    <w:rsid w:val="005470CE"/>
    <w:rsid w:val="00547A5C"/>
    <w:rsid w:val="00547FE4"/>
    <w:rsid w:val="005505A7"/>
    <w:rsid w:val="00550B94"/>
    <w:rsid w:val="005549B7"/>
    <w:rsid w:val="005565FD"/>
    <w:rsid w:val="0055686A"/>
    <w:rsid w:val="00556E6B"/>
    <w:rsid w:val="005577F9"/>
    <w:rsid w:val="005601BC"/>
    <w:rsid w:val="005608D4"/>
    <w:rsid w:val="00561928"/>
    <w:rsid w:val="005629A3"/>
    <w:rsid w:val="00562A28"/>
    <w:rsid w:val="00562BDB"/>
    <w:rsid w:val="00563702"/>
    <w:rsid w:val="005638A2"/>
    <w:rsid w:val="005643F7"/>
    <w:rsid w:val="005649F3"/>
    <w:rsid w:val="005651AC"/>
    <w:rsid w:val="00565ECE"/>
    <w:rsid w:val="00566738"/>
    <w:rsid w:val="00566857"/>
    <w:rsid w:val="00567133"/>
    <w:rsid w:val="00567939"/>
    <w:rsid w:val="00567C9B"/>
    <w:rsid w:val="0057189F"/>
    <w:rsid w:val="005724D5"/>
    <w:rsid w:val="005725D1"/>
    <w:rsid w:val="00572FC7"/>
    <w:rsid w:val="00573695"/>
    <w:rsid w:val="005742C6"/>
    <w:rsid w:val="0057693C"/>
    <w:rsid w:val="00580043"/>
    <w:rsid w:val="00580A38"/>
    <w:rsid w:val="00580CD8"/>
    <w:rsid w:val="00581CFB"/>
    <w:rsid w:val="00582E77"/>
    <w:rsid w:val="0058317C"/>
    <w:rsid w:val="00583E40"/>
    <w:rsid w:val="00584387"/>
    <w:rsid w:val="005856C6"/>
    <w:rsid w:val="005873C0"/>
    <w:rsid w:val="0059012F"/>
    <w:rsid w:val="0059016A"/>
    <w:rsid w:val="00590788"/>
    <w:rsid w:val="00590A35"/>
    <w:rsid w:val="00591169"/>
    <w:rsid w:val="00591B9E"/>
    <w:rsid w:val="00591EB8"/>
    <w:rsid w:val="005929E0"/>
    <w:rsid w:val="00592A38"/>
    <w:rsid w:val="00592CEE"/>
    <w:rsid w:val="00593964"/>
    <w:rsid w:val="00593AF7"/>
    <w:rsid w:val="00593B29"/>
    <w:rsid w:val="00593D85"/>
    <w:rsid w:val="00593DF2"/>
    <w:rsid w:val="00595598"/>
    <w:rsid w:val="00595F35"/>
    <w:rsid w:val="005961FE"/>
    <w:rsid w:val="005978E9"/>
    <w:rsid w:val="00597B0B"/>
    <w:rsid w:val="005A0D5E"/>
    <w:rsid w:val="005A1796"/>
    <w:rsid w:val="005A1942"/>
    <w:rsid w:val="005A1F6F"/>
    <w:rsid w:val="005A1FB6"/>
    <w:rsid w:val="005A2259"/>
    <w:rsid w:val="005A29A8"/>
    <w:rsid w:val="005A2F0E"/>
    <w:rsid w:val="005A3A30"/>
    <w:rsid w:val="005A4AE3"/>
    <w:rsid w:val="005A4BDC"/>
    <w:rsid w:val="005A4CC9"/>
    <w:rsid w:val="005A6637"/>
    <w:rsid w:val="005B096A"/>
    <w:rsid w:val="005B2181"/>
    <w:rsid w:val="005B2C16"/>
    <w:rsid w:val="005B33E6"/>
    <w:rsid w:val="005C0BD4"/>
    <w:rsid w:val="005C1E9B"/>
    <w:rsid w:val="005C3776"/>
    <w:rsid w:val="005C3CCE"/>
    <w:rsid w:val="005C432D"/>
    <w:rsid w:val="005C44CE"/>
    <w:rsid w:val="005C4D08"/>
    <w:rsid w:val="005C4E0B"/>
    <w:rsid w:val="005C6D16"/>
    <w:rsid w:val="005D0382"/>
    <w:rsid w:val="005D059A"/>
    <w:rsid w:val="005D0A73"/>
    <w:rsid w:val="005D0A91"/>
    <w:rsid w:val="005D1089"/>
    <w:rsid w:val="005D12D8"/>
    <w:rsid w:val="005D2B4A"/>
    <w:rsid w:val="005D3ABC"/>
    <w:rsid w:val="005D416C"/>
    <w:rsid w:val="005D4920"/>
    <w:rsid w:val="005D49FB"/>
    <w:rsid w:val="005D52F1"/>
    <w:rsid w:val="005D7422"/>
    <w:rsid w:val="005D7D35"/>
    <w:rsid w:val="005E0E30"/>
    <w:rsid w:val="005E119F"/>
    <w:rsid w:val="005E1B30"/>
    <w:rsid w:val="005E2E56"/>
    <w:rsid w:val="005E349A"/>
    <w:rsid w:val="005E4BE9"/>
    <w:rsid w:val="005E4E32"/>
    <w:rsid w:val="005E5032"/>
    <w:rsid w:val="005E5328"/>
    <w:rsid w:val="005E5852"/>
    <w:rsid w:val="005E6575"/>
    <w:rsid w:val="005E7207"/>
    <w:rsid w:val="005E7945"/>
    <w:rsid w:val="005F05A0"/>
    <w:rsid w:val="005F182F"/>
    <w:rsid w:val="005F2FE3"/>
    <w:rsid w:val="005F3FAF"/>
    <w:rsid w:val="005F4343"/>
    <w:rsid w:val="005F4E05"/>
    <w:rsid w:val="005F5274"/>
    <w:rsid w:val="005F52A5"/>
    <w:rsid w:val="005F53A9"/>
    <w:rsid w:val="005F5B84"/>
    <w:rsid w:val="005F6384"/>
    <w:rsid w:val="005F6974"/>
    <w:rsid w:val="005F7527"/>
    <w:rsid w:val="005F786E"/>
    <w:rsid w:val="0060040A"/>
    <w:rsid w:val="006004FA"/>
    <w:rsid w:val="00600C8E"/>
    <w:rsid w:val="006014C9"/>
    <w:rsid w:val="00601F6E"/>
    <w:rsid w:val="00602A52"/>
    <w:rsid w:val="00603849"/>
    <w:rsid w:val="00603861"/>
    <w:rsid w:val="00603A3F"/>
    <w:rsid w:val="00603DAB"/>
    <w:rsid w:val="006049B0"/>
    <w:rsid w:val="00605101"/>
    <w:rsid w:val="00605325"/>
    <w:rsid w:val="00606314"/>
    <w:rsid w:val="006063F5"/>
    <w:rsid w:val="00607F52"/>
    <w:rsid w:val="00610E0B"/>
    <w:rsid w:val="0061144D"/>
    <w:rsid w:val="006134DF"/>
    <w:rsid w:val="00614811"/>
    <w:rsid w:val="00614912"/>
    <w:rsid w:val="00614E51"/>
    <w:rsid w:val="0061520C"/>
    <w:rsid w:val="0061543B"/>
    <w:rsid w:val="0061544B"/>
    <w:rsid w:val="00616685"/>
    <w:rsid w:val="0061720F"/>
    <w:rsid w:val="00617670"/>
    <w:rsid w:val="006202B8"/>
    <w:rsid w:val="006208CB"/>
    <w:rsid w:val="006216BC"/>
    <w:rsid w:val="006216FC"/>
    <w:rsid w:val="00622876"/>
    <w:rsid w:val="00624BDF"/>
    <w:rsid w:val="00625064"/>
    <w:rsid w:val="0062615B"/>
    <w:rsid w:val="006262F5"/>
    <w:rsid w:val="00627353"/>
    <w:rsid w:val="006300DD"/>
    <w:rsid w:val="00631A90"/>
    <w:rsid w:val="00631C0C"/>
    <w:rsid w:val="006326CC"/>
    <w:rsid w:val="00632A9A"/>
    <w:rsid w:val="0063510D"/>
    <w:rsid w:val="00635BDC"/>
    <w:rsid w:val="00635DCB"/>
    <w:rsid w:val="0063723E"/>
    <w:rsid w:val="0063799C"/>
    <w:rsid w:val="00640A38"/>
    <w:rsid w:val="006412E2"/>
    <w:rsid w:val="00641B08"/>
    <w:rsid w:val="00641BBF"/>
    <w:rsid w:val="0064268A"/>
    <w:rsid w:val="00642D97"/>
    <w:rsid w:val="0064309A"/>
    <w:rsid w:val="00643C1F"/>
    <w:rsid w:val="00643DA4"/>
    <w:rsid w:val="00644998"/>
    <w:rsid w:val="0064556E"/>
    <w:rsid w:val="00646F0D"/>
    <w:rsid w:val="006506DB"/>
    <w:rsid w:val="00650E32"/>
    <w:rsid w:val="00653F45"/>
    <w:rsid w:val="00655053"/>
    <w:rsid w:val="006555A4"/>
    <w:rsid w:val="00655D40"/>
    <w:rsid w:val="006569D7"/>
    <w:rsid w:val="00656E5B"/>
    <w:rsid w:val="00660CF6"/>
    <w:rsid w:val="00661653"/>
    <w:rsid w:val="00662178"/>
    <w:rsid w:val="00662DB6"/>
    <w:rsid w:val="006633D6"/>
    <w:rsid w:val="00664296"/>
    <w:rsid w:val="00665D12"/>
    <w:rsid w:val="0066619B"/>
    <w:rsid w:val="006662DC"/>
    <w:rsid w:val="006702A6"/>
    <w:rsid w:val="00670618"/>
    <w:rsid w:val="00671A67"/>
    <w:rsid w:val="006725C6"/>
    <w:rsid w:val="00672B58"/>
    <w:rsid w:val="00673CC0"/>
    <w:rsid w:val="0067520E"/>
    <w:rsid w:val="00676193"/>
    <w:rsid w:val="0067693E"/>
    <w:rsid w:val="00677ED4"/>
    <w:rsid w:val="006800DB"/>
    <w:rsid w:val="00680C8E"/>
    <w:rsid w:val="00680F56"/>
    <w:rsid w:val="00682446"/>
    <w:rsid w:val="0068289C"/>
    <w:rsid w:val="00684A85"/>
    <w:rsid w:val="0068515A"/>
    <w:rsid w:val="00685891"/>
    <w:rsid w:val="006858AB"/>
    <w:rsid w:val="0068742D"/>
    <w:rsid w:val="00687DE0"/>
    <w:rsid w:val="00691E37"/>
    <w:rsid w:val="006928CD"/>
    <w:rsid w:val="00696023"/>
    <w:rsid w:val="006A0E6D"/>
    <w:rsid w:val="006A0EC0"/>
    <w:rsid w:val="006A3685"/>
    <w:rsid w:val="006A3F76"/>
    <w:rsid w:val="006A442D"/>
    <w:rsid w:val="006A5089"/>
    <w:rsid w:val="006A6298"/>
    <w:rsid w:val="006B1C8B"/>
    <w:rsid w:val="006B249F"/>
    <w:rsid w:val="006B2866"/>
    <w:rsid w:val="006B3628"/>
    <w:rsid w:val="006B4A0E"/>
    <w:rsid w:val="006B5724"/>
    <w:rsid w:val="006B60FA"/>
    <w:rsid w:val="006B6EDD"/>
    <w:rsid w:val="006C0F4E"/>
    <w:rsid w:val="006C1442"/>
    <w:rsid w:val="006C2424"/>
    <w:rsid w:val="006C2F32"/>
    <w:rsid w:val="006C37CD"/>
    <w:rsid w:val="006C3868"/>
    <w:rsid w:val="006C3D05"/>
    <w:rsid w:val="006C4973"/>
    <w:rsid w:val="006C52B8"/>
    <w:rsid w:val="006C5F1B"/>
    <w:rsid w:val="006C6407"/>
    <w:rsid w:val="006C6ED3"/>
    <w:rsid w:val="006C744B"/>
    <w:rsid w:val="006D050A"/>
    <w:rsid w:val="006D0F24"/>
    <w:rsid w:val="006D1141"/>
    <w:rsid w:val="006D11F2"/>
    <w:rsid w:val="006D22E0"/>
    <w:rsid w:val="006D25AE"/>
    <w:rsid w:val="006D33AD"/>
    <w:rsid w:val="006D4FBB"/>
    <w:rsid w:val="006D5177"/>
    <w:rsid w:val="006D6BA7"/>
    <w:rsid w:val="006D7648"/>
    <w:rsid w:val="006E00FB"/>
    <w:rsid w:val="006E083A"/>
    <w:rsid w:val="006E0E76"/>
    <w:rsid w:val="006E250E"/>
    <w:rsid w:val="006E2735"/>
    <w:rsid w:val="006E327C"/>
    <w:rsid w:val="006E35CB"/>
    <w:rsid w:val="006E3B1B"/>
    <w:rsid w:val="006E4483"/>
    <w:rsid w:val="006E5820"/>
    <w:rsid w:val="006E73BA"/>
    <w:rsid w:val="006E758A"/>
    <w:rsid w:val="006E7BA9"/>
    <w:rsid w:val="006F05DF"/>
    <w:rsid w:val="006F110B"/>
    <w:rsid w:val="006F19D8"/>
    <w:rsid w:val="006F4022"/>
    <w:rsid w:val="006F4906"/>
    <w:rsid w:val="006F4D6B"/>
    <w:rsid w:val="006F5DA7"/>
    <w:rsid w:val="006F60BA"/>
    <w:rsid w:val="0070070C"/>
    <w:rsid w:val="007008E8"/>
    <w:rsid w:val="00701731"/>
    <w:rsid w:val="0070433B"/>
    <w:rsid w:val="00704964"/>
    <w:rsid w:val="007049CD"/>
    <w:rsid w:val="007052E9"/>
    <w:rsid w:val="00706061"/>
    <w:rsid w:val="00706086"/>
    <w:rsid w:val="00706366"/>
    <w:rsid w:val="0070666C"/>
    <w:rsid w:val="00711578"/>
    <w:rsid w:val="00711CA1"/>
    <w:rsid w:val="0071225D"/>
    <w:rsid w:val="00713182"/>
    <w:rsid w:val="007132D6"/>
    <w:rsid w:val="007141B0"/>
    <w:rsid w:val="00715A75"/>
    <w:rsid w:val="00716C59"/>
    <w:rsid w:val="00717CE1"/>
    <w:rsid w:val="00720044"/>
    <w:rsid w:val="00720E18"/>
    <w:rsid w:val="007213FF"/>
    <w:rsid w:val="0072157D"/>
    <w:rsid w:val="00722597"/>
    <w:rsid w:val="00722C9D"/>
    <w:rsid w:val="00723018"/>
    <w:rsid w:val="007237C9"/>
    <w:rsid w:val="007239BE"/>
    <w:rsid w:val="0072473C"/>
    <w:rsid w:val="00724E84"/>
    <w:rsid w:val="00725180"/>
    <w:rsid w:val="007253DF"/>
    <w:rsid w:val="00725A33"/>
    <w:rsid w:val="007260FE"/>
    <w:rsid w:val="00730EE1"/>
    <w:rsid w:val="0073163A"/>
    <w:rsid w:val="00731B5E"/>
    <w:rsid w:val="0073207B"/>
    <w:rsid w:val="007349D4"/>
    <w:rsid w:val="00734CEF"/>
    <w:rsid w:val="00734D99"/>
    <w:rsid w:val="0073534D"/>
    <w:rsid w:val="007356DA"/>
    <w:rsid w:val="007364EE"/>
    <w:rsid w:val="007366D9"/>
    <w:rsid w:val="00737590"/>
    <w:rsid w:val="00737B11"/>
    <w:rsid w:val="00737D59"/>
    <w:rsid w:val="007409EB"/>
    <w:rsid w:val="007420D5"/>
    <w:rsid w:val="00742D9C"/>
    <w:rsid w:val="007435BC"/>
    <w:rsid w:val="00744748"/>
    <w:rsid w:val="00746FA9"/>
    <w:rsid w:val="007470FE"/>
    <w:rsid w:val="0075049A"/>
    <w:rsid w:val="007504D6"/>
    <w:rsid w:val="00750F9C"/>
    <w:rsid w:val="007510C0"/>
    <w:rsid w:val="007511A0"/>
    <w:rsid w:val="007511BB"/>
    <w:rsid w:val="007512A7"/>
    <w:rsid w:val="00751DC4"/>
    <w:rsid w:val="0075247D"/>
    <w:rsid w:val="00753712"/>
    <w:rsid w:val="00753D9E"/>
    <w:rsid w:val="007545C4"/>
    <w:rsid w:val="00755B30"/>
    <w:rsid w:val="00756B24"/>
    <w:rsid w:val="0075712F"/>
    <w:rsid w:val="0075767E"/>
    <w:rsid w:val="00757B27"/>
    <w:rsid w:val="00760D3B"/>
    <w:rsid w:val="00760EA6"/>
    <w:rsid w:val="00761260"/>
    <w:rsid w:val="007619E4"/>
    <w:rsid w:val="007621FF"/>
    <w:rsid w:val="00762B04"/>
    <w:rsid w:val="007637FF"/>
    <w:rsid w:val="00764F3C"/>
    <w:rsid w:val="00765D45"/>
    <w:rsid w:val="007677FC"/>
    <w:rsid w:val="00771592"/>
    <w:rsid w:val="007723C2"/>
    <w:rsid w:val="007724A6"/>
    <w:rsid w:val="0077517D"/>
    <w:rsid w:val="0077561E"/>
    <w:rsid w:val="00776701"/>
    <w:rsid w:val="00776C11"/>
    <w:rsid w:val="0078068C"/>
    <w:rsid w:val="00780FE8"/>
    <w:rsid w:val="00781CA6"/>
    <w:rsid w:val="007827D1"/>
    <w:rsid w:val="00782CB8"/>
    <w:rsid w:val="00782E40"/>
    <w:rsid w:val="0078329E"/>
    <w:rsid w:val="00784B86"/>
    <w:rsid w:val="00784FD3"/>
    <w:rsid w:val="0078662F"/>
    <w:rsid w:val="00787315"/>
    <w:rsid w:val="0078794E"/>
    <w:rsid w:val="0079039F"/>
    <w:rsid w:val="00790426"/>
    <w:rsid w:val="00790812"/>
    <w:rsid w:val="00790A9B"/>
    <w:rsid w:val="00790DA2"/>
    <w:rsid w:val="00791A4B"/>
    <w:rsid w:val="00791B69"/>
    <w:rsid w:val="00792428"/>
    <w:rsid w:val="0079288C"/>
    <w:rsid w:val="00793922"/>
    <w:rsid w:val="0079394E"/>
    <w:rsid w:val="00794986"/>
    <w:rsid w:val="00794C8A"/>
    <w:rsid w:val="007953FE"/>
    <w:rsid w:val="00797E7E"/>
    <w:rsid w:val="007A0DF3"/>
    <w:rsid w:val="007A141B"/>
    <w:rsid w:val="007A195A"/>
    <w:rsid w:val="007A32B7"/>
    <w:rsid w:val="007A330C"/>
    <w:rsid w:val="007A341C"/>
    <w:rsid w:val="007A3C30"/>
    <w:rsid w:val="007A6C36"/>
    <w:rsid w:val="007A7947"/>
    <w:rsid w:val="007A7B81"/>
    <w:rsid w:val="007A7CB0"/>
    <w:rsid w:val="007B0453"/>
    <w:rsid w:val="007B0597"/>
    <w:rsid w:val="007B1141"/>
    <w:rsid w:val="007B23EB"/>
    <w:rsid w:val="007B4EF9"/>
    <w:rsid w:val="007B6FCB"/>
    <w:rsid w:val="007C1654"/>
    <w:rsid w:val="007C1855"/>
    <w:rsid w:val="007C2375"/>
    <w:rsid w:val="007C4ECC"/>
    <w:rsid w:val="007C52D8"/>
    <w:rsid w:val="007C5507"/>
    <w:rsid w:val="007C62B7"/>
    <w:rsid w:val="007C6924"/>
    <w:rsid w:val="007C70E8"/>
    <w:rsid w:val="007C7D38"/>
    <w:rsid w:val="007C7D47"/>
    <w:rsid w:val="007D0719"/>
    <w:rsid w:val="007D0738"/>
    <w:rsid w:val="007D1CEE"/>
    <w:rsid w:val="007D3350"/>
    <w:rsid w:val="007D36B1"/>
    <w:rsid w:val="007D3936"/>
    <w:rsid w:val="007D3A01"/>
    <w:rsid w:val="007D4989"/>
    <w:rsid w:val="007D54B3"/>
    <w:rsid w:val="007D5800"/>
    <w:rsid w:val="007D5B71"/>
    <w:rsid w:val="007D62F0"/>
    <w:rsid w:val="007D6864"/>
    <w:rsid w:val="007D688C"/>
    <w:rsid w:val="007D6F20"/>
    <w:rsid w:val="007E0115"/>
    <w:rsid w:val="007E080E"/>
    <w:rsid w:val="007E1B84"/>
    <w:rsid w:val="007E2238"/>
    <w:rsid w:val="007E23D3"/>
    <w:rsid w:val="007E366E"/>
    <w:rsid w:val="007E4489"/>
    <w:rsid w:val="007E5C5D"/>
    <w:rsid w:val="007E6B3D"/>
    <w:rsid w:val="007E7347"/>
    <w:rsid w:val="007E7786"/>
    <w:rsid w:val="007F0222"/>
    <w:rsid w:val="007F0974"/>
    <w:rsid w:val="007F185A"/>
    <w:rsid w:val="007F4366"/>
    <w:rsid w:val="007F484D"/>
    <w:rsid w:val="007F51C4"/>
    <w:rsid w:val="007F532B"/>
    <w:rsid w:val="007F6F0A"/>
    <w:rsid w:val="007F7053"/>
    <w:rsid w:val="00800D46"/>
    <w:rsid w:val="00801271"/>
    <w:rsid w:val="00801917"/>
    <w:rsid w:val="00802604"/>
    <w:rsid w:val="00802736"/>
    <w:rsid w:val="00803ABA"/>
    <w:rsid w:val="00804157"/>
    <w:rsid w:val="0080426B"/>
    <w:rsid w:val="00804EB8"/>
    <w:rsid w:val="008052FE"/>
    <w:rsid w:val="00805532"/>
    <w:rsid w:val="008067D1"/>
    <w:rsid w:val="00807F54"/>
    <w:rsid w:val="0081156B"/>
    <w:rsid w:val="00811DAB"/>
    <w:rsid w:val="008127B4"/>
    <w:rsid w:val="008136A4"/>
    <w:rsid w:val="008137B3"/>
    <w:rsid w:val="0081383E"/>
    <w:rsid w:val="00814798"/>
    <w:rsid w:val="00814F2E"/>
    <w:rsid w:val="00817343"/>
    <w:rsid w:val="008177AB"/>
    <w:rsid w:val="008205CD"/>
    <w:rsid w:val="00820CD3"/>
    <w:rsid w:val="00821BD9"/>
    <w:rsid w:val="0082225D"/>
    <w:rsid w:val="00823584"/>
    <w:rsid w:val="00824365"/>
    <w:rsid w:val="00824868"/>
    <w:rsid w:val="00825725"/>
    <w:rsid w:val="00825E5F"/>
    <w:rsid w:val="0082679D"/>
    <w:rsid w:val="00826D64"/>
    <w:rsid w:val="0083068E"/>
    <w:rsid w:val="00830ECE"/>
    <w:rsid w:val="00830F30"/>
    <w:rsid w:val="00831034"/>
    <w:rsid w:val="008320C8"/>
    <w:rsid w:val="00833BBF"/>
    <w:rsid w:val="00833ECB"/>
    <w:rsid w:val="00834B51"/>
    <w:rsid w:val="00835829"/>
    <w:rsid w:val="00836020"/>
    <w:rsid w:val="008360B9"/>
    <w:rsid w:val="008369F1"/>
    <w:rsid w:val="00841917"/>
    <w:rsid w:val="008424A7"/>
    <w:rsid w:val="0084327D"/>
    <w:rsid w:val="008438AA"/>
    <w:rsid w:val="008458BA"/>
    <w:rsid w:val="008458C9"/>
    <w:rsid w:val="00846932"/>
    <w:rsid w:val="00850193"/>
    <w:rsid w:val="0085031D"/>
    <w:rsid w:val="00850437"/>
    <w:rsid w:val="00850B32"/>
    <w:rsid w:val="00851526"/>
    <w:rsid w:val="008519BA"/>
    <w:rsid w:val="00852BB3"/>
    <w:rsid w:val="00853761"/>
    <w:rsid w:val="008547D0"/>
    <w:rsid w:val="00854AAC"/>
    <w:rsid w:val="008551CA"/>
    <w:rsid w:val="00855AAD"/>
    <w:rsid w:val="00856168"/>
    <w:rsid w:val="00856F32"/>
    <w:rsid w:val="00857150"/>
    <w:rsid w:val="00861475"/>
    <w:rsid w:val="0086269F"/>
    <w:rsid w:val="0086562F"/>
    <w:rsid w:val="00865991"/>
    <w:rsid w:val="00866652"/>
    <w:rsid w:val="00866692"/>
    <w:rsid w:val="0087096E"/>
    <w:rsid w:val="00871139"/>
    <w:rsid w:val="008727F2"/>
    <w:rsid w:val="00872EC1"/>
    <w:rsid w:val="008736EA"/>
    <w:rsid w:val="0087596F"/>
    <w:rsid w:val="00876346"/>
    <w:rsid w:val="00876778"/>
    <w:rsid w:val="0088016B"/>
    <w:rsid w:val="00880BB5"/>
    <w:rsid w:val="00880F94"/>
    <w:rsid w:val="008816E7"/>
    <w:rsid w:val="00881BCD"/>
    <w:rsid w:val="00881CEC"/>
    <w:rsid w:val="00884191"/>
    <w:rsid w:val="00884433"/>
    <w:rsid w:val="0088484F"/>
    <w:rsid w:val="00886184"/>
    <w:rsid w:val="0088668E"/>
    <w:rsid w:val="00891509"/>
    <w:rsid w:val="00891F0B"/>
    <w:rsid w:val="00894886"/>
    <w:rsid w:val="00894BF8"/>
    <w:rsid w:val="00895136"/>
    <w:rsid w:val="00896089"/>
    <w:rsid w:val="00897364"/>
    <w:rsid w:val="00897BA3"/>
    <w:rsid w:val="00897E63"/>
    <w:rsid w:val="008A06B4"/>
    <w:rsid w:val="008A1EE8"/>
    <w:rsid w:val="008A1FC4"/>
    <w:rsid w:val="008A32E5"/>
    <w:rsid w:val="008A3B01"/>
    <w:rsid w:val="008A3D71"/>
    <w:rsid w:val="008A5508"/>
    <w:rsid w:val="008A5A88"/>
    <w:rsid w:val="008A75C6"/>
    <w:rsid w:val="008B00F7"/>
    <w:rsid w:val="008B10D5"/>
    <w:rsid w:val="008B1929"/>
    <w:rsid w:val="008B3C09"/>
    <w:rsid w:val="008B479D"/>
    <w:rsid w:val="008B4D19"/>
    <w:rsid w:val="008B55BE"/>
    <w:rsid w:val="008B5737"/>
    <w:rsid w:val="008B6984"/>
    <w:rsid w:val="008C0151"/>
    <w:rsid w:val="008C04ED"/>
    <w:rsid w:val="008C0E6C"/>
    <w:rsid w:val="008C2337"/>
    <w:rsid w:val="008C3E23"/>
    <w:rsid w:val="008C496F"/>
    <w:rsid w:val="008C6210"/>
    <w:rsid w:val="008C7424"/>
    <w:rsid w:val="008C7509"/>
    <w:rsid w:val="008C7727"/>
    <w:rsid w:val="008D0CBF"/>
    <w:rsid w:val="008D1750"/>
    <w:rsid w:val="008D2933"/>
    <w:rsid w:val="008D2C2E"/>
    <w:rsid w:val="008D3C03"/>
    <w:rsid w:val="008D3CBA"/>
    <w:rsid w:val="008D4180"/>
    <w:rsid w:val="008D46A5"/>
    <w:rsid w:val="008D4A5C"/>
    <w:rsid w:val="008D7AB2"/>
    <w:rsid w:val="008E3695"/>
    <w:rsid w:val="008E3E0C"/>
    <w:rsid w:val="008E59C1"/>
    <w:rsid w:val="008E6810"/>
    <w:rsid w:val="008F1A68"/>
    <w:rsid w:val="008F20DE"/>
    <w:rsid w:val="008F2BBF"/>
    <w:rsid w:val="008F364B"/>
    <w:rsid w:val="008F3B12"/>
    <w:rsid w:val="008F41D5"/>
    <w:rsid w:val="008F46F0"/>
    <w:rsid w:val="008F481D"/>
    <w:rsid w:val="008F4C7E"/>
    <w:rsid w:val="008F5D3A"/>
    <w:rsid w:val="008F5D55"/>
    <w:rsid w:val="008F5E55"/>
    <w:rsid w:val="008F6269"/>
    <w:rsid w:val="008F63B9"/>
    <w:rsid w:val="008F68BF"/>
    <w:rsid w:val="008F7920"/>
    <w:rsid w:val="008F7C3D"/>
    <w:rsid w:val="00900B5E"/>
    <w:rsid w:val="009010BE"/>
    <w:rsid w:val="00901391"/>
    <w:rsid w:val="00901731"/>
    <w:rsid w:val="009018D7"/>
    <w:rsid w:val="009019FB"/>
    <w:rsid w:val="00901C5B"/>
    <w:rsid w:val="0090338F"/>
    <w:rsid w:val="00904A0A"/>
    <w:rsid w:val="00905ABB"/>
    <w:rsid w:val="00906A58"/>
    <w:rsid w:val="009109FF"/>
    <w:rsid w:val="009116F6"/>
    <w:rsid w:val="009116F8"/>
    <w:rsid w:val="009119AF"/>
    <w:rsid w:val="00913A71"/>
    <w:rsid w:val="009142BB"/>
    <w:rsid w:val="009160EA"/>
    <w:rsid w:val="009169C7"/>
    <w:rsid w:val="00920D9B"/>
    <w:rsid w:val="00920FC3"/>
    <w:rsid w:val="00922016"/>
    <w:rsid w:val="00922645"/>
    <w:rsid w:val="009227C5"/>
    <w:rsid w:val="00923422"/>
    <w:rsid w:val="009238DC"/>
    <w:rsid w:val="00923968"/>
    <w:rsid w:val="00923A90"/>
    <w:rsid w:val="009241BF"/>
    <w:rsid w:val="009250E5"/>
    <w:rsid w:val="00925828"/>
    <w:rsid w:val="00926528"/>
    <w:rsid w:val="0092719C"/>
    <w:rsid w:val="009304D6"/>
    <w:rsid w:val="009328D9"/>
    <w:rsid w:val="00933BD7"/>
    <w:rsid w:val="00934E64"/>
    <w:rsid w:val="00935675"/>
    <w:rsid w:val="00936293"/>
    <w:rsid w:val="00936B38"/>
    <w:rsid w:val="0094021C"/>
    <w:rsid w:val="00940F5D"/>
    <w:rsid w:val="0094375A"/>
    <w:rsid w:val="00943CE5"/>
    <w:rsid w:val="00944B4D"/>
    <w:rsid w:val="00946758"/>
    <w:rsid w:val="00946C19"/>
    <w:rsid w:val="00947678"/>
    <w:rsid w:val="00947C54"/>
    <w:rsid w:val="00950298"/>
    <w:rsid w:val="0095060C"/>
    <w:rsid w:val="009509B8"/>
    <w:rsid w:val="00951417"/>
    <w:rsid w:val="009514A6"/>
    <w:rsid w:val="00952234"/>
    <w:rsid w:val="0095380E"/>
    <w:rsid w:val="00953ED2"/>
    <w:rsid w:val="00953F1D"/>
    <w:rsid w:val="00953FC3"/>
    <w:rsid w:val="00955354"/>
    <w:rsid w:val="00956CD0"/>
    <w:rsid w:val="00960E5D"/>
    <w:rsid w:val="0096145A"/>
    <w:rsid w:val="00961B8E"/>
    <w:rsid w:val="00962107"/>
    <w:rsid w:val="00962BFD"/>
    <w:rsid w:val="0096310A"/>
    <w:rsid w:val="00964FE7"/>
    <w:rsid w:val="00965101"/>
    <w:rsid w:val="00965130"/>
    <w:rsid w:val="00965275"/>
    <w:rsid w:val="009656C7"/>
    <w:rsid w:val="00965AEC"/>
    <w:rsid w:val="00967AA2"/>
    <w:rsid w:val="00971CC9"/>
    <w:rsid w:val="0097351F"/>
    <w:rsid w:val="0097489D"/>
    <w:rsid w:val="00974FEA"/>
    <w:rsid w:val="009762E7"/>
    <w:rsid w:val="0097647D"/>
    <w:rsid w:val="00977485"/>
    <w:rsid w:val="00977875"/>
    <w:rsid w:val="00977C78"/>
    <w:rsid w:val="00977F75"/>
    <w:rsid w:val="00977FFB"/>
    <w:rsid w:val="009816CC"/>
    <w:rsid w:val="00981F09"/>
    <w:rsid w:val="009829D5"/>
    <w:rsid w:val="00982FC1"/>
    <w:rsid w:val="009832C5"/>
    <w:rsid w:val="009835C3"/>
    <w:rsid w:val="00986C82"/>
    <w:rsid w:val="00987B84"/>
    <w:rsid w:val="00990501"/>
    <w:rsid w:val="009912FB"/>
    <w:rsid w:val="00991427"/>
    <w:rsid w:val="00993047"/>
    <w:rsid w:val="00993221"/>
    <w:rsid w:val="00993E92"/>
    <w:rsid w:val="00994FFA"/>
    <w:rsid w:val="009952F8"/>
    <w:rsid w:val="00996790"/>
    <w:rsid w:val="00996C98"/>
    <w:rsid w:val="009A037E"/>
    <w:rsid w:val="009A0FF6"/>
    <w:rsid w:val="009A17D2"/>
    <w:rsid w:val="009A195B"/>
    <w:rsid w:val="009A1968"/>
    <w:rsid w:val="009A1CC5"/>
    <w:rsid w:val="009A25D1"/>
    <w:rsid w:val="009A2671"/>
    <w:rsid w:val="009A344E"/>
    <w:rsid w:val="009A50B7"/>
    <w:rsid w:val="009A5666"/>
    <w:rsid w:val="009A5DAD"/>
    <w:rsid w:val="009A7840"/>
    <w:rsid w:val="009A7F3B"/>
    <w:rsid w:val="009B18C4"/>
    <w:rsid w:val="009B1E8C"/>
    <w:rsid w:val="009B2132"/>
    <w:rsid w:val="009B3517"/>
    <w:rsid w:val="009B4451"/>
    <w:rsid w:val="009B46A8"/>
    <w:rsid w:val="009B47D7"/>
    <w:rsid w:val="009B53E9"/>
    <w:rsid w:val="009B6680"/>
    <w:rsid w:val="009C0417"/>
    <w:rsid w:val="009C07AF"/>
    <w:rsid w:val="009C1450"/>
    <w:rsid w:val="009C1B0D"/>
    <w:rsid w:val="009C3D50"/>
    <w:rsid w:val="009C3E53"/>
    <w:rsid w:val="009C45B2"/>
    <w:rsid w:val="009C495F"/>
    <w:rsid w:val="009C5191"/>
    <w:rsid w:val="009C6921"/>
    <w:rsid w:val="009C6AA6"/>
    <w:rsid w:val="009C6D6A"/>
    <w:rsid w:val="009D1A7C"/>
    <w:rsid w:val="009D1E4A"/>
    <w:rsid w:val="009D26F8"/>
    <w:rsid w:val="009D2E6D"/>
    <w:rsid w:val="009D366E"/>
    <w:rsid w:val="009D38FD"/>
    <w:rsid w:val="009D4531"/>
    <w:rsid w:val="009D4ACD"/>
    <w:rsid w:val="009D55F5"/>
    <w:rsid w:val="009D63DD"/>
    <w:rsid w:val="009D64F0"/>
    <w:rsid w:val="009D7120"/>
    <w:rsid w:val="009D79DD"/>
    <w:rsid w:val="009E1A99"/>
    <w:rsid w:val="009E5CB4"/>
    <w:rsid w:val="009E6532"/>
    <w:rsid w:val="009E71CB"/>
    <w:rsid w:val="009F016C"/>
    <w:rsid w:val="009F02B2"/>
    <w:rsid w:val="009F08F1"/>
    <w:rsid w:val="009F0CFC"/>
    <w:rsid w:val="009F0E5B"/>
    <w:rsid w:val="009F12BE"/>
    <w:rsid w:val="009F1D58"/>
    <w:rsid w:val="009F3197"/>
    <w:rsid w:val="009F41A0"/>
    <w:rsid w:val="009F4650"/>
    <w:rsid w:val="009F4C95"/>
    <w:rsid w:val="009F542D"/>
    <w:rsid w:val="009F62CF"/>
    <w:rsid w:val="009F67B6"/>
    <w:rsid w:val="00A007C5"/>
    <w:rsid w:val="00A019B7"/>
    <w:rsid w:val="00A01D56"/>
    <w:rsid w:val="00A0227F"/>
    <w:rsid w:val="00A0245B"/>
    <w:rsid w:val="00A02A98"/>
    <w:rsid w:val="00A03833"/>
    <w:rsid w:val="00A03A09"/>
    <w:rsid w:val="00A05595"/>
    <w:rsid w:val="00A0630B"/>
    <w:rsid w:val="00A100A3"/>
    <w:rsid w:val="00A10E78"/>
    <w:rsid w:val="00A112D4"/>
    <w:rsid w:val="00A11A4A"/>
    <w:rsid w:val="00A11CE9"/>
    <w:rsid w:val="00A12289"/>
    <w:rsid w:val="00A12647"/>
    <w:rsid w:val="00A1393F"/>
    <w:rsid w:val="00A13EB2"/>
    <w:rsid w:val="00A14034"/>
    <w:rsid w:val="00A1516F"/>
    <w:rsid w:val="00A157B6"/>
    <w:rsid w:val="00A16233"/>
    <w:rsid w:val="00A171FC"/>
    <w:rsid w:val="00A17CF6"/>
    <w:rsid w:val="00A20718"/>
    <w:rsid w:val="00A20D9A"/>
    <w:rsid w:val="00A20F1E"/>
    <w:rsid w:val="00A22FF2"/>
    <w:rsid w:val="00A230FE"/>
    <w:rsid w:val="00A23D66"/>
    <w:rsid w:val="00A24FCC"/>
    <w:rsid w:val="00A253C6"/>
    <w:rsid w:val="00A263FB"/>
    <w:rsid w:val="00A26435"/>
    <w:rsid w:val="00A26E7A"/>
    <w:rsid w:val="00A27FEA"/>
    <w:rsid w:val="00A306A4"/>
    <w:rsid w:val="00A30DFA"/>
    <w:rsid w:val="00A30F81"/>
    <w:rsid w:val="00A3149D"/>
    <w:rsid w:val="00A317AF"/>
    <w:rsid w:val="00A32E60"/>
    <w:rsid w:val="00A3349F"/>
    <w:rsid w:val="00A33FE0"/>
    <w:rsid w:val="00A35080"/>
    <w:rsid w:val="00A358D6"/>
    <w:rsid w:val="00A35E81"/>
    <w:rsid w:val="00A35EB4"/>
    <w:rsid w:val="00A36006"/>
    <w:rsid w:val="00A37A9F"/>
    <w:rsid w:val="00A37C32"/>
    <w:rsid w:val="00A37FC4"/>
    <w:rsid w:val="00A400AA"/>
    <w:rsid w:val="00A405BC"/>
    <w:rsid w:val="00A40657"/>
    <w:rsid w:val="00A41720"/>
    <w:rsid w:val="00A4215A"/>
    <w:rsid w:val="00A45D65"/>
    <w:rsid w:val="00A45E41"/>
    <w:rsid w:val="00A46227"/>
    <w:rsid w:val="00A47CF6"/>
    <w:rsid w:val="00A50983"/>
    <w:rsid w:val="00A537E3"/>
    <w:rsid w:val="00A54977"/>
    <w:rsid w:val="00A55564"/>
    <w:rsid w:val="00A556E2"/>
    <w:rsid w:val="00A57426"/>
    <w:rsid w:val="00A57666"/>
    <w:rsid w:val="00A6019F"/>
    <w:rsid w:val="00A60230"/>
    <w:rsid w:val="00A60AED"/>
    <w:rsid w:val="00A613F3"/>
    <w:rsid w:val="00A61A9B"/>
    <w:rsid w:val="00A6290C"/>
    <w:rsid w:val="00A62C0D"/>
    <w:rsid w:val="00A63F65"/>
    <w:rsid w:val="00A661F4"/>
    <w:rsid w:val="00A662D0"/>
    <w:rsid w:val="00A673A2"/>
    <w:rsid w:val="00A678A2"/>
    <w:rsid w:val="00A716E4"/>
    <w:rsid w:val="00A71B6B"/>
    <w:rsid w:val="00A7264B"/>
    <w:rsid w:val="00A73918"/>
    <w:rsid w:val="00A73DB4"/>
    <w:rsid w:val="00A73E7E"/>
    <w:rsid w:val="00A7452F"/>
    <w:rsid w:val="00A745C0"/>
    <w:rsid w:val="00A751BF"/>
    <w:rsid w:val="00A763BE"/>
    <w:rsid w:val="00A778CB"/>
    <w:rsid w:val="00A77D1C"/>
    <w:rsid w:val="00A804B6"/>
    <w:rsid w:val="00A81378"/>
    <w:rsid w:val="00A819A8"/>
    <w:rsid w:val="00A81CAF"/>
    <w:rsid w:val="00A834D1"/>
    <w:rsid w:val="00A83AD4"/>
    <w:rsid w:val="00A83B0E"/>
    <w:rsid w:val="00A83BA2"/>
    <w:rsid w:val="00A84C62"/>
    <w:rsid w:val="00A85005"/>
    <w:rsid w:val="00A85546"/>
    <w:rsid w:val="00A864A0"/>
    <w:rsid w:val="00A8715D"/>
    <w:rsid w:val="00A876B5"/>
    <w:rsid w:val="00A87BEB"/>
    <w:rsid w:val="00A90125"/>
    <w:rsid w:val="00A91CEB"/>
    <w:rsid w:val="00A9207F"/>
    <w:rsid w:val="00A93D0B"/>
    <w:rsid w:val="00A94A4D"/>
    <w:rsid w:val="00A94CE5"/>
    <w:rsid w:val="00A94FE0"/>
    <w:rsid w:val="00A9518C"/>
    <w:rsid w:val="00A95DDB"/>
    <w:rsid w:val="00A96281"/>
    <w:rsid w:val="00A96748"/>
    <w:rsid w:val="00A96A14"/>
    <w:rsid w:val="00AA10D6"/>
    <w:rsid w:val="00AA1A56"/>
    <w:rsid w:val="00AA210C"/>
    <w:rsid w:val="00AA3557"/>
    <w:rsid w:val="00AA4D30"/>
    <w:rsid w:val="00AA5560"/>
    <w:rsid w:val="00AA58F1"/>
    <w:rsid w:val="00AA5BBD"/>
    <w:rsid w:val="00AA5F04"/>
    <w:rsid w:val="00AA6DD2"/>
    <w:rsid w:val="00AA77A3"/>
    <w:rsid w:val="00AA7FAA"/>
    <w:rsid w:val="00AB0A33"/>
    <w:rsid w:val="00AB0B6F"/>
    <w:rsid w:val="00AB1668"/>
    <w:rsid w:val="00AB1911"/>
    <w:rsid w:val="00AB4209"/>
    <w:rsid w:val="00AB42D3"/>
    <w:rsid w:val="00AB5B4D"/>
    <w:rsid w:val="00AB6372"/>
    <w:rsid w:val="00AC3217"/>
    <w:rsid w:val="00AC336C"/>
    <w:rsid w:val="00AC399E"/>
    <w:rsid w:val="00AC3F45"/>
    <w:rsid w:val="00AC45FF"/>
    <w:rsid w:val="00AC474D"/>
    <w:rsid w:val="00AC5086"/>
    <w:rsid w:val="00AC51EB"/>
    <w:rsid w:val="00AC528C"/>
    <w:rsid w:val="00AC6096"/>
    <w:rsid w:val="00AC6167"/>
    <w:rsid w:val="00AC6A44"/>
    <w:rsid w:val="00AC732D"/>
    <w:rsid w:val="00AD183F"/>
    <w:rsid w:val="00AD464B"/>
    <w:rsid w:val="00AD53D4"/>
    <w:rsid w:val="00AD69F8"/>
    <w:rsid w:val="00AD73AC"/>
    <w:rsid w:val="00AE123A"/>
    <w:rsid w:val="00AE19D1"/>
    <w:rsid w:val="00AE3826"/>
    <w:rsid w:val="00AE3AA7"/>
    <w:rsid w:val="00AE404A"/>
    <w:rsid w:val="00AE447F"/>
    <w:rsid w:val="00AE51CF"/>
    <w:rsid w:val="00AE732B"/>
    <w:rsid w:val="00AE77AB"/>
    <w:rsid w:val="00AE795D"/>
    <w:rsid w:val="00AF05FF"/>
    <w:rsid w:val="00AF24F6"/>
    <w:rsid w:val="00AF2683"/>
    <w:rsid w:val="00AF2F58"/>
    <w:rsid w:val="00AF3162"/>
    <w:rsid w:val="00AF3225"/>
    <w:rsid w:val="00AF3319"/>
    <w:rsid w:val="00AF341D"/>
    <w:rsid w:val="00AF507C"/>
    <w:rsid w:val="00AF5D5E"/>
    <w:rsid w:val="00AF6F21"/>
    <w:rsid w:val="00AF72C1"/>
    <w:rsid w:val="00AF775E"/>
    <w:rsid w:val="00B00017"/>
    <w:rsid w:val="00B0122A"/>
    <w:rsid w:val="00B01486"/>
    <w:rsid w:val="00B016FE"/>
    <w:rsid w:val="00B0194D"/>
    <w:rsid w:val="00B01A99"/>
    <w:rsid w:val="00B0271B"/>
    <w:rsid w:val="00B03361"/>
    <w:rsid w:val="00B034BE"/>
    <w:rsid w:val="00B03579"/>
    <w:rsid w:val="00B044D9"/>
    <w:rsid w:val="00B056CB"/>
    <w:rsid w:val="00B06B75"/>
    <w:rsid w:val="00B07533"/>
    <w:rsid w:val="00B07784"/>
    <w:rsid w:val="00B07B08"/>
    <w:rsid w:val="00B10997"/>
    <w:rsid w:val="00B11FE4"/>
    <w:rsid w:val="00B12E90"/>
    <w:rsid w:val="00B13A3C"/>
    <w:rsid w:val="00B13A90"/>
    <w:rsid w:val="00B13B94"/>
    <w:rsid w:val="00B13E3E"/>
    <w:rsid w:val="00B140B2"/>
    <w:rsid w:val="00B1523F"/>
    <w:rsid w:val="00B15EA5"/>
    <w:rsid w:val="00B16937"/>
    <w:rsid w:val="00B16FDC"/>
    <w:rsid w:val="00B174CC"/>
    <w:rsid w:val="00B175F3"/>
    <w:rsid w:val="00B20272"/>
    <w:rsid w:val="00B208AA"/>
    <w:rsid w:val="00B209A5"/>
    <w:rsid w:val="00B20A91"/>
    <w:rsid w:val="00B2105C"/>
    <w:rsid w:val="00B21196"/>
    <w:rsid w:val="00B21892"/>
    <w:rsid w:val="00B21B78"/>
    <w:rsid w:val="00B23407"/>
    <w:rsid w:val="00B234C6"/>
    <w:rsid w:val="00B23C62"/>
    <w:rsid w:val="00B24DC0"/>
    <w:rsid w:val="00B25C8D"/>
    <w:rsid w:val="00B2603C"/>
    <w:rsid w:val="00B26E5C"/>
    <w:rsid w:val="00B303C2"/>
    <w:rsid w:val="00B30E69"/>
    <w:rsid w:val="00B31DA7"/>
    <w:rsid w:val="00B31FD9"/>
    <w:rsid w:val="00B32402"/>
    <w:rsid w:val="00B3240D"/>
    <w:rsid w:val="00B334DA"/>
    <w:rsid w:val="00B356B8"/>
    <w:rsid w:val="00B35E94"/>
    <w:rsid w:val="00B36117"/>
    <w:rsid w:val="00B364D8"/>
    <w:rsid w:val="00B36C2C"/>
    <w:rsid w:val="00B37CD0"/>
    <w:rsid w:val="00B41ACA"/>
    <w:rsid w:val="00B41C26"/>
    <w:rsid w:val="00B41CD4"/>
    <w:rsid w:val="00B42942"/>
    <w:rsid w:val="00B437F1"/>
    <w:rsid w:val="00B45DCD"/>
    <w:rsid w:val="00B466EC"/>
    <w:rsid w:val="00B50D40"/>
    <w:rsid w:val="00B51B4F"/>
    <w:rsid w:val="00B531FD"/>
    <w:rsid w:val="00B539C2"/>
    <w:rsid w:val="00B53DBC"/>
    <w:rsid w:val="00B547E4"/>
    <w:rsid w:val="00B55B19"/>
    <w:rsid w:val="00B56A32"/>
    <w:rsid w:val="00B56E4C"/>
    <w:rsid w:val="00B603B9"/>
    <w:rsid w:val="00B606B3"/>
    <w:rsid w:val="00B61116"/>
    <w:rsid w:val="00B6148C"/>
    <w:rsid w:val="00B61587"/>
    <w:rsid w:val="00B61724"/>
    <w:rsid w:val="00B625B4"/>
    <w:rsid w:val="00B62E49"/>
    <w:rsid w:val="00B631F5"/>
    <w:rsid w:val="00B63912"/>
    <w:rsid w:val="00B6461D"/>
    <w:rsid w:val="00B64E11"/>
    <w:rsid w:val="00B64E68"/>
    <w:rsid w:val="00B653FE"/>
    <w:rsid w:val="00B65FF0"/>
    <w:rsid w:val="00B667A2"/>
    <w:rsid w:val="00B66C2C"/>
    <w:rsid w:val="00B674AF"/>
    <w:rsid w:val="00B678D9"/>
    <w:rsid w:val="00B700E6"/>
    <w:rsid w:val="00B7011C"/>
    <w:rsid w:val="00B70E8B"/>
    <w:rsid w:val="00B728F1"/>
    <w:rsid w:val="00B7321B"/>
    <w:rsid w:val="00B74600"/>
    <w:rsid w:val="00B74B05"/>
    <w:rsid w:val="00B7659B"/>
    <w:rsid w:val="00B824ED"/>
    <w:rsid w:val="00B82F9D"/>
    <w:rsid w:val="00B833A4"/>
    <w:rsid w:val="00B84AAE"/>
    <w:rsid w:val="00B85699"/>
    <w:rsid w:val="00B857BA"/>
    <w:rsid w:val="00B86C71"/>
    <w:rsid w:val="00B86E5E"/>
    <w:rsid w:val="00B86F98"/>
    <w:rsid w:val="00B91001"/>
    <w:rsid w:val="00B93325"/>
    <w:rsid w:val="00B9397B"/>
    <w:rsid w:val="00B94270"/>
    <w:rsid w:val="00B9491F"/>
    <w:rsid w:val="00B956E4"/>
    <w:rsid w:val="00B96399"/>
    <w:rsid w:val="00B969AD"/>
    <w:rsid w:val="00B97DE0"/>
    <w:rsid w:val="00B97EB3"/>
    <w:rsid w:val="00BA0137"/>
    <w:rsid w:val="00BA04C0"/>
    <w:rsid w:val="00BA0D19"/>
    <w:rsid w:val="00BA18F6"/>
    <w:rsid w:val="00BA2767"/>
    <w:rsid w:val="00BA28AD"/>
    <w:rsid w:val="00BA2BBC"/>
    <w:rsid w:val="00BA4B38"/>
    <w:rsid w:val="00BA56A9"/>
    <w:rsid w:val="00BA5BF7"/>
    <w:rsid w:val="00BA667C"/>
    <w:rsid w:val="00BA6B82"/>
    <w:rsid w:val="00BB21F0"/>
    <w:rsid w:val="00BB33F8"/>
    <w:rsid w:val="00BB35CB"/>
    <w:rsid w:val="00BB3C85"/>
    <w:rsid w:val="00BB3D31"/>
    <w:rsid w:val="00BB4F16"/>
    <w:rsid w:val="00BB5B4C"/>
    <w:rsid w:val="00BB628C"/>
    <w:rsid w:val="00BB65C8"/>
    <w:rsid w:val="00BB710B"/>
    <w:rsid w:val="00BB7536"/>
    <w:rsid w:val="00BB7D1A"/>
    <w:rsid w:val="00BC0177"/>
    <w:rsid w:val="00BC0290"/>
    <w:rsid w:val="00BC105F"/>
    <w:rsid w:val="00BC192A"/>
    <w:rsid w:val="00BC31B8"/>
    <w:rsid w:val="00BC33FA"/>
    <w:rsid w:val="00BC36F5"/>
    <w:rsid w:val="00BC410F"/>
    <w:rsid w:val="00BC4FD4"/>
    <w:rsid w:val="00BC5124"/>
    <w:rsid w:val="00BD063C"/>
    <w:rsid w:val="00BD06BB"/>
    <w:rsid w:val="00BD1226"/>
    <w:rsid w:val="00BD232F"/>
    <w:rsid w:val="00BD24A8"/>
    <w:rsid w:val="00BD3108"/>
    <w:rsid w:val="00BD362D"/>
    <w:rsid w:val="00BD3FB1"/>
    <w:rsid w:val="00BD458D"/>
    <w:rsid w:val="00BD48AD"/>
    <w:rsid w:val="00BD58C3"/>
    <w:rsid w:val="00BD59DC"/>
    <w:rsid w:val="00BD6482"/>
    <w:rsid w:val="00BD6F52"/>
    <w:rsid w:val="00BE159A"/>
    <w:rsid w:val="00BE1D90"/>
    <w:rsid w:val="00BE2C47"/>
    <w:rsid w:val="00BE393F"/>
    <w:rsid w:val="00BE3C9A"/>
    <w:rsid w:val="00BE3F1F"/>
    <w:rsid w:val="00BE4BF6"/>
    <w:rsid w:val="00BE5CAB"/>
    <w:rsid w:val="00BE7E0B"/>
    <w:rsid w:val="00BF118B"/>
    <w:rsid w:val="00BF1892"/>
    <w:rsid w:val="00BF258A"/>
    <w:rsid w:val="00BF34D4"/>
    <w:rsid w:val="00BF356F"/>
    <w:rsid w:val="00BF43D6"/>
    <w:rsid w:val="00BF49F2"/>
    <w:rsid w:val="00BF521C"/>
    <w:rsid w:val="00BF60DD"/>
    <w:rsid w:val="00BF630E"/>
    <w:rsid w:val="00BF6847"/>
    <w:rsid w:val="00BF734D"/>
    <w:rsid w:val="00BF79AB"/>
    <w:rsid w:val="00C005C7"/>
    <w:rsid w:val="00C006C9"/>
    <w:rsid w:val="00C0152D"/>
    <w:rsid w:val="00C03CB7"/>
    <w:rsid w:val="00C040FF"/>
    <w:rsid w:val="00C04518"/>
    <w:rsid w:val="00C04A92"/>
    <w:rsid w:val="00C058E7"/>
    <w:rsid w:val="00C061FF"/>
    <w:rsid w:val="00C07E9B"/>
    <w:rsid w:val="00C11338"/>
    <w:rsid w:val="00C11940"/>
    <w:rsid w:val="00C13C61"/>
    <w:rsid w:val="00C13F00"/>
    <w:rsid w:val="00C13F08"/>
    <w:rsid w:val="00C1436C"/>
    <w:rsid w:val="00C147C1"/>
    <w:rsid w:val="00C14A5A"/>
    <w:rsid w:val="00C1524A"/>
    <w:rsid w:val="00C15351"/>
    <w:rsid w:val="00C1575B"/>
    <w:rsid w:val="00C16C97"/>
    <w:rsid w:val="00C1780A"/>
    <w:rsid w:val="00C20501"/>
    <w:rsid w:val="00C20E4F"/>
    <w:rsid w:val="00C21471"/>
    <w:rsid w:val="00C21978"/>
    <w:rsid w:val="00C21CB7"/>
    <w:rsid w:val="00C228B0"/>
    <w:rsid w:val="00C238DE"/>
    <w:rsid w:val="00C23B64"/>
    <w:rsid w:val="00C24482"/>
    <w:rsid w:val="00C247D9"/>
    <w:rsid w:val="00C24FA8"/>
    <w:rsid w:val="00C2501A"/>
    <w:rsid w:val="00C26AF2"/>
    <w:rsid w:val="00C26BE9"/>
    <w:rsid w:val="00C26D32"/>
    <w:rsid w:val="00C2726E"/>
    <w:rsid w:val="00C30866"/>
    <w:rsid w:val="00C30F7D"/>
    <w:rsid w:val="00C3164B"/>
    <w:rsid w:val="00C31682"/>
    <w:rsid w:val="00C330CE"/>
    <w:rsid w:val="00C334C2"/>
    <w:rsid w:val="00C33C9D"/>
    <w:rsid w:val="00C351C3"/>
    <w:rsid w:val="00C377FA"/>
    <w:rsid w:val="00C378B5"/>
    <w:rsid w:val="00C40C24"/>
    <w:rsid w:val="00C41AFC"/>
    <w:rsid w:val="00C41B05"/>
    <w:rsid w:val="00C43497"/>
    <w:rsid w:val="00C436B2"/>
    <w:rsid w:val="00C43A45"/>
    <w:rsid w:val="00C444F9"/>
    <w:rsid w:val="00C45E66"/>
    <w:rsid w:val="00C460FC"/>
    <w:rsid w:val="00C4656B"/>
    <w:rsid w:val="00C4749C"/>
    <w:rsid w:val="00C476E3"/>
    <w:rsid w:val="00C50C8F"/>
    <w:rsid w:val="00C51389"/>
    <w:rsid w:val="00C51BD6"/>
    <w:rsid w:val="00C51C78"/>
    <w:rsid w:val="00C528D0"/>
    <w:rsid w:val="00C53274"/>
    <w:rsid w:val="00C5349A"/>
    <w:rsid w:val="00C53C7A"/>
    <w:rsid w:val="00C548C3"/>
    <w:rsid w:val="00C5554F"/>
    <w:rsid w:val="00C5720B"/>
    <w:rsid w:val="00C57295"/>
    <w:rsid w:val="00C6022F"/>
    <w:rsid w:val="00C60AA1"/>
    <w:rsid w:val="00C60CFD"/>
    <w:rsid w:val="00C615E3"/>
    <w:rsid w:val="00C61676"/>
    <w:rsid w:val="00C623DC"/>
    <w:rsid w:val="00C650AB"/>
    <w:rsid w:val="00C655CD"/>
    <w:rsid w:val="00C65CAE"/>
    <w:rsid w:val="00C74239"/>
    <w:rsid w:val="00C75A5B"/>
    <w:rsid w:val="00C7604E"/>
    <w:rsid w:val="00C77CA0"/>
    <w:rsid w:val="00C804A4"/>
    <w:rsid w:val="00C81A9E"/>
    <w:rsid w:val="00C81B7B"/>
    <w:rsid w:val="00C81F03"/>
    <w:rsid w:val="00C82438"/>
    <w:rsid w:val="00C83418"/>
    <w:rsid w:val="00C8491D"/>
    <w:rsid w:val="00C85572"/>
    <w:rsid w:val="00C85D0F"/>
    <w:rsid w:val="00C8695C"/>
    <w:rsid w:val="00C9061F"/>
    <w:rsid w:val="00C90A07"/>
    <w:rsid w:val="00C90A30"/>
    <w:rsid w:val="00C90D09"/>
    <w:rsid w:val="00C92A9E"/>
    <w:rsid w:val="00C92B09"/>
    <w:rsid w:val="00C936FC"/>
    <w:rsid w:val="00C93BAA"/>
    <w:rsid w:val="00C94098"/>
    <w:rsid w:val="00C940F5"/>
    <w:rsid w:val="00C96735"/>
    <w:rsid w:val="00C97033"/>
    <w:rsid w:val="00CA05F4"/>
    <w:rsid w:val="00CA0725"/>
    <w:rsid w:val="00CA16CA"/>
    <w:rsid w:val="00CA1C12"/>
    <w:rsid w:val="00CA39B0"/>
    <w:rsid w:val="00CA47C2"/>
    <w:rsid w:val="00CA53A8"/>
    <w:rsid w:val="00CA5A0A"/>
    <w:rsid w:val="00CA5DD1"/>
    <w:rsid w:val="00CA6890"/>
    <w:rsid w:val="00CA6C11"/>
    <w:rsid w:val="00CA7C85"/>
    <w:rsid w:val="00CB09C4"/>
    <w:rsid w:val="00CB0E56"/>
    <w:rsid w:val="00CB1942"/>
    <w:rsid w:val="00CB1B86"/>
    <w:rsid w:val="00CB3631"/>
    <w:rsid w:val="00CB4303"/>
    <w:rsid w:val="00CB46CB"/>
    <w:rsid w:val="00CB4B25"/>
    <w:rsid w:val="00CB5811"/>
    <w:rsid w:val="00CB5C70"/>
    <w:rsid w:val="00CB631A"/>
    <w:rsid w:val="00CB685D"/>
    <w:rsid w:val="00CB7446"/>
    <w:rsid w:val="00CC0778"/>
    <w:rsid w:val="00CC1923"/>
    <w:rsid w:val="00CC1D14"/>
    <w:rsid w:val="00CC2604"/>
    <w:rsid w:val="00CC3998"/>
    <w:rsid w:val="00CC4630"/>
    <w:rsid w:val="00CC4A01"/>
    <w:rsid w:val="00CC601F"/>
    <w:rsid w:val="00CC6350"/>
    <w:rsid w:val="00CC76C5"/>
    <w:rsid w:val="00CD06A3"/>
    <w:rsid w:val="00CD16B0"/>
    <w:rsid w:val="00CD29CA"/>
    <w:rsid w:val="00CD2AD9"/>
    <w:rsid w:val="00CD3BA6"/>
    <w:rsid w:val="00CD3E15"/>
    <w:rsid w:val="00CD43C9"/>
    <w:rsid w:val="00CD4936"/>
    <w:rsid w:val="00CD4EF7"/>
    <w:rsid w:val="00CD5D67"/>
    <w:rsid w:val="00CD5EEE"/>
    <w:rsid w:val="00CD5FD6"/>
    <w:rsid w:val="00CD6FE8"/>
    <w:rsid w:val="00CD7B34"/>
    <w:rsid w:val="00CD7B40"/>
    <w:rsid w:val="00CE0EC5"/>
    <w:rsid w:val="00CE13D3"/>
    <w:rsid w:val="00CE18B3"/>
    <w:rsid w:val="00CE1A08"/>
    <w:rsid w:val="00CE3217"/>
    <w:rsid w:val="00CE5198"/>
    <w:rsid w:val="00CE552B"/>
    <w:rsid w:val="00CE59F4"/>
    <w:rsid w:val="00CE6213"/>
    <w:rsid w:val="00CE66C1"/>
    <w:rsid w:val="00CE7328"/>
    <w:rsid w:val="00CE7423"/>
    <w:rsid w:val="00CE792E"/>
    <w:rsid w:val="00CF0E22"/>
    <w:rsid w:val="00CF2756"/>
    <w:rsid w:val="00CF2BC6"/>
    <w:rsid w:val="00CF30AC"/>
    <w:rsid w:val="00CF391B"/>
    <w:rsid w:val="00CF3991"/>
    <w:rsid w:val="00CF4EAE"/>
    <w:rsid w:val="00CF5034"/>
    <w:rsid w:val="00CF5232"/>
    <w:rsid w:val="00CF5B68"/>
    <w:rsid w:val="00CF65A4"/>
    <w:rsid w:val="00CF6A31"/>
    <w:rsid w:val="00CF739F"/>
    <w:rsid w:val="00CF779F"/>
    <w:rsid w:val="00CF7B00"/>
    <w:rsid w:val="00CF7ED7"/>
    <w:rsid w:val="00D0112D"/>
    <w:rsid w:val="00D01803"/>
    <w:rsid w:val="00D02630"/>
    <w:rsid w:val="00D028D2"/>
    <w:rsid w:val="00D02F05"/>
    <w:rsid w:val="00D0353C"/>
    <w:rsid w:val="00D04462"/>
    <w:rsid w:val="00D04CB4"/>
    <w:rsid w:val="00D04D1A"/>
    <w:rsid w:val="00D05BF4"/>
    <w:rsid w:val="00D0601E"/>
    <w:rsid w:val="00D0657C"/>
    <w:rsid w:val="00D06ED6"/>
    <w:rsid w:val="00D070A9"/>
    <w:rsid w:val="00D07CA7"/>
    <w:rsid w:val="00D1225F"/>
    <w:rsid w:val="00D13A10"/>
    <w:rsid w:val="00D13CD8"/>
    <w:rsid w:val="00D14E92"/>
    <w:rsid w:val="00D14FC5"/>
    <w:rsid w:val="00D1651C"/>
    <w:rsid w:val="00D16ACE"/>
    <w:rsid w:val="00D16C36"/>
    <w:rsid w:val="00D16CD9"/>
    <w:rsid w:val="00D176B5"/>
    <w:rsid w:val="00D178D5"/>
    <w:rsid w:val="00D204F0"/>
    <w:rsid w:val="00D2303D"/>
    <w:rsid w:val="00D243BF"/>
    <w:rsid w:val="00D24A7C"/>
    <w:rsid w:val="00D24D08"/>
    <w:rsid w:val="00D25859"/>
    <w:rsid w:val="00D27307"/>
    <w:rsid w:val="00D30271"/>
    <w:rsid w:val="00D30413"/>
    <w:rsid w:val="00D30C21"/>
    <w:rsid w:val="00D30D87"/>
    <w:rsid w:val="00D33E8F"/>
    <w:rsid w:val="00D3433E"/>
    <w:rsid w:val="00D3488C"/>
    <w:rsid w:val="00D36D6E"/>
    <w:rsid w:val="00D408A9"/>
    <w:rsid w:val="00D411C6"/>
    <w:rsid w:val="00D41A1C"/>
    <w:rsid w:val="00D42967"/>
    <w:rsid w:val="00D42BF2"/>
    <w:rsid w:val="00D42C85"/>
    <w:rsid w:val="00D43A2C"/>
    <w:rsid w:val="00D43B91"/>
    <w:rsid w:val="00D43F53"/>
    <w:rsid w:val="00D44420"/>
    <w:rsid w:val="00D448B9"/>
    <w:rsid w:val="00D4558D"/>
    <w:rsid w:val="00D45AAD"/>
    <w:rsid w:val="00D45DC8"/>
    <w:rsid w:val="00D461D4"/>
    <w:rsid w:val="00D46858"/>
    <w:rsid w:val="00D46FB6"/>
    <w:rsid w:val="00D47C24"/>
    <w:rsid w:val="00D47F0A"/>
    <w:rsid w:val="00D50784"/>
    <w:rsid w:val="00D50912"/>
    <w:rsid w:val="00D50BCB"/>
    <w:rsid w:val="00D51961"/>
    <w:rsid w:val="00D52578"/>
    <w:rsid w:val="00D54B8B"/>
    <w:rsid w:val="00D552AD"/>
    <w:rsid w:val="00D57F77"/>
    <w:rsid w:val="00D604BA"/>
    <w:rsid w:val="00D608EE"/>
    <w:rsid w:val="00D60BA6"/>
    <w:rsid w:val="00D6129B"/>
    <w:rsid w:val="00D616C3"/>
    <w:rsid w:val="00D6292C"/>
    <w:rsid w:val="00D63456"/>
    <w:rsid w:val="00D63573"/>
    <w:rsid w:val="00D65FD3"/>
    <w:rsid w:val="00D6655A"/>
    <w:rsid w:val="00D670A6"/>
    <w:rsid w:val="00D67503"/>
    <w:rsid w:val="00D6779D"/>
    <w:rsid w:val="00D7046C"/>
    <w:rsid w:val="00D70964"/>
    <w:rsid w:val="00D71236"/>
    <w:rsid w:val="00D71BA5"/>
    <w:rsid w:val="00D72657"/>
    <w:rsid w:val="00D72E58"/>
    <w:rsid w:val="00D73AC3"/>
    <w:rsid w:val="00D758BD"/>
    <w:rsid w:val="00D778CE"/>
    <w:rsid w:val="00D81C8D"/>
    <w:rsid w:val="00D81D5E"/>
    <w:rsid w:val="00D82A41"/>
    <w:rsid w:val="00D8348B"/>
    <w:rsid w:val="00D86DC2"/>
    <w:rsid w:val="00D8709C"/>
    <w:rsid w:val="00D87685"/>
    <w:rsid w:val="00D87F4B"/>
    <w:rsid w:val="00D91E21"/>
    <w:rsid w:val="00D91E78"/>
    <w:rsid w:val="00D92FDC"/>
    <w:rsid w:val="00D9328F"/>
    <w:rsid w:val="00D93B12"/>
    <w:rsid w:val="00D93F66"/>
    <w:rsid w:val="00D94568"/>
    <w:rsid w:val="00D96678"/>
    <w:rsid w:val="00D97E66"/>
    <w:rsid w:val="00D97E72"/>
    <w:rsid w:val="00DA137E"/>
    <w:rsid w:val="00DA1A5A"/>
    <w:rsid w:val="00DA1BE9"/>
    <w:rsid w:val="00DA1F76"/>
    <w:rsid w:val="00DA2747"/>
    <w:rsid w:val="00DA740C"/>
    <w:rsid w:val="00DA7F41"/>
    <w:rsid w:val="00DB0D98"/>
    <w:rsid w:val="00DB1495"/>
    <w:rsid w:val="00DB2248"/>
    <w:rsid w:val="00DB35AE"/>
    <w:rsid w:val="00DB40B9"/>
    <w:rsid w:val="00DB4251"/>
    <w:rsid w:val="00DB4452"/>
    <w:rsid w:val="00DB4C13"/>
    <w:rsid w:val="00DB4D05"/>
    <w:rsid w:val="00DB5B11"/>
    <w:rsid w:val="00DB5EF7"/>
    <w:rsid w:val="00DB6383"/>
    <w:rsid w:val="00DB65B6"/>
    <w:rsid w:val="00DB6E1F"/>
    <w:rsid w:val="00DB7B49"/>
    <w:rsid w:val="00DC0396"/>
    <w:rsid w:val="00DC0D52"/>
    <w:rsid w:val="00DC1B53"/>
    <w:rsid w:val="00DC2C3B"/>
    <w:rsid w:val="00DC4BA8"/>
    <w:rsid w:val="00DC5CBF"/>
    <w:rsid w:val="00DC7DBE"/>
    <w:rsid w:val="00DD044E"/>
    <w:rsid w:val="00DD4063"/>
    <w:rsid w:val="00DD42D7"/>
    <w:rsid w:val="00DD59A2"/>
    <w:rsid w:val="00DD5B46"/>
    <w:rsid w:val="00DD5F22"/>
    <w:rsid w:val="00DD6BAE"/>
    <w:rsid w:val="00DD6E3F"/>
    <w:rsid w:val="00DD7155"/>
    <w:rsid w:val="00DE0E36"/>
    <w:rsid w:val="00DE147E"/>
    <w:rsid w:val="00DE1567"/>
    <w:rsid w:val="00DE2956"/>
    <w:rsid w:val="00DE3924"/>
    <w:rsid w:val="00DE43AA"/>
    <w:rsid w:val="00DE454E"/>
    <w:rsid w:val="00DE4D03"/>
    <w:rsid w:val="00DE6424"/>
    <w:rsid w:val="00DE6C72"/>
    <w:rsid w:val="00DE7723"/>
    <w:rsid w:val="00DE7DA8"/>
    <w:rsid w:val="00DF043F"/>
    <w:rsid w:val="00DF1069"/>
    <w:rsid w:val="00DF15B2"/>
    <w:rsid w:val="00DF15D6"/>
    <w:rsid w:val="00DF2112"/>
    <w:rsid w:val="00DF269D"/>
    <w:rsid w:val="00DF2EC9"/>
    <w:rsid w:val="00DF2F0F"/>
    <w:rsid w:val="00DF300A"/>
    <w:rsid w:val="00DF6970"/>
    <w:rsid w:val="00DF79D8"/>
    <w:rsid w:val="00DF7D7A"/>
    <w:rsid w:val="00DF7FED"/>
    <w:rsid w:val="00E0153E"/>
    <w:rsid w:val="00E02D0E"/>
    <w:rsid w:val="00E033F4"/>
    <w:rsid w:val="00E037FC"/>
    <w:rsid w:val="00E03D86"/>
    <w:rsid w:val="00E04E97"/>
    <w:rsid w:val="00E05814"/>
    <w:rsid w:val="00E0662F"/>
    <w:rsid w:val="00E06FA4"/>
    <w:rsid w:val="00E077D4"/>
    <w:rsid w:val="00E106B5"/>
    <w:rsid w:val="00E10FA4"/>
    <w:rsid w:val="00E10FAA"/>
    <w:rsid w:val="00E1111A"/>
    <w:rsid w:val="00E128DA"/>
    <w:rsid w:val="00E13809"/>
    <w:rsid w:val="00E13DAE"/>
    <w:rsid w:val="00E14BAB"/>
    <w:rsid w:val="00E14DD1"/>
    <w:rsid w:val="00E163E3"/>
    <w:rsid w:val="00E1756B"/>
    <w:rsid w:val="00E17CEF"/>
    <w:rsid w:val="00E20EC3"/>
    <w:rsid w:val="00E21454"/>
    <w:rsid w:val="00E21A2C"/>
    <w:rsid w:val="00E22B64"/>
    <w:rsid w:val="00E23759"/>
    <w:rsid w:val="00E238F9"/>
    <w:rsid w:val="00E24354"/>
    <w:rsid w:val="00E25C20"/>
    <w:rsid w:val="00E26EC3"/>
    <w:rsid w:val="00E2713A"/>
    <w:rsid w:val="00E27DEC"/>
    <w:rsid w:val="00E30358"/>
    <w:rsid w:val="00E30668"/>
    <w:rsid w:val="00E30913"/>
    <w:rsid w:val="00E30A62"/>
    <w:rsid w:val="00E321C4"/>
    <w:rsid w:val="00E32879"/>
    <w:rsid w:val="00E32B1C"/>
    <w:rsid w:val="00E32CAB"/>
    <w:rsid w:val="00E335C4"/>
    <w:rsid w:val="00E33934"/>
    <w:rsid w:val="00E34CAE"/>
    <w:rsid w:val="00E34EE9"/>
    <w:rsid w:val="00E34FF3"/>
    <w:rsid w:val="00E35F87"/>
    <w:rsid w:val="00E40D3D"/>
    <w:rsid w:val="00E4117D"/>
    <w:rsid w:val="00E41A9B"/>
    <w:rsid w:val="00E42F83"/>
    <w:rsid w:val="00E4340E"/>
    <w:rsid w:val="00E45E85"/>
    <w:rsid w:val="00E467DF"/>
    <w:rsid w:val="00E469B0"/>
    <w:rsid w:val="00E47B7A"/>
    <w:rsid w:val="00E509BB"/>
    <w:rsid w:val="00E51135"/>
    <w:rsid w:val="00E527C2"/>
    <w:rsid w:val="00E5348E"/>
    <w:rsid w:val="00E537D6"/>
    <w:rsid w:val="00E53A75"/>
    <w:rsid w:val="00E53D83"/>
    <w:rsid w:val="00E549DA"/>
    <w:rsid w:val="00E55788"/>
    <w:rsid w:val="00E55DC9"/>
    <w:rsid w:val="00E560AC"/>
    <w:rsid w:val="00E57563"/>
    <w:rsid w:val="00E60324"/>
    <w:rsid w:val="00E60C9E"/>
    <w:rsid w:val="00E60F15"/>
    <w:rsid w:val="00E613E1"/>
    <w:rsid w:val="00E6350F"/>
    <w:rsid w:val="00E63B62"/>
    <w:rsid w:val="00E64324"/>
    <w:rsid w:val="00E658E5"/>
    <w:rsid w:val="00E663BF"/>
    <w:rsid w:val="00E67E95"/>
    <w:rsid w:val="00E700F0"/>
    <w:rsid w:val="00E70369"/>
    <w:rsid w:val="00E707AE"/>
    <w:rsid w:val="00E709C4"/>
    <w:rsid w:val="00E70B7F"/>
    <w:rsid w:val="00E71274"/>
    <w:rsid w:val="00E728B6"/>
    <w:rsid w:val="00E744F9"/>
    <w:rsid w:val="00E7472B"/>
    <w:rsid w:val="00E76238"/>
    <w:rsid w:val="00E76348"/>
    <w:rsid w:val="00E77ADD"/>
    <w:rsid w:val="00E80119"/>
    <w:rsid w:val="00E8162F"/>
    <w:rsid w:val="00E84D51"/>
    <w:rsid w:val="00E84FC5"/>
    <w:rsid w:val="00E85856"/>
    <w:rsid w:val="00E85EFD"/>
    <w:rsid w:val="00E908FE"/>
    <w:rsid w:val="00E909D0"/>
    <w:rsid w:val="00E90FE0"/>
    <w:rsid w:val="00E926B6"/>
    <w:rsid w:val="00E94225"/>
    <w:rsid w:val="00E9531F"/>
    <w:rsid w:val="00E95F91"/>
    <w:rsid w:val="00E9608A"/>
    <w:rsid w:val="00E96180"/>
    <w:rsid w:val="00E96220"/>
    <w:rsid w:val="00EA0102"/>
    <w:rsid w:val="00EA10CD"/>
    <w:rsid w:val="00EA1379"/>
    <w:rsid w:val="00EA2C9B"/>
    <w:rsid w:val="00EA3E21"/>
    <w:rsid w:val="00EA5E47"/>
    <w:rsid w:val="00EA6590"/>
    <w:rsid w:val="00EB0399"/>
    <w:rsid w:val="00EB0C8E"/>
    <w:rsid w:val="00EB150B"/>
    <w:rsid w:val="00EB15DD"/>
    <w:rsid w:val="00EB2272"/>
    <w:rsid w:val="00EB27AD"/>
    <w:rsid w:val="00EB2807"/>
    <w:rsid w:val="00EB3C59"/>
    <w:rsid w:val="00EB50FE"/>
    <w:rsid w:val="00EB5A15"/>
    <w:rsid w:val="00EB6B94"/>
    <w:rsid w:val="00EB770C"/>
    <w:rsid w:val="00EB7B00"/>
    <w:rsid w:val="00EC03A0"/>
    <w:rsid w:val="00EC12B5"/>
    <w:rsid w:val="00EC2959"/>
    <w:rsid w:val="00EC39AF"/>
    <w:rsid w:val="00EC3A5B"/>
    <w:rsid w:val="00EC560E"/>
    <w:rsid w:val="00EC675F"/>
    <w:rsid w:val="00ED17FC"/>
    <w:rsid w:val="00ED21D0"/>
    <w:rsid w:val="00ED221F"/>
    <w:rsid w:val="00ED2A8C"/>
    <w:rsid w:val="00ED497B"/>
    <w:rsid w:val="00ED5F2B"/>
    <w:rsid w:val="00ED6C98"/>
    <w:rsid w:val="00ED7339"/>
    <w:rsid w:val="00ED779D"/>
    <w:rsid w:val="00ED7CFD"/>
    <w:rsid w:val="00ED7D2A"/>
    <w:rsid w:val="00EE00C5"/>
    <w:rsid w:val="00EE1ABB"/>
    <w:rsid w:val="00EE2C45"/>
    <w:rsid w:val="00EE3D59"/>
    <w:rsid w:val="00EE40BE"/>
    <w:rsid w:val="00EE48C1"/>
    <w:rsid w:val="00EE5CE2"/>
    <w:rsid w:val="00EE5F8C"/>
    <w:rsid w:val="00EE7ACE"/>
    <w:rsid w:val="00EF0699"/>
    <w:rsid w:val="00EF088F"/>
    <w:rsid w:val="00EF16EA"/>
    <w:rsid w:val="00EF1C4D"/>
    <w:rsid w:val="00EF37EC"/>
    <w:rsid w:val="00EF46C2"/>
    <w:rsid w:val="00EF4EAA"/>
    <w:rsid w:val="00EF571B"/>
    <w:rsid w:val="00EF640A"/>
    <w:rsid w:val="00EF74A2"/>
    <w:rsid w:val="00EF750A"/>
    <w:rsid w:val="00EF781C"/>
    <w:rsid w:val="00EF793A"/>
    <w:rsid w:val="00F00595"/>
    <w:rsid w:val="00F00B5F"/>
    <w:rsid w:val="00F02A1B"/>
    <w:rsid w:val="00F043AD"/>
    <w:rsid w:val="00F04B0D"/>
    <w:rsid w:val="00F04BE4"/>
    <w:rsid w:val="00F05241"/>
    <w:rsid w:val="00F05A8F"/>
    <w:rsid w:val="00F05B27"/>
    <w:rsid w:val="00F05CF4"/>
    <w:rsid w:val="00F061EC"/>
    <w:rsid w:val="00F062B3"/>
    <w:rsid w:val="00F06DD7"/>
    <w:rsid w:val="00F07493"/>
    <w:rsid w:val="00F079D0"/>
    <w:rsid w:val="00F10057"/>
    <w:rsid w:val="00F1142F"/>
    <w:rsid w:val="00F1159D"/>
    <w:rsid w:val="00F12629"/>
    <w:rsid w:val="00F129AF"/>
    <w:rsid w:val="00F12F0D"/>
    <w:rsid w:val="00F13A59"/>
    <w:rsid w:val="00F13F13"/>
    <w:rsid w:val="00F14023"/>
    <w:rsid w:val="00F140D0"/>
    <w:rsid w:val="00F149BD"/>
    <w:rsid w:val="00F15779"/>
    <w:rsid w:val="00F175E3"/>
    <w:rsid w:val="00F20502"/>
    <w:rsid w:val="00F20F56"/>
    <w:rsid w:val="00F21194"/>
    <w:rsid w:val="00F2176D"/>
    <w:rsid w:val="00F23CA6"/>
    <w:rsid w:val="00F24346"/>
    <w:rsid w:val="00F24C70"/>
    <w:rsid w:val="00F268E4"/>
    <w:rsid w:val="00F26A55"/>
    <w:rsid w:val="00F27074"/>
    <w:rsid w:val="00F2711D"/>
    <w:rsid w:val="00F31C84"/>
    <w:rsid w:val="00F32D59"/>
    <w:rsid w:val="00F32DF3"/>
    <w:rsid w:val="00F36484"/>
    <w:rsid w:val="00F36687"/>
    <w:rsid w:val="00F36BF6"/>
    <w:rsid w:val="00F37E7E"/>
    <w:rsid w:val="00F41379"/>
    <w:rsid w:val="00F415E3"/>
    <w:rsid w:val="00F423A6"/>
    <w:rsid w:val="00F4291D"/>
    <w:rsid w:val="00F42A7E"/>
    <w:rsid w:val="00F4316D"/>
    <w:rsid w:val="00F441FF"/>
    <w:rsid w:val="00F44980"/>
    <w:rsid w:val="00F458B1"/>
    <w:rsid w:val="00F46C7F"/>
    <w:rsid w:val="00F4774B"/>
    <w:rsid w:val="00F52A2A"/>
    <w:rsid w:val="00F53837"/>
    <w:rsid w:val="00F53CA7"/>
    <w:rsid w:val="00F5471F"/>
    <w:rsid w:val="00F550E1"/>
    <w:rsid w:val="00F554D7"/>
    <w:rsid w:val="00F558FF"/>
    <w:rsid w:val="00F57AAF"/>
    <w:rsid w:val="00F57E79"/>
    <w:rsid w:val="00F57FB6"/>
    <w:rsid w:val="00F60BD6"/>
    <w:rsid w:val="00F61019"/>
    <w:rsid w:val="00F6301F"/>
    <w:rsid w:val="00F648B5"/>
    <w:rsid w:val="00F66A22"/>
    <w:rsid w:val="00F67019"/>
    <w:rsid w:val="00F676A3"/>
    <w:rsid w:val="00F678F1"/>
    <w:rsid w:val="00F719F5"/>
    <w:rsid w:val="00F72DC0"/>
    <w:rsid w:val="00F73A3C"/>
    <w:rsid w:val="00F73D7F"/>
    <w:rsid w:val="00F75775"/>
    <w:rsid w:val="00F75BC0"/>
    <w:rsid w:val="00F77283"/>
    <w:rsid w:val="00F8013D"/>
    <w:rsid w:val="00F801AC"/>
    <w:rsid w:val="00F80ACB"/>
    <w:rsid w:val="00F8286D"/>
    <w:rsid w:val="00F83DA0"/>
    <w:rsid w:val="00F84526"/>
    <w:rsid w:val="00F85E07"/>
    <w:rsid w:val="00F86B90"/>
    <w:rsid w:val="00F873D9"/>
    <w:rsid w:val="00F87417"/>
    <w:rsid w:val="00F87E83"/>
    <w:rsid w:val="00F90CD2"/>
    <w:rsid w:val="00F9322C"/>
    <w:rsid w:val="00F94DC2"/>
    <w:rsid w:val="00F95AB1"/>
    <w:rsid w:val="00F96486"/>
    <w:rsid w:val="00F9749D"/>
    <w:rsid w:val="00F97CC6"/>
    <w:rsid w:val="00FA1B7A"/>
    <w:rsid w:val="00FA29AF"/>
    <w:rsid w:val="00FA4973"/>
    <w:rsid w:val="00FA625B"/>
    <w:rsid w:val="00FA6580"/>
    <w:rsid w:val="00FA6C92"/>
    <w:rsid w:val="00FA751E"/>
    <w:rsid w:val="00FA76A8"/>
    <w:rsid w:val="00FA7AED"/>
    <w:rsid w:val="00FB0013"/>
    <w:rsid w:val="00FB0485"/>
    <w:rsid w:val="00FB2399"/>
    <w:rsid w:val="00FB2AFA"/>
    <w:rsid w:val="00FB3039"/>
    <w:rsid w:val="00FB4D73"/>
    <w:rsid w:val="00FB5821"/>
    <w:rsid w:val="00FB606C"/>
    <w:rsid w:val="00FB64D1"/>
    <w:rsid w:val="00FB6A1B"/>
    <w:rsid w:val="00FB6BC3"/>
    <w:rsid w:val="00FB740D"/>
    <w:rsid w:val="00FB7C89"/>
    <w:rsid w:val="00FC10CD"/>
    <w:rsid w:val="00FC5C3C"/>
    <w:rsid w:val="00FC5FCF"/>
    <w:rsid w:val="00FD08E6"/>
    <w:rsid w:val="00FD1ACE"/>
    <w:rsid w:val="00FD3B1B"/>
    <w:rsid w:val="00FD3FC4"/>
    <w:rsid w:val="00FD57D4"/>
    <w:rsid w:val="00FD6FE3"/>
    <w:rsid w:val="00FE0373"/>
    <w:rsid w:val="00FE086A"/>
    <w:rsid w:val="00FE15E9"/>
    <w:rsid w:val="00FE304E"/>
    <w:rsid w:val="00FE40B6"/>
    <w:rsid w:val="00FE4490"/>
    <w:rsid w:val="00FE50D6"/>
    <w:rsid w:val="00FE6131"/>
    <w:rsid w:val="00FE625A"/>
    <w:rsid w:val="00FE6269"/>
    <w:rsid w:val="00FE6810"/>
    <w:rsid w:val="00FE744B"/>
    <w:rsid w:val="00FF0404"/>
    <w:rsid w:val="00FF0E55"/>
    <w:rsid w:val="00FF128F"/>
    <w:rsid w:val="00FF1678"/>
    <w:rsid w:val="00FF2E87"/>
    <w:rsid w:val="00FF3468"/>
    <w:rsid w:val="00FF3A52"/>
    <w:rsid w:val="00FF3E27"/>
    <w:rsid w:val="00FF42B3"/>
    <w:rsid w:val="00FF5038"/>
    <w:rsid w:val="00FF54D7"/>
    <w:rsid w:val="00FF578B"/>
    <w:rsid w:val="00FF5D1F"/>
    <w:rsid w:val="00FF6596"/>
    <w:rsid w:val="00FF7A1E"/>
    <w:rsid w:val="00FF7BD9"/>
    <w:rsid w:val="00FF7F6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6977"/>
    <o:shapelayout v:ext="edit">
      <o:idmap v:ext="edit" data="1"/>
    </o:shapelayout>
  </w:shapeDefaults>
  <w:decimalSymbol w:val=","/>
  <w:listSeparator w:val=";"/>
  <w14:docId w14:val="7D561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Arial"/>
        <w:lang w:val="ro-RO"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3761"/>
    <w:pPr>
      <w:spacing w:after="120"/>
    </w:pPr>
  </w:style>
  <w:style w:type="paragraph" w:styleId="Heading1">
    <w:name w:val="heading 1"/>
    <w:aliases w:val="t1,TITRE1,heading 1,Titre 11,t1.T1.Titre 1,Titre 1ed,t1.T1.Titre 1Annexe,H1,t1.T1,h1,l1,H,GSA1,Titre 1:,T1,Chapitre 1,1,Level 1,Heading 1 Colored,Chapter title,ch,MIGHeading 1,ch1,Bold 18,CMG H1,NCS-H1,überschrift1,überschrift11,überschrift12"/>
    <w:basedOn w:val="Normal"/>
    <w:next w:val="Normal"/>
    <w:uiPriority w:val="9"/>
    <w:qFormat/>
    <w:pPr>
      <w:keepNext/>
      <w:pageBreakBefore/>
      <w:numPr>
        <w:numId w:val="1"/>
      </w:numPr>
      <w:pBdr>
        <w:bottom w:val="single" w:sz="12" w:space="1" w:color="FF6600"/>
      </w:pBdr>
      <w:spacing w:before="120" w:after="240"/>
      <w:outlineLvl w:val="0"/>
    </w:pPr>
    <w:rPr>
      <w:b/>
      <w:smallCaps/>
      <w:color w:val="000080"/>
      <w:kern w:val="28"/>
      <w:sz w:val="36"/>
    </w:rPr>
  </w:style>
  <w:style w:type="paragraph" w:styleId="Heading2">
    <w:name w:val="heading 2"/>
    <w:aliases w:val="T2,h2,L2,H2,Punt 2,l2,2,Titre 21,t2.T2,t2,Contrat 2,Ctt,t2.T2.Titre 2,TITRE 2,Titre 2ed,Heading 2 Hidden,heading 2,Chapter Number/Appendix Letter,chn,Titre niveau 2,Level 2,Chapitre 2,paragraphe,Titre 2 - RAO,Specf Titre 2,Heading 2a,Header 2"/>
    <w:basedOn w:val="Normal"/>
    <w:next w:val="Normal"/>
    <w:link w:val="Heading2Char"/>
    <w:qFormat/>
    <w:pPr>
      <w:keepNext/>
      <w:numPr>
        <w:ilvl w:val="1"/>
        <w:numId w:val="1"/>
      </w:numPr>
      <w:pBdr>
        <w:bottom w:val="single" w:sz="12" w:space="1" w:color="000080"/>
      </w:pBdr>
      <w:spacing w:before="120"/>
      <w:outlineLvl w:val="1"/>
    </w:pPr>
    <w:rPr>
      <w:b/>
      <w:bCs/>
      <w:smallCaps/>
      <w:color w:val="000080"/>
      <w:sz w:val="32"/>
    </w:rPr>
  </w:style>
  <w:style w:type="paragraph" w:styleId="Heading3">
    <w:name w:val="heading 3"/>
    <w:aliases w:val="3,Titre 31,t3.T3,heading 3,Titre 3+,H3,Titre niveau 3,Titre3,t3,Contrat 3,Titre 3 SQ,Titre 3 SQ1,Titre 3 SQ2,Titre 3 SQ3,Titre 3 SQ4,Titre 3 SQ5,Titre 3 SQ6,Titre 3 SQ7,h3,3rd level,l3,CT,Heading 3 - old,Titre 3 .3,Titre 311,Titre 3 .31,1.2.3."/>
    <w:basedOn w:val="Normal"/>
    <w:next w:val="Normal"/>
    <w:qFormat/>
    <w:pPr>
      <w:keepNext/>
      <w:numPr>
        <w:ilvl w:val="2"/>
        <w:numId w:val="1"/>
      </w:numPr>
      <w:spacing w:before="240" w:after="60"/>
      <w:outlineLvl w:val="2"/>
    </w:pPr>
    <w:rPr>
      <w:b/>
      <w:bCs/>
      <w:smallCaps/>
      <w:color w:val="000080"/>
      <w:sz w:val="28"/>
    </w:rPr>
  </w:style>
  <w:style w:type="paragraph" w:styleId="Heading4">
    <w:name w:val="heading 4"/>
    <w:aliases w:val="4,H4,Titre 41,t4.T4,t4,Chapitre 1.1.1.,Alinéa,dash,h4,Ref Heading 1,rh1,First Subheading,T4,t4.T4.Titre 4,heading 4,l4,I4,(Shift Ctrl 4),Schedules,Heading 4 CFMU"/>
    <w:basedOn w:val="Normal"/>
    <w:next w:val="Normal"/>
    <w:link w:val="Heading4Char"/>
    <w:qFormat/>
    <w:pPr>
      <w:keepNext/>
      <w:numPr>
        <w:ilvl w:val="3"/>
        <w:numId w:val="1"/>
      </w:numPr>
      <w:spacing w:before="240" w:after="60"/>
      <w:outlineLvl w:val="3"/>
    </w:pPr>
    <w:rPr>
      <w:b/>
      <w:smallCaps/>
      <w:color w:val="000080"/>
      <w:sz w:val="24"/>
    </w:rPr>
  </w:style>
  <w:style w:type="paragraph" w:styleId="Heading5">
    <w:name w:val="heading 5"/>
    <w:aliases w:val="H5,Chapitre 1.1.1.1.,Ref Heading 2,rh2,h5,Second Subheading,heading 5,Heading 5 CFMU,Para 5,(Shift Ctrl 5),Appendix A to X,Heading 5   Appendix A to X"/>
    <w:basedOn w:val="Normal"/>
    <w:next w:val="Normal"/>
    <w:qFormat/>
    <w:pPr>
      <w:numPr>
        <w:ilvl w:val="4"/>
        <w:numId w:val="1"/>
      </w:numPr>
      <w:spacing w:before="240" w:after="60"/>
      <w:outlineLvl w:val="4"/>
    </w:pPr>
    <w:rPr>
      <w:b/>
      <w:bCs/>
      <w:smallCaps/>
      <w:color w:val="000080"/>
    </w:rPr>
  </w:style>
  <w:style w:type="paragraph" w:styleId="Heading6">
    <w:name w:val="heading 6"/>
    <w:aliases w:val="6,Heading 6  Appendix Y &amp; Z,h6,Heading 6 CFMU"/>
    <w:basedOn w:val="Normal"/>
    <w:next w:val="Normal"/>
    <w:qFormat/>
    <w:pPr>
      <w:numPr>
        <w:ilvl w:val="5"/>
        <w:numId w:val="1"/>
      </w:numPr>
      <w:spacing w:before="240" w:after="60"/>
      <w:outlineLvl w:val="5"/>
    </w:pPr>
    <w:rPr>
      <w:i/>
      <w:sz w:val="22"/>
    </w:rPr>
  </w:style>
  <w:style w:type="paragraph" w:styleId="Heading7">
    <w:name w:val="heading 7"/>
    <w:aliases w:val="H7,(Shift Ctrl 7),Heading 7 CFMU"/>
    <w:basedOn w:val="Normal"/>
    <w:next w:val="Normal"/>
    <w:qFormat/>
    <w:pPr>
      <w:numPr>
        <w:ilvl w:val="6"/>
        <w:numId w:val="1"/>
      </w:numPr>
      <w:spacing w:before="240" w:after="60"/>
      <w:outlineLvl w:val="6"/>
    </w:pPr>
  </w:style>
  <w:style w:type="paragraph" w:styleId="Heading8">
    <w:name w:val="heading 8"/>
    <w:aliases w:val="Heading 8 CFMU"/>
    <w:basedOn w:val="Normal"/>
    <w:next w:val="Normal"/>
    <w:qFormat/>
    <w:pPr>
      <w:numPr>
        <w:ilvl w:val="7"/>
        <w:numId w:val="1"/>
      </w:numPr>
      <w:spacing w:before="240" w:after="60"/>
      <w:outlineLvl w:val="7"/>
    </w:pPr>
    <w:rPr>
      <w:i/>
    </w:rPr>
  </w:style>
  <w:style w:type="paragraph" w:styleId="Heading9">
    <w:name w:val="heading 9"/>
    <w:aliases w:val="App Heading,Heading 9 CFMU"/>
    <w:basedOn w:val="Normal"/>
    <w:next w:val="Normal"/>
    <w:qFormat/>
    <w:pPr>
      <w:numPr>
        <w:ilvl w:val="8"/>
        <w:numId w:val="1"/>
      </w:numPr>
      <w:spacing w:before="240" w:after="60"/>
      <w:outlineLvl w:val="8"/>
    </w:pPr>
    <w:rPr>
      <w:b/>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4D34"/>
    <w:pPr>
      <w:tabs>
        <w:tab w:val="center" w:pos="4535"/>
        <w:tab w:val="right" w:pos="9071"/>
      </w:tabs>
      <w:jc w:val="both"/>
    </w:pPr>
    <w:rPr>
      <w:rFonts w:ascii="Times New Roman" w:eastAsiaTheme="minorHAnsi" w:hAnsi="Times New Roman" w:cs="Times New Roman"/>
      <w:sz w:val="24"/>
      <w:szCs w:val="22"/>
      <w:lang w:eastAsia="en-US"/>
    </w:rPr>
  </w:style>
  <w:style w:type="paragraph" w:customStyle="1" w:styleId="Bullet1">
    <w:name w:val="Bullet 1"/>
    <w:basedOn w:val="Normal"/>
    <w:pPr>
      <w:numPr>
        <w:numId w:val="9"/>
      </w:numPr>
      <w:tabs>
        <w:tab w:val="clear" w:pos="360"/>
        <w:tab w:val="num" w:pos="900"/>
      </w:tabs>
      <w:spacing w:after="0"/>
      <w:ind w:left="900" w:firstLine="0"/>
      <w:jc w:val="both"/>
    </w:pPr>
    <w:rPr>
      <w:sz w:val="22"/>
    </w:rPr>
  </w:style>
  <w:style w:type="paragraph" w:customStyle="1" w:styleId="Listnumber1cm">
    <w:name w:val="List number 1cm"/>
    <w:basedOn w:val="Normal"/>
    <w:pPr>
      <w:numPr>
        <w:numId w:val="6"/>
      </w:numPr>
      <w:tabs>
        <w:tab w:val="clear" w:pos="927"/>
        <w:tab w:val="num" w:pos="360"/>
        <w:tab w:val="left" w:pos="851"/>
      </w:tabs>
      <w:ind w:left="0" w:firstLine="0"/>
    </w:pPr>
  </w:style>
  <w:style w:type="paragraph" w:customStyle="1" w:styleId="Tableheading">
    <w:name w:val="Table heading"/>
    <w:basedOn w:val="Normal"/>
    <w:pPr>
      <w:spacing w:before="120"/>
      <w:jc w:val="center"/>
    </w:pPr>
    <w:rPr>
      <w:b/>
      <w:color w:val="000080"/>
    </w:rPr>
  </w:style>
  <w:style w:type="paragraph" w:customStyle="1" w:styleId="Tabletext">
    <w:name w:val="Table text"/>
    <w:basedOn w:val="Normal"/>
    <w:pPr>
      <w:spacing w:before="60" w:after="60"/>
    </w:pPr>
  </w:style>
  <w:style w:type="paragraph" w:styleId="TOC1">
    <w:name w:val="toc 1"/>
    <w:basedOn w:val="Normal"/>
    <w:next w:val="Normal"/>
    <w:autoRedefine/>
    <w:uiPriority w:val="39"/>
    <w:pPr>
      <w:spacing w:before="120"/>
    </w:pPr>
    <w:rPr>
      <w:b/>
      <w:bCs/>
      <w:caps/>
      <w:szCs w:val="24"/>
    </w:rPr>
  </w:style>
  <w:style w:type="character" w:styleId="Hyperlink">
    <w:name w:val="Hyperlink"/>
    <w:uiPriority w:val="99"/>
    <w:rPr>
      <w:color w:val="0000FF"/>
      <w:u w:val="single"/>
    </w:rPr>
  </w:style>
  <w:style w:type="paragraph" w:styleId="Footer">
    <w:name w:val="footer"/>
    <w:basedOn w:val="Normal"/>
    <w:link w:val="FooterChar"/>
    <w:uiPriority w:val="99"/>
    <w:unhideWhenUsed/>
    <w:rsid w:val="00274D34"/>
    <w:pPr>
      <w:tabs>
        <w:tab w:val="center" w:pos="4535"/>
        <w:tab w:val="right" w:pos="9071"/>
        <w:tab w:val="right" w:pos="9921"/>
      </w:tabs>
      <w:spacing w:before="360" w:after="0"/>
      <w:ind w:left="-850" w:right="-850"/>
    </w:pPr>
    <w:rPr>
      <w:rFonts w:ascii="Times New Roman" w:eastAsiaTheme="minorHAnsi" w:hAnsi="Times New Roman" w:cs="Times New Roman"/>
      <w:sz w:val="24"/>
      <w:szCs w:val="22"/>
      <w:lang w:eastAsia="en-US"/>
    </w:rPr>
  </w:style>
  <w:style w:type="paragraph" w:styleId="Title">
    <w:name w:val="Title"/>
    <w:basedOn w:val="Normal"/>
    <w:next w:val="Normal"/>
    <w:link w:val="TitleChar"/>
    <w:qFormat/>
    <w:pPr>
      <w:keepLines/>
      <w:spacing w:before="480" w:after="480"/>
      <w:jc w:val="center"/>
    </w:pPr>
    <w:rPr>
      <w:b/>
      <w:caps/>
      <w:color w:val="000080"/>
      <w:sz w:val="32"/>
    </w:rPr>
  </w:style>
  <w:style w:type="paragraph" w:styleId="TOC2">
    <w:name w:val="toc 2"/>
    <w:basedOn w:val="Normal"/>
    <w:next w:val="Normal"/>
    <w:autoRedefine/>
    <w:uiPriority w:val="39"/>
    <w:pPr>
      <w:ind w:left="200"/>
    </w:pPr>
    <w:rPr>
      <w:smallCaps/>
      <w:szCs w:val="24"/>
    </w:rPr>
  </w:style>
  <w:style w:type="paragraph" w:styleId="TOC3">
    <w:name w:val="toc 3"/>
    <w:basedOn w:val="Normal"/>
    <w:next w:val="Normal"/>
    <w:autoRedefine/>
    <w:uiPriority w:val="39"/>
    <w:pPr>
      <w:ind w:left="400"/>
    </w:pPr>
    <w:rPr>
      <w:i/>
      <w:iCs/>
      <w:szCs w:val="24"/>
    </w:rPr>
  </w:style>
  <w:style w:type="paragraph" w:styleId="TOC4">
    <w:name w:val="toc 4"/>
    <w:basedOn w:val="Normal"/>
    <w:next w:val="Normal"/>
    <w:autoRedefine/>
    <w:uiPriority w:val="39"/>
    <w:pPr>
      <w:ind w:left="600"/>
    </w:pPr>
    <w:rPr>
      <w:szCs w:val="21"/>
    </w:rPr>
  </w:style>
  <w:style w:type="paragraph" w:styleId="TOC5">
    <w:name w:val="toc 5"/>
    <w:basedOn w:val="Normal"/>
    <w:next w:val="Normal"/>
    <w:autoRedefine/>
    <w:semiHidden/>
    <w:pPr>
      <w:ind w:left="800"/>
    </w:pPr>
    <w:rPr>
      <w:szCs w:val="21"/>
    </w:rPr>
  </w:style>
  <w:style w:type="paragraph" w:styleId="TOC6">
    <w:name w:val="toc 6"/>
    <w:basedOn w:val="Normal"/>
    <w:next w:val="Normal"/>
    <w:autoRedefine/>
    <w:semiHidden/>
    <w:pPr>
      <w:ind w:left="1000"/>
    </w:pPr>
    <w:rPr>
      <w:szCs w:val="21"/>
    </w:rPr>
  </w:style>
  <w:style w:type="paragraph" w:styleId="TOC7">
    <w:name w:val="toc 7"/>
    <w:basedOn w:val="Normal"/>
    <w:next w:val="Normal"/>
    <w:autoRedefine/>
    <w:semiHidden/>
    <w:pPr>
      <w:ind w:left="1200"/>
    </w:pPr>
    <w:rPr>
      <w:szCs w:val="21"/>
    </w:rPr>
  </w:style>
  <w:style w:type="paragraph" w:styleId="TOC8">
    <w:name w:val="toc 8"/>
    <w:basedOn w:val="Normal"/>
    <w:next w:val="Normal"/>
    <w:autoRedefine/>
    <w:semiHidden/>
    <w:pPr>
      <w:ind w:left="1400"/>
    </w:pPr>
    <w:rPr>
      <w:szCs w:val="21"/>
    </w:rPr>
  </w:style>
  <w:style w:type="paragraph" w:styleId="TOC9">
    <w:name w:val="toc 9"/>
    <w:basedOn w:val="Normal"/>
    <w:next w:val="Normal"/>
    <w:autoRedefine/>
    <w:semiHidden/>
    <w:pPr>
      <w:ind w:left="1600"/>
    </w:pPr>
    <w:rPr>
      <w:szCs w:val="21"/>
    </w:rPr>
  </w:style>
  <w:style w:type="paragraph" w:customStyle="1" w:styleId="TableBullet">
    <w:name w:val="Table Bullet"/>
    <w:basedOn w:val="Normal"/>
    <w:pPr>
      <w:numPr>
        <w:ilvl w:val="1"/>
        <w:numId w:val="2"/>
      </w:numPr>
      <w:tabs>
        <w:tab w:val="clear" w:pos="1440"/>
        <w:tab w:val="num" w:pos="128"/>
      </w:tabs>
      <w:ind w:left="128" w:hanging="128"/>
    </w:pPr>
  </w:style>
  <w:style w:type="character" w:styleId="FollowedHyperlink">
    <w:name w:val="FollowedHyperlink"/>
    <w:rPr>
      <w:color w:val="800080"/>
      <w:u w:val="single"/>
    </w:rPr>
  </w:style>
  <w:style w:type="paragraph" w:customStyle="1" w:styleId="Listbullet1cm">
    <w:name w:val="List bullet 1cm"/>
    <w:basedOn w:val="Normal"/>
    <w:pPr>
      <w:numPr>
        <w:numId w:val="5"/>
      </w:numPr>
      <w:tabs>
        <w:tab w:val="clear" w:pos="1647"/>
        <w:tab w:val="num" w:pos="851"/>
      </w:tabs>
      <w:ind w:left="851" w:hanging="284"/>
    </w:pPr>
    <w:rPr>
      <w:rFonts w:eastAsia="MS Mincho"/>
      <w:lang w:eastAsia="ja-JP"/>
    </w:rPr>
  </w:style>
  <w:style w:type="paragraph" w:customStyle="1" w:styleId="Listbullet2cm">
    <w:name w:val="List bullet 2cm"/>
    <w:basedOn w:val="Normal"/>
    <w:pPr>
      <w:numPr>
        <w:numId w:val="3"/>
      </w:numPr>
    </w:pPr>
  </w:style>
  <w:style w:type="paragraph" w:styleId="FootnoteText">
    <w:name w:val="footnote text"/>
    <w:basedOn w:val="Normal"/>
    <w:link w:val="FootnoteTextChar"/>
    <w:semiHidden/>
    <w:rPr>
      <w:sz w:val="16"/>
    </w:rPr>
  </w:style>
  <w:style w:type="character" w:styleId="FootnoteReference">
    <w:name w:val="footnote reference"/>
    <w:semiHidden/>
    <w:rPr>
      <w:vertAlign w:val="superscript"/>
    </w:rPr>
  </w:style>
  <w:style w:type="paragraph" w:customStyle="1" w:styleId="Listnumber2cm">
    <w:name w:val="List number 2cm"/>
    <w:basedOn w:val="Listbullet2cm"/>
    <w:pPr>
      <w:numPr>
        <w:numId w:val="4"/>
      </w:numPr>
      <w:tabs>
        <w:tab w:val="clear" w:pos="1701"/>
        <w:tab w:val="num" w:pos="1418"/>
      </w:tabs>
      <w:ind w:left="1418" w:hanging="284"/>
    </w:pPr>
  </w:style>
  <w:style w:type="paragraph" w:customStyle="1" w:styleId="ListNumber1">
    <w:name w:val="List Number 1"/>
    <w:basedOn w:val="Normal"/>
    <w:pPr>
      <w:numPr>
        <w:numId w:val="7"/>
      </w:numPr>
      <w:spacing w:before="240" w:after="240"/>
      <w:jc w:val="both"/>
    </w:pPr>
    <w:rPr>
      <w:sz w:val="22"/>
    </w:rPr>
  </w:style>
  <w:style w:type="paragraph" w:customStyle="1" w:styleId="ListNumber1Level2">
    <w:name w:val="List Number 1 (Level 2)"/>
    <w:basedOn w:val="Normal"/>
    <w:pPr>
      <w:numPr>
        <w:ilvl w:val="1"/>
        <w:numId w:val="7"/>
      </w:numPr>
      <w:spacing w:after="240"/>
      <w:jc w:val="both"/>
    </w:pPr>
    <w:rPr>
      <w:sz w:val="22"/>
    </w:rPr>
  </w:style>
  <w:style w:type="paragraph" w:customStyle="1" w:styleId="ListNumber1Level3">
    <w:name w:val="List Number 1 (Level 3)"/>
    <w:basedOn w:val="Normal"/>
    <w:pPr>
      <w:numPr>
        <w:ilvl w:val="2"/>
        <w:numId w:val="7"/>
      </w:numPr>
      <w:spacing w:after="240"/>
      <w:jc w:val="both"/>
    </w:pPr>
    <w:rPr>
      <w:sz w:val="22"/>
    </w:rPr>
  </w:style>
  <w:style w:type="paragraph" w:customStyle="1" w:styleId="ListNumber1Level4">
    <w:name w:val="List Number 1 (Level 4)"/>
    <w:basedOn w:val="Normal"/>
    <w:pPr>
      <w:numPr>
        <w:ilvl w:val="3"/>
        <w:numId w:val="7"/>
      </w:numPr>
      <w:spacing w:after="240"/>
      <w:jc w:val="both"/>
    </w:pPr>
    <w:rPr>
      <w:sz w:val="22"/>
    </w:rPr>
  </w:style>
  <w:style w:type="paragraph" w:customStyle="1" w:styleId="Bullet">
    <w:name w:val="Bullet"/>
    <w:basedOn w:val="Normal"/>
    <w:pPr>
      <w:numPr>
        <w:numId w:val="8"/>
      </w:numPr>
      <w:ind w:left="357" w:hanging="357"/>
      <w:jc w:val="both"/>
    </w:pPr>
    <w:rPr>
      <w:snapToGrid w:val="0"/>
      <w:color w:val="000000"/>
      <w:sz w:val="22"/>
    </w:rPr>
  </w:style>
  <w:style w:type="paragraph" w:customStyle="1" w:styleId="Bullet10">
    <w:name w:val="Bullet1"/>
    <w:basedOn w:val="Normal"/>
    <w:pPr>
      <w:numPr>
        <w:numId w:val="10"/>
      </w:numPr>
      <w:spacing w:before="40" w:after="0"/>
    </w:pPr>
    <w:rPr>
      <w:rFonts w:ascii="Times New Roman" w:hAnsi="Times New Roman"/>
      <w:snapToGrid w:val="0"/>
    </w:rPr>
  </w:style>
  <w:style w:type="paragraph" w:customStyle="1" w:styleId="Bullet2">
    <w:name w:val="Bullet2"/>
    <w:basedOn w:val="Bullet10"/>
    <w:pPr>
      <w:numPr>
        <w:numId w:val="0"/>
      </w:numPr>
      <w:tabs>
        <w:tab w:val="num" w:pos="720"/>
      </w:tabs>
      <w:ind w:left="720" w:hanging="360"/>
    </w:pPr>
  </w:style>
  <w:style w:type="paragraph" w:customStyle="1" w:styleId="Heading1t1TITRE1Titre11t1T1Titre1Titre1edt1T1Titre1AnnexeH1t1T1h1l1HGSA1Titre1T1Chapitre11Level1Heading1ColoredChaptertitlechMIGHeading1ch1Bold18CMGH1NCS-H1berschrift1berschrift11">
    <w:name w:val="Heading 1.t1.TITRE1.Titre 11.t1.T1.Titre 1.Titre 1ed.t1.T1.Titre 1Annexe.H1.t1.T1.h1.l1.H.GSA1.Titre 1:.T1.Chapitre 1.1.Level 1.Heading 1 Colored.Chapter title.ch.MIGHeading 1.ch1.Bold 18.CMG H1.NCS-H1.überschrift1.überschrift11"/>
    <w:basedOn w:val="Normal"/>
    <w:next w:val="Normal"/>
    <w:pPr>
      <w:keepNext/>
      <w:tabs>
        <w:tab w:val="num" w:pos="432"/>
      </w:tabs>
      <w:spacing w:before="240" w:after="60"/>
      <w:ind w:left="432" w:hanging="432"/>
      <w:outlineLvl w:val="0"/>
    </w:pPr>
    <w:rPr>
      <w:b/>
      <w:kern w:val="28"/>
      <w:sz w:val="28"/>
    </w:rPr>
  </w:style>
  <w:style w:type="paragraph" w:customStyle="1" w:styleId="Lista">
    <w:name w:val="List a)"/>
    <w:basedOn w:val="Normal"/>
    <w:pPr>
      <w:numPr>
        <w:numId w:val="11"/>
      </w:numPr>
      <w:spacing w:before="60" w:after="0"/>
      <w:jc w:val="both"/>
    </w:pPr>
    <w:rPr>
      <w:snapToGrid w:val="0"/>
      <w:color w:val="000000"/>
      <w:sz w:val="22"/>
    </w:rPr>
  </w:style>
  <w:style w:type="paragraph" w:styleId="ListBullet">
    <w:name w:val="List Bullet"/>
    <w:basedOn w:val="Normal"/>
    <w:autoRedefine/>
    <w:pPr>
      <w:numPr>
        <w:numId w:val="12"/>
      </w:numPr>
      <w:tabs>
        <w:tab w:val="clear" w:pos="720"/>
        <w:tab w:val="num" w:pos="1260"/>
      </w:tabs>
      <w:spacing w:after="0"/>
      <w:ind w:left="1260"/>
      <w:jc w:val="both"/>
    </w:pPr>
    <w:rPr>
      <w:noProof/>
      <w:snapToGrid w:val="0"/>
      <w:color w:val="000000"/>
      <w:sz w:val="22"/>
    </w:rPr>
  </w:style>
  <w:style w:type="paragraph" w:customStyle="1" w:styleId="ListBullet1">
    <w:name w:val="List Bullet 1"/>
    <w:basedOn w:val="Normal"/>
    <w:pPr>
      <w:numPr>
        <w:numId w:val="13"/>
      </w:numPr>
      <w:spacing w:before="120" w:after="0"/>
      <w:ind w:left="1276" w:hanging="284"/>
    </w:pPr>
    <w:rPr>
      <w:rFonts w:ascii="Times New Roman" w:hAnsi="Times New Roman"/>
      <w:sz w:val="22"/>
    </w:rPr>
  </w:style>
  <w:style w:type="paragraph" w:styleId="ListNumber">
    <w:name w:val="List Number"/>
    <w:basedOn w:val="Normal"/>
    <w:pPr>
      <w:numPr>
        <w:numId w:val="14"/>
      </w:numPr>
      <w:spacing w:after="240"/>
      <w:jc w:val="both"/>
    </w:pPr>
    <w:rPr>
      <w:sz w:val="22"/>
    </w:rPr>
  </w:style>
  <w:style w:type="paragraph" w:customStyle="1" w:styleId="perso1">
    <w:name w:val="perso1"/>
    <w:pPr>
      <w:tabs>
        <w:tab w:val="num" w:pos="432"/>
      </w:tabs>
      <w:ind w:left="432" w:hanging="432"/>
    </w:pPr>
    <w:rPr>
      <w:b/>
      <w:sz w:val="24"/>
      <w:u w:val="single"/>
      <w:lang w:eastAsia="en-US"/>
    </w:rPr>
  </w:style>
  <w:style w:type="paragraph" w:customStyle="1" w:styleId="Puce2">
    <w:name w:val="Puce2"/>
    <w:basedOn w:val="Normal"/>
    <w:pPr>
      <w:numPr>
        <w:numId w:val="15"/>
      </w:numPr>
      <w:spacing w:after="0"/>
      <w:jc w:val="both"/>
    </w:pPr>
    <w:rPr>
      <w:snapToGrid w:val="0"/>
      <w:color w:val="000000"/>
      <w:sz w:val="22"/>
    </w:rPr>
  </w:style>
  <w:style w:type="paragraph" w:customStyle="1" w:styleId="SteriaBullet">
    <w:name w:val="Steria Bullet"/>
    <w:basedOn w:val="SteriaResponse"/>
    <w:pPr>
      <w:numPr>
        <w:numId w:val="16"/>
      </w:numPr>
      <w:tabs>
        <w:tab w:val="clear" w:pos="4235"/>
      </w:tabs>
      <w:ind w:left="357" w:hanging="357"/>
    </w:pPr>
  </w:style>
  <w:style w:type="paragraph" w:customStyle="1" w:styleId="SteriaResponse">
    <w:name w:val="Steria Response"/>
    <w:pPr>
      <w:spacing w:after="240" w:line="260" w:lineRule="exact"/>
    </w:pPr>
    <w:rPr>
      <w:color w:val="000080"/>
      <w:sz w:val="22"/>
      <w:lang w:eastAsia="en-US"/>
    </w:rPr>
  </w:style>
  <w:style w:type="paragraph" w:customStyle="1" w:styleId="TaBult1">
    <w:name w:val="TaBult 1"/>
    <w:basedOn w:val="Normal"/>
    <w:pPr>
      <w:numPr>
        <w:numId w:val="17"/>
      </w:numPr>
      <w:spacing w:before="60" w:after="60"/>
      <w:ind w:left="426" w:hanging="284"/>
      <w:jc w:val="both"/>
    </w:pPr>
    <w:rPr>
      <w:rFonts w:ascii="Times New Roman" w:hAnsi="Times New Roman"/>
      <w:sz w:val="22"/>
    </w:rPr>
  </w:style>
  <w:style w:type="paragraph" w:customStyle="1" w:styleId="Bullet20">
    <w:name w:val="Bullet 2"/>
    <w:basedOn w:val="Normal"/>
    <w:pPr>
      <w:tabs>
        <w:tab w:val="num" w:pos="1260"/>
      </w:tabs>
      <w:spacing w:after="0"/>
      <w:ind w:left="1260" w:hanging="360"/>
      <w:jc w:val="both"/>
    </w:pPr>
    <w:rPr>
      <w:sz w:val="22"/>
    </w:rPr>
  </w:style>
  <w:style w:type="paragraph" w:customStyle="1" w:styleId="bp">
    <w:name w:val="bp"/>
    <w:basedOn w:val="Normal"/>
    <w:pPr>
      <w:spacing w:before="100" w:after="100"/>
    </w:pPr>
    <w:rPr>
      <w:rFonts w:ascii="Arial Unicode MS" w:eastAsia="Arial Unicode MS" w:hAnsi="Arial Unicode MS"/>
      <w:sz w:val="24"/>
    </w:rPr>
  </w:style>
  <w:style w:type="paragraph" w:styleId="List2">
    <w:name w:val="List 2"/>
    <w:basedOn w:val="Normal"/>
    <w:pPr>
      <w:tabs>
        <w:tab w:val="num" w:pos="360"/>
      </w:tabs>
      <w:spacing w:before="60" w:after="0"/>
      <w:ind w:left="360" w:hanging="360"/>
      <w:jc w:val="both"/>
    </w:pPr>
    <w:rPr>
      <w:snapToGrid w:val="0"/>
      <w:color w:val="000000"/>
      <w:sz w:val="22"/>
    </w:rPr>
  </w:style>
  <w:style w:type="paragraph" w:customStyle="1" w:styleId="BodySingle">
    <w:name w:val="*Body Single"/>
    <w:basedOn w:val="Normal"/>
    <w:pPr>
      <w:spacing w:after="0" w:line="220" w:lineRule="atLeast"/>
      <w:ind w:left="2304"/>
    </w:pPr>
    <w:rPr>
      <w:sz w:val="22"/>
      <w:szCs w:val="24"/>
    </w:rPr>
  </w:style>
  <w:style w:type="paragraph" w:customStyle="1" w:styleId="Text2">
    <w:name w:val="Text 2"/>
    <w:basedOn w:val="Default"/>
    <w:next w:val="Default"/>
    <w:link w:val="Text2Char"/>
    <w:pPr>
      <w:autoSpaceDE/>
      <w:autoSpaceDN/>
      <w:adjustRightInd/>
      <w:spacing w:before="120" w:after="120"/>
    </w:pPr>
  </w:style>
  <w:style w:type="paragraph" w:customStyle="1" w:styleId="Default">
    <w:name w:val="Default"/>
    <w:pPr>
      <w:autoSpaceDE w:val="0"/>
      <w:autoSpaceDN w:val="0"/>
      <w:adjustRightInd w:val="0"/>
    </w:pPr>
    <w:rPr>
      <w:rFonts w:ascii="TimesNewRoman" w:hAnsi="TimesNewRoman"/>
      <w:lang w:eastAsia="en-US"/>
    </w:rPr>
  </w:style>
  <w:style w:type="paragraph" w:styleId="BodyText">
    <w:name w:val="Body Text"/>
    <w:aliases w:val="EDS Question Text"/>
    <w:basedOn w:val="Normal"/>
    <w:pPr>
      <w:spacing w:after="0"/>
      <w:ind w:right="-1054"/>
    </w:pPr>
    <w:rPr>
      <w:noProof/>
    </w:rPr>
  </w:style>
  <w:style w:type="paragraph" w:styleId="BodyText2">
    <w:name w:val="Body Text 2"/>
    <w:basedOn w:val="Normal"/>
    <w:pPr>
      <w:spacing w:after="0"/>
    </w:pPr>
    <w:rPr>
      <w:color w:val="000000"/>
      <w:sz w:val="22"/>
    </w:rPr>
  </w:style>
  <w:style w:type="paragraph" w:styleId="BodyText3">
    <w:name w:val="Body Text 3"/>
    <w:basedOn w:val="Normal"/>
    <w:pPr>
      <w:spacing w:after="0"/>
      <w:jc w:val="both"/>
    </w:pPr>
    <w:rPr>
      <w:snapToGrid w:val="0"/>
      <w:color w:val="000000"/>
      <w:sz w:val="22"/>
    </w:rPr>
  </w:style>
  <w:style w:type="paragraph" w:styleId="BlockText">
    <w:name w:val="Block Text"/>
    <w:basedOn w:val="Normal"/>
    <w:pPr>
      <w:pBdr>
        <w:top w:val="single" w:sz="4" w:space="1" w:color="auto"/>
        <w:left w:val="single" w:sz="4" w:space="4" w:color="auto"/>
        <w:bottom w:val="single" w:sz="4" w:space="1" w:color="auto"/>
        <w:right w:val="single" w:sz="4" w:space="4" w:color="auto"/>
      </w:pBdr>
      <w:spacing w:after="0"/>
      <w:ind w:left="720" w:right="720"/>
    </w:pPr>
    <w:rPr>
      <w:rFonts w:ascii="Times New Roman" w:hAnsi="Times New Roman"/>
      <w:b/>
      <w:bCs/>
      <w:color w:val="FF0000"/>
      <w:sz w:val="24"/>
      <w:szCs w:val="24"/>
    </w:rPr>
  </w:style>
  <w:style w:type="paragraph" w:customStyle="1" w:styleId="cellheading">
    <w:name w:val="cellheading"/>
    <w:basedOn w:val="Normal"/>
    <w:pPr>
      <w:spacing w:after="144"/>
    </w:pPr>
    <w:rPr>
      <w:rFonts w:ascii="Verdana" w:eastAsia="Arial Unicode MS" w:hAnsi="Verdana"/>
      <w:b/>
      <w:color w:val="000000"/>
    </w:rPr>
  </w:style>
  <w:style w:type="paragraph" w:styleId="NormalWeb">
    <w:name w:val="Normal (Web)"/>
    <w:basedOn w:val="Normal"/>
    <w:pPr>
      <w:spacing w:before="100" w:beforeAutospacing="1" w:after="100" w:afterAutospacing="1"/>
    </w:pPr>
    <w:rPr>
      <w:rFonts w:ascii="Times New Roman" w:hAnsi="Times New Roman"/>
      <w:sz w:val="24"/>
      <w:szCs w:val="24"/>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cs="Courier New"/>
    </w:rPr>
  </w:style>
  <w:style w:type="table" w:styleId="TableGrid">
    <w:name w:val="Table Grid"/>
    <w:basedOn w:val="TableNormal"/>
    <w:uiPriority w:val="59"/>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pPr>
      <w:shd w:val="clear" w:color="auto" w:fill="000080"/>
    </w:pPr>
    <w:rPr>
      <w:rFonts w:ascii="Tahoma" w:hAnsi="Tahoma" w:cs="Tahoma"/>
    </w:rPr>
  </w:style>
  <w:style w:type="character" w:styleId="CommentReference">
    <w:name w:val="annotation reference"/>
    <w:semiHidden/>
    <w:rPr>
      <w:sz w:val="16"/>
      <w:szCs w:val="16"/>
    </w:rPr>
  </w:style>
  <w:style w:type="paragraph" w:styleId="CommentText">
    <w:name w:val="annotation text"/>
    <w:basedOn w:val="Normal"/>
    <w:link w:val="CommentTextChar"/>
    <w:semiHidden/>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character" w:customStyle="1" w:styleId="Heading2Char">
    <w:name w:val="Heading 2 Char"/>
    <w:aliases w:val="T2 Char,h2 Char,L2 Char,H2 Char,Punt 2 Char,l2 Char,2 Char,Titre 21 Char,t2.T2 Char,t2 Char,Contrat 2 Char,Ctt Char,t2.T2.Titre 2 Char,TITRE 2 Char,Titre 2ed Char,Heading 2 Hidden Char,heading 2 Char,Chapter Number/Appendix Letter Char"/>
    <w:link w:val="Heading2"/>
    <w:rPr>
      <w:b/>
      <w:bCs/>
      <w:smallCaps/>
      <w:color w:val="000080"/>
      <w:sz w:val="32"/>
    </w:rPr>
  </w:style>
  <w:style w:type="character" w:customStyle="1" w:styleId="Heading4Char">
    <w:name w:val="Heading 4 Char"/>
    <w:aliases w:val="4 Char,H4 Char,Titre 41 Char,t4.T4 Char,t4 Char,Chapitre 1.1.1. Char,Alinéa Char,dash Char,h4 Char,Ref Heading 1 Char,rh1 Char,First Subheading Char,T4 Char,t4.T4.Titre 4 Char,heading 4 Char,l4 Char,I4 Char,(Shift Ctrl 4) Char"/>
    <w:link w:val="Heading4"/>
    <w:rPr>
      <w:b/>
      <w:smallCaps/>
      <w:color w:val="000080"/>
      <w:sz w:val="24"/>
    </w:rPr>
  </w:style>
  <w:style w:type="paragraph" w:styleId="BodyTextIndent">
    <w:name w:val="Body Text Indent"/>
    <w:basedOn w:val="Normal"/>
    <w:pPr>
      <w:numPr>
        <w:numId w:val="18"/>
      </w:numPr>
      <w:tabs>
        <w:tab w:val="clear" w:pos="283"/>
      </w:tabs>
      <w:ind w:firstLine="0"/>
      <w:jc w:val="both"/>
    </w:pPr>
    <w:rPr>
      <w:rFonts w:ascii="Times New Roman" w:hAnsi="Times New Roman"/>
      <w:sz w:val="22"/>
    </w:rPr>
  </w:style>
  <w:style w:type="character" w:customStyle="1" w:styleId="Text2Char">
    <w:name w:val="Text 2 Char"/>
    <w:link w:val="Text2"/>
    <w:rPr>
      <w:rFonts w:ascii="TimesNewRoman" w:hAnsi="TimesNewRoman"/>
      <w:lang w:val="ro-RO" w:eastAsia="en-US" w:bidi="ar-SA"/>
    </w:rPr>
  </w:style>
  <w:style w:type="character" w:styleId="HTMLCode">
    <w:name w:val="HTML Code"/>
    <w:semiHidden/>
    <w:unhideWhenUsed/>
    <w:rPr>
      <w:rFonts w:ascii="Courier New" w:eastAsia="Times New Roman" w:hAnsi="Courier New" w:cs="Courier New"/>
      <w:sz w:val="20"/>
      <w:szCs w:val="20"/>
    </w:rPr>
  </w:style>
  <w:style w:type="character" w:customStyle="1" w:styleId="Heading2Char2">
    <w:name w:val="Heading 2 Char2"/>
    <w:aliases w:val="Heading 2 Char1 Char,Heading 2 Char Char Char,Heading 2 Char Char1"/>
    <w:locked/>
    <w:rPr>
      <w:b/>
      <w:sz w:val="24"/>
      <w:lang w:val="ro-RO" w:eastAsia="en-US" w:bidi="ar-SA"/>
    </w:rPr>
  </w:style>
  <w:style w:type="paragraph" w:customStyle="1" w:styleId="NumPar1">
    <w:name w:val="NumPar 1"/>
    <w:basedOn w:val="Normal"/>
    <w:next w:val="Normal"/>
    <w:pPr>
      <w:numPr>
        <w:numId w:val="19"/>
      </w:numPr>
      <w:spacing w:before="120"/>
      <w:jc w:val="both"/>
    </w:pPr>
    <w:rPr>
      <w:rFonts w:ascii="Times New Roman" w:hAnsi="Times New Roman"/>
      <w:sz w:val="24"/>
      <w:szCs w:val="24"/>
    </w:rPr>
  </w:style>
  <w:style w:type="paragraph" w:customStyle="1" w:styleId="NumPar2">
    <w:name w:val="NumPar 2"/>
    <w:basedOn w:val="Normal"/>
    <w:next w:val="Normal"/>
    <w:pPr>
      <w:numPr>
        <w:ilvl w:val="1"/>
        <w:numId w:val="19"/>
      </w:numPr>
      <w:spacing w:before="120"/>
      <w:jc w:val="both"/>
    </w:pPr>
    <w:rPr>
      <w:rFonts w:ascii="Times New Roman" w:hAnsi="Times New Roman"/>
      <w:sz w:val="24"/>
      <w:szCs w:val="24"/>
    </w:rPr>
  </w:style>
  <w:style w:type="paragraph" w:customStyle="1" w:styleId="NumPar3">
    <w:name w:val="NumPar 3"/>
    <w:basedOn w:val="Normal"/>
    <w:next w:val="Normal"/>
    <w:pPr>
      <w:numPr>
        <w:ilvl w:val="2"/>
        <w:numId w:val="19"/>
      </w:numPr>
      <w:spacing w:before="120"/>
      <w:jc w:val="both"/>
    </w:pPr>
    <w:rPr>
      <w:rFonts w:ascii="Times New Roman" w:hAnsi="Times New Roman"/>
      <w:sz w:val="24"/>
      <w:szCs w:val="24"/>
    </w:rPr>
  </w:style>
  <w:style w:type="paragraph" w:customStyle="1" w:styleId="NumPar4">
    <w:name w:val="NumPar 4"/>
    <w:basedOn w:val="Normal"/>
    <w:next w:val="Normal"/>
    <w:pPr>
      <w:numPr>
        <w:ilvl w:val="3"/>
        <w:numId w:val="19"/>
      </w:numPr>
      <w:spacing w:before="120"/>
      <w:jc w:val="both"/>
    </w:pPr>
    <w:rPr>
      <w:rFonts w:ascii="Times New Roman" w:hAnsi="Times New Roman"/>
      <w:sz w:val="24"/>
      <w:szCs w:val="24"/>
    </w:rPr>
  </w:style>
  <w:style w:type="paragraph" w:styleId="ListParagraph">
    <w:name w:val="List Paragraph"/>
    <w:basedOn w:val="Normal"/>
    <w:uiPriority w:val="34"/>
    <w:qFormat/>
    <w:pPr>
      <w:spacing w:after="0"/>
      <w:ind w:left="720"/>
    </w:pPr>
    <w:rPr>
      <w:rFonts w:ascii="Calibri" w:hAnsi="Calibri"/>
      <w:sz w:val="22"/>
      <w:szCs w:val="22"/>
    </w:rPr>
  </w:style>
  <w:style w:type="character" w:customStyle="1" w:styleId="CommentTextChar">
    <w:name w:val="Comment Text Char"/>
    <w:basedOn w:val="DefaultParagraphFont"/>
    <w:link w:val="CommentText"/>
    <w:semiHidden/>
    <w:rPr>
      <w:rFonts w:ascii="Arial" w:hAnsi="Arial"/>
      <w:lang w:eastAsia="en-US"/>
    </w:rPr>
  </w:style>
  <w:style w:type="paragraph" w:styleId="Revision">
    <w:name w:val="Revision"/>
    <w:hidden/>
    <w:uiPriority w:val="99"/>
    <w:semiHidden/>
    <w:rPr>
      <w:sz w:val="18"/>
      <w:lang w:eastAsia="en-US"/>
    </w:rPr>
  </w:style>
  <w:style w:type="character" w:customStyle="1" w:styleId="FootnoteTextChar">
    <w:name w:val="Footnote Text Char"/>
    <w:basedOn w:val="DefaultParagraphFont"/>
    <w:link w:val="FootnoteText"/>
    <w:semiHidden/>
    <w:rPr>
      <w:rFonts w:ascii="Arial" w:hAnsi="Arial"/>
      <w:sz w:val="16"/>
      <w:lang w:eastAsia="en-US"/>
    </w:rPr>
  </w:style>
  <w:style w:type="paragraph" w:styleId="EndnoteText">
    <w:name w:val="endnote text"/>
    <w:basedOn w:val="Normal"/>
    <w:link w:val="EndnoteTextChar"/>
    <w:semiHidden/>
    <w:unhideWhenUsed/>
    <w:pPr>
      <w:spacing w:after="0"/>
    </w:pPr>
  </w:style>
  <w:style w:type="character" w:customStyle="1" w:styleId="EndnoteTextChar">
    <w:name w:val="Endnote Text Char"/>
    <w:basedOn w:val="DefaultParagraphFont"/>
    <w:link w:val="EndnoteText"/>
    <w:semiHidden/>
  </w:style>
  <w:style w:type="character" w:styleId="EndnoteReference">
    <w:name w:val="endnote reference"/>
    <w:basedOn w:val="DefaultParagraphFont"/>
    <w:semiHidden/>
    <w:unhideWhenUsed/>
    <w:rPr>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jc w:val="both"/>
    </w:pPr>
    <w:rPr>
      <w:rFonts w:ascii="Times New Roman" w:eastAsiaTheme="minorHAnsi" w:hAnsi="Times New Roman" w:cs="Times New Roman"/>
      <w:sz w:val="24"/>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pPr>
    <w:rPr>
      <w:rFonts w:ascii="Times New Roman" w:hAnsi="Times New Roman" w:cs="Times New Roman"/>
      <w:sz w:val="24"/>
    </w:rPr>
  </w:style>
  <w:style w:type="character" w:customStyle="1" w:styleId="TitleChar">
    <w:name w:val="Title Char"/>
    <w:basedOn w:val="DefaultParagraphFont"/>
    <w:link w:val="Title"/>
    <w:rPr>
      <w:b/>
      <w:caps/>
      <w:color w:val="000080"/>
      <w:sz w:val="32"/>
    </w:rPr>
  </w:style>
  <w:style w:type="character" w:customStyle="1" w:styleId="FooterCoverPageChar">
    <w:name w:val="Footer Cover Page Char"/>
    <w:basedOn w:val="TitleChar"/>
    <w:link w:val="FooterCoverPage"/>
    <w:rPr>
      <w:rFonts w:ascii="Times New Roman" w:hAnsi="Times New Roman" w:cs="Times New Roman"/>
      <w:b w:val="0"/>
      <w:caps w:val="0"/>
      <w:color w:val="000080"/>
      <w:sz w:val="24"/>
    </w:rPr>
  </w:style>
  <w:style w:type="paragraph" w:customStyle="1" w:styleId="HeaderCoverPage">
    <w:name w:val="Header Cover Page"/>
    <w:basedOn w:val="Normal"/>
    <w:link w:val="HeaderCoverPageChar"/>
    <w:pPr>
      <w:tabs>
        <w:tab w:val="center" w:pos="4535"/>
        <w:tab w:val="right" w:pos="9071"/>
      </w:tabs>
      <w:jc w:val="both"/>
    </w:pPr>
    <w:rPr>
      <w:rFonts w:ascii="Times New Roman" w:hAnsi="Times New Roman" w:cs="Times New Roman"/>
      <w:sz w:val="24"/>
    </w:rPr>
  </w:style>
  <w:style w:type="character" w:customStyle="1" w:styleId="HeaderCoverPageChar">
    <w:name w:val="Header Cover Page Char"/>
    <w:basedOn w:val="TitleChar"/>
    <w:link w:val="HeaderCoverPage"/>
    <w:rPr>
      <w:rFonts w:ascii="Times New Roman" w:hAnsi="Times New Roman" w:cs="Times New Roman"/>
      <w:b w:val="0"/>
      <w:caps w:val="0"/>
      <w:color w:val="000080"/>
      <w:sz w:val="24"/>
    </w:rPr>
  </w:style>
  <w:style w:type="character" w:customStyle="1" w:styleId="FooterChar">
    <w:name w:val="Footer Char"/>
    <w:basedOn w:val="DefaultParagraphFont"/>
    <w:link w:val="Footer"/>
    <w:uiPriority w:val="99"/>
    <w:rsid w:val="00274D34"/>
    <w:rPr>
      <w:rFonts w:ascii="Times New Roman" w:eastAsiaTheme="minorHAnsi" w:hAnsi="Times New Roman" w:cs="Times New Roman"/>
      <w:sz w:val="24"/>
      <w:szCs w:val="22"/>
      <w:lang w:eastAsia="en-US"/>
    </w:rPr>
  </w:style>
  <w:style w:type="paragraph" w:customStyle="1" w:styleId="Titreobjet">
    <w:name w:val="Titre objet"/>
    <w:basedOn w:val="Normal"/>
    <w:next w:val="Normal"/>
    <w:rsid w:val="00274D34"/>
    <w:pPr>
      <w:spacing w:before="360" w:after="360"/>
      <w:jc w:val="center"/>
    </w:pPr>
    <w:rPr>
      <w:rFonts w:ascii="Times New Roman" w:eastAsiaTheme="minorHAnsi" w:hAnsi="Times New Roman" w:cs="Times New Roman"/>
      <w:b/>
      <w:sz w:val="24"/>
      <w:szCs w:val="22"/>
      <w:lang w:eastAsia="en-US"/>
    </w:rPr>
  </w:style>
  <w:style w:type="paragraph" w:customStyle="1" w:styleId="TitreobjetPagedecouverture">
    <w:name w:val="Titre objet (Page de couverture)"/>
    <w:basedOn w:val="Titreobjet"/>
    <w:next w:val="Normal"/>
    <w:rsid w:val="00274D34"/>
  </w:style>
  <w:style w:type="paragraph" w:customStyle="1" w:styleId="Declassification">
    <w:name w:val="Declassification"/>
    <w:basedOn w:val="Normal"/>
    <w:next w:val="Normal"/>
    <w:rsid w:val="00274D34"/>
    <w:pPr>
      <w:spacing w:after="0"/>
      <w:jc w:val="both"/>
    </w:pPr>
    <w:rPr>
      <w:rFonts w:ascii="Times New Roman" w:eastAsiaTheme="minorHAnsi" w:hAnsi="Times New Roman" w:cs="Times New Roman"/>
      <w:sz w:val="24"/>
      <w:szCs w:val="22"/>
      <w:lang w:eastAsia="en-US"/>
    </w:rPr>
  </w:style>
  <w:style w:type="character" w:customStyle="1" w:styleId="HeaderChar">
    <w:name w:val="Header Char"/>
    <w:basedOn w:val="DefaultParagraphFont"/>
    <w:link w:val="Header"/>
    <w:uiPriority w:val="99"/>
    <w:rsid w:val="00274D34"/>
    <w:rPr>
      <w:rFonts w:ascii="Times New Roman" w:eastAsiaTheme="minorHAnsi" w:hAnsi="Times New Roman" w:cs="Times New Roman"/>
      <w:sz w:val="24"/>
      <w:szCs w:val="22"/>
      <w:lang w:eastAsia="en-US"/>
    </w:rPr>
  </w:style>
  <w:style w:type="paragraph" w:customStyle="1" w:styleId="HeaderLandscape">
    <w:name w:val="HeaderLandscape"/>
    <w:basedOn w:val="Normal"/>
    <w:rsid w:val="00274D34"/>
    <w:pPr>
      <w:tabs>
        <w:tab w:val="center" w:pos="7285"/>
        <w:tab w:val="right" w:pos="14003"/>
      </w:tabs>
      <w:jc w:val="both"/>
    </w:pPr>
    <w:rPr>
      <w:rFonts w:ascii="Times New Roman" w:eastAsiaTheme="minorHAnsi" w:hAnsi="Times New Roman" w:cs="Times New Roman"/>
      <w:sz w:val="24"/>
      <w:szCs w:val="22"/>
      <w:lang w:eastAsia="en-US"/>
    </w:rPr>
  </w:style>
  <w:style w:type="paragraph" w:customStyle="1" w:styleId="HeaderSensitivity">
    <w:name w:val="Header Sensitivity"/>
    <w:basedOn w:val="Normal"/>
    <w:rsid w:val="00274D34"/>
    <w:pPr>
      <w:pBdr>
        <w:top w:val="single" w:sz="4" w:space="1" w:color="auto"/>
        <w:left w:val="single" w:sz="4" w:space="4" w:color="auto"/>
        <w:bottom w:val="single" w:sz="4" w:space="1" w:color="auto"/>
        <w:right w:val="single" w:sz="4" w:space="4" w:color="auto"/>
      </w:pBdr>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155CD0"/>
    <w:pPr>
      <w:jc w:val="right"/>
    </w:pPr>
    <w:rPr>
      <w:rFonts w:ascii="Times New Roman" w:hAnsi="Times New Roman" w:cs="Times New Roman"/>
      <w:sz w:val="28"/>
    </w:rPr>
  </w:style>
  <w:style w:type="paragraph" w:customStyle="1" w:styleId="FooterLandscape">
    <w:name w:val="FooterLandscape"/>
    <w:basedOn w:val="Normal"/>
    <w:rsid w:val="00274D34"/>
    <w:pPr>
      <w:tabs>
        <w:tab w:val="center" w:pos="7285"/>
        <w:tab w:val="center" w:pos="10913"/>
        <w:tab w:val="right" w:pos="15137"/>
      </w:tabs>
      <w:spacing w:before="360" w:after="0"/>
      <w:ind w:left="-567" w:right="-567"/>
    </w:pPr>
    <w:rPr>
      <w:rFonts w:ascii="Times New Roman" w:eastAsiaTheme="minorHAnsi" w:hAnsi="Times New Roman" w:cs="Times New Roman"/>
      <w:sz w:val="24"/>
      <w:szCs w:val="22"/>
      <w:lang w:eastAsia="en-US"/>
    </w:rPr>
  </w:style>
  <w:style w:type="paragraph" w:customStyle="1" w:styleId="FooterSensitivity">
    <w:name w:val="Footer Sensitivity"/>
    <w:basedOn w:val="Normal"/>
    <w:rsid w:val="00274D34"/>
    <w:pPr>
      <w:pBdr>
        <w:top w:val="single" w:sz="4" w:space="1" w:color="auto"/>
        <w:left w:val="single" w:sz="4" w:space="4" w:color="auto"/>
        <w:bottom w:val="single" w:sz="4" w:space="1" w:color="auto"/>
        <w:right w:val="single" w:sz="4" w:space="4" w:color="auto"/>
      </w:pBdr>
      <w:spacing w:before="360" w:after="0"/>
      <w:ind w:left="113" w:right="113"/>
      <w:jc w:val="center"/>
    </w:pPr>
    <w:rPr>
      <w:rFonts w:ascii="Times New Roman" w:hAnsi="Times New Roman" w:cs="Times New Roman"/>
      <w:b/>
      <w:sz w:val="32"/>
    </w:rPr>
  </w:style>
  <w:style w:type="paragraph" w:customStyle="1" w:styleId="Disclaimer">
    <w:name w:val="Disclaimer"/>
    <w:basedOn w:val="Normal"/>
    <w:rsid w:val="00274D34"/>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jc w:val="both"/>
    </w:pPr>
    <w:rPr>
      <w:rFonts w:ascii="Times New Roman" w:eastAsiaTheme="minorHAnsi" w:hAnsi="Times New Roman" w:cs="Times New Roman"/>
      <w:sz w:val="24"/>
      <w:szCs w:val="22"/>
      <w:lang w:eastAsia="en-US"/>
    </w:rPr>
  </w:style>
  <w:style w:type="paragraph" w:customStyle="1" w:styleId="SecurityMarking">
    <w:name w:val="SecurityMarking"/>
    <w:basedOn w:val="Normal"/>
    <w:rsid w:val="00155CD0"/>
    <w:pPr>
      <w:spacing w:after="0" w:line="276" w:lineRule="auto"/>
      <w:ind w:left="5103"/>
    </w:pPr>
    <w:rPr>
      <w:rFonts w:ascii="Times New Roman" w:eastAsiaTheme="minorHAnsi" w:hAnsi="Times New Roman" w:cs="Times New Roman"/>
      <w:sz w:val="28"/>
      <w:szCs w:val="22"/>
      <w:lang w:eastAsia="en-US"/>
    </w:rPr>
  </w:style>
  <w:style w:type="paragraph" w:customStyle="1" w:styleId="DateMarking">
    <w:name w:val="DateMarking"/>
    <w:basedOn w:val="Normal"/>
    <w:rsid w:val="00155CD0"/>
    <w:pPr>
      <w:spacing w:after="0" w:line="276" w:lineRule="auto"/>
      <w:ind w:left="5103"/>
    </w:pPr>
    <w:rPr>
      <w:rFonts w:ascii="Times New Roman" w:eastAsiaTheme="minorHAnsi" w:hAnsi="Times New Roman" w:cs="Times New Roman"/>
      <w:i/>
      <w:sz w:val="28"/>
      <w:szCs w:val="22"/>
      <w:lang w:eastAsia="en-US"/>
    </w:rPr>
  </w:style>
  <w:style w:type="paragraph" w:customStyle="1" w:styleId="ReleasableTo">
    <w:name w:val="ReleasableTo"/>
    <w:basedOn w:val="Normal"/>
    <w:rsid w:val="00155CD0"/>
    <w:pPr>
      <w:spacing w:after="0" w:line="276" w:lineRule="auto"/>
      <w:ind w:left="5103"/>
    </w:pPr>
    <w:rPr>
      <w:rFonts w:ascii="Times New Roman" w:eastAsiaTheme="minorHAnsi" w:hAnsi="Times New Roman" w:cs="Times New Roman"/>
      <w:i/>
      <w:sz w:val="28"/>
      <w:szCs w:val="22"/>
      <w:lang w:eastAsia="en-US"/>
    </w:rPr>
  </w:style>
  <w:style w:type="character" w:customStyle="1" w:styleId="UnresolvedMention1">
    <w:name w:val="Unresolved Mention1"/>
    <w:basedOn w:val="DefaultParagraphFont"/>
    <w:uiPriority w:val="99"/>
    <w:semiHidden/>
    <w:unhideWhenUsed/>
    <w:rsid w:val="00B74600"/>
    <w:rPr>
      <w:color w:val="605E5C"/>
      <w:shd w:val="clear" w:color="auto" w:fill="E1DFDD"/>
    </w:rPr>
  </w:style>
  <w:style w:type="character" w:customStyle="1" w:styleId="UnresolvedMention2">
    <w:name w:val="Unresolved Mention2"/>
    <w:basedOn w:val="DefaultParagraphFont"/>
    <w:uiPriority w:val="99"/>
    <w:semiHidden/>
    <w:unhideWhenUsed/>
    <w:rsid w:val="00C93BAA"/>
    <w:rPr>
      <w:color w:val="605E5C"/>
      <w:shd w:val="clear" w:color="auto" w:fill="E1DFDD"/>
    </w:rPr>
  </w:style>
  <w:style w:type="paragraph" w:customStyle="1" w:styleId="Languesfaisantfoi">
    <w:name w:val="Langues faisant foi"/>
    <w:basedOn w:val="Normal"/>
    <w:next w:val="Normal"/>
    <w:rsid w:val="00A673A2"/>
    <w:pPr>
      <w:spacing w:before="360" w:after="240"/>
      <w:jc w:val="center"/>
    </w:pPr>
    <w:rPr>
      <w:rFonts w:ascii="Times New Roman" w:eastAsiaTheme="minorHAnsi" w:hAnsi="Times New Roman" w:cs="Times New Roman"/>
      <w:sz w:val="24"/>
      <w:szCs w:val="22"/>
      <w:lang w:eastAsia="en-US"/>
    </w:rPr>
  </w:style>
  <w:style w:type="paragraph" w:customStyle="1" w:styleId="LanguesfaisantfoiPagedecouverture">
    <w:name w:val="Langues faisant foi (Page de couverture)"/>
    <w:basedOn w:val="Normal"/>
    <w:next w:val="Normal"/>
    <w:rsid w:val="00A673A2"/>
    <w:pPr>
      <w:spacing w:before="360" w:after="240"/>
      <w:jc w:val="center"/>
    </w:pPr>
    <w:rPr>
      <w:rFonts w:ascii="Times New Roman" w:eastAsiaTheme="minorHAnsi" w:hAnsi="Times New Roman" w:cs="Times New Roman"/>
      <w:sz w:val="24"/>
      <w:szCs w:val="22"/>
      <w:lang w:eastAsia="en-US"/>
    </w:rPr>
  </w:style>
  <w:style w:type="paragraph" w:customStyle="1" w:styleId="IntrtEEE">
    <w:name w:val="Intérêt EEE"/>
    <w:basedOn w:val="Languesfaisantfoi"/>
    <w:next w:val="Normal"/>
    <w:rsid w:val="00A673A2"/>
    <w:pPr>
      <w:spacing w:after="0"/>
    </w:pPr>
  </w:style>
  <w:style w:type="paragraph" w:customStyle="1" w:styleId="IntrtEEEPagedecouverture">
    <w:name w:val="Intérêt EEE (Page de couverture)"/>
    <w:basedOn w:val="IntrtEEE"/>
    <w:next w:val="Normal"/>
    <w:rsid w:val="00A673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576491">
      <w:bodyDiv w:val="1"/>
      <w:marLeft w:val="0"/>
      <w:marRight w:val="0"/>
      <w:marTop w:val="0"/>
      <w:marBottom w:val="0"/>
      <w:divBdr>
        <w:top w:val="none" w:sz="0" w:space="0" w:color="auto"/>
        <w:left w:val="none" w:sz="0" w:space="0" w:color="auto"/>
        <w:bottom w:val="none" w:sz="0" w:space="0" w:color="auto"/>
        <w:right w:val="none" w:sz="0" w:space="0" w:color="auto"/>
      </w:divBdr>
    </w:div>
    <w:div w:id="436944370">
      <w:bodyDiv w:val="1"/>
      <w:marLeft w:val="0"/>
      <w:marRight w:val="0"/>
      <w:marTop w:val="0"/>
      <w:marBottom w:val="0"/>
      <w:divBdr>
        <w:top w:val="none" w:sz="0" w:space="0" w:color="auto"/>
        <w:left w:val="none" w:sz="0" w:space="0" w:color="auto"/>
        <w:bottom w:val="none" w:sz="0" w:space="0" w:color="auto"/>
        <w:right w:val="none" w:sz="0" w:space="0" w:color="auto"/>
      </w:divBdr>
    </w:div>
    <w:div w:id="605038106">
      <w:bodyDiv w:val="1"/>
      <w:marLeft w:val="0"/>
      <w:marRight w:val="0"/>
      <w:marTop w:val="0"/>
      <w:marBottom w:val="0"/>
      <w:divBdr>
        <w:top w:val="none" w:sz="0" w:space="0" w:color="auto"/>
        <w:left w:val="none" w:sz="0" w:space="0" w:color="auto"/>
        <w:bottom w:val="none" w:sz="0" w:space="0" w:color="auto"/>
        <w:right w:val="none" w:sz="0" w:space="0" w:color="auto"/>
      </w:divBdr>
    </w:div>
    <w:div w:id="640689684">
      <w:bodyDiv w:val="1"/>
      <w:marLeft w:val="0"/>
      <w:marRight w:val="0"/>
      <w:marTop w:val="0"/>
      <w:marBottom w:val="0"/>
      <w:divBdr>
        <w:top w:val="none" w:sz="0" w:space="0" w:color="auto"/>
        <w:left w:val="none" w:sz="0" w:space="0" w:color="auto"/>
        <w:bottom w:val="none" w:sz="0" w:space="0" w:color="auto"/>
        <w:right w:val="none" w:sz="0" w:space="0" w:color="auto"/>
      </w:divBdr>
    </w:div>
    <w:div w:id="662397485">
      <w:bodyDiv w:val="1"/>
      <w:marLeft w:val="0"/>
      <w:marRight w:val="0"/>
      <w:marTop w:val="0"/>
      <w:marBottom w:val="0"/>
      <w:divBdr>
        <w:top w:val="none" w:sz="0" w:space="0" w:color="auto"/>
        <w:left w:val="none" w:sz="0" w:space="0" w:color="auto"/>
        <w:bottom w:val="none" w:sz="0" w:space="0" w:color="auto"/>
        <w:right w:val="none" w:sz="0" w:space="0" w:color="auto"/>
      </w:divBdr>
    </w:div>
    <w:div w:id="814957810">
      <w:bodyDiv w:val="1"/>
      <w:marLeft w:val="0"/>
      <w:marRight w:val="0"/>
      <w:marTop w:val="0"/>
      <w:marBottom w:val="0"/>
      <w:divBdr>
        <w:top w:val="none" w:sz="0" w:space="0" w:color="auto"/>
        <w:left w:val="none" w:sz="0" w:space="0" w:color="auto"/>
        <w:bottom w:val="none" w:sz="0" w:space="0" w:color="auto"/>
        <w:right w:val="none" w:sz="0" w:space="0" w:color="auto"/>
      </w:divBdr>
    </w:div>
    <w:div w:id="852457057">
      <w:bodyDiv w:val="1"/>
      <w:marLeft w:val="0"/>
      <w:marRight w:val="0"/>
      <w:marTop w:val="0"/>
      <w:marBottom w:val="0"/>
      <w:divBdr>
        <w:top w:val="none" w:sz="0" w:space="0" w:color="auto"/>
        <w:left w:val="none" w:sz="0" w:space="0" w:color="auto"/>
        <w:bottom w:val="none" w:sz="0" w:space="0" w:color="auto"/>
        <w:right w:val="none" w:sz="0" w:space="0" w:color="auto"/>
      </w:divBdr>
    </w:div>
    <w:div w:id="937715902">
      <w:bodyDiv w:val="1"/>
      <w:marLeft w:val="0"/>
      <w:marRight w:val="0"/>
      <w:marTop w:val="0"/>
      <w:marBottom w:val="0"/>
      <w:divBdr>
        <w:top w:val="none" w:sz="0" w:space="0" w:color="auto"/>
        <w:left w:val="none" w:sz="0" w:space="0" w:color="auto"/>
        <w:bottom w:val="none" w:sz="0" w:space="0" w:color="auto"/>
        <w:right w:val="none" w:sz="0" w:space="0" w:color="auto"/>
      </w:divBdr>
    </w:div>
    <w:div w:id="976498224">
      <w:bodyDiv w:val="1"/>
      <w:marLeft w:val="0"/>
      <w:marRight w:val="0"/>
      <w:marTop w:val="0"/>
      <w:marBottom w:val="0"/>
      <w:divBdr>
        <w:top w:val="none" w:sz="0" w:space="0" w:color="auto"/>
        <w:left w:val="none" w:sz="0" w:space="0" w:color="auto"/>
        <w:bottom w:val="none" w:sz="0" w:space="0" w:color="auto"/>
        <w:right w:val="none" w:sz="0" w:space="0" w:color="auto"/>
      </w:divBdr>
    </w:div>
    <w:div w:id="1193766090">
      <w:bodyDiv w:val="1"/>
      <w:marLeft w:val="0"/>
      <w:marRight w:val="0"/>
      <w:marTop w:val="0"/>
      <w:marBottom w:val="0"/>
      <w:divBdr>
        <w:top w:val="none" w:sz="0" w:space="0" w:color="auto"/>
        <w:left w:val="none" w:sz="0" w:space="0" w:color="auto"/>
        <w:bottom w:val="none" w:sz="0" w:space="0" w:color="auto"/>
        <w:right w:val="none" w:sz="0" w:space="0" w:color="auto"/>
      </w:divBdr>
    </w:div>
    <w:div w:id="1221405828">
      <w:bodyDiv w:val="1"/>
      <w:marLeft w:val="0"/>
      <w:marRight w:val="0"/>
      <w:marTop w:val="0"/>
      <w:marBottom w:val="0"/>
      <w:divBdr>
        <w:top w:val="none" w:sz="0" w:space="0" w:color="auto"/>
        <w:left w:val="none" w:sz="0" w:space="0" w:color="auto"/>
        <w:bottom w:val="none" w:sz="0" w:space="0" w:color="auto"/>
        <w:right w:val="none" w:sz="0" w:space="0" w:color="auto"/>
      </w:divBdr>
    </w:div>
    <w:div w:id="1259944273">
      <w:bodyDiv w:val="1"/>
      <w:marLeft w:val="0"/>
      <w:marRight w:val="0"/>
      <w:marTop w:val="0"/>
      <w:marBottom w:val="0"/>
      <w:divBdr>
        <w:top w:val="none" w:sz="0" w:space="0" w:color="auto"/>
        <w:left w:val="none" w:sz="0" w:space="0" w:color="auto"/>
        <w:bottom w:val="none" w:sz="0" w:space="0" w:color="auto"/>
        <w:right w:val="none" w:sz="0" w:space="0" w:color="auto"/>
      </w:divBdr>
    </w:div>
    <w:div w:id="1317299337">
      <w:bodyDiv w:val="1"/>
      <w:marLeft w:val="0"/>
      <w:marRight w:val="0"/>
      <w:marTop w:val="0"/>
      <w:marBottom w:val="0"/>
      <w:divBdr>
        <w:top w:val="none" w:sz="0" w:space="0" w:color="auto"/>
        <w:left w:val="none" w:sz="0" w:space="0" w:color="auto"/>
        <w:bottom w:val="none" w:sz="0" w:space="0" w:color="auto"/>
        <w:right w:val="none" w:sz="0" w:space="0" w:color="auto"/>
      </w:divBdr>
    </w:div>
    <w:div w:id="1512455331">
      <w:bodyDiv w:val="1"/>
      <w:marLeft w:val="0"/>
      <w:marRight w:val="0"/>
      <w:marTop w:val="0"/>
      <w:marBottom w:val="0"/>
      <w:divBdr>
        <w:top w:val="none" w:sz="0" w:space="0" w:color="auto"/>
        <w:left w:val="none" w:sz="0" w:space="0" w:color="auto"/>
        <w:bottom w:val="none" w:sz="0" w:space="0" w:color="auto"/>
        <w:right w:val="none" w:sz="0" w:space="0" w:color="auto"/>
      </w:divBdr>
    </w:div>
    <w:div w:id="1599176383">
      <w:bodyDiv w:val="1"/>
      <w:marLeft w:val="0"/>
      <w:marRight w:val="0"/>
      <w:marTop w:val="0"/>
      <w:marBottom w:val="0"/>
      <w:divBdr>
        <w:top w:val="none" w:sz="0" w:space="0" w:color="auto"/>
        <w:left w:val="none" w:sz="0" w:space="0" w:color="auto"/>
        <w:bottom w:val="none" w:sz="0" w:space="0" w:color="auto"/>
        <w:right w:val="none" w:sz="0" w:space="0" w:color="auto"/>
      </w:divBdr>
    </w:div>
    <w:div w:id="1737556785">
      <w:bodyDiv w:val="1"/>
      <w:marLeft w:val="0"/>
      <w:marRight w:val="0"/>
      <w:marTop w:val="0"/>
      <w:marBottom w:val="0"/>
      <w:divBdr>
        <w:top w:val="none" w:sz="0" w:space="0" w:color="auto"/>
        <w:left w:val="none" w:sz="0" w:space="0" w:color="auto"/>
        <w:bottom w:val="none" w:sz="0" w:space="0" w:color="auto"/>
        <w:right w:val="none" w:sz="0" w:space="0" w:color="auto"/>
      </w:divBdr>
    </w:div>
    <w:div w:id="1895656447">
      <w:bodyDiv w:val="1"/>
      <w:marLeft w:val="0"/>
      <w:marRight w:val="0"/>
      <w:marTop w:val="0"/>
      <w:marBottom w:val="0"/>
      <w:divBdr>
        <w:top w:val="none" w:sz="0" w:space="0" w:color="auto"/>
        <w:left w:val="none" w:sz="0" w:space="0" w:color="auto"/>
        <w:bottom w:val="none" w:sz="0" w:space="0" w:color="auto"/>
        <w:right w:val="none" w:sz="0" w:space="0" w:color="auto"/>
      </w:divBdr>
    </w:div>
    <w:div w:id="1944725032">
      <w:bodyDiv w:val="1"/>
      <w:marLeft w:val="0"/>
      <w:marRight w:val="0"/>
      <w:marTop w:val="0"/>
      <w:marBottom w:val="0"/>
      <w:divBdr>
        <w:top w:val="none" w:sz="0" w:space="0" w:color="auto"/>
        <w:left w:val="none" w:sz="0" w:space="0" w:color="auto"/>
        <w:bottom w:val="none" w:sz="0" w:space="0" w:color="auto"/>
        <w:right w:val="none" w:sz="0" w:space="0" w:color="auto"/>
      </w:divBdr>
    </w:div>
    <w:div w:id="1955672307">
      <w:bodyDiv w:val="1"/>
      <w:marLeft w:val="0"/>
      <w:marRight w:val="0"/>
      <w:marTop w:val="0"/>
      <w:marBottom w:val="0"/>
      <w:divBdr>
        <w:top w:val="none" w:sz="0" w:space="0" w:color="auto"/>
        <w:left w:val="none" w:sz="0" w:space="0" w:color="auto"/>
        <w:bottom w:val="none" w:sz="0" w:space="0" w:color="auto"/>
        <w:right w:val="none" w:sz="0" w:space="0" w:color="auto"/>
      </w:divBdr>
    </w:div>
    <w:div w:id="2029091440">
      <w:bodyDiv w:val="1"/>
      <w:marLeft w:val="0"/>
      <w:marRight w:val="0"/>
      <w:marTop w:val="0"/>
      <w:marBottom w:val="0"/>
      <w:divBdr>
        <w:top w:val="none" w:sz="0" w:space="0" w:color="auto"/>
        <w:left w:val="none" w:sz="0" w:space="0" w:color="auto"/>
        <w:bottom w:val="none" w:sz="0" w:space="0" w:color="auto"/>
        <w:right w:val="none" w:sz="0" w:space="0" w:color="auto"/>
      </w:divBdr>
    </w:div>
    <w:div w:id="2105804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emf"/><Relationship Id="rId25" Type="http://schemas.openxmlformats.org/officeDocument/2006/relationships/image" Target="media/image12.png"/><Relationship Id="rId33"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emf"/><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png"/><Relationship Id="rId32"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6.emf"/><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header" Target="header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AA7A1C-D61B-4083-95D3-27E63494D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4759</Words>
  <Characters>27132</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2026-04-23T11:04:00Z</dcterms:created>
  <dcterms:modified xsi:type="dcterms:W3CDTF">2026-06-12T12:18:00Z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2026-03-10T09:35:04Z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0d091773-94c9-45b2-9a3f-09fb70b25deb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ies>
</file>