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B33" w:rsidRPr="00D73349" w:rsidRDefault="00ED6623" w:rsidP="00ED662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03A7F3-2949-42CD-BF25-F23B50D93795" style="width:455.25pt;height:357.75pt">
            <v:imagedata r:id="rId11" o:title=""/>
          </v:shape>
        </w:pict>
      </w:r>
    </w:p>
    <w:p w:rsidR="00863B33" w:rsidRPr="00D73349" w:rsidRDefault="00863B33" w:rsidP="00863B33">
      <w:pPr>
        <w:rPr>
          <w:noProof/>
        </w:rPr>
        <w:sectPr w:rsidR="00863B33" w:rsidRPr="00D73349" w:rsidSect="00ED6623">
          <w:footerReference w:type="even" r:id="rId12"/>
          <w:footerReference w:type="default" r:id="rId13"/>
          <w:pgSz w:w="11907" w:h="16839"/>
          <w:pgMar w:top="1134" w:right="1417" w:bottom="1134" w:left="1417" w:header="709" w:footer="709" w:gutter="0"/>
          <w:pgNumType w:start="0"/>
          <w:cols w:space="720"/>
          <w:docGrid w:linePitch="360"/>
        </w:sectPr>
      </w:pPr>
    </w:p>
    <w:p w:rsidR="00863B33" w:rsidRPr="00D73349" w:rsidRDefault="00863B33">
      <w:pPr>
        <w:pStyle w:val="Exposdesmotifstitre"/>
        <w:rPr>
          <w:noProof/>
        </w:rPr>
      </w:pPr>
      <w:bookmarkStart w:id="0" w:name="_GoBack"/>
      <w:bookmarkEnd w:id="0"/>
      <w:r w:rsidRPr="00D73349">
        <w:rPr>
          <w:noProof/>
        </w:rPr>
        <w:lastRenderedPageBreak/>
        <w:t>EXPUNERE DE MOTIVE</w:t>
      </w:r>
    </w:p>
    <w:p w:rsidR="00863B33" w:rsidRPr="00D73349" w:rsidRDefault="00863B33">
      <w:pPr>
        <w:pStyle w:val="ManualHeading1"/>
        <w:rPr>
          <w:noProof/>
        </w:rPr>
      </w:pPr>
      <w:r w:rsidRPr="00D73349">
        <w:rPr>
          <w:noProof/>
        </w:rPr>
        <w:t>1.</w:t>
      </w:r>
      <w:r w:rsidRPr="00D73349">
        <w:rPr>
          <w:noProof/>
        </w:rPr>
        <w:tab/>
        <w:t>CONTEXTUL PROPUNERII</w:t>
      </w:r>
    </w:p>
    <w:p w:rsidR="00863B33" w:rsidRPr="00D73349" w:rsidRDefault="00863B33">
      <w:pPr>
        <w:pStyle w:val="ManualHeading2"/>
        <w:rPr>
          <w:rFonts w:eastAsia="Arial Unicode MS"/>
          <w:noProof/>
        </w:rPr>
      </w:pPr>
      <w:r w:rsidRPr="00D73349">
        <w:rPr>
          <w:noProof/>
          <w:color w:val="000000"/>
          <w:u w:color="000000"/>
          <w:bdr w:val="nil"/>
        </w:rPr>
        <w:t>•</w:t>
      </w:r>
      <w:r w:rsidRPr="00D73349">
        <w:rPr>
          <w:noProof/>
        </w:rPr>
        <w:tab/>
        <w:t>Motivele și obiectivele propunerii</w:t>
      </w:r>
    </w:p>
    <w:p w:rsidR="00863B33" w:rsidRPr="00D73349" w:rsidRDefault="00863B33" w:rsidP="00863B33">
      <w:pPr>
        <w:pBdr>
          <w:top w:val="nil"/>
          <w:left w:val="nil"/>
          <w:bottom w:val="nil"/>
          <w:right w:val="nil"/>
          <w:between w:val="nil"/>
          <w:bar w:val="nil"/>
        </w:pBdr>
        <w:spacing w:before="0" w:after="240"/>
        <w:rPr>
          <w:noProof/>
        </w:rPr>
      </w:pPr>
      <w:r w:rsidRPr="00D73349">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sidRPr="00D73349">
        <w:rPr>
          <w:rStyle w:val="FootnoteReference"/>
          <w:rFonts w:eastAsia="Arial Unicode MS"/>
          <w:noProof/>
        </w:rPr>
        <w:footnoteReference w:id="1"/>
      </w:r>
      <w:r w:rsidRPr="00D73349">
        <w:rPr>
          <w:noProof/>
        </w:rPr>
        <w:t xml:space="preserve"> („Directiva privind impozitarea energiei” sau „directiva”).</w:t>
      </w:r>
    </w:p>
    <w:p w:rsidR="00863B33" w:rsidRPr="00D73349" w:rsidRDefault="00863B33" w:rsidP="00863B33">
      <w:pPr>
        <w:pBdr>
          <w:top w:val="nil"/>
          <w:left w:val="nil"/>
          <w:bottom w:val="nil"/>
          <w:right w:val="nil"/>
          <w:between w:val="nil"/>
          <w:bar w:val="nil"/>
        </w:pBdr>
        <w:spacing w:before="0" w:after="240"/>
        <w:rPr>
          <w:noProof/>
        </w:rPr>
      </w:pPr>
      <w:r w:rsidRPr="00D73349">
        <w:rPr>
          <w:noProof/>
        </w:rPr>
        <w:t>În conformitate cu articolul 19 alineatul (1) din directivă, pe lângă dispozițiile prevăzute în special la articolele 5, 15 și 17, Consiliul, hotărând în unanimitate la propunerea Comisiei, poate autoriza orice stat membru să introducă alte scutiri sau reduceri ale nivelului de impozitare din motive de politică specifice.</w:t>
      </w:r>
    </w:p>
    <w:p w:rsidR="00E6659C" w:rsidRPr="00D73349" w:rsidRDefault="004501AD" w:rsidP="79D6CE10">
      <w:pPr>
        <w:pBdr>
          <w:top w:val="nil"/>
          <w:left w:val="nil"/>
          <w:bottom w:val="nil"/>
          <w:right w:val="nil"/>
          <w:between w:val="nil"/>
          <w:bar w:val="nil"/>
        </w:pBdr>
        <w:spacing w:before="0" w:after="240"/>
        <w:rPr>
          <w:noProof/>
        </w:rPr>
      </w:pPr>
      <w:r w:rsidRPr="00D73349">
        <w:rPr>
          <w:noProof/>
        </w:rPr>
        <w:t>Printr-o scrisoare din data de 2 aprilie 2026, autoritățile croate au informat Comisia cu privire la intenția lor de a solicita autorizarea aplicării unei reduceri temporare a nivelurilor naționale de impozitare pentru benzina fără plumb și motorina utilizate drept carburanți sub nivelurile minime de impozitare prevăzute la articolul 7 și în tabelul A din anexa I la directivă.</w:t>
      </w:r>
    </w:p>
    <w:p w:rsidR="00E6659C" w:rsidRPr="00D73349" w:rsidRDefault="00E6659C" w:rsidP="79D6CE10">
      <w:pPr>
        <w:pBdr>
          <w:top w:val="nil"/>
          <w:left w:val="nil"/>
          <w:bottom w:val="nil"/>
          <w:right w:val="nil"/>
          <w:between w:val="nil"/>
          <w:bar w:val="nil"/>
        </w:pBdr>
        <w:spacing w:before="0" w:after="240"/>
        <w:rPr>
          <w:noProof/>
        </w:rPr>
      </w:pPr>
      <w:r w:rsidRPr="00D73349">
        <w:rPr>
          <w:noProof/>
        </w:rPr>
        <w:t>Autoritățile croate au răspuns solicitărilor de informații suplimentare din partea Comisiei Europene prin e-mailurile din 29 aprilie 2026 și 7 mai 2026.</w:t>
      </w:r>
    </w:p>
    <w:p w:rsidR="00FB1FF9" w:rsidRPr="00D73349" w:rsidRDefault="39769132" w:rsidP="79D6CE10">
      <w:pPr>
        <w:pBdr>
          <w:top w:val="nil"/>
          <w:left w:val="nil"/>
          <w:bottom w:val="nil"/>
          <w:right w:val="nil"/>
          <w:between w:val="nil"/>
          <w:bar w:val="nil"/>
        </w:pBdr>
        <w:spacing w:before="0" w:after="240"/>
        <w:rPr>
          <w:noProof/>
        </w:rPr>
      </w:pPr>
      <w:r w:rsidRPr="00D73349">
        <w:rPr>
          <w:noProof/>
        </w:rPr>
        <w:t>Reducerea solicitată este de 0,2195</w:t>
      </w:r>
      <w:r w:rsidR="005306E3" w:rsidRPr="00D73349">
        <w:rPr>
          <w:noProof/>
        </w:rPr>
        <w:t> </w:t>
      </w:r>
      <w:r w:rsidRPr="00D73349">
        <w:rPr>
          <w:noProof/>
        </w:rPr>
        <w:t>EUR pe litru pentru benzina fără plumb și de 0,225</w:t>
      </w:r>
      <w:r w:rsidR="005306E3" w:rsidRPr="00D73349">
        <w:rPr>
          <w:noProof/>
        </w:rPr>
        <w:t> </w:t>
      </w:r>
      <w:r w:rsidRPr="00D73349">
        <w:rPr>
          <w:noProof/>
        </w:rPr>
        <w:t>EUR pe litru pentru motorina utilizate drept carburanți.</w:t>
      </w:r>
    </w:p>
    <w:p w:rsidR="005143C8" w:rsidRPr="00D73349" w:rsidRDefault="005143C8" w:rsidP="005143C8">
      <w:pPr>
        <w:pBdr>
          <w:top w:val="nil"/>
          <w:left w:val="nil"/>
          <w:bottom w:val="nil"/>
          <w:right w:val="nil"/>
          <w:between w:val="nil"/>
          <w:bar w:val="nil"/>
        </w:pBdr>
        <w:spacing w:before="0" w:after="240"/>
        <w:rPr>
          <w:rFonts w:eastAsia="Arial Unicode MS"/>
          <w:noProof/>
        </w:rPr>
      </w:pPr>
      <w:r w:rsidRPr="00D73349">
        <w:rPr>
          <w:noProof/>
        </w:rPr>
        <w:t>Perioada de valabilitate solicitată este de 6 luni începând de la adoptarea deciziei de către Consiliu, ceea ce se încadrează în perioada maximă permisă de articolul 19 alineatul (2) din Directiva privind impozitarea energiei.</w:t>
      </w:r>
    </w:p>
    <w:p w:rsidR="005143C8" w:rsidRPr="00D73349" w:rsidRDefault="005143C8" w:rsidP="005143C8">
      <w:pPr>
        <w:pBdr>
          <w:top w:val="nil"/>
          <w:left w:val="nil"/>
          <w:bottom w:val="nil"/>
          <w:right w:val="nil"/>
          <w:between w:val="nil"/>
          <w:bar w:val="nil"/>
        </w:pBdr>
        <w:spacing w:before="0" w:after="240"/>
        <w:rPr>
          <w:rFonts w:eastAsia="Arial Unicode MS"/>
          <w:noProof/>
        </w:rPr>
      </w:pPr>
      <w:r w:rsidRPr="00D73349">
        <w:rPr>
          <w:noProof/>
        </w:rPr>
        <w:t xml:space="preserve">Potrivit autorităților croate, scopul măsurii este de a atenua prețurile cu amănuntul </w:t>
      </w:r>
      <w:r w:rsidR="00AA607C" w:rsidRPr="00D73349">
        <w:rPr>
          <w:noProof/>
        </w:rPr>
        <w:t xml:space="preserve">ridicate </w:t>
      </w:r>
      <w:r w:rsidRPr="00D73349">
        <w:rPr>
          <w:noProof/>
        </w:rPr>
        <w:t>ale motorinei și benzinei din țară, datorate evoluțiilor geopolitice recente și care afectează în mod direct atât gospodăriile, cât și întreprinderile.</w:t>
      </w:r>
    </w:p>
    <w:p w:rsidR="00863B33" w:rsidRPr="00D73349" w:rsidRDefault="00863B33" w:rsidP="679CD629">
      <w:pPr>
        <w:pBdr>
          <w:top w:val="nil"/>
          <w:left w:val="nil"/>
          <w:bottom w:val="nil"/>
          <w:right w:val="nil"/>
          <w:between w:val="nil"/>
          <w:bar w:val="nil"/>
        </w:pBdr>
        <w:spacing w:before="0" w:after="240"/>
        <w:rPr>
          <w:noProof/>
        </w:rPr>
      </w:pPr>
      <w:r w:rsidRPr="00D73349">
        <w:rPr>
          <w:noProof/>
        </w:rPr>
        <w:t xml:space="preserve">Ca răspuns la criza energetică din 2022, rezultat al războiului din Ucraina, statelor membre le-au fost acordate trei derogări de la Directiva privind impozitarea energiei, cu scopul de a atenua prețurile cu amănuntul </w:t>
      </w:r>
      <w:r w:rsidR="00AA607C" w:rsidRPr="00D73349">
        <w:rPr>
          <w:noProof/>
        </w:rPr>
        <w:t xml:space="preserve">ridicate </w:t>
      </w:r>
      <w:r w:rsidRPr="00D73349">
        <w:rPr>
          <w:noProof/>
        </w:rPr>
        <w:t>ale combustibililor datorate evoluțiilor geopolitice de la momentul respectiv și care afectau în mod direct atât gospodăriile, cât și întreprinderile</w:t>
      </w:r>
      <w:r w:rsidRPr="00D73349">
        <w:rPr>
          <w:rStyle w:val="FootnoteReference"/>
          <w:noProof/>
        </w:rPr>
        <w:footnoteReference w:id="2"/>
      </w:r>
      <w:r w:rsidRPr="00D73349">
        <w:rPr>
          <w:noProof/>
        </w:rPr>
        <w:t>.</w:t>
      </w:r>
    </w:p>
    <w:p w:rsidR="009051A7" w:rsidRPr="00D73349" w:rsidRDefault="00863B33" w:rsidP="009051A7">
      <w:pPr>
        <w:pBdr>
          <w:top w:val="nil"/>
          <w:left w:val="nil"/>
          <w:bottom w:val="nil"/>
          <w:right w:val="nil"/>
          <w:between w:val="nil"/>
          <w:bar w:val="nil"/>
        </w:pBdr>
        <w:spacing w:before="0" w:after="240"/>
        <w:rPr>
          <w:noProof/>
        </w:rPr>
      </w:pPr>
      <w:r w:rsidRPr="00D73349">
        <w:rPr>
          <w:noProof/>
        </w:rPr>
        <w:t>În concluziile sale din 19 martie 2026, Consiliul European a subliniat că tranziția energetică rămâne cea mai eficace strategie pentru realizarea autonomiei strategice a Europei, consolidarea rezilienței, scăderea structurală a prețurilor la energie și furnizarea energiei curate, abundente și autohtone necesare pentru a alimenta economia viitorului.</w:t>
      </w:r>
    </w:p>
    <w:p w:rsidR="009051A7" w:rsidRPr="00D73349" w:rsidRDefault="009051A7" w:rsidP="00863B33">
      <w:pPr>
        <w:pBdr>
          <w:top w:val="nil"/>
          <w:left w:val="nil"/>
          <w:bottom w:val="nil"/>
          <w:right w:val="nil"/>
          <w:between w:val="nil"/>
          <w:bar w:val="nil"/>
        </w:pBdr>
        <w:spacing w:before="0" w:after="240"/>
        <w:rPr>
          <w:noProof/>
        </w:rPr>
      </w:pPr>
      <w:r w:rsidRPr="00D73349">
        <w:rPr>
          <w:noProof/>
        </w:rPr>
        <w:t xml:space="preserve">În același timp, Consiliul European a recunoscut că sunt necesare soluții specifice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w:t>
      </w:r>
      <w:r w:rsidRPr="00D73349">
        <w:rPr>
          <w:noProof/>
        </w:rPr>
        <w:lastRenderedPageBreak/>
        <w:t xml:space="preserve">inovatoare mari consumatoare de energie, fără a submina previzibilitatea și condițiile de concurență echitabile. </w:t>
      </w:r>
    </w:p>
    <w:p w:rsidR="0089656B" w:rsidRPr="00D73349" w:rsidRDefault="009051A7" w:rsidP="34D01697">
      <w:pPr>
        <w:pBdr>
          <w:top w:val="nil"/>
          <w:left w:val="nil"/>
          <w:bottom w:val="nil"/>
          <w:right w:val="nil"/>
          <w:between w:val="nil"/>
          <w:bar w:val="nil"/>
        </w:pBdr>
        <w:spacing w:before="0" w:after="240"/>
        <w:rPr>
          <w:noProof/>
        </w:rPr>
      </w:pPr>
      <w:r w:rsidRPr="00D73349">
        <w:rPr>
          <w:noProof/>
        </w:rPr>
        <w:t>În acest context, Consiliul European a invitat Comisia să prezinte fără întârziere un set de măsuri temporare specifice pentru a răspunde recentelor creșteri bruște ale prețurilor combustibililor fosili importați cauzate de criza din Orientul Mijlociu. Concluziile Consiliului European oferă orientări politice din partea statelor membre și constituie un mandat politic pentru adoptarea de măsuri fiscale care să permită flexibilitățile solicitate. Aceste concluzii pledează în mod clar pentru utilizarea deplină a derogărilor și a flexibilităților prevăzute în Directiva privind impozitarea energiei, printre care adoptarea unor niveluri reduse temporare, strâns legate de circumstanțele extraordinare și de obiectivele privind accesibilitatea energiei.</w:t>
      </w:r>
    </w:p>
    <w:p w:rsidR="0089656B" w:rsidRPr="00D73349" w:rsidRDefault="00F4279A" w:rsidP="0089656B">
      <w:pPr>
        <w:pBdr>
          <w:top w:val="nil"/>
          <w:left w:val="nil"/>
          <w:bottom w:val="nil"/>
          <w:right w:val="nil"/>
          <w:between w:val="nil"/>
          <w:bar w:val="nil"/>
        </w:pBdr>
        <w:spacing w:before="0" w:after="240"/>
        <w:rPr>
          <w:noProof/>
        </w:rPr>
      </w:pPr>
      <w:r w:rsidRPr="00D73349">
        <w:rPr>
          <w:noProof/>
        </w:rPr>
        <w:t>Obiectivul acestor măsuri ar fi de a le permite statelor membre să elaboreze soluții specifice și temporare pentru a face față impactului negativ al crizelor energetice actuale asupra prețurilor. Aceste soluții sunt necesare pe termen scurt pentru a asigura o energie la prețuri accesibile, ținând seama de neutralitatea tehnologică și de situațiile specifice ale statelor membre, de expunerea deosebită a anumitor sectoare industriale la riscul de relocare și de necesitatea de a îmbunătăți condițiile pentru sectoarele inovatoare mari consumatoare de energie, fără a submina previzibilitatea și condițiile de concurență echitabile.</w:t>
      </w:r>
    </w:p>
    <w:p w:rsidR="008E6A14" w:rsidRPr="00D73349" w:rsidRDefault="00D01A5F" w:rsidP="30F3C4C4">
      <w:pPr>
        <w:pBdr>
          <w:top w:val="nil"/>
          <w:left w:val="nil"/>
          <w:bottom w:val="nil"/>
          <w:right w:val="nil"/>
          <w:between w:val="nil"/>
          <w:bar w:val="nil"/>
        </w:pBdr>
        <w:spacing w:before="0" w:after="240"/>
        <w:rPr>
          <w:noProof/>
        </w:rPr>
      </w:pPr>
      <w:r w:rsidRPr="00D73349">
        <w:rPr>
          <w:noProof/>
        </w:rPr>
        <w:t>De la izbucnirea conflictului la 28 februarie 2026 și perturbarea ulterioară a Strâmtorii Ormuz, prețul petrolului (Brent) a crescut de la aproximativ 60 EUR/baril la peste 90 EUR/baril</w:t>
      </w:r>
      <w:r w:rsidRPr="00D73349">
        <w:rPr>
          <w:rStyle w:val="FootnoteReference"/>
          <w:noProof/>
        </w:rPr>
        <w:footnoteReference w:id="3"/>
      </w:r>
      <w:r w:rsidRPr="00D73349">
        <w:rPr>
          <w:noProof/>
        </w:rPr>
        <w:t>. În urma acestei creșteri a prețurilor, în Croația au fost înregistrate următoarele prețuri medii la carburanți</w:t>
      </w:r>
      <w:r w:rsidRPr="00D73349">
        <w:rPr>
          <w:rStyle w:val="FootnoteReference"/>
          <w:noProof/>
        </w:rPr>
        <w:footnoteReference w:id="4"/>
      </w:r>
      <w:r w:rsidRPr="00D73349">
        <w:rPr>
          <w:noProof/>
        </w:rPr>
        <w:t>:</w:t>
      </w:r>
    </w:p>
    <w:tbl>
      <w:tblPr>
        <w:tblStyle w:val="GridTable1Light"/>
        <w:tblW w:w="3652" w:type="dxa"/>
        <w:tblLook w:val="06A0" w:firstRow="1" w:lastRow="0" w:firstColumn="1" w:lastColumn="0" w:noHBand="1" w:noVBand="1"/>
      </w:tblPr>
      <w:tblGrid>
        <w:gridCol w:w="1374"/>
        <w:gridCol w:w="1144"/>
        <w:gridCol w:w="1134"/>
      </w:tblGrid>
      <w:tr w:rsidR="679CD629" w:rsidRPr="00D73349" w:rsidTr="002F1CF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74" w:type="dxa"/>
          </w:tcPr>
          <w:p w:rsidR="679CD629" w:rsidRPr="00D73349" w:rsidRDefault="679CD629">
            <w:pPr>
              <w:rPr>
                <w:noProof/>
              </w:rPr>
            </w:pPr>
          </w:p>
        </w:tc>
        <w:tc>
          <w:tcPr>
            <w:tcW w:w="1144" w:type="dxa"/>
          </w:tcPr>
          <w:p w:rsidR="679CD629" w:rsidRPr="00D73349" w:rsidRDefault="679CD629" w:rsidP="004521B5">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b w:val="0"/>
                <w:noProof/>
                <w:color w:val="000000" w:themeColor="text1"/>
                <w:sz w:val="22"/>
              </w:rPr>
              <w:t>Benzină (Super 95)</w:t>
            </w:r>
          </w:p>
        </w:tc>
        <w:tc>
          <w:tcPr>
            <w:tcW w:w="1134" w:type="dxa"/>
          </w:tcPr>
          <w:p w:rsidR="679CD629" w:rsidRPr="00D73349" w:rsidRDefault="679CD629" w:rsidP="004521B5">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b w:val="0"/>
                <w:noProof/>
                <w:color w:val="000000" w:themeColor="text1"/>
                <w:sz w:val="22"/>
              </w:rPr>
              <w:t>Motorină</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30.3.2026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1,68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1,88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23.3.2026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1,57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1,69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16.3.2026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1,55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1,67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9.3.2026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1,50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1,54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2.3.2026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1,48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1,51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23.2.2026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1,47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1,49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r w:rsidR="002F1CF7" w:rsidRPr="00D73349"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D73349" w:rsidRDefault="002F1CF7" w:rsidP="002F1CF7">
            <w:pPr>
              <w:spacing w:before="0" w:after="0"/>
              <w:jc w:val="right"/>
              <w:rPr>
                <w:rFonts w:ascii="Calibri" w:eastAsia="Calibri" w:hAnsi="Calibri" w:cs="Calibri"/>
                <w:noProof/>
                <w:color w:val="000000" w:themeColor="text1"/>
                <w:sz w:val="22"/>
              </w:rPr>
            </w:pPr>
            <w:r w:rsidRPr="00D73349">
              <w:rPr>
                <w:rFonts w:ascii="Calibri" w:hAnsi="Calibri"/>
                <w:b w:val="0"/>
                <w:noProof/>
                <w:color w:val="000000" w:themeColor="text1"/>
                <w:sz w:val="22"/>
              </w:rPr>
              <w:t>16.2.2026</w:t>
            </w:r>
          </w:p>
        </w:tc>
        <w:tc>
          <w:tcPr>
            <w:tcW w:w="114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1,46 </w:t>
            </w:r>
            <w:r w:rsidR="00034522" w:rsidRPr="00D73349">
              <w:rPr>
                <w:rFonts w:ascii="Calibri" w:hAnsi="Calibri"/>
                <w:noProof/>
                <w:color w:val="000000"/>
                <w:sz w:val="22"/>
              </w:rPr>
              <w:t>EUR</w:t>
            </w:r>
            <w:r w:rsidRPr="00D73349">
              <w:rPr>
                <w:rFonts w:ascii="Calibri" w:hAnsi="Calibri"/>
                <w:noProof/>
                <w:color w:val="000000"/>
                <w:sz w:val="22"/>
              </w:rPr>
              <w:t xml:space="preserve"> </w:t>
            </w:r>
          </w:p>
        </w:tc>
        <w:tc>
          <w:tcPr>
            <w:tcW w:w="1134" w:type="dxa"/>
            <w:vAlign w:val="bottom"/>
          </w:tcPr>
          <w:p w:rsidR="002F1CF7" w:rsidRPr="00D73349"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D73349">
              <w:rPr>
                <w:rFonts w:ascii="Calibri" w:hAnsi="Calibri"/>
                <w:noProof/>
                <w:color w:val="000000"/>
                <w:sz w:val="22"/>
              </w:rPr>
              <w:t xml:space="preserve">1,50 </w:t>
            </w:r>
            <w:r w:rsidR="00034522" w:rsidRPr="00D73349">
              <w:rPr>
                <w:rFonts w:ascii="Calibri" w:hAnsi="Calibri"/>
                <w:noProof/>
                <w:color w:val="000000"/>
                <w:sz w:val="22"/>
              </w:rPr>
              <w:t>EUR</w:t>
            </w:r>
            <w:r w:rsidRPr="00D73349">
              <w:rPr>
                <w:rFonts w:ascii="Calibri" w:hAnsi="Calibri"/>
                <w:noProof/>
                <w:color w:val="000000"/>
                <w:sz w:val="22"/>
              </w:rPr>
              <w:t xml:space="preserve"> </w:t>
            </w:r>
          </w:p>
        </w:tc>
      </w:tr>
    </w:tbl>
    <w:p w:rsidR="005E7FF4" w:rsidRPr="00D73349" w:rsidRDefault="0085145F" w:rsidP="00306A22">
      <w:pPr>
        <w:rPr>
          <w:noProof/>
        </w:rPr>
      </w:pPr>
      <w:r w:rsidRPr="00D73349">
        <w:rPr>
          <w:noProof/>
        </w:rPr>
        <w:t>Analizând perspectivele de evoluție a prețurilor petrolului în perioada acestei derogări, se preconizează că prețurile vor continua să fie ridicate. Ulterior, perspectivele depind în mare măsură de durata conflictului din Orientul Mijlociu și de perturbarea Strâmtorii Ormuz.</w:t>
      </w:r>
    </w:p>
    <w:p w:rsidR="00306A22" w:rsidRPr="00D73349" w:rsidRDefault="00306A22" w:rsidP="005D7E15">
      <w:pPr>
        <w:rPr>
          <w:noProof/>
        </w:rPr>
      </w:pPr>
      <w:r w:rsidRPr="00D73349">
        <w:rPr>
          <w:noProof/>
        </w:rPr>
        <w:t>Se preconizează că prețurile petrolului vor rămâne ridicate pe durata conflictului și a perturbării Strâmtorii Ormuz. Prețurile combustibililor urmează dinamica prețului țițeiului cu o întârziere de o săptămână sau două, cu diferența că prețurile benzinei tind să reacționeze mai puțin direct la prețurile petrolului, în timp ce motorina și combustibilul turboreactor pe care UE le importă tind să fie mai volatile decât prețurile țițeiului.</w:t>
      </w:r>
    </w:p>
    <w:p w:rsidR="00EE0D4C" w:rsidRPr="00D73349" w:rsidRDefault="007B40B8">
      <w:pPr>
        <w:rPr>
          <w:noProof/>
        </w:rPr>
      </w:pPr>
      <w:r w:rsidRPr="00D73349">
        <w:rPr>
          <w:noProof/>
        </w:rPr>
        <w:t xml:space="preserve">Caracterul mondial al prețurilor petrolului și influența limitată a statelor membre asupra acestor prețuri fac ca această criză să fie o criză exogenă. Prețurile mondiale ale produselor </w:t>
      </w:r>
      <w:r w:rsidRPr="00D73349">
        <w:rPr>
          <w:noProof/>
        </w:rPr>
        <w:lastRenderedPageBreak/>
        <w:t>energetice vor fi similare pentru toate statele membre ale UE. Cu toate acestea, capacitatea de a face față creșterii prețurilor va varia în mod semnificativ, depinzând, de exemplu, de venituri, de modul de transport, de sursa de încălzire și de eficiența energetică a locuințelor. Acest lucru va face ca efectele creșterii prețurilor să fie asimetrice. În plus, gospodăriile cu venituri mai mici tind să cheltuiască o parte mai mare a veniturilor lor pentru consum, și nu pe investiții sau economii, ceea ce face ca creșterile prețurilor de consum să aibă un impact mai mare pentru aceste gospodării.</w:t>
      </w:r>
    </w:p>
    <w:p w:rsidR="002F1CF7" w:rsidRPr="00D73349" w:rsidRDefault="002F1CF7" w:rsidP="002F1CF7">
      <w:pPr>
        <w:rPr>
          <w:noProof/>
        </w:rPr>
      </w:pPr>
      <w:r w:rsidRPr="00D73349">
        <w:rPr>
          <w:noProof/>
        </w:rPr>
        <w:t>De la izbucnirea războiului la 28 februarie 2026 și creșterea ulterioară a prețurilor energiei, Guvernul Republicii Croația a adoptat, la 10 martie 2026, o modificare a Regulamentului privind accizele la energie și electricitate, cu scopul de a atenua creșterea prețului cu amănuntul al produselor energetice. Această modificare a redus acciza la motorina utilizată drept carburant cu 0,02</w:t>
      </w:r>
      <w:r w:rsidR="005306E3" w:rsidRPr="00D73349">
        <w:rPr>
          <w:noProof/>
        </w:rPr>
        <w:t> </w:t>
      </w:r>
      <w:r w:rsidRPr="00D73349">
        <w:rPr>
          <w:noProof/>
        </w:rPr>
        <w:t>EUR pe litru.</w:t>
      </w:r>
    </w:p>
    <w:p w:rsidR="002F1CF7" w:rsidRPr="00D73349" w:rsidRDefault="002F1CF7" w:rsidP="002F1CF7">
      <w:pPr>
        <w:rPr>
          <w:noProof/>
        </w:rPr>
      </w:pPr>
      <w:r w:rsidRPr="00D73349">
        <w:rPr>
          <w:noProof/>
        </w:rPr>
        <w:t>În același timp, prin Regulamentul privind stabilirea prețului maxim de vânzare cu amănuntul al produselor petroliere, guvernul a introdus un plafon pentru prețurile cu amănuntul ale produselor energetice prin limitarea marjelor comerciale, stabilind o primă maximă pentru întreprinderile din domeniul energiei de 0,1735</w:t>
      </w:r>
      <w:r w:rsidR="005306E3" w:rsidRPr="00D73349">
        <w:rPr>
          <w:noProof/>
        </w:rPr>
        <w:t> </w:t>
      </w:r>
      <w:r w:rsidRPr="00D73349">
        <w:rPr>
          <w:noProof/>
        </w:rPr>
        <w:t>EUR pe litru pentru benzina fără plumb și pentru motorina utilizate drept carburanți.</w:t>
      </w:r>
    </w:p>
    <w:p w:rsidR="002F1CF7" w:rsidRPr="00D73349" w:rsidRDefault="002F1CF7" w:rsidP="002F1CF7">
      <w:pPr>
        <w:rPr>
          <w:noProof/>
        </w:rPr>
      </w:pPr>
      <w:r w:rsidRPr="00D73349">
        <w:rPr>
          <w:noProof/>
        </w:rPr>
        <w:t>În condițiile în care războiul a continuat, iar prețurile energiei pe piața internațională au crescut și mai mult, Guvernul Republicii Croația a adoptat, la 24 martie 2026, o a doua modificare a Regulamentului privind accizele la energie și electricitate. Această modificare a redus acciza la benzina fără plumb și la motorina utilizate drept carburanți cu 0,06</w:t>
      </w:r>
      <w:r w:rsidR="005306E3" w:rsidRPr="00D73349">
        <w:rPr>
          <w:noProof/>
        </w:rPr>
        <w:t> </w:t>
      </w:r>
      <w:r w:rsidRPr="00D73349">
        <w:rPr>
          <w:noProof/>
        </w:rPr>
        <w:t>EUR pe litru, respectiv cu 0,07613</w:t>
      </w:r>
      <w:r w:rsidR="005306E3" w:rsidRPr="00D73349">
        <w:rPr>
          <w:noProof/>
        </w:rPr>
        <w:t> </w:t>
      </w:r>
      <w:r w:rsidRPr="00D73349">
        <w:rPr>
          <w:noProof/>
        </w:rPr>
        <w:t>EUR pe litru.</w:t>
      </w:r>
    </w:p>
    <w:p w:rsidR="002F1CF7" w:rsidRPr="00D73349" w:rsidRDefault="002F1CF7" w:rsidP="002F1CF7">
      <w:pPr>
        <w:rPr>
          <w:noProof/>
        </w:rPr>
      </w:pPr>
      <w:r w:rsidRPr="00D73349">
        <w:rPr>
          <w:noProof/>
        </w:rPr>
        <w:t>În plus, primele pentru întreprinderile din domeniul energiei au fost reduse și mai mult, la 0,1545</w:t>
      </w:r>
      <w:r w:rsidR="005306E3" w:rsidRPr="00D73349">
        <w:rPr>
          <w:noProof/>
        </w:rPr>
        <w:t> </w:t>
      </w:r>
      <w:r w:rsidRPr="00D73349">
        <w:rPr>
          <w:noProof/>
        </w:rPr>
        <w:t>EUR pe litru pentru benzina fără plumb și la 0,1245</w:t>
      </w:r>
      <w:r w:rsidR="005306E3" w:rsidRPr="00D73349">
        <w:rPr>
          <w:noProof/>
        </w:rPr>
        <w:t> </w:t>
      </w:r>
      <w:r w:rsidRPr="00D73349">
        <w:rPr>
          <w:noProof/>
        </w:rPr>
        <w:t>EUR pe litru pentru motorina utilizate drept carburanți.</w:t>
      </w:r>
    </w:p>
    <w:p w:rsidR="002F1CF7" w:rsidRPr="00D73349" w:rsidRDefault="002F1CF7" w:rsidP="002F1CF7">
      <w:pPr>
        <w:rPr>
          <w:noProof/>
        </w:rPr>
      </w:pPr>
      <w:r w:rsidRPr="00D73349">
        <w:rPr>
          <w:noProof/>
        </w:rPr>
        <w:t>În pofida măsurilor de mai sus, prețurile cu amănuntul ale produselor energetice rămân semnificativ mai mari decât cele observate înainte de izbucnirea războiului din Orientul Mijlociu. La 24 martie 2026, prețul cu amănuntul al benzinei fără plumb era cu 12 % mai mare în comparație cu 24 februarie 2026 (înainte de izbucnirea conflictului), în timp ce prețul cu amănuntul al motorinei era cu 19 % mai mare în aceeași perioadă.</w:t>
      </w:r>
    </w:p>
    <w:p w:rsidR="002F1CF7" w:rsidRPr="00D73349" w:rsidRDefault="002F1CF7" w:rsidP="002F1CF7">
      <w:pPr>
        <w:rPr>
          <w:noProof/>
        </w:rPr>
      </w:pPr>
      <w:r w:rsidRPr="00D73349">
        <w:rPr>
          <w:noProof/>
        </w:rPr>
        <w:t>Ca urmare a modificărilor de mai sus, acciza aplicabilă în prezent motorinei utilizate drept carburant a atins nivelul minim prevăzut de legislația UE. În consecință, Guvernul Republicii Croația nu mai are posibilitatea de a reduce și mai mult prețurile cu amănuntul prin reduceri suplimentare ale accizei la motorina utilizată drept carburant, în timp ce pentru benzina fără plumb rămâne o marjă pentru o reducere suplimentară de 0,09331</w:t>
      </w:r>
      <w:r w:rsidR="005306E3" w:rsidRPr="00D73349">
        <w:rPr>
          <w:noProof/>
        </w:rPr>
        <w:t> </w:t>
      </w:r>
      <w:r w:rsidRPr="00D73349">
        <w:rPr>
          <w:noProof/>
        </w:rPr>
        <w:t>EUR pe litru.</w:t>
      </w:r>
    </w:p>
    <w:p w:rsidR="002F1CF7" w:rsidRPr="00D73349" w:rsidRDefault="002F1CF7" w:rsidP="002F1CF7">
      <w:pPr>
        <w:rPr>
          <w:noProof/>
        </w:rPr>
      </w:pPr>
      <w:r w:rsidRPr="00D73349">
        <w:rPr>
          <w:noProof/>
        </w:rPr>
        <w:t>În acest context, trebuie remarcat faptul că, în 2025, cantitățile de produse energetice eliberate pentru consum în scopul propulsiei în Republica Croația au fost compuse în principal din motorină, care a reprezentat 77 % din consumul total. Acest lucru evidențiază impactul deosebit de semnificativ al prețurilor cu amănuntul ale motorinei asupra condițiilor sociale și economice ale cetățenilor, precum și asupra funcționării economiei.</w:t>
      </w:r>
    </w:p>
    <w:p w:rsidR="002F1CF7" w:rsidRPr="00D73349" w:rsidRDefault="002F1CF7" w:rsidP="002F1CF7">
      <w:pPr>
        <w:rPr>
          <w:noProof/>
        </w:rPr>
      </w:pPr>
      <w:r w:rsidRPr="00D73349">
        <w:rPr>
          <w:noProof/>
        </w:rPr>
        <w:t>Din cauza caracteristicilor sale geografice specifice și a infrastructurii feroviare insuficient dezvoltate, Republica Croația depinde în mare măsură de transportul rutier atât de călători, cât și de mărfuri, precum și de utilizarea autoturismelor personale și a autobuzelor pentru naveta zilnică.</w:t>
      </w:r>
    </w:p>
    <w:p w:rsidR="00143159" w:rsidRPr="00D73349" w:rsidRDefault="00143159">
      <w:pPr>
        <w:rPr>
          <w:noProof/>
        </w:rPr>
      </w:pPr>
    </w:p>
    <w:p w:rsidR="00863B33" w:rsidRPr="00D73349" w:rsidRDefault="00863B33">
      <w:pPr>
        <w:pStyle w:val="ManualHeading2"/>
        <w:rPr>
          <w:rFonts w:eastAsia="Arial Unicode MS"/>
          <w:noProof/>
        </w:rPr>
      </w:pPr>
      <w:r w:rsidRPr="00D73349">
        <w:rPr>
          <w:noProof/>
          <w:color w:val="000000"/>
          <w:u w:color="000000"/>
          <w:bdr w:val="nil"/>
        </w:rPr>
        <w:lastRenderedPageBreak/>
        <w:t>•</w:t>
      </w:r>
      <w:r w:rsidRPr="00D73349">
        <w:rPr>
          <w:noProof/>
        </w:rPr>
        <w:tab/>
        <w:t>Coerența cu dispozițiile de politică existente în domeniul de politică vizat</w:t>
      </w:r>
    </w:p>
    <w:p w:rsidR="00863B33" w:rsidRPr="00D73349" w:rsidRDefault="00863B33" w:rsidP="00863B33">
      <w:pPr>
        <w:pBdr>
          <w:top w:val="nil"/>
          <w:left w:val="nil"/>
          <w:bottom w:val="nil"/>
          <w:right w:val="nil"/>
          <w:between w:val="nil"/>
          <w:bar w:val="nil"/>
        </w:pBdr>
        <w:spacing w:before="0" w:after="240"/>
        <w:rPr>
          <w:noProof/>
        </w:rPr>
      </w:pPr>
      <w:r w:rsidRPr="00D73349">
        <w:rPr>
          <w:noProof/>
        </w:rPr>
        <w:t xml:space="preserve">Articolul 19 alineatul (1) primul paragraf din directivă are următorul conținut: </w:t>
      </w:r>
    </w:p>
    <w:p w:rsidR="00863B33" w:rsidRPr="00D73349" w:rsidRDefault="00863B33" w:rsidP="00863B33">
      <w:pPr>
        <w:pBdr>
          <w:top w:val="nil"/>
          <w:left w:val="nil"/>
          <w:bottom w:val="nil"/>
          <w:right w:val="nil"/>
          <w:between w:val="nil"/>
          <w:bar w:val="nil"/>
        </w:pBdr>
        <w:spacing w:before="0" w:after="240"/>
        <w:rPr>
          <w:noProof/>
        </w:rPr>
      </w:pPr>
      <w:r w:rsidRPr="00D73349">
        <w:rPr>
          <w:noProof/>
        </w:rPr>
        <w:t>„Pe lângă dispozițiile prevăzute în articolele anterioare, în special articolele 5, 15 și 17, Consiliul, hotărând în unanimitate la propunerea Comisiei, poate autoriza orice stat membru să introducă alte scutiri sau reduceri din motive de politică specifice.”</w:t>
      </w:r>
    </w:p>
    <w:p w:rsidR="00863B33" w:rsidRPr="00D73349" w:rsidRDefault="00863B33" w:rsidP="00863B33">
      <w:pPr>
        <w:pBdr>
          <w:top w:val="nil"/>
          <w:left w:val="nil"/>
          <w:bottom w:val="nil"/>
          <w:right w:val="nil"/>
          <w:between w:val="nil"/>
          <w:bar w:val="nil"/>
        </w:pBdr>
        <w:spacing w:before="0" w:after="240"/>
        <w:rPr>
          <w:rFonts w:eastAsia="Arial Unicode MS"/>
          <w:iCs/>
          <w:noProof/>
          <w:color w:val="000000" w:themeColor="text1"/>
        </w:rPr>
      </w:pPr>
      <w:r w:rsidRPr="00D73349">
        <w:rPr>
          <w:noProof/>
          <w:color w:val="000000" w:themeColor="text1"/>
        </w:rPr>
        <w:t xml:space="preserve">Prin intermediul reducerii fiscale în cauză, autoritățile croate intenționează să atenueze prețurile cu amănuntul </w:t>
      </w:r>
      <w:r w:rsidR="00B80C3F" w:rsidRPr="00D73349">
        <w:rPr>
          <w:noProof/>
          <w:color w:val="000000" w:themeColor="text1"/>
        </w:rPr>
        <w:t xml:space="preserve">ridicate </w:t>
      </w:r>
      <w:r w:rsidRPr="00D73349">
        <w:rPr>
          <w:noProof/>
          <w:color w:val="000000" w:themeColor="text1"/>
        </w:rPr>
        <w:t>ale combustibililor utilizați în transporturi, ale motorinei și ale benzinei, datorate conflictului din Orientul Mijlociu și, în cele din urmă, să urmărească obiectivul de a reduce impactul social și economic al situației geopolitice actuale care afectează atât gospodăriile, cât și întreprinderile.</w:t>
      </w:r>
    </w:p>
    <w:p w:rsidR="00863B33" w:rsidRPr="00D73349" w:rsidRDefault="00863B33" w:rsidP="00863B33">
      <w:pPr>
        <w:pBdr>
          <w:top w:val="nil"/>
          <w:left w:val="nil"/>
          <w:bottom w:val="nil"/>
          <w:right w:val="nil"/>
          <w:between w:val="nil"/>
          <w:bar w:val="nil"/>
        </w:pBdr>
        <w:spacing w:before="0" w:after="240"/>
        <w:rPr>
          <w:rFonts w:eastAsia="Arial Unicode MS"/>
          <w:noProof/>
        </w:rPr>
      </w:pPr>
      <w:r w:rsidRPr="00D73349">
        <w:rPr>
          <w:noProof/>
        </w:rPr>
        <w:t>Aceste reduceri fiscale ar conduce la o situație în care beneficiarilor li s-ar aplica niveluri naționale, care pot scădea sub nivelurile minime de impozitare ale UE în temeiul Directivei privind impozitarea energiei, ceea ce explică autorizația în discuție. Această reducere poate contribui la obiectivele de politică declarate.</w:t>
      </w:r>
    </w:p>
    <w:p w:rsidR="00863B33" w:rsidRPr="00D73349" w:rsidRDefault="00863B33" w:rsidP="00863B33">
      <w:pPr>
        <w:pBdr>
          <w:top w:val="nil"/>
          <w:left w:val="nil"/>
          <w:bottom w:val="nil"/>
          <w:right w:val="nil"/>
          <w:between w:val="nil"/>
          <w:bar w:val="nil"/>
        </w:pBdr>
        <w:spacing w:before="0" w:after="240"/>
        <w:rPr>
          <w:rFonts w:eastAsia="Arial Unicode MS"/>
          <w:iCs/>
          <w:noProof/>
          <w:color w:val="FF0000"/>
        </w:rPr>
      </w:pPr>
      <w:r w:rsidRPr="00D73349">
        <w:rPr>
          <w:noProof/>
          <w:color w:val="000000" w:themeColor="text1"/>
        </w:rPr>
        <w:t>Posibilitatea de a introduce o astfel de reducere fiscală poate fi avută în vedere în temeiul articolului 19 din directivă, întrucât scopul acestuia este de a permite statelor membre să introducă noi scutiri sau reduceri din motive de politică specifice.</w:t>
      </w:r>
      <w:r w:rsidRPr="00D73349">
        <w:rPr>
          <w:noProof/>
          <w:color w:val="FF0000"/>
        </w:rPr>
        <w:t xml:space="preserve"> </w:t>
      </w:r>
    </w:p>
    <w:p w:rsidR="00863B33" w:rsidRPr="00D73349" w:rsidRDefault="00863B33" w:rsidP="00863B33">
      <w:pPr>
        <w:pBdr>
          <w:top w:val="nil"/>
          <w:left w:val="nil"/>
          <w:bottom w:val="nil"/>
          <w:right w:val="nil"/>
          <w:between w:val="nil"/>
          <w:bar w:val="nil"/>
        </w:pBdr>
        <w:spacing w:before="0" w:after="240"/>
        <w:rPr>
          <w:rFonts w:eastAsia="Arial Unicode MS"/>
          <w:iCs/>
          <w:noProof/>
        </w:rPr>
      </w:pPr>
      <w:r w:rsidRPr="00D73349">
        <w:rPr>
          <w:noProof/>
        </w:rPr>
        <w:t>Perioada limitată de valabilitate a autorizației, de 6 luni de la intrarea în vigoare a deciziei de punere în aplicare a Consiliului, se încadrează în perioada maximă permisă de articolul 19 alineatul (2) din Directiva privind impozitarea energiei, cu posibilitatea de reînnoire.</w:t>
      </w:r>
    </w:p>
    <w:p w:rsidR="0021237D" w:rsidRPr="00D73349" w:rsidRDefault="0021237D" w:rsidP="0021237D">
      <w:pPr>
        <w:pBdr>
          <w:top w:val="nil"/>
          <w:left w:val="nil"/>
          <w:bottom w:val="nil"/>
          <w:right w:val="nil"/>
          <w:between w:val="nil"/>
          <w:bar w:val="nil"/>
        </w:pBdr>
        <w:spacing w:before="0" w:after="240"/>
        <w:rPr>
          <w:rFonts w:eastAsia="Arial Unicode MS"/>
          <w:iCs/>
          <w:noProof/>
        </w:rPr>
      </w:pPr>
      <w:r w:rsidRPr="00D73349">
        <w:rPr>
          <w:noProof/>
        </w:rPr>
        <w:t>În fine, reducerea fiscală nu este cumulativă cu alte tipuri de reduceri fiscale.</w:t>
      </w:r>
    </w:p>
    <w:p w:rsidR="0021237D" w:rsidRPr="00D73349" w:rsidRDefault="0021237D" w:rsidP="0021237D">
      <w:pPr>
        <w:pBdr>
          <w:top w:val="nil"/>
          <w:left w:val="nil"/>
          <w:bottom w:val="nil"/>
          <w:right w:val="nil"/>
          <w:between w:val="nil"/>
          <w:bar w:val="nil"/>
        </w:pBdr>
        <w:spacing w:before="0" w:after="240"/>
        <w:rPr>
          <w:rFonts w:eastAsia="Arial Unicode MS"/>
          <w:iCs/>
          <w:noProof/>
        </w:rPr>
      </w:pPr>
      <w:r w:rsidRPr="00D73349">
        <w:rPr>
          <w:noProof/>
        </w:rPr>
        <w:t>În aceste circumstanțe, pare oportun să se acorde autorizația pentru perioada solicitată.</w:t>
      </w:r>
    </w:p>
    <w:p w:rsidR="00C1292E" w:rsidRPr="00D73349" w:rsidRDefault="00B06947" w:rsidP="0021237D">
      <w:pPr>
        <w:pBdr>
          <w:top w:val="nil"/>
          <w:left w:val="nil"/>
          <w:bottom w:val="nil"/>
          <w:right w:val="nil"/>
          <w:between w:val="nil"/>
          <w:bar w:val="nil"/>
        </w:pBdr>
        <w:spacing w:before="0" w:after="240"/>
        <w:rPr>
          <w:rFonts w:eastAsia="Arial Unicode MS"/>
          <w:iCs/>
          <w:noProof/>
        </w:rPr>
      </w:pPr>
      <w:r w:rsidRPr="00D73349">
        <w:rPr>
          <w:noProof/>
        </w:rPr>
        <w:t>În același timp, reducerile fiscale nespecifice implică costuri bugetare semnificative și tind să determine o creștere a cererii de combustibili fosili, exacerbând astfel dezechilibrul dintre cerere și ofertă. Prin urmare, măsura trebuie să rămână strict limitată în timp, iar impactul său preconizat asupra cererii de combustibili fosili și costul său bugetar trebuie evaluate. Dacă este necesar, trebuie luate măsuri compensatorii.</w:t>
      </w:r>
    </w:p>
    <w:p w:rsidR="0021237D" w:rsidRPr="00D73349" w:rsidRDefault="0021237D" w:rsidP="0021237D">
      <w:pPr>
        <w:pBdr>
          <w:top w:val="nil"/>
          <w:left w:val="nil"/>
          <w:bottom w:val="nil"/>
          <w:right w:val="nil"/>
          <w:between w:val="nil"/>
          <w:bar w:val="nil"/>
        </w:pBdr>
        <w:spacing w:before="0" w:after="240"/>
        <w:rPr>
          <w:rFonts w:eastAsia="Arial Unicode MS"/>
          <w:b/>
          <w:bCs/>
          <w:iCs/>
          <w:noProof/>
        </w:rPr>
      </w:pPr>
      <w:r w:rsidRPr="00D73349">
        <w:rPr>
          <w:b/>
          <w:noProof/>
        </w:rPr>
        <w:t>Norme privind ajutoarele de stat</w:t>
      </w:r>
    </w:p>
    <w:p w:rsidR="0021237D" w:rsidRPr="00D73349" w:rsidRDefault="0021237D" w:rsidP="0021237D">
      <w:pPr>
        <w:rPr>
          <w:rFonts w:eastAsia="Arial Unicode MS"/>
          <w:noProof/>
        </w:rPr>
      </w:pPr>
      <w:r w:rsidRPr="00D73349">
        <w:rPr>
          <w:noProof/>
        </w:rPr>
        <w:t>Reducerea fiscală temporară solicitată de autoritățile croate se va situa sub nivelurile minime de impozitare a combustibililor utilizați în transporturi, prevăzute la articolul 7 și în tabelul A din anexa I la directivă, cu 0,2195</w:t>
      </w:r>
      <w:r w:rsidR="005306E3" w:rsidRPr="00D73349">
        <w:rPr>
          <w:noProof/>
        </w:rPr>
        <w:t> </w:t>
      </w:r>
      <w:r w:rsidRPr="00D73349">
        <w:rPr>
          <w:noProof/>
        </w:rPr>
        <w:t>EUR pe litru pentru benzina fără plumb și cu 0,2250</w:t>
      </w:r>
      <w:r w:rsidR="005306E3" w:rsidRPr="00D73349">
        <w:rPr>
          <w:noProof/>
        </w:rPr>
        <w:t> </w:t>
      </w:r>
      <w:r w:rsidRPr="00D73349">
        <w:rPr>
          <w:noProof/>
        </w:rPr>
        <w:t xml:space="preserve">EUR pe litru pentru motorina utilizate drept carburanți. </w:t>
      </w:r>
    </w:p>
    <w:p w:rsidR="0021237D" w:rsidRPr="00D73349" w:rsidRDefault="0021237D" w:rsidP="0021237D">
      <w:pPr>
        <w:rPr>
          <w:iCs/>
          <w:noProof/>
        </w:rPr>
      </w:pPr>
      <w:r w:rsidRPr="00D73349">
        <w:rPr>
          <w:noProof/>
        </w:rPr>
        <w:t>Prezenta propunere nu aduce atingere niciunei evaluări a măsurii croate în temeiul normelor privind ajutoarele de stat. În plus, propunerea de decizie de punere în aplicare a Consiliului nu aduce atingere obligației statului membru respectiv de a asigura respectarea normelor privind ajutoarele de stat.</w:t>
      </w:r>
    </w:p>
    <w:p w:rsidR="0021237D" w:rsidRPr="00D73349" w:rsidRDefault="0021237D" w:rsidP="00863B33">
      <w:pPr>
        <w:pBdr>
          <w:top w:val="nil"/>
          <w:left w:val="nil"/>
          <w:bottom w:val="nil"/>
          <w:right w:val="nil"/>
          <w:between w:val="nil"/>
          <w:bar w:val="nil"/>
        </w:pBdr>
        <w:spacing w:before="0" w:after="240"/>
        <w:rPr>
          <w:rFonts w:eastAsia="Arial Unicode MS"/>
          <w:iCs/>
          <w:noProof/>
        </w:rPr>
      </w:pPr>
    </w:p>
    <w:p w:rsidR="00863B33" w:rsidRPr="00D73349" w:rsidRDefault="00863B33">
      <w:pPr>
        <w:pStyle w:val="ManualHeading2"/>
        <w:rPr>
          <w:rFonts w:eastAsia="Arial Unicode MS"/>
          <w:noProof/>
        </w:rPr>
      </w:pPr>
      <w:r w:rsidRPr="00D73349">
        <w:rPr>
          <w:noProof/>
          <w:color w:val="000000"/>
          <w:u w:color="000000"/>
          <w:bdr w:val="nil"/>
        </w:rPr>
        <w:lastRenderedPageBreak/>
        <w:t>•</w:t>
      </w:r>
      <w:r w:rsidRPr="00D73349">
        <w:rPr>
          <w:noProof/>
        </w:rPr>
        <w:tab/>
        <w:t>Coerența cu alte politici ale Uniunii</w:t>
      </w:r>
    </w:p>
    <w:p w:rsidR="00952042" w:rsidRPr="00D73349" w:rsidRDefault="00A80C05" w:rsidP="00952042">
      <w:pPr>
        <w:rPr>
          <w:rFonts w:eastAsia="Arial Unicode MS"/>
          <w:iCs/>
          <w:noProof/>
        </w:rPr>
      </w:pPr>
      <w:r w:rsidRPr="00D73349">
        <w:rPr>
          <w:noProof/>
        </w:rPr>
        <w:t xml:space="preserve">Comisia trebuie să examineze fiecare proiect de derogare în temeiul articolului 19 din Directiva privind impozitarea energiei luând în considerare buna funcționare a pieței interne, necesitatea de a asigura o concurență loială și politicile UE privind sănătatea, mediul, energia și transporturile. </w:t>
      </w:r>
    </w:p>
    <w:p w:rsidR="00143159" w:rsidRPr="00D73349" w:rsidRDefault="00143159" w:rsidP="00143159">
      <w:pPr>
        <w:rPr>
          <w:rFonts w:eastAsia="Arial Unicode MS"/>
          <w:iCs/>
          <w:noProof/>
        </w:rPr>
      </w:pPr>
      <w:r w:rsidRPr="00D73349">
        <w:rPr>
          <w:noProof/>
        </w:rPr>
        <w:t>Potrivit autorităților croate, reducerea fiscală avută în vedere ar trebui să atenueze parțial povara socială și economică a populației croate cauzată de recenta creștere a prețurilor combustibililor utilizați în transporturi generată de conflictul din Iran și de perturbarea Strâmtorii Ormuz.</w:t>
      </w:r>
    </w:p>
    <w:p w:rsidR="0006092B" w:rsidRPr="00D73349" w:rsidRDefault="00143159" w:rsidP="00952042">
      <w:pPr>
        <w:rPr>
          <w:rFonts w:eastAsia="Arial Unicode MS"/>
          <w:iCs/>
          <w:noProof/>
        </w:rPr>
      </w:pPr>
      <w:r w:rsidRPr="00D73349">
        <w:rPr>
          <w:noProof/>
        </w:rPr>
        <w:t xml:space="preserve">Ca urmare a acestei situații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rsidR="00863B33" w:rsidRPr="00D73349" w:rsidRDefault="00863B33" w:rsidP="00863B33">
      <w:pPr>
        <w:pBdr>
          <w:top w:val="nil"/>
          <w:left w:val="nil"/>
          <w:bottom w:val="nil"/>
          <w:right w:val="nil"/>
          <w:between w:val="nil"/>
          <w:bar w:val="nil"/>
        </w:pBdr>
        <w:spacing w:before="0" w:after="240"/>
        <w:rPr>
          <w:rFonts w:eastAsia="Arial Unicode MS"/>
          <w:b/>
          <w:bCs/>
          <w:noProof/>
        </w:rPr>
      </w:pPr>
      <w:r w:rsidRPr="00D73349">
        <w:rPr>
          <w:b/>
          <w:noProof/>
        </w:rPr>
        <w:t>Politica privind mediul și clima</w:t>
      </w:r>
    </w:p>
    <w:p w:rsidR="2D8CF1F4" w:rsidRPr="00D73349" w:rsidRDefault="00143159" w:rsidP="5C489A1C">
      <w:pPr>
        <w:pBdr>
          <w:top w:val="nil"/>
          <w:left w:val="nil"/>
          <w:bottom w:val="nil"/>
          <w:right w:val="nil"/>
          <w:between w:val="nil"/>
          <w:bar w:val="nil"/>
        </w:pBdr>
        <w:spacing w:before="0" w:after="240"/>
        <w:rPr>
          <w:rFonts w:eastAsia="Arial Unicode MS"/>
          <w:noProof/>
        </w:rPr>
      </w:pPr>
      <w:r w:rsidRPr="00D73349">
        <w:rPr>
          <w:noProof/>
        </w:rPr>
        <w:t>Uniunea își menține angajamentul ferm față de obiectivele sale în materie de climă și energie, astfel cum se prevede în Legea europeană a climei [Regulamentul (UE) 2021/1119]. Reducerile fiscale temporare permise de acest act nu ar trebui să conducă la o slăbire structurală a semnalelor de preț care încurajează eficiența energetică și tranziția către surse regenerabile de energie.</w:t>
      </w:r>
    </w:p>
    <w:p w:rsidR="00863B33" w:rsidRPr="00D73349" w:rsidRDefault="00863B33" w:rsidP="00863B33">
      <w:pPr>
        <w:pBdr>
          <w:top w:val="nil"/>
          <w:left w:val="nil"/>
          <w:bottom w:val="nil"/>
          <w:right w:val="nil"/>
          <w:between w:val="nil"/>
          <w:bar w:val="nil"/>
        </w:pBdr>
        <w:spacing w:before="0" w:after="240"/>
        <w:rPr>
          <w:rFonts w:eastAsia="Arial Unicode MS"/>
          <w:b/>
          <w:bCs/>
          <w:noProof/>
        </w:rPr>
      </w:pPr>
      <w:r w:rsidRPr="00D73349">
        <w:rPr>
          <w:b/>
          <w:noProof/>
        </w:rPr>
        <w:t>Politica energetică</w:t>
      </w:r>
    </w:p>
    <w:p w:rsidR="004B5DD9" w:rsidRPr="00D73349" w:rsidRDefault="2691C750" w:rsidP="3DCA7BAF">
      <w:pPr>
        <w:rPr>
          <w:noProof/>
        </w:rPr>
      </w:pPr>
      <w:r w:rsidRPr="00D73349">
        <w:rPr>
          <w:noProof/>
        </w:rPr>
        <w:t xml:space="preserve">Având în vedere amploarea actualei creșteri bruște a prețurilor energiei care rezultă din situația din Orientul Mijlociu, statele membre trebuie să aibă posibilitatea de a reduce temporar nivelurile accizelor sub nivelurile minime ale UE pentru produsele care nu intră sub incidența dispoziției de mai sus. </w:t>
      </w:r>
    </w:p>
    <w:p w:rsidR="004B5DD9" w:rsidRPr="00D73349" w:rsidRDefault="7BF46782" w:rsidP="79D6CE10">
      <w:pPr>
        <w:rPr>
          <w:rFonts w:eastAsia="Arial Unicode MS"/>
          <w:noProof/>
        </w:rPr>
      </w:pPr>
      <w:r w:rsidRPr="00D73349">
        <w:rPr>
          <w:noProof/>
        </w:rPr>
        <w:t xml:space="preserve">Având în vedere durata sa scurtă și circumstanțele excepționale actuale legate de situația geopolitică, precum și prețul de piață excepțional de ridicat al produselor energetice, posibilitatea de a reduce nivelurile accizelor sub nivelurile minime stabilite în temeiul Directivei 2003/96/CE este considerată adecvată și proporțională cu necesitatea de a echilibra obiectivele de politică specifice enumerate la articolul 19 din Directiva privind impozitarea energiei și, în special, politica de mediu a UE cu imperativul urgent de a asigura accesibilitatea energiei pentru întreprinderi și gospodării. </w:t>
      </w:r>
    </w:p>
    <w:p w:rsidR="00863B33" w:rsidRPr="00D73349" w:rsidRDefault="00863B33" w:rsidP="00863B33">
      <w:pPr>
        <w:pBdr>
          <w:top w:val="nil"/>
          <w:left w:val="nil"/>
          <w:bottom w:val="nil"/>
          <w:right w:val="nil"/>
          <w:between w:val="nil"/>
          <w:bar w:val="nil"/>
        </w:pBdr>
        <w:spacing w:before="0" w:after="240"/>
        <w:rPr>
          <w:rFonts w:eastAsia="Arial Unicode MS"/>
          <w:b/>
          <w:bCs/>
          <w:noProof/>
        </w:rPr>
      </w:pPr>
      <w:r w:rsidRPr="00D73349">
        <w:rPr>
          <w:b/>
          <w:noProof/>
        </w:rPr>
        <w:t>Politica privind piața internă și concurența loială</w:t>
      </w:r>
    </w:p>
    <w:p w:rsidR="004115CF" w:rsidRPr="00D73349" w:rsidRDefault="004115CF" w:rsidP="004115CF">
      <w:pPr>
        <w:rPr>
          <w:rFonts w:eastAsia="Arial Unicode MS"/>
          <w:iCs/>
          <w:noProof/>
        </w:rPr>
      </w:pPr>
      <w:r w:rsidRPr="00D73349">
        <w:rPr>
          <w:noProof/>
        </w:rPr>
        <w:t xml:space="preserve">Ca urmare a situației excepționale, este puțin probabil ca această măsură temporară să afecteze comerțul intra-UE. Per ansamblu, măsura pare acceptabilă din punctul de vedere al bunei funcționări a pieței interne și al necesității de a asigura o concurență loială. Având în vedere că atât durata, cât și efectele sale sunt limitate, măsura nu ar trebui să denatureze concurența sau să împiedice funcționarea pieței interne. </w:t>
      </w:r>
    </w:p>
    <w:p w:rsidR="20A88AC9" w:rsidRPr="00D73349" w:rsidRDefault="20A88AC9" w:rsidP="51B37319">
      <w:pPr>
        <w:rPr>
          <w:rFonts w:eastAsia="Arial Unicode MS"/>
          <w:b/>
          <w:bCs/>
          <w:noProof/>
        </w:rPr>
      </w:pPr>
      <w:r w:rsidRPr="00D73349">
        <w:rPr>
          <w:b/>
          <w:noProof/>
        </w:rPr>
        <w:t xml:space="preserve">Politica socială </w:t>
      </w:r>
    </w:p>
    <w:p w:rsidR="51B37319" w:rsidRPr="00D73349" w:rsidRDefault="222E4BBC" w:rsidP="51B37319">
      <w:pPr>
        <w:rPr>
          <w:rFonts w:eastAsia="Arial Unicode MS"/>
          <w:noProof/>
        </w:rPr>
      </w:pPr>
      <w:r w:rsidRPr="00D73349">
        <w:rPr>
          <w:noProof/>
        </w:rPr>
        <w:t xml:space="preserve">Creșterea observată și preconizată a costului energiei în întreaga Uniune are un impact disproporționat asupra gospodăriilor cu venituri mici, întrucât costurile energiei reprezintă, în </w:t>
      </w:r>
      <w:r w:rsidRPr="00D73349">
        <w:rPr>
          <w:noProof/>
        </w:rPr>
        <w:lastRenderedPageBreak/>
        <w:t>general, o parte mai mare din bugetele acestora</w:t>
      </w:r>
      <w:r w:rsidRPr="00D73349">
        <w:rPr>
          <w:rStyle w:val="FootnoteReference"/>
          <w:rFonts w:eastAsia="Arial Unicode MS"/>
          <w:noProof/>
        </w:rPr>
        <w:footnoteReference w:id="5"/>
      </w:r>
      <w:r w:rsidRPr="00D73349">
        <w:rPr>
          <w:noProof/>
        </w:rPr>
        <w:t xml:space="preserve">. Prin urmare, reducerile accizelor la produsele energetice pot avea un impact social pozitiv, contribuind la reducerea costurilor energiei pentru gospodăriile cu venituri mici. </w:t>
      </w:r>
    </w:p>
    <w:p w:rsidR="40F91072" w:rsidRPr="00D73349" w:rsidRDefault="40F91072" w:rsidP="40F91072">
      <w:pPr>
        <w:rPr>
          <w:rFonts w:eastAsia="Arial Unicode MS"/>
          <w:b/>
          <w:bCs/>
          <w:noProof/>
        </w:rPr>
      </w:pPr>
    </w:p>
    <w:p w:rsidR="00863B33" w:rsidRPr="00D73349" w:rsidRDefault="00863B33">
      <w:pPr>
        <w:pStyle w:val="ManualHeading1"/>
        <w:rPr>
          <w:noProof/>
        </w:rPr>
      </w:pPr>
      <w:r w:rsidRPr="00D73349">
        <w:rPr>
          <w:noProof/>
        </w:rPr>
        <w:t>2.</w:t>
      </w:r>
      <w:r w:rsidRPr="00D73349">
        <w:rPr>
          <w:noProof/>
        </w:rPr>
        <w:tab/>
        <w:t>TEMEI JURIDIC, SUBSIDIARITATE ȘI PROPORȚIONALITATE</w:t>
      </w:r>
    </w:p>
    <w:p w:rsidR="00863B33" w:rsidRPr="00D73349" w:rsidRDefault="00863B33">
      <w:pPr>
        <w:pStyle w:val="ManualHeading2"/>
        <w:rPr>
          <w:rFonts w:eastAsia="Arial Unicode MS"/>
          <w:noProof/>
          <w:bdr w:val="nil"/>
        </w:rPr>
      </w:pPr>
      <w:r w:rsidRPr="00D73349">
        <w:rPr>
          <w:noProof/>
          <w:bdr w:val="nil"/>
        </w:rPr>
        <w:t>•</w:t>
      </w:r>
      <w:r w:rsidRPr="00D73349">
        <w:rPr>
          <w:noProof/>
        </w:rPr>
        <w:tab/>
      </w:r>
      <w:r w:rsidRPr="00D73349">
        <w:rPr>
          <w:noProof/>
          <w:bdr w:val="nil"/>
        </w:rPr>
        <w:t>Temei juridic</w:t>
      </w:r>
    </w:p>
    <w:p w:rsidR="00F158C4" w:rsidRPr="00D73349" w:rsidRDefault="00F158C4" w:rsidP="00F158C4">
      <w:pPr>
        <w:pBdr>
          <w:top w:val="nil"/>
          <w:left w:val="nil"/>
          <w:bottom w:val="nil"/>
          <w:right w:val="nil"/>
          <w:between w:val="nil"/>
          <w:bar w:val="nil"/>
        </w:pBdr>
        <w:spacing w:before="0" w:after="240"/>
        <w:rPr>
          <w:rFonts w:eastAsia="Arial Unicode MS"/>
          <w:noProof/>
        </w:rPr>
      </w:pPr>
      <w:r w:rsidRPr="00D73349">
        <w:rPr>
          <w:noProof/>
        </w:rPr>
        <w:t>Articolul 19 din Directiva 2003/96/CE a Consiliului.</w:t>
      </w:r>
    </w:p>
    <w:p w:rsidR="00863B33" w:rsidRPr="00D73349" w:rsidRDefault="00863B33">
      <w:pPr>
        <w:pStyle w:val="ManualHeading2"/>
        <w:rPr>
          <w:rFonts w:eastAsia="Arial Unicode MS"/>
          <w:noProof/>
          <w:bdr w:val="nil"/>
        </w:rPr>
      </w:pPr>
      <w:r w:rsidRPr="00D73349">
        <w:rPr>
          <w:noProof/>
          <w:bdr w:val="nil"/>
        </w:rPr>
        <w:t>•</w:t>
      </w:r>
      <w:r w:rsidRPr="00D73349">
        <w:rPr>
          <w:noProof/>
        </w:rPr>
        <w:tab/>
      </w:r>
      <w:r w:rsidRPr="00D73349">
        <w:rPr>
          <w:noProof/>
          <w:bdr w:val="nil"/>
        </w:rPr>
        <w:t xml:space="preserve">Subsidiaritate (în cazul competențelor neexclusive) </w:t>
      </w:r>
    </w:p>
    <w:p w:rsidR="00C7471F" w:rsidRPr="00D73349" w:rsidRDefault="00C7471F" w:rsidP="00C7471F">
      <w:pPr>
        <w:pBdr>
          <w:top w:val="nil"/>
          <w:left w:val="nil"/>
          <w:bottom w:val="nil"/>
          <w:right w:val="nil"/>
          <w:between w:val="nil"/>
          <w:bar w:val="nil"/>
        </w:pBdr>
        <w:spacing w:before="0" w:after="240"/>
        <w:rPr>
          <w:noProof/>
        </w:rPr>
      </w:pPr>
      <w:r w:rsidRPr="00D73349">
        <w:rPr>
          <w:noProof/>
        </w:rPr>
        <w:t>Domeniul impozitării indirecte, reglementat de articolul 113 din TFUE, nu ține, în sine, de competența exclusivă a Uniunii Europene în sensul articolului 3 din TFUE.</w:t>
      </w:r>
    </w:p>
    <w:p w:rsidR="00C7471F" w:rsidRPr="00D73349" w:rsidRDefault="00C7471F" w:rsidP="00C7471F">
      <w:pPr>
        <w:pBdr>
          <w:top w:val="nil"/>
          <w:left w:val="nil"/>
          <w:bottom w:val="nil"/>
          <w:right w:val="nil"/>
          <w:between w:val="nil"/>
          <w:bar w:val="nil"/>
        </w:pBdr>
        <w:spacing w:before="0" w:after="240"/>
        <w:rPr>
          <w:rFonts w:eastAsia="Arial Unicode MS"/>
          <w:noProof/>
        </w:rPr>
      </w:pPr>
      <w:r w:rsidRPr="00D73349">
        <w:rPr>
          <w:noProof/>
        </w:rPr>
        <w:t>Cu toate acestea, în temeiul articolului 19 din Directiva 2003/96/CE, Consiliul a primit competența exclusivă, în virtutea legislației secundare, de a autoriza statele membre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pentru verificarea respectării principiului subsidiarității.</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Proporționalitate</w:t>
      </w:r>
    </w:p>
    <w:p w:rsidR="00080528" w:rsidRPr="00D73349" w:rsidRDefault="00080528" w:rsidP="00080528">
      <w:pPr>
        <w:pBdr>
          <w:top w:val="nil"/>
          <w:left w:val="nil"/>
          <w:bottom w:val="nil"/>
          <w:right w:val="nil"/>
          <w:between w:val="nil"/>
          <w:bar w:val="nil"/>
        </w:pBdr>
        <w:spacing w:before="0" w:after="240"/>
        <w:rPr>
          <w:noProof/>
        </w:rPr>
      </w:pPr>
      <w:r w:rsidRPr="00D73349">
        <w:rPr>
          <w:noProof/>
        </w:rPr>
        <w:t xml:space="preserve">Propunerea respectă principiul proporționalității. Reducerile fiscale nu depășesc ceea ce este necesar pentru atingerea obiectivului urmărit. </w:t>
      </w:r>
    </w:p>
    <w:p w:rsidR="00080528" w:rsidRPr="00D73349" w:rsidRDefault="00080528" w:rsidP="00080528">
      <w:pPr>
        <w:pBdr>
          <w:top w:val="nil"/>
          <w:left w:val="nil"/>
          <w:bottom w:val="nil"/>
          <w:right w:val="nil"/>
          <w:between w:val="nil"/>
          <w:bar w:val="nil"/>
        </w:pBdr>
        <w:spacing w:before="0" w:after="240"/>
        <w:rPr>
          <w:rFonts w:eastAsia="Arial Unicode MS"/>
          <w:iCs/>
          <w:noProof/>
        </w:rPr>
      </w:pPr>
      <w:r w:rsidRPr="00D73349">
        <w:rPr>
          <w:noProof/>
        </w:rPr>
        <w:t xml:space="preserve">Autorizația se acordă pentru o perioadă foarte limitată de timp, și anume 6 luni, și într-un context de criză energetică. </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Alegerea instrumentului</w:t>
      </w:r>
    </w:p>
    <w:p w:rsidR="006D4090" w:rsidRPr="00D73349" w:rsidRDefault="006D4090" w:rsidP="006D4090">
      <w:pPr>
        <w:pBdr>
          <w:top w:val="nil"/>
          <w:left w:val="nil"/>
          <w:bottom w:val="nil"/>
          <w:right w:val="nil"/>
          <w:between w:val="nil"/>
          <w:bar w:val="nil"/>
        </w:pBdr>
        <w:spacing w:before="0" w:after="240"/>
        <w:rPr>
          <w:rFonts w:eastAsia="Arial Unicode MS"/>
          <w:noProof/>
        </w:rPr>
      </w:pPr>
      <w:r w:rsidRPr="00D73349">
        <w:rPr>
          <w:noProof/>
        </w:rPr>
        <w:t>Instrumentul propus este o decizie de punere în aplicare a Consiliului. Articolul 19 din Directiva 2003/96/CE prevede numai acest tip de măsură.</w:t>
      </w:r>
    </w:p>
    <w:p w:rsidR="00863B33" w:rsidRPr="00D73349" w:rsidRDefault="00863B33">
      <w:pPr>
        <w:pStyle w:val="ManualHeading1"/>
        <w:rPr>
          <w:noProof/>
        </w:rPr>
      </w:pPr>
      <w:r w:rsidRPr="00D73349">
        <w:rPr>
          <w:noProof/>
        </w:rPr>
        <w:t>3.</w:t>
      </w:r>
      <w:r w:rsidRPr="00D73349">
        <w:rPr>
          <w:noProof/>
        </w:rPr>
        <w:tab/>
        <w:t>REZULTATELE EVALUĂRILOR EX POST, ALE CONSULTĂRILOR CU PĂRȚILE INTERESATE ȘI ALE EVALUĂRILOR IMPACTULUI</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Evaluări ex post/verificări ale adecvării legislației existente</w:t>
      </w:r>
    </w:p>
    <w:p w:rsidR="00A5649B" w:rsidRPr="00D73349" w:rsidRDefault="00A5649B" w:rsidP="00A5649B">
      <w:pPr>
        <w:pBdr>
          <w:top w:val="nil"/>
          <w:left w:val="nil"/>
          <w:bottom w:val="nil"/>
          <w:right w:val="nil"/>
          <w:between w:val="nil"/>
          <w:bar w:val="nil"/>
        </w:pBdr>
        <w:spacing w:before="0" w:after="240"/>
        <w:rPr>
          <w:rFonts w:eastAsia="Arial Unicode MS"/>
          <w:noProof/>
        </w:rPr>
      </w:pPr>
      <w:r w:rsidRPr="00D73349">
        <w:rPr>
          <w:noProof/>
        </w:rPr>
        <w:t>Măsura nu impune o evaluare a legislației existente.</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Consultări cu părțile interesate</w:t>
      </w:r>
    </w:p>
    <w:p w:rsidR="00665CD4" w:rsidRPr="00D73349" w:rsidRDefault="00665CD4" w:rsidP="33974823">
      <w:pPr>
        <w:pBdr>
          <w:top w:val="nil"/>
          <w:left w:val="nil"/>
          <w:bottom w:val="nil"/>
          <w:right w:val="nil"/>
          <w:between w:val="nil"/>
          <w:bar w:val="nil"/>
        </w:pBdr>
        <w:spacing w:before="0" w:after="240"/>
        <w:rPr>
          <w:noProof/>
        </w:rPr>
      </w:pPr>
      <w:r w:rsidRPr="00D73349">
        <w:rPr>
          <w:noProof/>
        </w:rPr>
        <w:t xml:space="preserve">Prezenta propunere se bazează pe o cerere înaintată de Croația și vizează doar acest stat membru. </w:t>
      </w:r>
    </w:p>
    <w:p w:rsidR="00863B33" w:rsidRPr="00D73349" w:rsidRDefault="00863B33">
      <w:pPr>
        <w:pStyle w:val="ManualHeading2"/>
        <w:rPr>
          <w:rFonts w:eastAsia="Arial Unicode MS"/>
          <w:noProof/>
          <w:bdr w:val="nil"/>
        </w:rPr>
      </w:pPr>
      <w:r w:rsidRPr="00D73349">
        <w:rPr>
          <w:noProof/>
          <w:bdr w:val="nil"/>
        </w:rPr>
        <w:t>•</w:t>
      </w:r>
      <w:r w:rsidRPr="00D73349">
        <w:rPr>
          <w:noProof/>
        </w:rPr>
        <w:tab/>
      </w:r>
      <w:r w:rsidRPr="00D73349">
        <w:rPr>
          <w:noProof/>
          <w:bdr w:val="nil"/>
        </w:rPr>
        <w:t>Obținerea și utilizarea expertizei</w:t>
      </w:r>
    </w:p>
    <w:p w:rsidR="00C341FB" w:rsidRPr="00D73349" w:rsidRDefault="00C341FB" w:rsidP="00C341FB">
      <w:pPr>
        <w:pBdr>
          <w:top w:val="nil"/>
          <w:left w:val="nil"/>
          <w:bottom w:val="nil"/>
          <w:right w:val="nil"/>
          <w:between w:val="nil"/>
          <w:bar w:val="nil"/>
        </w:pBdr>
        <w:spacing w:before="0" w:after="240"/>
        <w:rPr>
          <w:noProof/>
        </w:rPr>
      </w:pPr>
      <w:r w:rsidRPr="00D73349">
        <w:rPr>
          <w:noProof/>
        </w:rPr>
        <w:t>Nu a fost necesar să se recurgă la expertiză externă.</w:t>
      </w:r>
    </w:p>
    <w:p w:rsidR="00863B33" w:rsidRPr="00D73349" w:rsidRDefault="00863B33">
      <w:pPr>
        <w:pStyle w:val="ManualHeading2"/>
        <w:rPr>
          <w:rFonts w:eastAsia="Arial Unicode MS"/>
          <w:noProof/>
          <w:u w:color="000000"/>
          <w:bdr w:val="nil"/>
        </w:rPr>
      </w:pPr>
      <w:r w:rsidRPr="00D73349">
        <w:rPr>
          <w:noProof/>
          <w:u w:color="000000"/>
          <w:bdr w:val="nil"/>
        </w:rPr>
        <w:lastRenderedPageBreak/>
        <w:t>•</w:t>
      </w:r>
      <w:r w:rsidRPr="00D73349">
        <w:rPr>
          <w:noProof/>
        </w:rPr>
        <w:tab/>
      </w:r>
      <w:r w:rsidRPr="00D73349">
        <w:rPr>
          <w:noProof/>
          <w:u w:color="000000"/>
          <w:bdr w:val="nil"/>
        </w:rPr>
        <w:t>Evaluarea impactului</w:t>
      </w:r>
    </w:p>
    <w:p w:rsidR="004977BA" w:rsidRPr="00D73349" w:rsidRDefault="004977BA" w:rsidP="004977BA">
      <w:pPr>
        <w:pBdr>
          <w:top w:val="nil"/>
          <w:left w:val="nil"/>
          <w:bottom w:val="nil"/>
          <w:right w:val="nil"/>
          <w:between w:val="nil"/>
          <w:bar w:val="nil"/>
        </w:pBdr>
        <w:spacing w:before="0" w:after="240"/>
        <w:rPr>
          <w:noProof/>
        </w:rPr>
      </w:pPr>
      <w:r w:rsidRPr="00D73349">
        <w:rPr>
          <w:noProof/>
        </w:rPr>
        <w:t>Prezenta propunere se referă la acordarea unei autorizări unui stat membru, la cererea acestuia, și nu necesită efectuarea unei evaluări a impactului. În conformitate cu normele privind o mai bună legiferare, aceste tipuri de acte, prin natura lor, nu fac obiectul unei evaluări a impactului.</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Adecvarea reglementărilor și simplificarea</w:t>
      </w:r>
    </w:p>
    <w:p w:rsidR="00356CD2" w:rsidRPr="00D73349" w:rsidRDefault="00356CD2" w:rsidP="00356CD2">
      <w:pPr>
        <w:pBdr>
          <w:top w:val="nil"/>
          <w:left w:val="nil"/>
          <w:bottom w:val="nil"/>
          <w:right w:val="nil"/>
          <w:between w:val="nil"/>
          <w:bar w:val="nil"/>
        </w:pBdr>
        <w:spacing w:before="0" w:after="240"/>
        <w:rPr>
          <w:noProof/>
        </w:rPr>
      </w:pPr>
      <w:r w:rsidRPr="00D73349">
        <w:rPr>
          <w:noProof/>
        </w:rPr>
        <w:t>Măsura nu prevede o simplificare. Ea se bazează pe o cerere înaintată de Croația și se referă doar la acest stat membru.</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Drepturile fundamentale</w:t>
      </w:r>
    </w:p>
    <w:p w:rsidR="00AB6B97" w:rsidRPr="00D73349" w:rsidRDefault="00AB6B97" w:rsidP="00AB6B97">
      <w:pPr>
        <w:pBdr>
          <w:top w:val="nil"/>
          <w:left w:val="nil"/>
          <w:bottom w:val="nil"/>
          <w:right w:val="nil"/>
          <w:between w:val="nil"/>
          <w:bar w:val="nil"/>
        </w:pBdr>
        <w:spacing w:before="0" w:after="240"/>
        <w:rPr>
          <w:rFonts w:eastAsia="Arial Unicode MS"/>
          <w:noProof/>
        </w:rPr>
      </w:pPr>
      <w:r w:rsidRPr="00D73349">
        <w:rPr>
          <w:noProof/>
        </w:rPr>
        <w:t>Măsura nu privește drepturile fundamentale.</w:t>
      </w:r>
    </w:p>
    <w:p w:rsidR="00863B33" w:rsidRPr="00D73349" w:rsidRDefault="00863B33">
      <w:pPr>
        <w:pStyle w:val="ManualHeading1"/>
        <w:rPr>
          <w:noProof/>
        </w:rPr>
      </w:pPr>
      <w:r w:rsidRPr="00D73349">
        <w:rPr>
          <w:noProof/>
        </w:rPr>
        <w:t>4.</w:t>
      </w:r>
      <w:r w:rsidRPr="00D73349">
        <w:rPr>
          <w:noProof/>
        </w:rPr>
        <w:tab/>
        <w:t>IMPLICAȚII BUGETARE</w:t>
      </w:r>
    </w:p>
    <w:p w:rsidR="00A55491" w:rsidRPr="00D73349" w:rsidRDefault="00A55491" w:rsidP="00A55491">
      <w:pPr>
        <w:pBdr>
          <w:top w:val="nil"/>
          <w:left w:val="nil"/>
          <w:bottom w:val="nil"/>
          <w:right w:val="nil"/>
          <w:between w:val="nil"/>
          <w:bar w:val="nil"/>
        </w:pBdr>
        <w:spacing w:before="0" w:after="240"/>
        <w:rPr>
          <w:rFonts w:eastAsia="Arial Unicode MS"/>
          <w:noProof/>
        </w:rPr>
      </w:pPr>
      <w:r w:rsidRPr="00D73349">
        <w:rPr>
          <w:noProof/>
        </w:rPr>
        <w:t>Această măsură nu impune Uniunii nicio sarcină financiară sau administrativă. Prin urmare, propunerea nu are implicații asupra bugetului Uniunii.</w:t>
      </w:r>
    </w:p>
    <w:p w:rsidR="00863B33" w:rsidRPr="00D73349" w:rsidRDefault="00863B33">
      <w:pPr>
        <w:pStyle w:val="ManualHeading1"/>
        <w:rPr>
          <w:noProof/>
        </w:rPr>
      </w:pPr>
      <w:r w:rsidRPr="00D73349">
        <w:rPr>
          <w:noProof/>
        </w:rPr>
        <w:t>5.</w:t>
      </w:r>
      <w:r w:rsidRPr="00D73349">
        <w:rPr>
          <w:noProof/>
        </w:rPr>
        <w:tab/>
        <w:t>ALTE ELEMENTE</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Planuri de punere în aplicare și măsuri de monitorizare, evaluare și raportare</w:t>
      </w:r>
    </w:p>
    <w:p w:rsidR="006642E9" w:rsidRPr="00D73349" w:rsidRDefault="006642E9" w:rsidP="006642E9">
      <w:pPr>
        <w:pBdr>
          <w:top w:val="nil"/>
          <w:left w:val="nil"/>
          <w:bottom w:val="nil"/>
          <w:right w:val="nil"/>
          <w:between w:val="nil"/>
          <w:bar w:val="nil"/>
        </w:pBdr>
        <w:spacing w:before="0" w:after="240"/>
        <w:rPr>
          <w:rFonts w:eastAsia="Arial Unicode MS"/>
          <w:noProof/>
        </w:rPr>
      </w:pPr>
      <w:r w:rsidRPr="00D73349">
        <w:rPr>
          <w:noProof/>
        </w:rPr>
        <w:t>Nu este necesar un plan de punere în aplicare. Prezenta propunere se referă la autorizarea unei reduceri fiscale, care este prevăzută pentru o perioadă limitată de timp. Nivelurile de impozitare aplicabile pot scădea sub nivelurile minime de impozitare stabilite de Directiva privind impozitarea energiei. Măsura poate fi evaluată în cazul unei propuneri de prelungire a valabilității acestei decizii.</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Documentele explicative (în cazul directivelor)</w:t>
      </w:r>
    </w:p>
    <w:p w:rsidR="00D42282" w:rsidRPr="00D73349" w:rsidRDefault="00D42282" w:rsidP="00D42282">
      <w:pPr>
        <w:pBdr>
          <w:top w:val="nil"/>
          <w:left w:val="nil"/>
          <w:bottom w:val="nil"/>
          <w:right w:val="nil"/>
          <w:between w:val="nil"/>
          <w:bar w:val="nil"/>
        </w:pBdr>
        <w:spacing w:before="0" w:after="240"/>
        <w:rPr>
          <w:rFonts w:eastAsia="Arial Unicode MS"/>
          <w:noProof/>
        </w:rPr>
      </w:pPr>
      <w:r w:rsidRPr="00D73349">
        <w:rPr>
          <w:noProof/>
        </w:rPr>
        <w:t>Propunerea nu necesită documente explicative privind transpunerea.</w:t>
      </w:r>
    </w:p>
    <w:p w:rsidR="00863B33" w:rsidRPr="00D73349" w:rsidRDefault="00863B33">
      <w:pPr>
        <w:pStyle w:val="ManualHeading2"/>
        <w:rPr>
          <w:rFonts w:eastAsia="Arial Unicode MS"/>
          <w:noProof/>
          <w:u w:color="000000"/>
          <w:bdr w:val="nil"/>
        </w:rPr>
      </w:pPr>
      <w:r w:rsidRPr="00D73349">
        <w:rPr>
          <w:noProof/>
          <w:u w:color="000000"/>
          <w:bdr w:val="nil"/>
        </w:rPr>
        <w:t>•</w:t>
      </w:r>
      <w:r w:rsidRPr="00D73349">
        <w:rPr>
          <w:noProof/>
        </w:rPr>
        <w:tab/>
      </w:r>
      <w:r w:rsidRPr="00D73349">
        <w:rPr>
          <w:noProof/>
          <w:u w:color="000000"/>
          <w:bdr w:val="nil"/>
        </w:rPr>
        <w:t>Explicații detaliate cu privire la dispozițiile specifice ale propunerii</w:t>
      </w:r>
    </w:p>
    <w:p w:rsidR="001F2C81" w:rsidRPr="00D73349" w:rsidRDefault="001F2C81" w:rsidP="623EF42D">
      <w:pPr>
        <w:pBdr>
          <w:top w:val="nil"/>
          <w:left w:val="nil"/>
          <w:bottom w:val="nil"/>
          <w:right w:val="nil"/>
          <w:between w:val="nil"/>
          <w:bar w:val="nil"/>
        </w:pBdr>
        <w:spacing w:before="0" w:after="240"/>
        <w:rPr>
          <w:noProof/>
        </w:rPr>
      </w:pPr>
      <w:r w:rsidRPr="00D73349">
        <w:rPr>
          <w:noProof/>
        </w:rPr>
        <w:t>Articolul 1 prevede că Croația va fi autorizată să aplice niveluri reduse ale impozitelor la motorin</w:t>
      </w:r>
      <w:r w:rsidR="00B80C3F" w:rsidRPr="00D73349">
        <w:rPr>
          <w:noProof/>
        </w:rPr>
        <w:t>a</w:t>
      </w:r>
      <w:r w:rsidRPr="00D73349">
        <w:rPr>
          <w:noProof/>
        </w:rPr>
        <w:t xml:space="preserve"> și la benzina fără plumb utilizate drept carburanți, sub nivelurile minime de impozitare.</w:t>
      </w:r>
    </w:p>
    <w:p w:rsidR="00863B33" w:rsidRPr="00D73349" w:rsidRDefault="001F2C81" w:rsidP="001F2C81">
      <w:pPr>
        <w:pBdr>
          <w:top w:val="nil"/>
          <w:left w:val="nil"/>
          <w:bottom w:val="nil"/>
          <w:right w:val="nil"/>
          <w:between w:val="nil"/>
          <w:bar w:val="nil"/>
        </w:pBdr>
        <w:spacing w:before="0" w:after="240"/>
        <w:rPr>
          <w:noProof/>
        </w:rPr>
      </w:pPr>
      <w:r w:rsidRPr="00D73349">
        <w:rPr>
          <w:noProof/>
        </w:rPr>
        <w:t>Articolul 2 prevede că autorizația solicitată se acordă pentru o perioadă de 6 luni de la intrarea în vigoare a deciziei, conform solicitării Croației, ceea ce se încadrează în perioada maximă de 6 ani permisă de directivă.</w:t>
      </w:r>
    </w:p>
    <w:p w:rsidR="06B1D421" w:rsidRPr="00D73349" w:rsidRDefault="38C75FFE" w:rsidP="2F3537D5">
      <w:pPr>
        <w:pBdr>
          <w:top w:val="nil"/>
          <w:left w:val="nil"/>
          <w:bottom w:val="nil"/>
          <w:right w:val="nil"/>
          <w:between w:val="nil"/>
          <w:bar w:val="nil"/>
        </w:pBdr>
        <w:spacing w:before="0" w:after="240"/>
        <w:rPr>
          <w:noProof/>
        </w:rPr>
      </w:pPr>
      <w:r w:rsidRPr="00D73349">
        <w:rPr>
          <w:noProof/>
        </w:rPr>
        <w:t xml:space="preserve"> </w:t>
      </w:r>
    </w:p>
    <w:p w:rsidR="00863B33" w:rsidRPr="00D73349" w:rsidRDefault="00863B33">
      <w:pPr>
        <w:rPr>
          <w:noProof/>
        </w:rPr>
        <w:sectPr w:rsidR="00863B33" w:rsidRPr="00D73349" w:rsidSect="00ED662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627091" w:rsidRDefault="00D87E68">
      <w:pPr>
        <w:pStyle w:val="Rfrenceinterinstitutionnelle"/>
        <w:rPr>
          <w:noProof/>
        </w:rPr>
      </w:pPr>
      <w:r>
        <w:rPr>
          <w:noProof/>
        </w:rPr>
        <w:lastRenderedPageBreak/>
        <w:t>2026/0153 (NLE)</w:t>
      </w:r>
    </w:p>
    <w:p w:rsidR="00863B33" w:rsidRPr="00D73349" w:rsidRDefault="00C813FE" w:rsidP="00C813FE">
      <w:pPr>
        <w:pStyle w:val="Statut"/>
        <w:rPr>
          <w:noProof/>
        </w:rPr>
      </w:pPr>
      <w:r w:rsidRPr="00D73349">
        <w:rPr>
          <w:noProof/>
        </w:rPr>
        <w:t>Propunere de</w:t>
      </w:r>
    </w:p>
    <w:p w:rsidR="00863B33" w:rsidRPr="00D73349" w:rsidRDefault="00C813FE" w:rsidP="00C813FE">
      <w:pPr>
        <w:pStyle w:val="Typedudocument"/>
        <w:rPr>
          <w:noProof/>
        </w:rPr>
      </w:pPr>
      <w:r w:rsidRPr="00D73349">
        <w:rPr>
          <w:noProof/>
        </w:rPr>
        <w:t>DECIZIE DE PUNERE ÎN APLICARE A CONSILIULUI</w:t>
      </w:r>
    </w:p>
    <w:p w:rsidR="00863B33" w:rsidRPr="00D73349" w:rsidRDefault="00C813FE" w:rsidP="00C813FE">
      <w:pPr>
        <w:pStyle w:val="Titreobjet"/>
        <w:rPr>
          <w:noProof/>
        </w:rPr>
      </w:pPr>
      <w:r w:rsidRPr="00D73349">
        <w:rPr>
          <w:noProof/>
        </w:rPr>
        <w:t>prin care Croația este autorizată să aplice niveluri reduse ale accizelor la motorina și la benzina fără plumb utilizate drept carburanți, în conformitate cu articolul 19 din Directiva 2003/96/CE</w:t>
      </w:r>
    </w:p>
    <w:p w:rsidR="00863B33" w:rsidRPr="00D73349" w:rsidRDefault="00863B33">
      <w:pPr>
        <w:pStyle w:val="Institutionquiagit"/>
        <w:rPr>
          <w:noProof/>
        </w:rPr>
      </w:pPr>
      <w:r w:rsidRPr="00D73349">
        <w:rPr>
          <w:noProof/>
        </w:rPr>
        <w:t>CONSILIUL UNIUNII EUROPENE,</w:t>
      </w:r>
    </w:p>
    <w:p w:rsidR="00863B33" w:rsidRPr="00D73349" w:rsidRDefault="00863B33">
      <w:pPr>
        <w:rPr>
          <w:noProof/>
        </w:rPr>
      </w:pPr>
      <w:r w:rsidRPr="00D73349">
        <w:rPr>
          <w:noProof/>
        </w:rPr>
        <w:t>având în vedere Tratatul privind funcționarea Uniunii Europene,</w:t>
      </w:r>
    </w:p>
    <w:p w:rsidR="00863B33" w:rsidRPr="00D73349" w:rsidRDefault="00863B33">
      <w:pPr>
        <w:rPr>
          <w:noProof/>
        </w:rPr>
      </w:pPr>
      <w:r w:rsidRPr="00D73349">
        <w:rPr>
          <w:noProof/>
        </w:rPr>
        <w:t>având în vedere Directiva 2003/96/CE a Consiliului din 27 octombrie 2003 privind restructurarea cadrului comunitar de impozitare a produselor energetice și a electricității</w:t>
      </w:r>
      <w:r w:rsidRPr="00D73349">
        <w:rPr>
          <w:rStyle w:val="FootnoteReference"/>
          <w:noProof/>
        </w:rPr>
        <w:footnoteReference w:id="6"/>
      </w:r>
      <w:r w:rsidRPr="00D73349">
        <w:rPr>
          <w:noProof/>
        </w:rPr>
        <w:t>, în special articolul 19,</w:t>
      </w:r>
    </w:p>
    <w:p w:rsidR="00863B33" w:rsidRPr="00D73349" w:rsidRDefault="00863B33">
      <w:pPr>
        <w:rPr>
          <w:noProof/>
        </w:rPr>
      </w:pPr>
      <w:r w:rsidRPr="00D73349">
        <w:rPr>
          <w:noProof/>
        </w:rPr>
        <w:t>având în vedere propunerea Comisiei Europene,</w:t>
      </w:r>
    </w:p>
    <w:p w:rsidR="00863B33" w:rsidRPr="00D73349" w:rsidRDefault="00863B33">
      <w:pPr>
        <w:rPr>
          <w:noProof/>
        </w:rPr>
      </w:pPr>
      <w:r w:rsidRPr="00D73349">
        <w:rPr>
          <w:noProof/>
        </w:rPr>
        <w:t>întrucât:</w:t>
      </w:r>
    </w:p>
    <w:p w:rsidR="00552E4E" w:rsidRPr="00D73349" w:rsidRDefault="00A127D3" w:rsidP="001455CA">
      <w:pPr>
        <w:pStyle w:val="ManualConsidrant"/>
        <w:rPr>
          <w:noProof/>
        </w:rPr>
      </w:pPr>
      <w:r>
        <w:rPr>
          <w:noProof/>
        </w:rPr>
        <w:t>(1)</w:t>
      </w:r>
      <w:r>
        <w:rPr>
          <w:noProof/>
        </w:rPr>
        <w:tab/>
      </w:r>
      <w:r w:rsidRPr="00D73349">
        <w:rPr>
          <w:noProof/>
        </w:rPr>
        <w:t>În săptămânile care au precedat adoptarea prezentei decizii, s-au observat creșteri bruște și persistente ale prețurilor angro și cu amănuntul la produsele energetice în întreaga Uniune, declanșate de evoluțiile geopolitice din Orientul Mijlociu, care au afectat lanțurile de aprovizionare cu petrol și produse petroliere la nivel mondial. Aceste evoluții au avut efecte negative semnificative asupra gospodăriilor, în special asupra consumatorilor vulnerabili, și asupra întreprinderilor, inclusiv asupra întreprinderilor mici și mijlocii, prezentând astfel un risc grav pentru coeziunea socială, stabilitatea economică și buna funcționare a pieței interne.</w:t>
      </w:r>
    </w:p>
    <w:p w:rsidR="00552E4E" w:rsidRPr="00D73349" w:rsidRDefault="00552E4E" w:rsidP="00552E4E">
      <w:pPr>
        <w:pStyle w:val="ManualConsidrant"/>
        <w:rPr>
          <w:noProof/>
        </w:rPr>
      </w:pPr>
      <w:r>
        <w:rPr>
          <w:noProof/>
        </w:rPr>
        <w:t>(2)</w:t>
      </w:r>
      <w:r>
        <w:rPr>
          <w:noProof/>
        </w:rPr>
        <w:tab/>
      </w:r>
      <w:r w:rsidRPr="00D73349">
        <w:rPr>
          <w:noProof/>
        </w:rPr>
        <w:t>În concluziile sale din 19 martie 2026</w:t>
      </w:r>
      <w:r w:rsidRPr="00D73349">
        <w:rPr>
          <w:rStyle w:val="FootnoteReference"/>
          <w:noProof/>
        </w:rPr>
        <w:footnoteReference w:id="7"/>
      </w:r>
      <w:r w:rsidRPr="00D73349">
        <w:rPr>
          <w:noProof/>
        </w:rPr>
        <w:t>, Consiliul European a recunoscut caracterul extraordinar al situației de pe piața energiei și implicațiile sale macroeconomice. Consiliul a invitat Comisia Europeană să colaboreze îndeaproape cu statele membre pentru a elabora măsuri naționale temporare și specifice de atenuare a impactului semnificativ al creșterilor prețurilor combustibililor generate de criza din Orientul Mijlociu și a subliniat, în special, necesitatea unui răspuns coordonat, întrucât conflictul din Orientul Mijlociu are un impact imediat asupra prețurilor la energie pentru cetățenii și întreprinderile europene.</w:t>
      </w:r>
    </w:p>
    <w:p w:rsidR="00552E4E" w:rsidRPr="00D73349" w:rsidRDefault="00552E4E" w:rsidP="00552E4E">
      <w:pPr>
        <w:pStyle w:val="ManualConsidrant"/>
        <w:rPr>
          <w:noProof/>
        </w:rPr>
      </w:pPr>
      <w:r>
        <w:rPr>
          <w:noProof/>
        </w:rPr>
        <w:t>(3)</w:t>
      </w:r>
      <w:r>
        <w:rPr>
          <w:noProof/>
        </w:rPr>
        <w:tab/>
      </w:r>
      <w:r w:rsidRPr="00D73349">
        <w:rPr>
          <w:noProof/>
        </w:rPr>
        <w:t xml:space="preserve">Accizele stabilite prin Directiva 2003/96/CE contribuie la costul final al produselor energetice furnizate în Uniune. O reducere a accizelor sub nivelurile minime poate atenua unele dintre creșterile costurilor energiei cu care se confruntă în prezent statele membre. </w:t>
      </w:r>
    </w:p>
    <w:p w:rsidR="00552E4E" w:rsidRPr="00D73349" w:rsidRDefault="00552E4E" w:rsidP="00552E4E">
      <w:pPr>
        <w:pStyle w:val="ManualConsidrant"/>
        <w:rPr>
          <w:noProof/>
        </w:rPr>
      </w:pPr>
      <w:r>
        <w:rPr>
          <w:noProof/>
        </w:rPr>
        <w:t>(4)</w:t>
      </w:r>
      <w:r>
        <w:rPr>
          <w:noProof/>
        </w:rPr>
        <w:tab/>
      </w:r>
      <w:r w:rsidRPr="00D73349">
        <w:rPr>
          <w:noProof/>
        </w:rPr>
        <w:t xml:space="preserve">Mecanismele de flexibilitate prevăzute în cadrul Directivei 2003/96/CE permit statelor membre, în limite determinate, să reducă sarcina fiscală pentru anumite produse energetice într-un mod direcționat și temporar. Având în vedere caracterul excepțional și urgent al situației actuale, este necesar să se prevadă flexibilități specifice și cu </w:t>
      </w:r>
      <w:r w:rsidRPr="00D73349">
        <w:rPr>
          <w:noProof/>
        </w:rPr>
        <w:lastRenderedPageBreak/>
        <w:t>durată limitată, destinate în mod explicit să atenueze impactul șocului prețurilor la energie.</w:t>
      </w:r>
    </w:p>
    <w:p w:rsidR="00A91ED1" w:rsidRPr="00D73349" w:rsidRDefault="00552E4E" w:rsidP="00EA3BD2">
      <w:pPr>
        <w:pStyle w:val="ManualConsidrant"/>
        <w:rPr>
          <w:noProof/>
        </w:rPr>
      </w:pPr>
      <w:r>
        <w:rPr>
          <w:noProof/>
        </w:rPr>
        <w:t>(5)</w:t>
      </w:r>
      <w:r>
        <w:rPr>
          <w:noProof/>
        </w:rPr>
        <w:tab/>
      </w:r>
      <w:r w:rsidRPr="00D73349">
        <w:rPr>
          <w:noProof/>
        </w:rPr>
        <w:t>Reducerile temporare ale impozitării anumitor produse energetice pot oferi un ajutor rapid gospodăriilor și întreprinderilor prin scăderea directă a prețurilor pentru utilizatorii finali. În situația actuală, astfel de reduceri extraordinare reprezintă un instrument adecvat și necesar pentru soluționarea perturbării economice serioase cauzate de șocul prețurilor la energie.</w:t>
      </w:r>
    </w:p>
    <w:p w:rsidR="00A91ED1" w:rsidRPr="00D73349" w:rsidRDefault="00CB0F65" w:rsidP="00D8453C">
      <w:pPr>
        <w:pStyle w:val="ManualConsidrant"/>
        <w:rPr>
          <w:noProof/>
        </w:rPr>
      </w:pPr>
      <w:r>
        <w:rPr>
          <w:noProof/>
        </w:rPr>
        <w:t>(6)</w:t>
      </w:r>
      <w:r>
        <w:rPr>
          <w:noProof/>
        </w:rPr>
        <w:tab/>
      </w:r>
      <w:r w:rsidRPr="00D73349">
        <w:rPr>
          <w:noProof/>
        </w:rPr>
        <w:t>Printr-o scrisoare din data de 2 aprilie 2026, autoritățile croate au solicitat autorizarea, în conformitate cu articolul 19 din Directiva 2003/96/CE, de a aplica niveluri reduse ale accizelor pentru motorin</w:t>
      </w:r>
      <w:r w:rsidR="00742E45" w:rsidRPr="00D73349">
        <w:rPr>
          <w:noProof/>
        </w:rPr>
        <w:t>a</w:t>
      </w:r>
      <w:r w:rsidRPr="00D73349">
        <w:rPr>
          <w:noProof/>
        </w:rPr>
        <w:t xml:space="preserve"> și pentru benzina fără plumb utilizate drept carburanți, care se situează sub nivelurile minime de impozitare aplicabile carburanților menționate la articolul 7 din directiva respectivă cu 0,2195</w:t>
      </w:r>
      <w:r w:rsidR="005306E3" w:rsidRPr="00D73349">
        <w:rPr>
          <w:noProof/>
        </w:rPr>
        <w:t> </w:t>
      </w:r>
      <w:r w:rsidRPr="00D73349">
        <w:rPr>
          <w:noProof/>
        </w:rPr>
        <w:t>EUR pe litru pentru benzina fără plumb și cu 0,225</w:t>
      </w:r>
      <w:r w:rsidR="005306E3" w:rsidRPr="00D73349">
        <w:rPr>
          <w:noProof/>
        </w:rPr>
        <w:t> </w:t>
      </w:r>
      <w:r w:rsidRPr="00D73349">
        <w:rPr>
          <w:noProof/>
        </w:rPr>
        <w:t>EUR pe litru pentru motorină. Autorizația a fost solicitată pentru o perioadă de șase luni.</w:t>
      </w:r>
    </w:p>
    <w:p w:rsidR="00A91ED1" w:rsidRPr="00D73349" w:rsidRDefault="00CB0F65" w:rsidP="00166E71">
      <w:pPr>
        <w:pStyle w:val="ManualConsidrant"/>
        <w:rPr>
          <w:noProof/>
        </w:rPr>
      </w:pPr>
      <w:r>
        <w:rPr>
          <w:noProof/>
        </w:rPr>
        <w:t>(7)</w:t>
      </w:r>
      <w:r>
        <w:rPr>
          <w:noProof/>
        </w:rPr>
        <w:tab/>
      </w:r>
      <w:r w:rsidRPr="00D73349">
        <w:rPr>
          <w:noProof/>
        </w:rPr>
        <w:t>Potrivit autorităților croate, aplicarea unui nivel redus al accizei vizează atenuarea impactului prețurilor cu amănuntul ridicate ale benzinei și motorinei ca urmare a situației geopolitice și care afectează în mod direct atât gospodăriile, cât și întreprinderile.</w:t>
      </w:r>
    </w:p>
    <w:p w:rsidR="00A91ED1" w:rsidRPr="00D73349" w:rsidRDefault="00CB0F65" w:rsidP="00C42F0E">
      <w:pPr>
        <w:pStyle w:val="ManualConsidrant"/>
        <w:rPr>
          <w:noProof/>
        </w:rPr>
      </w:pPr>
      <w:r>
        <w:rPr>
          <w:noProof/>
        </w:rPr>
        <w:t>(8)</w:t>
      </w:r>
      <w:r>
        <w:rPr>
          <w:noProof/>
        </w:rPr>
        <w:tab/>
      </w:r>
      <w:r w:rsidRPr="00D73349">
        <w:rPr>
          <w:noProof/>
        </w:rPr>
        <w:t>Autorizația solicitată a fost examinată de Comisie și se consideră că este puțin probabil să împiedice buna funcționare a pieței interne. Având în vedere durata sa scurtă și circumstanțele excepționale legate de situația geopolitică, la care se adaugă un preț de piață excepțional de ridicat al petrolului, derogarea solicitată este considerată adecvată și proporțională, având în vedere necesitatea de a găsi un echilibru între obiectivele de politică specifice enumerate la articolul 19 alineatul (1) din Directiva 2003/96/CE, în special politica de mediu a Uniunii, și imperativul urgent de a asigura accesibilitatea energiei pentru întreprinderi și gospodării.</w:t>
      </w:r>
      <w:bookmarkStart w:id="1" w:name="_Hlk106120068"/>
    </w:p>
    <w:p w:rsidR="00CB0F65" w:rsidRPr="00D73349" w:rsidRDefault="004521B5" w:rsidP="00C42F0E">
      <w:pPr>
        <w:pStyle w:val="ManualConsidrant"/>
        <w:rPr>
          <w:noProof/>
        </w:rPr>
      </w:pPr>
      <w:r>
        <w:rPr>
          <w:noProof/>
        </w:rPr>
        <w:t>(9)</w:t>
      </w:r>
      <w:r>
        <w:rPr>
          <w:noProof/>
        </w:rPr>
        <w:tab/>
      </w:r>
      <w:r w:rsidRPr="00D73349">
        <w:rPr>
          <w:noProof/>
        </w:rPr>
        <w:t>Prin urmare, este necesar ca Croația să fie autorizată să aplice temporar niveluri reduse ale accizei, sub nivelurile minime din Uniune, pentru benzina fără plumb și motorina utilizate drept carburanți</w:t>
      </w:r>
      <w:bookmarkEnd w:id="1"/>
      <w:r w:rsidRPr="00D73349">
        <w:rPr>
          <w:noProof/>
        </w:rPr>
        <w:t>.</w:t>
      </w:r>
    </w:p>
    <w:p w:rsidR="00582C8E" w:rsidRPr="00D73349" w:rsidRDefault="00582C8E" w:rsidP="00C42F0E">
      <w:pPr>
        <w:pStyle w:val="ManualConsidrant"/>
        <w:rPr>
          <w:noProof/>
        </w:rPr>
      </w:pPr>
      <w:r>
        <w:rPr>
          <w:noProof/>
        </w:rPr>
        <w:t>(10)</w:t>
      </w:r>
      <w:r>
        <w:rPr>
          <w:noProof/>
        </w:rPr>
        <w:tab/>
      </w:r>
      <w:r w:rsidRPr="00D73349">
        <w:rPr>
          <w:noProof/>
        </w:rPr>
        <w:t>În conformitate cu articolul 19 alineatul (2) din Directiva 2003/96/CE, fiecare autorizație acordată în temeiul respectivei dispoziții trebuie să fie strict limitată în timp. Cu toate acestea, pentru a nu aduce atingere evoluțiilor viitoare ale cadrului juridic existent, este necesar să se prevadă că, în cazul în care Consiliul, hotărând în temeiul articolului 113 sau al oricărei alte dispoziții relevante din Tratatul privind funcționarea Uniunii Europene, introduce noi niveluri minime de impozitare, astfel cum se menționează la articolul 7 din Directiva 2003/96/CE, pentru motorina și pentru benzina fără plumb utilizate drept carburanți cu care această autorizație nu ar fi compatibilă, această autorizație încetează să se aplice.</w:t>
      </w:r>
    </w:p>
    <w:p w:rsidR="00B06947" w:rsidRPr="00D73349" w:rsidRDefault="00B06947" w:rsidP="008E2E59">
      <w:pPr>
        <w:pStyle w:val="ManualConsidrant"/>
        <w:rPr>
          <w:noProof/>
        </w:rPr>
      </w:pPr>
      <w:r>
        <w:rPr>
          <w:noProof/>
        </w:rPr>
        <w:t>(11)</w:t>
      </w:r>
      <w:r>
        <w:rPr>
          <w:noProof/>
        </w:rPr>
        <w:tab/>
      </w:r>
      <w:r w:rsidRPr="00D73349">
        <w:rPr>
          <w:noProof/>
        </w:rPr>
        <w:t>În același timp, reducerile fiscale nespecifice implică costuri bugetare semnificative și tind să determine o creștere a cererii de combustibili fosili, exacerbând astfel dezechilibrul dintre cerere și ofertă. Prin urmare, măsura trebuie să rămână strict limitată în timp.</w:t>
      </w:r>
    </w:p>
    <w:p w:rsidR="00582C8E" w:rsidRPr="00D73349" w:rsidRDefault="00582C8E" w:rsidP="008E2E59">
      <w:pPr>
        <w:pStyle w:val="ManualConsidrant"/>
        <w:rPr>
          <w:noProof/>
        </w:rPr>
      </w:pPr>
      <w:r>
        <w:rPr>
          <w:noProof/>
        </w:rPr>
        <w:t>(12)</w:t>
      </w:r>
      <w:r>
        <w:rPr>
          <w:noProof/>
        </w:rPr>
        <w:tab/>
      </w:r>
      <w:r w:rsidRPr="00D73349">
        <w:rPr>
          <w:noProof/>
        </w:rPr>
        <w:t>Prezenta decizie nu aduce atingere aplicării normelor Uniunii privind ajutoarele de stat,</w:t>
      </w:r>
    </w:p>
    <w:p w:rsidR="00863B33" w:rsidRPr="00D73349" w:rsidRDefault="00863B33">
      <w:pPr>
        <w:pStyle w:val="Formuledadoption"/>
        <w:rPr>
          <w:noProof/>
        </w:rPr>
      </w:pPr>
      <w:r w:rsidRPr="00D73349">
        <w:rPr>
          <w:noProof/>
        </w:rPr>
        <w:lastRenderedPageBreak/>
        <w:t xml:space="preserve">ADOPTĂ PREZENTA DECIZIE: </w:t>
      </w:r>
    </w:p>
    <w:p w:rsidR="00953093" w:rsidRPr="00D73349" w:rsidRDefault="00953093" w:rsidP="00953093">
      <w:pPr>
        <w:pStyle w:val="Titrearticle"/>
        <w:rPr>
          <w:noProof/>
        </w:rPr>
      </w:pPr>
      <w:r w:rsidRPr="00D73349">
        <w:rPr>
          <w:noProof/>
        </w:rPr>
        <w:t>Articolul 1</w:t>
      </w:r>
    </w:p>
    <w:p w:rsidR="00953093" w:rsidRPr="00D73349" w:rsidRDefault="004521B5" w:rsidP="000C7E01">
      <w:pPr>
        <w:rPr>
          <w:noProof/>
        </w:rPr>
      </w:pPr>
      <w:r w:rsidRPr="00D73349">
        <w:rPr>
          <w:noProof/>
        </w:rPr>
        <w:t>Croația este autorizată să aplice o reducere de până la 0,2195</w:t>
      </w:r>
      <w:r w:rsidR="005306E3" w:rsidRPr="00D73349">
        <w:rPr>
          <w:noProof/>
        </w:rPr>
        <w:t> </w:t>
      </w:r>
      <w:r w:rsidRPr="00D73349">
        <w:rPr>
          <w:noProof/>
        </w:rPr>
        <w:t>EUR pe litru pentru benzina fără plumb utilizată drept carburant și de până la 0,225</w:t>
      </w:r>
      <w:r w:rsidR="005306E3" w:rsidRPr="00D73349">
        <w:rPr>
          <w:noProof/>
        </w:rPr>
        <w:t> </w:t>
      </w:r>
      <w:r w:rsidRPr="00D73349">
        <w:rPr>
          <w:noProof/>
        </w:rPr>
        <w:t>EUR pe litru pentru motorina utilizată drept carburant sub nivelurile minime ale accizelor menționate la articolul 7 din Directiva 2003/96/CE.</w:t>
      </w:r>
    </w:p>
    <w:p w:rsidR="00953093" w:rsidRPr="00D73349" w:rsidRDefault="00953093" w:rsidP="00035577">
      <w:pPr>
        <w:pStyle w:val="Titrearticle"/>
        <w:rPr>
          <w:noProof/>
        </w:rPr>
      </w:pPr>
      <w:r w:rsidRPr="00D73349">
        <w:rPr>
          <w:noProof/>
        </w:rPr>
        <w:t>Articolul 2</w:t>
      </w:r>
    </w:p>
    <w:p w:rsidR="00953093" w:rsidRPr="00D73349" w:rsidRDefault="00582C8E" w:rsidP="00953093">
      <w:pPr>
        <w:rPr>
          <w:noProof/>
        </w:rPr>
      </w:pPr>
      <w:r w:rsidRPr="00D73349">
        <w:rPr>
          <w:noProof/>
        </w:rPr>
        <w:t>Prezenta decizie se aplică pentru o perioadă de [6 luni de la data notificării].</w:t>
      </w:r>
    </w:p>
    <w:p w:rsidR="00582C8E" w:rsidRPr="00D73349" w:rsidRDefault="00582C8E" w:rsidP="00953093">
      <w:pPr>
        <w:rPr>
          <w:noProof/>
        </w:rPr>
      </w:pPr>
      <w:r w:rsidRPr="00D73349">
        <w:rPr>
          <w:noProof/>
        </w:rPr>
        <w:t>Cu toate acestea, în cazul în care Consiliul, hotărând în temeiul articolului 113 sau al oricărei alte dispoziții relevante din Tratatul privind funcționarea Uniunii Europene, modifică nivelurile minime de impozitare, astfel cum se menționează la articolul 7 din Directiva 2003/96/CE, pentru motorina și pentru benzina fără plumb utilizate drept carburanți cu care autorizația acordată la articolul 1 din prezenta decizie nu ar fi compatibilă, prezenta decizie încetează să se aplice de la data la care devin aplicabile nivelurile minime de impozitare modificate.</w:t>
      </w:r>
    </w:p>
    <w:p w:rsidR="00582C8E" w:rsidRPr="00D73349" w:rsidRDefault="00582C8E" w:rsidP="00582C8E">
      <w:pPr>
        <w:pStyle w:val="Titrearticle"/>
        <w:rPr>
          <w:noProof/>
        </w:rPr>
      </w:pPr>
      <w:r w:rsidRPr="00D73349">
        <w:rPr>
          <w:noProof/>
        </w:rPr>
        <w:t>Articolul 3</w:t>
      </w:r>
    </w:p>
    <w:p w:rsidR="00582C8E" w:rsidRPr="00D73349" w:rsidRDefault="00582C8E" w:rsidP="00953093">
      <w:pPr>
        <w:rPr>
          <w:noProof/>
        </w:rPr>
      </w:pPr>
      <w:r w:rsidRPr="00D73349">
        <w:rPr>
          <w:noProof/>
        </w:rPr>
        <w:t>Prezenta decizie produce efecte de la data notificării.</w:t>
      </w:r>
    </w:p>
    <w:p w:rsidR="00953093" w:rsidRPr="00D73349" w:rsidRDefault="00953093" w:rsidP="00953093">
      <w:pPr>
        <w:pStyle w:val="Titrearticle"/>
        <w:rPr>
          <w:noProof/>
        </w:rPr>
      </w:pPr>
      <w:r w:rsidRPr="00D73349">
        <w:rPr>
          <w:noProof/>
        </w:rPr>
        <w:t>Articolul 4</w:t>
      </w:r>
    </w:p>
    <w:p w:rsidR="00953093" w:rsidRPr="00D73349" w:rsidRDefault="00953093" w:rsidP="00953093">
      <w:pPr>
        <w:rPr>
          <w:noProof/>
        </w:rPr>
      </w:pPr>
      <w:r w:rsidRPr="00D73349">
        <w:rPr>
          <w:noProof/>
        </w:rPr>
        <w:t>Prezenta decizie se adresează Republicii Croația.</w:t>
      </w:r>
    </w:p>
    <w:p w:rsidR="416DD717" w:rsidRPr="00D73349" w:rsidRDefault="416DD717" w:rsidP="416DD717">
      <w:pPr>
        <w:rPr>
          <w:noProof/>
        </w:rPr>
      </w:pPr>
    </w:p>
    <w:p w:rsidR="00863B33" w:rsidRPr="00D73349" w:rsidRDefault="00C813FE" w:rsidP="00B40905">
      <w:pPr>
        <w:pStyle w:val="Fait"/>
        <w:rPr>
          <w:noProof/>
        </w:rPr>
      </w:pPr>
      <w:r>
        <w:rPr>
          <w:noProof/>
        </w:rPr>
        <w:t>Adoptată la Bruxelles,</w:t>
      </w:r>
    </w:p>
    <w:p w:rsidR="00863B33" w:rsidRPr="00D73349" w:rsidRDefault="00863B33" w:rsidP="00B40905">
      <w:pPr>
        <w:pStyle w:val="Institutionquisigne"/>
        <w:rPr>
          <w:noProof/>
        </w:rPr>
      </w:pPr>
      <w:r w:rsidRPr="00D73349">
        <w:rPr>
          <w:noProof/>
        </w:rPr>
        <w:tab/>
        <w:t>Pentru Consiliu</w:t>
      </w:r>
    </w:p>
    <w:p w:rsidR="00863B33" w:rsidRPr="00D73349" w:rsidRDefault="00863B33" w:rsidP="00863B33">
      <w:pPr>
        <w:pStyle w:val="Personnequisigne"/>
        <w:rPr>
          <w:noProof/>
        </w:rPr>
      </w:pPr>
      <w:r w:rsidRPr="00D73349">
        <w:rPr>
          <w:noProof/>
        </w:rPr>
        <w:tab/>
        <w:t>Președintele</w:t>
      </w:r>
    </w:p>
    <w:sectPr w:rsidR="00863B33" w:rsidRPr="00D73349" w:rsidSect="00ED662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52E" w:rsidRPr="00D73349" w:rsidRDefault="00D7452E" w:rsidP="00863B33">
      <w:pPr>
        <w:spacing w:before="0" w:after="0"/>
      </w:pPr>
      <w:r w:rsidRPr="00D73349">
        <w:separator/>
      </w:r>
    </w:p>
  </w:endnote>
  <w:endnote w:type="continuationSeparator" w:id="0">
    <w:p w:rsidR="00D7452E" w:rsidRPr="00D73349" w:rsidRDefault="00D7452E" w:rsidP="00863B33">
      <w:pPr>
        <w:spacing w:before="0" w:after="0"/>
      </w:pPr>
      <w:r w:rsidRPr="00D733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Pr="00ED6623" w:rsidRDefault="00ED6623" w:rsidP="00ED6623">
    <w:pPr>
      <w:pStyle w:val="Footer"/>
      <w:rPr>
        <w:rFonts w:ascii="Arial" w:hAnsi="Arial" w:cs="Arial"/>
        <w:b/>
        <w:sz w:val="48"/>
      </w:rPr>
    </w:pPr>
    <w:r w:rsidRPr="00ED6623">
      <w:rPr>
        <w:rFonts w:ascii="Arial" w:hAnsi="Arial" w:cs="Arial"/>
        <w:b/>
        <w:sz w:val="48"/>
      </w:rPr>
      <w:t>RO</w:t>
    </w:r>
    <w:r w:rsidRPr="00ED6623">
      <w:rPr>
        <w:rFonts w:ascii="Arial" w:hAnsi="Arial" w:cs="Arial"/>
        <w:b/>
        <w:sz w:val="48"/>
      </w:rPr>
      <w:tab/>
    </w:r>
    <w:r w:rsidRPr="00ED6623">
      <w:rPr>
        <w:rFonts w:ascii="Arial" w:hAnsi="Arial" w:cs="Arial"/>
        <w:b/>
        <w:sz w:val="48"/>
      </w:rPr>
      <w:tab/>
    </w:r>
    <w:r w:rsidRPr="00ED6623">
      <w:tab/>
    </w:r>
    <w:r w:rsidRPr="00ED662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Pr="00ED6623" w:rsidRDefault="00ED6623" w:rsidP="00ED6623">
    <w:pPr>
      <w:pStyle w:val="Footer"/>
      <w:rPr>
        <w:rFonts w:ascii="Arial" w:hAnsi="Arial" w:cs="Arial"/>
        <w:b/>
        <w:sz w:val="48"/>
      </w:rPr>
    </w:pPr>
    <w:r w:rsidRPr="00ED6623">
      <w:rPr>
        <w:rFonts w:ascii="Arial" w:hAnsi="Arial" w:cs="Arial"/>
        <w:b/>
        <w:sz w:val="48"/>
      </w:rPr>
      <w:t>RO</w:t>
    </w:r>
    <w:r w:rsidRPr="00ED6623">
      <w:rPr>
        <w:rFonts w:ascii="Arial" w:hAnsi="Arial" w:cs="Arial"/>
        <w:b/>
        <w:sz w:val="48"/>
      </w:rPr>
      <w:tab/>
    </w:r>
    <w:r w:rsidRPr="00ED6623">
      <w:rPr>
        <w:rFonts w:ascii="Arial" w:hAnsi="Arial" w:cs="Arial"/>
        <w:b/>
        <w:sz w:val="48"/>
      </w:rPr>
      <w:tab/>
    </w:r>
    <w:r w:rsidRPr="00ED6623">
      <w:tab/>
    </w:r>
    <w:r w:rsidRPr="00ED662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Default="00ED66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Pr="00ED6623" w:rsidRDefault="00ED6623" w:rsidP="00ED6623">
    <w:pPr>
      <w:pStyle w:val="Footer"/>
      <w:rPr>
        <w:rFonts w:ascii="Arial" w:hAnsi="Arial" w:cs="Arial"/>
        <w:b/>
        <w:sz w:val="48"/>
      </w:rPr>
    </w:pPr>
    <w:r w:rsidRPr="00ED6623">
      <w:rPr>
        <w:rFonts w:ascii="Arial" w:hAnsi="Arial" w:cs="Arial"/>
        <w:b/>
        <w:sz w:val="48"/>
      </w:rPr>
      <w:t>RO</w:t>
    </w:r>
    <w:r w:rsidRPr="00ED6623">
      <w:rPr>
        <w:rFonts w:ascii="Arial" w:hAnsi="Arial" w:cs="Arial"/>
        <w:b/>
        <w:sz w:val="48"/>
      </w:rPr>
      <w:tab/>
    </w:r>
    <w:r>
      <w:fldChar w:fldCharType="begin"/>
    </w:r>
    <w:r>
      <w:instrText xml:space="preserve"> PAGE  \* MERGEFORMAT </w:instrText>
    </w:r>
    <w:r>
      <w:fldChar w:fldCharType="separate"/>
    </w:r>
    <w:r w:rsidR="00B40905">
      <w:rPr>
        <w:noProof/>
      </w:rPr>
      <w:t>10</w:t>
    </w:r>
    <w:r>
      <w:fldChar w:fldCharType="end"/>
    </w:r>
    <w:r>
      <w:tab/>
    </w:r>
    <w:r w:rsidRPr="00ED6623">
      <w:tab/>
    </w:r>
    <w:r w:rsidRPr="00ED662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Default="00ED6623" w:rsidP="00ED6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52E" w:rsidRPr="00D73349" w:rsidRDefault="00D7452E" w:rsidP="00863B33">
      <w:pPr>
        <w:spacing w:before="0" w:after="0"/>
      </w:pPr>
      <w:r w:rsidRPr="00D73349">
        <w:separator/>
      </w:r>
    </w:p>
  </w:footnote>
  <w:footnote w:type="continuationSeparator" w:id="0">
    <w:p w:rsidR="00D7452E" w:rsidRPr="00D73349" w:rsidRDefault="00D7452E" w:rsidP="00863B33">
      <w:pPr>
        <w:spacing w:before="0" w:after="0"/>
      </w:pPr>
      <w:r w:rsidRPr="00D73349">
        <w:continuationSeparator/>
      </w:r>
    </w:p>
  </w:footnote>
  <w:footnote w:id="1">
    <w:p w:rsidR="00863B33" w:rsidRPr="00D73349" w:rsidRDefault="00863B33" w:rsidP="00863B33">
      <w:pPr>
        <w:pStyle w:val="FootnoteText"/>
      </w:pPr>
      <w:r w:rsidRPr="00D73349">
        <w:rPr>
          <w:rStyle w:val="FootnoteReference"/>
        </w:rPr>
        <w:footnoteRef/>
      </w:r>
      <w:r w:rsidRPr="00D73349">
        <w:tab/>
        <w:t>JO L 283, 31.10.2003, p. 51.</w:t>
      </w:r>
    </w:p>
  </w:footnote>
  <w:footnote w:id="2">
    <w:p w:rsidR="00863B33" w:rsidRPr="00D73349" w:rsidRDefault="00863B33">
      <w:pPr>
        <w:pStyle w:val="FootnoteText"/>
      </w:pPr>
      <w:r w:rsidRPr="00D73349">
        <w:rPr>
          <w:rStyle w:val="FootnoteReference"/>
        </w:rPr>
        <w:footnoteRef/>
      </w:r>
      <w:r w:rsidRPr="00D73349">
        <w:tab/>
        <w:t>Decizia de punere în aplicare (UE) 2022/1843 a Consiliului, Decizia de punere în aplicare (UE) 2022/1662 a Consiliului, Decizia de punere în aplicare (UE) 2023/1197 a Consiliului.</w:t>
      </w:r>
    </w:p>
  </w:footnote>
  <w:footnote w:id="3">
    <w:p w:rsidR="00904418" w:rsidRPr="00D73349" w:rsidRDefault="00904418">
      <w:pPr>
        <w:pStyle w:val="FootnoteText"/>
      </w:pPr>
      <w:r w:rsidRPr="00D73349">
        <w:rPr>
          <w:rStyle w:val="FootnoteReference"/>
        </w:rPr>
        <w:footnoteRef/>
      </w:r>
      <w:r w:rsidRPr="00D73349">
        <w:tab/>
        <w:t xml:space="preserve">DG ENER, </w:t>
      </w:r>
      <w:r w:rsidRPr="00D73349">
        <w:rPr>
          <w:i/>
          <w:iCs/>
        </w:rPr>
        <w:t>Weekly oil bulletin</w:t>
      </w:r>
      <w:r w:rsidRPr="00D73349">
        <w:t>, 2 aprilie 2026, https://energy.ec.europa.eu/data-and-analysis/weekly-oil-bulletin_en.</w:t>
      </w:r>
    </w:p>
  </w:footnote>
  <w:footnote w:id="4">
    <w:p w:rsidR="00E826D2" w:rsidRPr="00D73349" w:rsidRDefault="00E826D2">
      <w:pPr>
        <w:pStyle w:val="FootnoteText"/>
      </w:pPr>
      <w:r w:rsidRPr="00D73349">
        <w:rPr>
          <w:rStyle w:val="FootnoteReference"/>
        </w:rPr>
        <w:footnoteRef/>
      </w:r>
      <w:r w:rsidRPr="00D73349">
        <w:tab/>
        <w:t xml:space="preserve">DG ENER, </w:t>
      </w:r>
      <w:r w:rsidRPr="00D73349">
        <w:rPr>
          <w:i/>
          <w:iCs/>
        </w:rPr>
        <w:t>Weekly oil bulletin</w:t>
      </w:r>
      <w:r w:rsidRPr="00D73349">
        <w:t>, 2 aprilie 2026, https://energy.ec.europa.eu/data-and-analysis/weekly-oil-bulletin_en.</w:t>
      </w:r>
    </w:p>
  </w:footnote>
  <w:footnote w:id="5">
    <w:p w:rsidR="1E970F0C" w:rsidRPr="00D73349" w:rsidRDefault="1E970F0C" w:rsidP="1E970F0C">
      <w:pPr>
        <w:pStyle w:val="FootnoteText"/>
      </w:pPr>
      <w:r w:rsidRPr="00D73349">
        <w:rPr>
          <w:rStyle w:val="FootnoteReference"/>
        </w:rPr>
        <w:footnoteRef/>
      </w:r>
      <w:r w:rsidRPr="00D73349">
        <w:tab/>
      </w:r>
      <w:hyperlink r:id="rId1">
        <w:r w:rsidRPr="00D73349">
          <w:rPr>
            <w:rStyle w:val="Hyperlink"/>
          </w:rPr>
          <w:t>Economic and distributional effects of higher energy prices on households in the EU (Efectele economice și distributive ale creșterii prețurilor la energie asupra gospodăriilor din UE) – Ocuparea forței de muncă, afaceri sociale și incluziune</w:t>
        </w:r>
      </w:hyperlink>
      <w:r w:rsidR="005306E3" w:rsidRPr="00D73349">
        <w:t>.</w:t>
      </w:r>
    </w:p>
  </w:footnote>
  <w:footnote w:id="6">
    <w:p w:rsidR="00863B33" w:rsidRPr="00D73349" w:rsidRDefault="00863B33">
      <w:pPr>
        <w:pStyle w:val="FootnoteText"/>
      </w:pPr>
      <w:r w:rsidRPr="00D73349">
        <w:rPr>
          <w:rStyle w:val="FootnoteReference"/>
        </w:rPr>
        <w:footnoteRef/>
      </w:r>
      <w:r w:rsidRPr="00D73349">
        <w:tab/>
        <w:t>JO L 283, 31.10.2003, p. 51, ELI: </w:t>
      </w:r>
      <w:hyperlink r:id="rId2" w:tooltip="Oferă acces la acest document prin identificatorul său uniform de resurse ELI." w:history="1">
        <w:r w:rsidRPr="00D73349">
          <w:rPr>
            <w:rStyle w:val="Hyperlink"/>
          </w:rPr>
          <w:t>http://data.europa.eu/eli/dir/2003/96/oj</w:t>
        </w:r>
      </w:hyperlink>
      <w:r w:rsidRPr="00D73349">
        <w:t>.</w:t>
      </w:r>
    </w:p>
  </w:footnote>
  <w:footnote w:id="7">
    <w:p w:rsidR="00BD3894" w:rsidRPr="00BD3894" w:rsidRDefault="00BD3894" w:rsidP="00BD3894">
      <w:pPr>
        <w:pStyle w:val="FootnoteText"/>
      </w:pPr>
      <w:r w:rsidRPr="00D73349">
        <w:rPr>
          <w:rStyle w:val="FootnoteReference"/>
        </w:rPr>
        <w:footnoteRef/>
      </w:r>
      <w:r w:rsidRPr="00D73349">
        <w:tab/>
        <w:t>https://www.consilium.europa.eu/media/lwhk3itd/en-20260319-european-council-conclusions.pdf</w:t>
      </w:r>
      <w:r w:rsidR="005306E3" w:rsidRPr="00D73349">
        <w:t>.</w:t>
      </w:r>
      <w:r w:rsidRPr="00D7334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Default="00ED66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23" w:rsidRDefault="00ED66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7302A5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3B4F31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3AACC5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9 11:10: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703A7F3-2949-42CD-BF25-F23B50D93795"/>
    <w:docVar w:name="LW_COVERPAGE_TYPE" w:val="1"/>
    <w:docVar w:name="LW_CreatedUtc" w:val="2026-03-23T13:27:55.8110337Z"/>
    <w:docVar w:name="LW_CROSSREFERENCE" w:val="&lt;UNUSED&gt;"/>
    <w:docVar w:name="LW_DocType" w:val="COM"/>
    <w:docVar w:name="LW_EMISSION" w:val="15.6.2026"/>
    <w:docVar w:name="LW_EMISSION_ISODATE" w:val="2026-06-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3"/>
    <w:docVar w:name="LW_REF.II.NEW.CP_YEAR" w:val="2026"/>
    <w:docVar w:name="LW_REF.INST.NEW" w:val="COM"/>
    <w:docVar w:name="LW_REF.INST.NEW_ADOPTED" w:val="final"/>
    <w:docVar w:name="LW_REF.INST.NEW_TEXT" w:val="(2026) 2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n care Croa\u539?ia este autorizat\u259? s\u259? aplice niveluri reduse ale accizelor la motorina \u537?i la benzina f\u259?r\u259? plumb utilizate drept carburan\u539?i, în conformitate cu articolul 19 din Directiva 2003/96/CE"/>
    <w:docVar w:name="LW_TYPE.DOC.CP" w:val="DECIZIE DE PUNERE ÎN APLICARE A CONSILIULUI"/>
    <w:docVar w:name="LwApiVersions" w:val="LW4CoDe 1.24.5.0; LW 9.2, Build 20251112"/>
  </w:docVars>
  <w:rsids>
    <w:rsidRoot w:val="00863B33"/>
    <w:rsid w:val="00001963"/>
    <w:rsid w:val="000024F6"/>
    <w:rsid w:val="00003D37"/>
    <w:rsid w:val="00004610"/>
    <w:rsid w:val="00004C53"/>
    <w:rsid w:val="00004E5A"/>
    <w:rsid w:val="0000634F"/>
    <w:rsid w:val="00006C0D"/>
    <w:rsid w:val="000079CF"/>
    <w:rsid w:val="00007E2A"/>
    <w:rsid w:val="0001040E"/>
    <w:rsid w:val="000107B0"/>
    <w:rsid w:val="00011A18"/>
    <w:rsid w:val="00012AF9"/>
    <w:rsid w:val="00013503"/>
    <w:rsid w:val="00013746"/>
    <w:rsid w:val="000142AC"/>
    <w:rsid w:val="00014C47"/>
    <w:rsid w:val="00017449"/>
    <w:rsid w:val="00017E6B"/>
    <w:rsid w:val="000207AF"/>
    <w:rsid w:val="00021E80"/>
    <w:rsid w:val="00023AE2"/>
    <w:rsid w:val="000242D0"/>
    <w:rsid w:val="00024319"/>
    <w:rsid w:val="0002507E"/>
    <w:rsid w:val="000253B7"/>
    <w:rsid w:val="000254DF"/>
    <w:rsid w:val="00025F85"/>
    <w:rsid w:val="000261EB"/>
    <w:rsid w:val="00026A57"/>
    <w:rsid w:val="00031175"/>
    <w:rsid w:val="00032BFE"/>
    <w:rsid w:val="0003307E"/>
    <w:rsid w:val="00033CD8"/>
    <w:rsid w:val="00033CEA"/>
    <w:rsid w:val="00033E42"/>
    <w:rsid w:val="00033F6D"/>
    <w:rsid w:val="00034522"/>
    <w:rsid w:val="000346A7"/>
    <w:rsid w:val="00035577"/>
    <w:rsid w:val="00035EE5"/>
    <w:rsid w:val="00036044"/>
    <w:rsid w:val="00036EE5"/>
    <w:rsid w:val="000429D7"/>
    <w:rsid w:val="00043B02"/>
    <w:rsid w:val="00044B47"/>
    <w:rsid w:val="00045F02"/>
    <w:rsid w:val="000512A2"/>
    <w:rsid w:val="000515F6"/>
    <w:rsid w:val="0005252B"/>
    <w:rsid w:val="000529FF"/>
    <w:rsid w:val="00052AC3"/>
    <w:rsid w:val="00053985"/>
    <w:rsid w:val="00053A65"/>
    <w:rsid w:val="00055A51"/>
    <w:rsid w:val="00055BE6"/>
    <w:rsid w:val="0006092B"/>
    <w:rsid w:val="00060D34"/>
    <w:rsid w:val="0006257D"/>
    <w:rsid w:val="000625B2"/>
    <w:rsid w:val="0006683F"/>
    <w:rsid w:val="000668B4"/>
    <w:rsid w:val="0006708C"/>
    <w:rsid w:val="000706E2"/>
    <w:rsid w:val="0007334D"/>
    <w:rsid w:val="00073483"/>
    <w:rsid w:val="0007573B"/>
    <w:rsid w:val="000760A0"/>
    <w:rsid w:val="00076A35"/>
    <w:rsid w:val="00076F3E"/>
    <w:rsid w:val="00080528"/>
    <w:rsid w:val="000807FF"/>
    <w:rsid w:val="00080D55"/>
    <w:rsid w:val="00084A3D"/>
    <w:rsid w:val="00084E66"/>
    <w:rsid w:val="00085411"/>
    <w:rsid w:val="0008597E"/>
    <w:rsid w:val="000909FA"/>
    <w:rsid w:val="0009224B"/>
    <w:rsid w:val="000929A4"/>
    <w:rsid w:val="000940A7"/>
    <w:rsid w:val="0009528A"/>
    <w:rsid w:val="000953E6"/>
    <w:rsid w:val="00095657"/>
    <w:rsid w:val="00096679"/>
    <w:rsid w:val="0009750F"/>
    <w:rsid w:val="000A058F"/>
    <w:rsid w:val="000A0D8A"/>
    <w:rsid w:val="000A2B9D"/>
    <w:rsid w:val="000A2EDD"/>
    <w:rsid w:val="000A4A70"/>
    <w:rsid w:val="000A4DE7"/>
    <w:rsid w:val="000A5BBD"/>
    <w:rsid w:val="000A70D7"/>
    <w:rsid w:val="000A7DFB"/>
    <w:rsid w:val="000B2997"/>
    <w:rsid w:val="000B2FFF"/>
    <w:rsid w:val="000B412F"/>
    <w:rsid w:val="000B4F41"/>
    <w:rsid w:val="000C0DC3"/>
    <w:rsid w:val="000C0E06"/>
    <w:rsid w:val="000C0FAA"/>
    <w:rsid w:val="000C3DA8"/>
    <w:rsid w:val="000C60BF"/>
    <w:rsid w:val="000C62B7"/>
    <w:rsid w:val="000C7469"/>
    <w:rsid w:val="000C7E01"/>
    <w:rsid w:val="000C7F8E"/>
    <w:rsid w:val="000D0F66"/>
    <w:rsid w:val="000D2016"/>
    <w:rsid w:val="000D2636"/>
    <w:rsid w:val="000D2B20"/>
    <w:rsid w:val="000D3112"/>
    <w:rsid w:val="000D7454"/>
    <w:rsid w:val="000E01A9"/>
    <w:rsid w:val="000E10AF"/>
    <w:rsid w:val="000E1112"/>
    <w:rsid w:val="000E136F"/>
    <w:rsid w:val="000E19E3"/>
    <w:rsid w:val="000E36AC"/>
    <w:rsid w:val="000E36F6"/>
    <w:rsid w:val="000E6265"/>
    <w:rsid w:val="000F084A"/>
    <w:rsid w:val="000F299B"/>
    <w:rsid w:val="000F2D8E"/>
    <w:rsid w:val="000F30F1"/>
    <w:rsid w:val="000F53EE"/>
    <w:rsid w:val="000F5EF1"/>
    <w:rsid w:val="000F5FDC"/>
    <w:rsid w:val="000F7F60"/>
    <w:rsid w:val="0010093C"/>
    <w:rsid w:val="00103F5F"/>
    <w:rsid w:val="001065F5"/>
    <w:rsid w:val="00106690"/>
    <w:rsid w:val="0010702F"/>
    <w:rsid w:val="00107638"/>
    <w:rsid w:val="001079CD"/>
    <w:rsid w:val="00107D81"/>
    <w:rsid w:val="0011076C"/>
    <w:rsid w:val="001107BD"/>
    <w:rsid w:val="00112813"/>
    <w:rsid w:val="0011294D"/>
    <w:rsid w:val="0011295F"/>
    <w:rsid w:val="0011312E"/>
    <w:rsid w:val="00115930"/>
    <w:rsid w:val="0011781A"/>
    <w:rsid w:val="00117BAC"/>
    <w:rsid w:val="00117C0E"/>
    <w:rsid w:val="00117F68"/>
    <w:rsid w:val="001238EF"/>
    <w:rsid w:val="00123980"/>
    <w:rsid w:val="00124FCA"/>
    <w:rsid w:val="00126B51"/>
    <w:rsid w:val="001305A2"/>
    <w:rsid w:val="001307CF"/>
    <w:rsid w:val="00131DAE"/>
    <w:rsid w:val="00132010"/>
    <w:rsid w:val="001324B4"/>
    <w:rsid w:val="001325AB"/>
    <w:rsid w:val="00132CA3"/>
    <w:rsid w:val="00133002"/>
    <w:rsid w:val="00134034"/>
    <w:rsid w:val="001346ED"/>
    <w:rsid w:val="00135D8E"/>
    <w:rsid w:val="00136022"/>
    <w:rsid w:val="0013607C"/>
    <w:rsid w:val="00141AD5"/>
    <w:rsid w:val="00142515"/>
    <w:rsid w:val="00142F33"/>
    <w:rsid w:val="00143159"/>
    <w:rsid w:val="001455CA"/>
    <w:rsid w:val="00145D0E"/>
    <w:rsid w:val="00147850"/>
    <w:rsid w:val="00147BC7"/>
    <w:rsid w:val="00152088"/>
    <w:rsid w:val="001524DA"/>
    <w:rsid w:val="001543E7"/>
    <w:rsid w:val="001552BA"/>
    <w:rsid w:val="001558E0"/>
    <w:rsid w:val="00155BCE"/>
    <w:rsid w:val="0016059D"/>
    <w:rsid w:val="00161EF1"/>
    <w:rsid w:val="0016279C"/>
    <w:rsid w:val="00162B91"/>
    <w:rsid w:val="001639F8"/>
    <w:rsid w:val="00164A13"/>
    <w:rsid w:val="00165156"/>
    <w:rsid w:val="00165FD1"/>
    <w:rsid w:val="0017111B"/>
    <w:rsid w:val="0017129B"/>
    <w:rsid w:val="0017160E"/>
    <w:rsid w:val="001744C0"/>
    <w:rsid w:val="00176706"/>
    <w:rsid w:val="00177461"/>
    <w:rsid w:val="00180945"/>
    <w:rsid w:val="001810B6"/>
    <w:rsid w:val="001815B0"/>
    <w:rsid w:val="0018233D"/>
    <w:rsid w:val="00182815"/>
    <w:rsid w:val="0018294F"/>
    <w:rsid w:val="00182CFF"/>
    <w:rsid w:val="001835E8"/>
    <w:rsid w:val="00183CB1"/>
    <w:rsid w:val="00184462"/>
    <w:rsid w:val="00185064"/>
    <w:rsid w:val="0018576D"/>
    <w:rsid w:val="00185834"/>
    <w:rsid w:val="001869CC"/>
    <w:rsid w:val="00187D6C"/>
    <w:rsid w:val="001904A2"/>
    <w:rsid w:val="001909BA"/>
    <w:rsid w:val="001922A3"/>
    <w:rsid w:val="001939B4"/>
    <w:rsid w:val="00194096"/>
    <w:rsid w:val="00195E84"/>
    <w:rsid w:val="001968A8"/>
    <w:rsid w:val="00196D2A"/>
    <w:rsid w:val="00197613"/>
    <w:rsid w:val="00197981"/>
    <w:rsid w:val="001A0AF9"/>
    <w:rsid w:val="001A0DA4"/>
    <w:rsid w:val="001A0EBF"/>
    <w:rsid w:val="001A30C3"/>
    <w:rsid w:val="001A359D"/>
    <w:rsid w:val="001A4D12"/>
    <w:rsid w:val="001A631D"/>
    <w:rsid w:val="001A6FF4"/>
    <w:rsid w:val="001B12D1"/>
    <w:rsid w:val="001B1442"/>
    <w:rsid w:val="001B1E49"/>
    <w:rsid w:val="001B594F"/>
    <w:rsid w:val="001B6EA6"/>
    <w:rsid w:val="001B742D"/>
    <w:rsid w:val="001B744E"/>
    <w:rsid w:val="001C0F86"/>
    <w:rsid w:val="001C1B1D"/>
    <w:rsid w:val="001C38C6"/>
    <w:rsid w:val="001C3D3C"/>
    <w:rsid w:val="001C4BAB"/>
    <w:rsid w:val="001C6988"/>
    <w:rsid w:val="001D0C20"/>
    <w:rsid w:val="001D0F79"/>
    <w:rsid w:val="001D26FD"/>
    <w:rsid w:val="001D3729"/>
    <w:rsid w:val="001D4D72"/>
    <w:rsid w:val="001D5022"/>
    <w:rsid w:val="001D52FC"/>
    <w:rsid w:val="001D6BEF"/>
    <w:rsid w:val="001D6E7C"/>
    <w:rsid w:val="001E0385"/>
    <w:rsid w:val="001E1D26"/>
    <w:rsid w:val="001E1DA8"/>
    <w:rsid w:val="001E4435"/>
    <w:rsid w:val="001E55F8"/>
    <w:rsid w:val="001E5C21"/>
    <w:rsid w:val="001E6820"/>
    <w:rsid w:val="001E68A7"/>
    <w:rsid w:val="001E71AE"/>
    <w:rsid w:val="001F0C89"/>
    <w:rsid w:val="001F1B12"/>
    <w:rsid w:val="001F1CA3"/>
    <w:rsid w:val="001F1FB7"/>
    <w:rsid w:val="001F2C81"/>
    <w:rsid w:val="001F3E5F"/>
    <w:rsid w:val="001F473A"/>
    <w:rsid w:val="001F54AA"/>
    <w:rsid w:val="001F6AE7"/>
    <w:rsid w:val="001F710C"/>
    <w:rsid w:val="001F7791"/>
    <w:rsid w:val="001F7843"/>
    <w:rsid w:val="001F7B91"/>
    <w:rsid w:val="002008F1"/>
    <w:rsid w:val="002022B5"/>
    <w:rsid w:val="002025F5"/>
    <w:rsid w:val="00203B6C"/>
    <w:rsid w:val="00204F1B"/>
    <w:rsid w:val="00204FFD"/>
    <w:rsid w:val="0020660D"/>
    <w:rsid w:val="00210443"/>
    <w:rsid w:val="00210740"/>
    <w:rsid w:val="00211B04"/>
    <w:rsid w:val="0021237D"/>
    <w:rsid w:val="002132C2"/>
    <w:rsid w:val="00215C59"/>
    <w:rsid w:val="002164C7"/>
    <w:rsid w:val="00217317"/>
    <w:rsid w:val="0022028F"/>
    <w:rsid w:val="00225C16"/>
    <w:rsid w:val="002261F7"/>
    <w:rsid w:val="0022713F"/>
    <w:rsid w:val="002276F1"/>
    <w:rsid w:val="002320E4"/>
    <w:rsid w:val="0023225C"/>
    <w:rsid w:val="00232EC7"/>
    <w:rsid w:val="002336D6"/>
    <w:rsid w:val="002337F0"/>
    <w:rsid w:val="00233DC7"/>
    <w:rsid w:val="0023700E"/>
    <w:rsid w:val="00240177"/>
    <w:rsid w:val="002401FC"/>
    <w:rsid w:val="002404A5"/>
    <w:rsid w:val="00240C13"/>
    <w:rsid w:val="00241338"/>
    <w:rsid w:val="00241D1D"/>
    <w:rsid w:val="00243698"/>
    <w:rsid w:val="00243C35"/>
    <w:rsid w:val="00245B26"/>
    <w:rsid w:val="00247779"/>
    <w:rsid w:val="00251B94"/>
    <w:rsid w:val="0025248B"/>
    <w:rsid w:val="00254C65"/>
    <w:rsid w:val="00254E54"/>
    <w:rsid w:val="00254EFC"/>
    <w:rsid w:val="0025579E"/>
    <w:rsid w:val="002560B6"/>
    <w:rsid w:val="0025613F"/>
    <w:rsid w:val="00256239"/>
    <w:rsid w:val="00256D79"/>
    <w:rsid w:val="00260AB1"/>
    <w:rsid w:val="00261837"/>
    <w:rsid w:val="002648FB"/>
    <w:rsid w:val="0026507B"/>
    <w:rsid w:val="00265C4D"/>
    <w:rsid w:val="00266C75"/>
    <w:rsid w:val="00270800"/>
    <w:rsid w:val="0027102F"/>
    <w:rsid w:val="00272936"/>
    <w:rsid w:val="00272C74"/>
    <w:rsid w:val="00273CBE"/>
    <w:rsid w:val="00274C87"/>
    <w:rsid w:val="00274CFD"/>
    <w:rsid w:val="00275341"/>
    <w:rsid w:val="00275667"/>
    <w:rsid w:val="0027631C"/>
    <w:rsid w:val="002775CD"/>
    <w:rsid w:val="00277AC3"/>
    <w:rsid w:val="00277EE7"/>
    <w:rsid w:val="002811D7"/>
    <w:rsid w:val="00282DB0"/>
    <w:rsid w:val="00283902"/>
    <w:rsid w:val="00284A73"/>
    <w:rsid w:val="00285BEE"/>
    <w:rsid w:val="00285F5E"/>
    <w:rsid w:val="002866D4"/>
    <w:rsid w:val="00290516"/>
    <w:rsid w:val="00290BB7"/>
    <w:rsid w:val="002924A4"/>
    <w:rsid w:val="00294501"/>
    <w:rsid w:val="0029533F"/>
    <w:rsid w:val="002962DE"/>
    <w:rsid w:val="00297FE1"/>
    <w:rsid w:val="002A00CF"/>
    <w:rsid w:val="002A269E"/>
    <w:rsid w:val="002A4A99"/>
    <w:rsid w:val="002A518D"/>
    <w:rsid w:val="002A532D"/>
    <w:rsid w:val="002A573E"/>
    <w:rsid w:val="002A66E3"/>
    <w:rsid w:val="002A6D1F"/>
    <w:rsid w:val="002A74AE"/>
    <w:rsid w:val="002A764D"/>
    <w:rsid w:val="002A7F75"/>
    <w:rsid w:val="002B029A"/>
    <w:rsid w:val="002B2197"/>
    <w:rsid w:val="002B30AF"/>
    <w:rsid w:val="002B3511"/>
    <w:rsid w:val="002B36D9"/>
    <w:rsid w:val="002B3D75"/>
    <w:rsid w:val="002B4444"/>
    <w:rsid w:val="002B492F"/>
    <w:rsid w:val="002B5F3B"/>
    <w:rsid w:val="002B71DD"/>
    <w:rsid w:val="002C13C4"/>
    <w:rsid w:val="002C605E"/>
    <w:rsid w:val="002C7DCF"/>
    <w:rsid w:val="002D03F1"/>
    <w:rsid w:val="002D0C5D"/>
    <w:rsid w:val="002D15AD"/>
    <w:rsid w:val="002D1961"/>
    <w:rsid w:val="002D4B6A"/>
    <w:rsid w:val="002D4D02"/>
    <w:rsid w:val="002D53CE"/>
    <w:rsid w:val="002D604B"/>
    <w:rsid w:val="002D6A04"/>
    <w:rsid w:val="002E2085"/>
    <w:rsid w:val="002E2378"/>
    <w:rsid w:val="002E29EC"/>
    <w:rsid w:val="002E2B89"/>
    <w:rsid w:val="002E371E"/>
    <w:rsid w:val="002E3DA5"/>
    <w:rsid w:val="002E4CB5"/>
    <w:rsid w:val="002E6295"/>
    <w:rsid w:val="002E71EB"/>
    <w:rsid w:val="002E7419"/>
    <w:rsid w:val="002F008D"/>
    <w:rsid w:val="002F0D6E"/>
    <w:rsid w:val="002F1CF7"/>
    <w:rsid w:val="002F1E2F"/>
    <w:rsid w:val="002F41F2"/>
    <w:rsid w:val="002F769F"/>
    <w:rsid w:val="002F7748"/>
    <w:rsid w:val="00300423"/>
    <w:rsid w:val="00301012"/>
    <w:rsid w:val="00301579"/>
    <w:rsid w:val="00301FAC"/>
    <w:rsid w:val="00302B79"/>
    <w:rsid w:val="003031A2"/>
    <w:rsid w:val="00303551"/>
    <w:rsid w:val="003036FB"/>
    <w:rsid w:val="00306647"/>
    <w:rsid w:val="00306A22"/>
    <w:rsid w:val="00310D9C"/>
    <w:rsid w:val="00314898"/>
    <w:rsid w:val="00315B3E"/>
    <w:rsid w:val="00315D15"/>
    <w:rsid w:val="00315FF4"/>
    <w:rsid w:val="00316D67"/>
    <w:rsid w:val="00316DD6"/>
    <w:rsid w:val="00322637"/>
    <w:rsid w:val="00322F42"/>
    <w:rsid w:val="003232DF"/>
    <w:rsid w:val="0032373B"/>
    <w:rsid w:val="00324AEE"/>
    <w:rsid w:val="00327EAE"/>
    <w:rsid w:val="00330119"/>
    <w:rsid w:val="00330F0C"/>
    <w:rsid w:val="0033250D"/>
    <w:rsid w:val="0033344A"/>
    <w:rsid w:val="00333578"/>
    <w:rsid w:val="00333903"/>
    <w:rsid w:val="00333952"/>
    <w:rsid w:val="00334BB1"/>
    <w:rsid w:val="00335E5F"/>
    <w:rsid w:val="0033674C"/>
    <w:rsid w:val="00337CE8"/>
    <w:rsid w:val="00340E11"/>
    <w:rsid w:val="003425D8"/>
    <w:rsid w:val="00342975"/>
    <w:rsid w:val="003430E4"/>
    <w:rsid w:val="00343B9F"/>
    <w:rsid w:val="00344526"/>
    <w:rsid w:val="00344538"/>
    <w:rsid w:val="0034539A"/>
    <w:rsid w:val="00347AAB"/>
    <w:rsid w:val="003510EC"/>
    <w:rsid w:val="00351B73"/>
    <w:rsid w:val="0035362B"/>
    <w:rsid w:val="003537AA"/>
    <w:rsid w:val="00353F97"/>
    <w:rsid w:val="003551C0"/>
    <w:rsid w:val="0035544D"/>
    <w:rsid w:val="00355631"/>
    <w:rsid w:val="00356C47"/>
    <w:rsid w:val="00356CD2"/>
    <w:rsid w:val="003606D5"/>
    <w:rsid w:val="00361403"/>
    <w:rsid w:val="00362702"/>
    <w:rsid w:val="00362884"/>
    <w:rsid w:val="00365920"/>
    <w:rsid w:val="003669EA"/>
    <w:rsid w:val="00367675"/>
    <w:rsid w:val="0036769B"/>
    <w:rsid w:val="00367A6A"/>
    <w:rsid w:val="0037208C"/>
    <w:rsid w:val="0037452E"/>
    <w:rsid w:val="00374A9D"/>
    <w:rsid w:val="00375FFD"/>
    <w:rsid w:val="003767C6"/>
    <w:rsid w:val="00376DE4"/>
    <w:rsid w:val="003774C1"/>
    <w:rsid w:val="003774D5"/>
    <w:rsid w:val="00377BC7"/>
    <w:rsid w:val="003803A3"/>
    <w:rsid w:val="003808CB"/>
    <w:rsid w:val="00383E97"/>
    <w:rsid w:val="003840EF"/>
    <w:rsid w:val="003842F3"/>
    <w:rsid w:val="00385617"/>
    <w:rsid w:val="00385F34"/>
    <w:rsid w:val="0038671C"/>
    <w:rsid w:val="00386DD9"/>
    <w:rsid w:val="00386E35"/>
    <w:rsid w:val="00386F35"/>
    <w:rsid w:val="00387264"/>
    <w:rsid w:val="0038795C"/>
    <w:rsid w:val="00387C7B"/>
    <w:rsid w:val="00390A89"/>
    <w:rsid w:val="00391096"/>
    <w:rsid w:val="003911A0"/>
    <w:rsid w:val="00391FA9"/>
    <w:rsid w:val="0039276B"/>
    <w:rsid w:val="00393970"/>
    <w:rsid w:val="00394103"/>
    <w:rsid w:val="00396088"/>
    <w:rsid w:val="003A071D"/>
    <w:rsid w:val="003A0E69"/>
    <w:rsid w:val="003A278A"/>
    <w:rsid w:val="003A6F04"/>
    <w:rsid w:val="003B08A3"/>
    <w:rsid w:val="003B0F7A"/>
    <w:rsid w:val="003B23D7"/>
    <w:rsid w:val="003B38CA"/>
    <w:rsid w:val="003B3992"/>
    <w:rsid w:val="003B4BB6"/>
    <w:rsid w:val="003B4FF8"/>
    <w:rsid w:val="003B55F4"/>
    <w:rsid w:val="003C1639"/>
    <w:rsid w:val="003C1BD1"/>
    <w:rsid w:val="003C2403"/>
    <w:rsid w:val="003C2B91"/>
    <w:rsid w:val="003C2D88"/>
    <w:rsid w:val="003C4FB3"/>
    <w:rsid w:val="003C7115"/>
    <w:rsid w:val="003C7BD4"/>
    <w:rsid w:val="003D0B9B"/>
    <w:rsid w:val="003D0FBB"/>
    <w:rsid w:val="003D1661"/>
    <w:rsid w:val="003D2F2C"/>
    <w:rsid w:val="003D382F"/>
    <w:rsid w:val="003D42EA"/>
    <w:rsid w:val="003D7B1F"/>
    <w:rsid w:val="003D7DAA"/>
    <w:rsid w:val="003E0C61"/>
    <w:rsid w:val="003E4B02"/>
    <w:rsid w:val="003E59B7"/>
    <w:rsid w:val="003E72C6"/>
    <w:rsid w:val="003E73E8"/>
    <w:rsid w:val="003F1D52"/>
    <w:rsid w:val="003F1F5C"/>
    <w:rsid w:val="003F260E"/>
    <w:rsid w:val="003F38F2"/>
    <w:rsid w:val="003F3C81"/>
    <w:rsid w:val="003F44CB"/>
    <w:rsid w:val="003F4ADA"/>
    <w:rsid w:val="003F61FB"/>
    <w:rsid w:val="00400E27"/>
    <w:rsid w:val="00401981"/>
    <w:rsid w:val="00402D7C"/>
    <w:rsid w:val="0040448C"/>
    <w:rsid w:val="00405655"/>
    <w:rsid w:val="00405EFE"/>
    <w:rsid w:val="00406696"/>
    <w:rsid w:val="004073BE"/>
    <w:rsid w:val="004105B5"/>
    <w:rsid w:val="004115CF"/>
    <w:rsid w:val="00411C20"/>
    <w:rsid w:val="00411D5E"/>
    <w:rsid w:val="00412788"/>
    <w:rsid w:val="0041318B"/>
    <w:rsid w:val="00413293"/>
    <w:rsid w:val="0041476D"/>
    <w:rsid w:val="00414AC7"/>
    <w:rsid w:val="0041531A"/>
    <w:rsid w:val="004159C2"/>
    <w:rsid w:val="00417875"/>
    <w:rsid w:val="00420740"/>
    <w:rsid w:val="0042107F"/>
    <w:rsid w:val="0042173D"/>
    <w:rsid w:val="00423082"/>
    <w:rsid w:val="00423E10"/>
    <w:rsid w:val="00423E25"/>
    <w:rsid w:val="00424B0B"/>
    <w:rsid w:val="004254C0"/>
    <w:rsid w:val="0042648E"/>
    <w:rsid w:val="004302E2"/>
    <w:rsid w:val="00430508"/>
    <w:rsid w:val="00430C9E"/>
    <w:rsid w:val="00431CAA"/>
    <w:rsid w:val="0043304D"/>
    <w:rsid w:val="00436D7F"/>
    <w:rsid w:val="0044218E"/>
    <w:rsid w:val="004421BC"/>
    <w:rsid w:val="004422FA"/>
    <w:rsid w:val="00442963"/>
    <w:rsid w:val="0044530D"/>
    <w:rsid w:val="00445DD9"/>
    <w:rsid w:val="00447839"/>
    <w:rsid w:val="004501AD"/>
    <w:rsid w:val="004502F4"/>
    <w:rsid w:val="004519F0"/>
    <w:rsid w:val="004521B5"/>
    <w:rsid w:val="00453471"/>
    <w:rsid w:val="00455914"/>
    <w:rsid w:val="004568FB"/>
    <w:rsid w:val="00457351"/>
    <w:rsid w:val="004573C6"/>
    <w:rsid w:val="004574E9"/>
    <w:rsid w:val="004610FB"/>
    <w:rsid w:val="004622D8"/>
    <w:rsid w:val="0046535C"/>
    <w:rsid w:val="00466578"/>
    <w:rsid w:val="00466F6C"/>
    <w:rsid w:val="00471DB1"/>
    <w:rsid w:val="00472ADB"/>
    <w:rsid w:val="00473477"/>
    <w:rsid w:val="00473C9A"/>
    <w:rsid w:val="00473E0E"/>
    <w:rsid w:val="00474A80"/>
    <w:rsid w:val="00474F38"/>
    <w:rsid w:val="0047689D"/>
    <w:rsid w:val="00476A1B"/>
    <w:rsid w:val="00476D28"/>
    <w:rsid w:val="00477054"/>
    <w:rsid w:val="00477745"/>
    <w:rsid w:val="0048033F"/>
    <w:rsid w:val="00480BDC"/>
    <w:rsid w:val="004850F0"/>
    <w:rsid w:val="00486BE5"/>
    <w:rsid w:val="004871DD"/>
    <w:rsid w:val="004873F3"/>
    <w:rsid w:val="004878EE"/>
    <w:rsid w:val="00492F3E"/>
    <w:rsid w:val="004936D2"/>
    <w:rsid w:val="00493CF6"/>
    <w:rsid w:val="00494032"/>
    <w:rsid w:val="00495DCC"/>
    <w:rsid w:val="0049620B"/>
    <w:rsid w:val="00496C69"/>
    <w:rsid w:val="004977BA"/>
    <w:rsid w:val="004A1E81"/>
    <w:rsid w:val="004A4346"/>
    <w:rsid w:val="004A7F20"/>
    <w:rsid w:val="004B002F"/>
    <w:rsid w:val="004B096F"/>
    <w:rsid w:val="004B1194"/>
    <w:rsid w:val="004B1D2D"/>
    <w:rsid w:val="004B25D9"/>
    <w:rsid w:val="004B292D"/>
    <w:rsid w:val="004B4A2F"/>
    <w:rsid w:val="004B5DD9"/>
    <w:rsid w:val="004B6F82"/>
    <w:rsid w:val="004B6FA8"/>
    <w:rsid w:val="004C15AC"/>
    <w:rsid w:val="004C3031"/>
    <w:rsid w:val="004C33E6"/>
    <w:rsid w:val="004C785E"/>
    <w:rsid w:val="004D23F9"/>
    <w:rsid w:val="004D3387"/>
    <w:rsid w:val="004D3A17"/>
    <w:rsid w:val="004D67AF"/>
    <w:rsid w:val="004D67C0"/>
    <w:rsid w:val="004D6CE4"/>
    <w:rsid w:val="004D6DEB"/>
    <w:rsid w:val="004D7899"/>
    <w:rsid w:val="004D7F75"/>
    <w:rsid w:val="004E3410"/>
    <w:rsid w:val="004E349C"/>
    <w:rsid w:val="004E602C"/>
    <w:rsid w:val="004E6A50"/>
    <w:rsid w:val="004F0AA4"/>
    <w:rsid w:val="004F2223"/>
    <w:rsid w:val="004F2B8B"/>
    <w:rsid w:val="004F2E81"/>
    <w:rsid w:val="004F36DA"/>
    <w:rsid w:val="004F3EBE"/>
    <w:rsid w:val="004F448F"/>
    <w:rsid w:val="004F5440"/>
    <w:rsid w:val="004F5F0C"/>
    <w:rsid w:val="004F6409"/>
    <w:rsid w:val="004F7AC0"/>
    <w:rsid w:val="00500E7C"/>
    <w:rsid w:val="0050189F"/>
    <w:rsid w:val="00501E06"/>
    <w:rsid w:val="005020E2"/>
    <w:rsid w:val="0050259C"/>
    <w:rsid w:val="0050282F"/>
    <w:rsid w:val="00504A70"/>
    <w:rsid w:val="00505862"/>
    <w:rsid w:val="0050762D"/>
    <w:rsid w:val="00507E2C"/>
    <w:rsid w:val="005101B0"/>
    <w:rsid w:val="005120A9"/>
    <w:rsid w:val="00513D32"/>
    <w:rsid w:val="005143C8"/>
    <w:rsid w:val="005149FE"/>
    <w:rsid w:val="00516B6F"/>
    <w:rsid w:val="0052048F"/>
    <w:rsid w:val="005218C7"/>
    <w:rsid w:val="00523BBA"/>
    <w:rsid w:val="005248D8"/>
    <w:rsid w:val="00525552"/>
    <w:rsid w:val="00525C53"/>
    <w:rsid w:val="005306E3"/>
    <w:rsid w:val="0053404A"/>
    <w:rsid w:val="00534F9B"/>
    <w:rsid w:val="00536B6A"/>
    <w:rsid w:val="00537974"/>
    <w:rsid w:val="00540FB5"/>
    <w:rsid w:val="00541B20"/>
    <w:rsid w:val="0054217B"/>
    <w:rsid w:val="00546F3E"/>
    <w:rsid w:val="00547ABA"/>
    <w:rsid w:val="0055062F"/>
    <w:rsid w:val="005508AF"/>
    <w:rsid w:val="005508FD"/>
    <w:rsid w:val="00551547"/>
    <w:rsid w:val="00552AE9"/>
    <w:rsid w:val="00552E4E"/>
    <w:rsid w:val="00555E80"/>
    <w:rsid w:val="00557E04"/>
    <w:rsid w:val="005607C2"/>
    <w:rsid w:val="00561284"/>
    <w:rsid w:val="0056310F"/>
    <w:rsid w:val="005645A1"/>
    <w:rsid w:val="00564C4E"/>
    <w:rsid w:val="00565A63"/>
    <w:rsid w:val="00566131"/>
    <w:rsid w:val="005662A7"/>
    <w:rsid w:val="00566C5E"/>
    <w:rsid w:val="00567942"/>
    <w:rsid w:val="0057213E"/>
    <w:rsid w:val="00574BA2"/>
    <w:rsid w:val="0057507E"/>
    <w:rsid w:val="00575202"/>
    <w:rsid w:val="0058130C"/>
    <w:rsid w:val="005814F5"/>
    <w:rsid w:val="00581F05"/>
    <w:rsid w:val="00582202"/>
    <w:rsid w:val="0058268E"/>
    <w:rsid w:val="00582C8E"/>
    <w:rsid w:val="00583750"/>
    <w:rsid w:val="005841FC"/>
    <w:rsid w:val="00585B7C"/>
    <w:rsid w:val="00587FFD"/>
    <w:rsid w:val="005900F3"/>
    <w:rsid w:val="00591040"/>
    <w:rsid w:val="00591AD3"/>
    <w:rsid w:val="0059262B"/>
    <w:rsid w:val="00592853"/>
    <w:rsid w:val="00593923"/>
    <w:rsid w:val="00593E0C"/>
    <w:rsid w:val="00596E54"/>
    <w:rsid w:val="00597EA6"/>
    <w:rsid w:val="005A1095"/>
    <w:rsid w:val="005A1416"/>
    <w:rsid w:val="005A30BD"/>
    <w:rsid w:val="005A32B8"/>
    <w:rsid w:val="005A38C3"/>
    <w:rsid w:val="005A3C93"/>
    <w:rsid w:val="005A4FAC"/>
    <w:rsid w:val="005A680C"/>
    <w:rsid w:val="005A6CCF"/>
    <w:rsid w:val="005A74A4"/>
    <w:rsid w:val="005B1EB6"/>
    <w:rsid w:val="005B22D1"/>
    <w:rsid w:val="005B3FA0"/>
    <w:rsid w:val="005B400C"/>
    <w:rsid w:val="005B465B"/>
    <w:rsid w:val="005B5245"/>
    <w:rsid w:val="005B66A3"/>
    <w:rsid w:val="005C13C1"/>
    <w:rsid w:val="005C2748"/>
    <w:rsid w:val="005C299A"/>
    <w:rsid w:val="005C2C49"/>
    <w:rsid w:val="005C47C9"/>
    <w:rsid w:val="005C4B13"/>
    <w:rsid w:val="005C5133"/>
    <w:rsid w:val="005C741D"/>
    <w:rsid w:val="005C7751"/>
    <w:rsid w:val="005D0758"/>
    <w:rsid w:val="005D1930"/>
    <w:rsid w:val="005D1B06"/>
    <w:rsid w:val="005D1F2F"/>
    <w:rsid w:val="005D1F90"/>
    <w:rsid w:val="005D22AC"/>
    <w:rsid w:val="005D2477"/>
    <w:rsid w:val="005D28B3"/>
    <w:rsid w:val="005D4D0B"/>
    <w:rsid w:val="005D4E2B"/>
    <w:rsid w:val="005D5557"/>
    <w:rsid w:val="005D606E"/>
    <w:rsid w:val="005D7E15"/>
    <w:rsid w:val="005E1814"/>
    <w:rsid w:val="005E1B4F"/>
    <w:rsid w:val="005E1DC5"/>
    <w:rsid w:val="005E3EBF"/>
    <w:rsid w:val="005E5E6B"/>
    <w:rsid w:val="005E72DB"/>
    <w:rsid w:val="005E7FF4"/>
    <w:rsid w:val="005F0477"/>
    <w:rsid w:val="005F3552"/>
    <w:rsid w:val="005F6256"/>
    <w:rsid w:val="005F6544"/>
    <w:rsid w:val="00600AFA"/>
    <w:rsid w:val="006010A9"/>
    <w:rsid w:val="00601920"/>
    <w:rsid w:val="00602D89"/>
    <w:rsid w:val="00604611"/>
    <w:rsid w:val="00604B75"/>
    <w:rsid w:val="006056EB"/>
    <w:rsid w:val="006057D1"/>
    <w:rsid w:val="00605C7A"/>
    <w:rsid w:val="006073F4"/>
    <w:rsid w:val="006122BA"/>
    <w:rsid w:val="00612478"/>
    <w:rsid w:val="0061305A"/>
    <w:rsid w:val="0061434E"/>
    <w:rsid w:val="006159CB"/>
    <w:rsid w:val="006161EA"/>
    <w:rsid w:val="00616750"/>
    <w:rsid w:val="0061745C"/>
    <w:rsid w:val="006208C6"/>
    <w:rsid w:val="0062122C"/>
    <w:rsid w:val="006219EB"/>
    <w:rsid w:val="006228A1"/>
    <w:rsid w:val="00622F41"/>
    <w:rsid w:val="006238DC"/>
    <w:rsid w:val="00624437"/>
    <w:rsid w:val="0062509C"/>
    <w:rsid w:val="00625A67"/>
    <w:rsid w:val="00625E3B"/>
    <w:rsid w:val="00627091"/>
    <w:rsid w:val="006301D2"/>
    <w:rsid w:val="00630929"/>
    <w:rsid w:val="00631CA3"/>
    <w:rsid w:val="00632176"/>
    <w:rsid w:val="006322F6"/>
    <w:rsid w:val="00634033"/>
    <w:rsid w:val="00635CC2"/>
    <w:rsid w:val="00636313"/>
    <w:rsid w:val="00636C59"/>
    <w:rsid w:val="00636C65"/>
    <w:rsid w:val="006372CB"/>
    <w:rsid w:val="006415BA"/>
    <w:rsid w:val="00641971"/>
    <w:rsid w:val="006430AE"/>
    <w:rsid w:val="006440A9"/>
    <w:rsid w:val="00644BBE"/>
    <w:rsid w:val="0064529D"/>
    <w:rsid w:val="006453EE"/>
    <w:rsid w:val="006456F6"/>
    <w:rsid w:val="00646D7F"/>
    <w:rsid w:val="00647F6F"/>
    <w:rsid w:val="00651C03"/>
    <w:rsid w:val="006529A8"/>
    <w:rsid w:val="00653655"/>
    <w:rsid w:val="00653825"/>
    <w:rsid w:val="0065742D"/>
    <w:rsid w:val="006601BD"/>
    <w:rsid w:val="00662936"/>
    <w:rsid w:val="00662972"/>
    <w:rsid w:val="006634A6"/>
    <w:rsid w:val="00663DEF"/>
    <w:rsid w:val="00663FBA"/>
    <w:rsid w:val="006642E9"/>
    <w:rsid w:val="00665320"/>
    <w:rsid w:val="00665717"/>
    <w:rsid w:val="00665BE5"/>
    <w:rsid w:val="00665CD4"/>
    <w:rsid w:val="00667308"/>
    <w:rsid w:val="00670966"/>
    <w:rsid w:val="00670FC2"/>
    <w:rsid w:val="00671764"/>
    <w:rsid w:val="00672746"/>
    <w:rsid w:val="00672D56"/>
    <w:rsid w:val="00673E02"/>
    <w:rsid w:val="00675870"/>
    <w:rsid w:val="00675B5D"/>
    <w:rsid w:val="00675DCE"/>
    <w:rsid w:val="006763A8"/>
    <w:rsid w:val="00676510"/>
    <w:rsid w:val="00680439"/>
    <w:rsid w:val="0068125E"/>
    <w:rsid w:val="006822FC"/>
    <w:rsid w:val="006830CF"/>
    <w:rsid w:val="0068343F"/>
    <w:rsid w:val="006835E3"/>
    <w:rsid w:val="00684456"/>
    <w:rsid w:val="00686342"/>
    <w:rsid w:val="006871BB"/>
    <w:rsid w:val="00687E55"/>
    <w:rsid w:val="00690878"/>
    <w:rsid w:val="00690EC2"/>
    <w:rsid w:val="006941F6"/>
    <w:rsid w:val="00695175"/>
    <w:rsid w:val="00696480"/>
    <w:rsid w:val="00697378"/>
    <w:rsid w:val="006A1210"/>
    <w:rsid w:val="006A48F1"/>
    <w:rsid w:val="006A5EE8"/>
    <w:rsid w:val="006A76F1"/>
    <w:rsid w:val="006B05E7"/>
    <w:rsid w:val="006B0A89"/>
    <w:rsid w:val="006B0BBD"/>
    <w:rsid w:val="006B0D71"/>
    <w:rsid w:val="006B1892"/>
    <w:rsid w:val="006B2FD5"/>
    <w:rsid w:val="006B6768"/>
    <w:rsid w:val="006B7E29"/>
    <w:rsid w:val="006C0C3B"/>
    <w:rsid w:val="006C1324"/>
    <w:rsid w:val="006C1796"/>
    <w:rsid w:val="006C34E2"/>
    <w:rsid w:val="006C3948"/>
    <w:rsid w:val="006C4D52"/>
    <w:rsid w:val="006C5F30"/>
    <w:rsid w:val="006C7D31"/>
    <w:rsid w:val="006C7E72"/>
    <w:rsid w:val="006D25EA"/>
    <w:rsid w:val="006D2AE9"/>
    <w:rsid w:val="006D4090"/>
    <w:rsid w:val="006D427B"/>
    <w:rsid w:val="006D47E5"/>
    <w:rsid w:val="006D54EC"/>
    <w:rsid w:val="006D663D"/>
    <w:rsid w:val="006D70B1"/>
    <w:rsid w:val="006D77D4"/>
    <w:rsid w:val="006E1FB4"/>
    <w:rsid w:val="006E4657"/>
    <w:rsid w:val="006E4BB3"/>
    <w:rsid w:val="006E5792"/>
    <w:rsid w:val="006F39E2"/>
    <w:rsid w:val="006F3C23"/>
    <w:rsid w:val="006F3E8C"/>
    <w:rsid w:val="006F708F"/>
    <w:rsid w:val="006F7EC0"/>
    <w:rsid w:val="007008E0"/>
    <w:rsid w:val="00700D5D"/>
    <w:rsid w:val="00702400"/>
    <w:rsid w:val="00702FC0"/>
    <w:rsid w:val="007051E0"/>
    <w:rsid w:val="007065BF"/>
    <w:rsid w:val="00707D94"/>
    <w:rsid w:val="007106E9"/>
    <w:rsid w:val="00710D5D"/>
    <w:rsid w:val="007119FA"/>
    <w:rsid w:val="0071282E"/>
    <w:rsid w:val="00712CBB"/>
    <w:rsid w:val="00713A72"/>
    <w:rsid w:val="007144CF"/>
    <w:rsid w:val="007165A0"/>
    <w:rsid w:val="00716AB8"/>
    <w:rsid w:val="00716C08"/>
    <w:rsid w:val="00717C78"/>
    <w:rsid w:val="00717E88"/>
    <w:rsid w:val="00722364"/>
    <w:rsid w:val="00723EC0"/>
    <w:rsid w:val="007251BC"/>
    <w:rsid w:val="00725B93"/>
    <w:rsid w:val="00725BC5"/>
    <w:rsid w:val="007262EF"/>
    <w:rsid w:val="00731493"/>
    <w:rsid w:val="00733E4C"/>
    <w:rsid w:val="00733EA8"/>
    <w:rsid w:val="00733F22"/>
    <w:rsid w:val="007340DF"/>
    <w:rsid w:val="007348E6"/>
    <w:rsid w:val="00735251"/>
    <w:rsid w:val="00736F06"/>
    <w:rsid w:val="00742E45"/>
    <w:rsid w:val="007454F6"/>
    <w:rsid w:val="00746B3A"/>
    <w:rsid w:val="0074741F"/>
    <w:rsid w:val="00747540"/>
    <w:rsid w:val="00747E62"/>
    <w:rsid w:val="00747F3C"/>
    <w:rsid w:val="00751633"/>
    <w:rsid w:val="00751652"/>
    <w:rsid w:val="007521C4"/>
    <w:rsid w:val="007523C1"/>
    <w:rsid w:val="00752BC8"/>
    <w:rsid w:val="00752C1B"/>
    <w:rsid w:val="007534CE"/>
    <w:rsid w:val="007572EE"/>
    <w:rsid w:val="007578A0"/>
    <w:rsid w:val="007602BA"/>
    <w:rsid w:val="00760931"/>
    <w:rsid w:val="00762B71"/>
    <w:rsid w:val="007656C4"/>
    <w:rsid w:val="007657C9"/>
    <w:rsid w:val="00770AF0"/>
    <w:rsid w:val="007727C6"/>
    <w:rsid w:val="00773331"/>
    <w:rsid w:val="007739E9"/>
    <w:rsid w:val="00773A94"/>
    <w:rsid w:val="0077463E"/>
    <w:rsid w:val="00774C7C"/>
    <w:rsid w:val="00775779"/>
    <w:rsid w:val="0077628E"/>
    <w:rsid w:val="00777391"/>
    <w:rsid w:val="0078099E"/>
    <w:rsid w:val="007849F2"/>
    <w:rsid w:val="00784AB7"/>
    <w:rsid w:val="00786638"/>
    <w:rsid w:val="00786CD9"/>
    <w:rsid w:val="00787E7A"/>
    <w:rsid w:val="007917E9"/>
    <w:rsid w:val="007932EF"/>
    <w:rsid w:val="00793C1E"/>
    <w:rsid w:val="00796E2A"/>
    <w:rsid w:val="007A0B34"/>
    <w:rsid w:val="007A0FE9"/>
    <w:rsid w:val="007A1103"/>
    <w:rsid w:val="007A1B5D"/>
    <w:rsid w:val="007A1C4D"/>
    <w:rsid w:val="007A44F1"/>
    <w:rsid w:val="007A4C6E"/>
    <w:rsid w:val="007A4E6D"/>
    <w:rsid w:val="007A64DF"/>
    <w:rsid w:val="007A6651"/>
    <w:rsid w:val="007A6C59"/>
    <w:rsid w:val="007B001F"/>
    <w:rsid w:val="007B101F"/>
    <w:rsid w:val="007B20D8"/>
    <w:rsid w:val="007B36A8"/>
    <w:rsid w:val="007B3981"/>
    <w:rsid w:val="007B40B8"/>
    <w:rsid w:val="007B420B"/>
    <w:rsid w:val="007C0AFD"/>
    <w:rsid w:val="007C187F"/>
    <w:rsid w:val="007C1ADC"/>
    <w:rsid w:val="007C287D"/>
    <w:rsid w:val="007C3B97"/>
    <w:rsid w:val="007C5AF1"/>
    <w:rsid w:val="007C73A2"/>
    <w:rsid w:val="007C7673"/>
    <w:rsid w:val="007D0956"/>
    <w:rsid w:val="007D0F8B"/>
    <w:rsid w:val="007D2D8D"/>
    <w:rsid w:val="007D3721"/>
    <w:rsid w:val="007D3A4F"/>
    <w:rsid w:val="007D43B0"/>
    <w:rsid w:val="007D4B35"/>
    <w:rsid w:val="007D4D78"/>
    <w:rsid w:val="007D6674"/>
    <w:rsid w:val="007E05B0"/>
    <w:rsid w:val="007E06CF"/>
    <w:rsid w:val="007E15B8"/>
    <w:rsid w:val="007E216D"/>
    <w:rsid w:val="007E3399"/>
    <w:rsid w:val="007E789D"/>
    <w:rsid w:val="007F01BE"/>
    <w:rsid w:val="007F03ED"/>
    <w:rsid w:val="007F23ED"/>
    <w:rsid w:val="007F35C9"/>
    <w:rsid w:val="007F384D"/>
    <w:rsid w:val="007F658F"/>
    <w:rsid w:val="00801155"/>
    <w:rsid w:val="0080240A"/>
    <w:rsid w:val="00804D30"/>
    <w:rsid w:val="0080531D"/>
    <w:rsid w:val="00806D28"/>
    <w:rsid w:val="008070F2"/>
    <w:rsid w:val="008072AB"/>
    <w:rsid w:val="00807F80"/>
    <w:rsid w:val="00810CDD"/>
    <w:rsid w:val="008138FA"/>
    <w:rsid w:val="00816497"/>
    <w:rsid w:val="00816702"/>
    <w:rsid w:val="00817498"/>
    <w:rsid w:val="008177BE"/>
    <w:rsid w:val="00817AF7"/>
    <w:rsid w:val="008207C3"/>
    <w:rsid w:val="0082092A"/>
    <w:rsid w:val="00820DBB"/>
    <w:rsid w:val="00822325"/>
    <w:rsid w:val="00824162"/>
    <w:rsid w:val="008246DC"/>
    <w:rsid w:val="00824934"/>
    <w:rsid w:val="00824EE9"/>
    <w:rsid w:val="00826FE6"/>
    <w:rsid w:val="00827418"/>
    <w:rsid w:val="00830351"/>
    <w:rsid w:val="008309A8"/>
    <w:rsid w:val="008314B3"/>
    <w:rsid w:val="00831AEA"/>
    <w:rsid w:val="008320D8"/>
    <w:rsid w:val="008325E7"/>
    <w:rsid w:val="00833995"/>
    <w:rsid w:val="00836262"/>
    <w:rsid w:val="00837ADA"/>
    <w:rsid w:val="008424DC"/>
    <w:rsid w:val="00842A86"/>
    <w:rsid w:val="00844BDD"/>
    <w:rsid w:val="00844BF2"/>
    <w:rsid w:val="00845F8E"/>
    <w:rsid w:val="00850226"/>
    <w:rsid w:val="0085052F"/>
    <w:rsid w:val="0085145F"/>
    <w:rsid w:val="00853E16"/>
    <w:rsid w:val="00854CD4"/>
    <w:rsid w:val="0085710E"/>
    <w:rsid w:val="00861D72"/>
    <w:rsid w:val="0086222F"/>
    <w:rsid w:val="00863B33"/>
    <w:rsid w:val="00864E10"/>
    <w:rsid w:val="00864F12"/>
    <w:rsid w:val="0086524D"/>
    <w:rsid w:val="00865EC1"/>
    <w:rsid w:val="00866334"/>
    <w:rsid w:val="00866E82"/>
    <w:rsid w:val="00870140"/>
    <w:rsid w:val="00872A1B"/>
    <w:rsid w:val="00873D6B"/>
    <w:rsid w:val="008746DE"/>
    <w:rsid w:val="00874864"/>
    <w:rsid w:val="00874D22"/>
    <w:rsid w:val="008775A4"/>
    <w:rsid w:val="00880858"/>
    <w:rsid w:val="00880BE8"/>
    <w:rsid w:val="00880F13"/>
    <w:rsid w:val="00881316"/>
    <w:rsid w:val="008816E6"/>
    <w:rsid w:val="00881BEF"/>
    <w:rsid w:val="00882637"/>
    <w:rsid w:val="00882677"/>
    <w:rsid w:val="00883B2C"/>
    <w:rsid w:val="00884363"/>
    <w:rsid w:val="00887EF2"/>
    <w:rsid w:val="00890CB3"/>
    <w:rsid w:val="008913B4"/>
    <w:rsid w:val="00892262"/>
    <w:rsid w:val="008924CF"/>
    <w:rsid w:val="008927CC"/>
    <w:rsid w:val="0089458F"/>
    <w:rsid w:val="008945C5"/>
    <w:rsid w:val="0089506E"/>
    <w:rsid w:val="00895766"/>
    <w:rsid w:val="0089656B"/>
    <w:rsid w:val="008967A0"/>
    <w:rsid w:val="00897D88"/>
    <w:rsid w:val="008A06DB"/>
    <w:rsid w:val="008A13A9"/>
    <w:rsid w:val="008A1C51"/>
    <w:rsid w:val="008A2914"/>
    <w:rsid w:val="008A2F2A"/>
    <w:rsid w:val="008A3BA3"/>
    <w:rsid w:val="008A4989"/>
    <w:rsid w:val="008A60E4"/>
    <w:rsid w:val="008A6C7D"/>
    <w:rsid w:val="008B038F"/>
    <w:rsid w:val="008B19C6"/>
    <w:rsid w:val="008B3143"/>
    <w:rsid w:val="008B314E"/>
    <w:rsid w:val="008B5AB2"/>
    <w:rsid w:val="008B7837"/>
    <w:rsid w:val="008C3599"/>
    <w:rsid w:val="008C4486"/>
    <w:rsid w:val="008D0F47"/>
    <w:rsid w:val="008D173E"/>
    <w:rsid w:val="008D19FF"/>
    <w:rsid w:val="008D307D"/>
    <w:rsid w:val="008D3EC9"/>
    <w:rsid w:val="008D4C47"/>
    <w:rsid w:val="008D6054"/>
    <w:rsid w:val="008D6330"/>
    <w:rsid w:val="008D65DF"/>
    <w:rsid w:val="008E0CBE"/>
    <w:rsid w:val="008E1914"/>
    <w:rsid w:val="008E2E59"/>
    <w:rsid w:val="008E392F"/>
    <w:rsid w:val="008E4D8E"/>
    <w:rsid w:val="008E5984"/>
    <w:rsid w:val="008E5AD8"/>
    <w:rsid w:val="008E62DE"/>
    <w:rsid w:val="008E6A14"/>
    <w:rsid w:val="008F0CBB"/>
    <w:rsid w:val="008F0E55"/>
    <w:rsid w:val="008F23CF"/>
    <w:rsid w:val="008F2ABF"/>
    <w:rsid w:val="008F3AEE"/>
    <w:rsid w:val="008F6834"/>
    <w:rsid w:val="008F6A7F"/>
    <w:rsid w:val="008F70B6"/>
    <w:rsid w:val="009006D9"/>
    <w:rsid w:val="00900D68"/>
    <w:rsid w:val="00900ED5"/>
    <w:rsid w:val="009024E4"/>
    <w:rsid w:val="00902D86"/>
    <w:rsid w:val="00904418"/>
    <w:rsid w:val="009051A7"/>
    <w:rsid w:val="00905522"/>
    <w:rsid w:val="009060D4"/>
    <w:rsid w:val="00906724"/>
    <w:rsid w:val="00910EF1"/>
    <w:rsid w:val="00911598"/>
    <w:rsid w:val="00911D62"/>
    <w:rsid w:val="0091228E"/>
    <w:rsid w:val="0091380D"/>
    <w:rsid w:val="00914C25"/>
    <w:rsid w:val="00920D06"/>
    <w:rsid w:val="00921CC5"/>
    <w:rsid w:val="00922B22"/>
    <w:rsid w:val="00925088"/>
    <w:rsid w:val="009255E1"/>
    <w:rsid w:val="00925E2E"/>
    <w:rsid w:val="009263DF"/>
    <w:rsid w:val="00926714"/>
    <w:rsid w:val="0093054A"/>
    <w:rsid w:val="009307EA"/>
    <w:rsid w:val="00931C60"/>
    <w:rsid w:val="009339C0"/>
    <w:rsid w:val="00933E5D"/>
    <w:rsid w:val="00933E67"/>
    <w:rsid w:val="00935763"/>
    <w:rsid w:val="0093625B"/>
    <w:rsid w:val="009373C2"/>
    <w:rsid w:val="00940765"/>
    <w:rsid w:val="00941ACC"/>
    <w:rsid w:val="00941E0C"/>
    <w:rsid w:val="009423F3"/>
    <w:rsid w:val="00942D45"/>
    <w:rsid w:val="009452F6"/>
    <w:rsid w:val="00946A8F"/>
    <w:rsid w:val="009474B3"/>
    <w:rsid w:val="00947821"/>
    <w:rsid w:val="009478FF"/>
    <w:rsid w:val="00950639"/>
    <w:rsid w:val="0095110B"/>
    <w:rsid w:val="009515DD"/>
    <w:rsid w:val="00952042"/>
    <w:rsid w:val="009520F2"/>
    <w:rsid w:val="00953093"/>
    <w:rsid w:val="00953E06"/>
    <w:rsid w:val="0095450C"/>
    <w:rsid w:val="00955A4B"/>
    <w:rsid w:val="009563BD"/>
    <w:rsid w:val="0095672A"/>
    <w:rsid w:val="00956949"/>
    <w:rsid w:val="00961FB8"/>
    <w:rsid w:val="00962A1D"/>
    <w:rsid w:val="009639BC"/>
    <w:rsid w:val="00964F91"/>
    <w:rsid w:val="00966715"/>
    <w:rsid w:val="00966866"/>
    <w:rsid w:val="0096766E"/>
    <w:rsid w:val="00971730"/>
    <w:rsid w:val="009743E6"/>
    <w:rsid w:val="00974FD0"/>
    <w:rsid w:val="009762C9"/>
    <w:rsid w:val="00976696"/>
    <w:rsid w:val="00976753"/>
    <w:rsid w:val="00976DAB"/>
    <w:rsid w:val="0097731D"/>
    <w:rsid w:val="00977C07"/>
    <w:rsid w:val="00980C89"/>
    <w:rsid w:val="0098173B"/>
    <w:rsid w:val="00982962"/>
    <w:rsid w:val="0098365B"/>
    <w:rsid w:val="0098542B"/>
    <w:rsid w:val="009868C1"/>
    <w:rsid w:val="00992F11"/>
    <w:rsid w:val="009932A9"/>
    <w:rsid w:val="009939FA"/>
    <w:rsid w:val="00995039"/>
    <w:rsid w:val="0099540C"/>
    <w:rsid w:val="009958E0"/>
    <w:rsid w:val="009A0F07"/>
    <w:rsid w:val="009A22CD"/>
    <w:rsid w:val="009A26CE"/>
    <w:rsid w:val="009A63E5"/>
    <w:rsid w:val="009A690C"/>
    <w:rsid w:val="009A718B"/>
    <w:rsid w:val="009A72BF"/>
    <w:rsid w:val="009A72C2"/>
    <w:rsid w:val="009B19EB"/>
    <w:rsid w:val="009B22B4"/>
    <w:rsid w:val="009B2E13"/>
    <w:rsid w:val="009B3957"/>
    <w:rsid w:val="009B53D0"/>
    <w:rsid w:val="009B5763"/>
    <w:rsid w:val="009B7269"/>
    <w:rsid w:val="009B7549"/>
    <w:rsid w:val="009B7B22"/>
    <w:rsid w:val="009C02A1"/>
    <w:rsid w:val="009C08D1"/>
    <w:rsid w:val="009C094C"/>
    <w:rsid w:val="009C17B6"/>
    <w:rsid w:val="009C23F8"/>
    <w:rsid w:val="009C2D7E"/>
    <w:rsid w:val="009C4878"/>
    <w:rsid w:val="009C4F11"/>
    <w:rsid w:val="009C5552"/>
    <w:rsid w:val="009C5852"/>
    <w:rsid w:val="009D1F4F"/>
    <w:rsid w:val="009D224A"/>
    <w:rsid w:val="009D25CD"/>
    <w:rsid w:val="009D537B"/>
    <w:rsid w:val="009D5EE8"/>
    <w:rsid w:val="009E04BC"/>
    <w:rsid w:val="009E0918"/>
    <w:rsid w:val="009E09D3"/>
    <w:rsid w:val="009E1042"/>
    <w:rsid w:val="009E22CF"/>
    <w:rsid w:val="009E3154"/>
    <w:rsid w:val="009E3ED0"/>
    <w:rsid w:val="009E5684"/>
    <w:rsid w:val="009E7322"/>
    <w:rsid w:val="009F144B"/>
    <w:rsid w:val="009F1456"/>
    <w:rsid w:val="009F1E12"/>
    <w:rsid w:val="009F2304"/>
    <w:rsid w:val="009F46A7"/>
    <w:rsid w:val="009F4713"/>
    <w:rsid w:val="009F472B"/>
    <w:rsid w:val="009F5AE7"/>
    <w:rsid w:val="00A003EC"/>
    <w:rsid w:val="00A00B5B"/>
    <w:rsid w:val="00A01458"/>
    <w:rsid w:val="00A04F1D"/>
    <w:rsid w:val="00A05339"/>
    <w:rsid w:val="00A053CA"/>
    <w:rsid w:val="00A05874"/>
    <w:rsid w:val="00A06984"/>
    <w:rsid w:val="00A127D3"/>
    <w:rsid w:val="00A12B05"/>
    <w:rsid w:val="00A12C7F"/>
    <w:rsid w:val="00A16876"/>
    <w:rsid w:val="00A17E14"/>
    <w:rsid w:val="00A21DF0"/>
    <w:rsid w:val="00A22F5A"/>
    <w:rsid w:val="00A242EC"/>
    <w:rsid w:val="00A254EE"/>
    <w:rsid w:val="00A27390"/>
    <w:rsid w:val="00A30424"/>
    <w:rsid w:val="00A314E3"/>
    <w:rsid w:val="00A31FDB"/>
    <w:rsid w:val="00A32188"/>
    <w:rsid w:val="00A326C7"/>
    <w:rsid w:val="00A3354F"/>
    <w:rsid w:val="00A33A59"/>
    <w:rsid w:val="00A340BC"/>
    <w:rsid w:val="00A34525"/>
    <w:rsid w:val="00A34BAC"/>
    <w:rsid w:val="00A37AFB"/>
    <w:rsid w:val="00A415FA"/>
    <w:rsid w:val="00A43729"/>
    <w:rsid w:val="00A46122"/>
    <w:rsid w:val="00A47861"/>
    <w:rsid w:val="00A5067F"/>
    <w:rsid w:val="00A50941"/>
    <w:rsid w:val="00A51FB6"/>
    <w:rsid w:val="00A521FB"/>
    <w:rsid w:val="00A52F17"/>
    <w:rsid w:val="00A54853"/>
    <w:rsid w:val="00A55491"/>
    <w:rsid w:val="00A55DD9"/>
    <w:rsid w:val="00A5649B"/>
    <w:rsid w:val="00A567C0"/>
    <w:rsid w:val="00A56BC9"/>
    <w:rsid w:val="00A577B0"/>
    <w:rsid w:val="00A60E79"/>
    <w:rsid w:val="00A629D0"/>
    <w:rsid w:val="00A62CB0"/>
    <w:rsid w:val="00A62F61"/>
    <w:rsid w:val="00A63B03"/>
    <w:rsid w:val="00A64D68"/>
    <w:rsid w:val="00A6795A"/>
    <w:rsid w:val="00A67C8E"/>
    <w:rsid w:val="00A704B2"/>
    <w:rsid w:val="00A706A6"/>
    <w:rsid w:val="00A71918"/>
    <w:rsid w:val="00A719FA"/>
    <w:rsid w:val="00A72A8D"/>
    <w:rsid w:val="00A72DA1"/>
    <w:rsid w:val="00A7430A"/>
    <w:rsid w:val="00A76C94"/>
    <w:rsid w:val="00A7784F"/>
    <w:rsid w:val="00A800F1"/>
    <w:rsid w:val="00A805E7"/>
    <w:rsid w:val="00A80C05"/>
    <w:rsid w:val="00A83524"/>
    <w:rsid w:val="00A8626A"/>
    <w:rsid w:val="00A86A35"/>
    <w:rsid w:val="00A91ED1"/>
    <w:rsid w:val="00A92406"/>
    <w:rsid w:val="00A92904"/>
    <w:rsid w:val="00A93032"/>
    <w:rsid w:val="00A938E0"/>
    <w:rsid w:val="00A946BD"/>
    <w:rsid w:val="00A953D7"/>
    <w:rsid w:val="00A96EEA"/>
    <w:rsid w:val="00A97A8E"/>
    <w:rsid w:val="00A97D62"/>
    <w:rsid w:val="00AA048D"/>
    <w:rsid w:val="00AA05A1"/>
    <w:rsid w:val="00AA2D60"/>
    <w:rsid w:val="00AA607C"/>
    <w:rsid w:val="00AA6CAF"/>
    <w:rsid w:val="00AA79FB"/>
    <w:rsid w:val="00AB0603"/>
    <w:rsid w:val="00AB0E38"/>
    <w:rsid w:val="00AB0FB9"/>
    <w:rsid w:val="00AB1204"/>
    <w:rsid w:val="00AB4C99"/>
    <w:rsid w:val="00AB5225"/>
    <w:rsid w:val="00AB5535"/>
    <w:rsid w:val="00AB6B97"/>
    <w:rsid w:val="00AB6F24"/>
    <w:rsid w:val="00AC0550"/>
    <w:rsid w:val="00AC07D8"/>
    <w:rsid w:val="00AC219B"/>
    <w:rsid w:val="00AC51A4"/>
    <w:rsid w:val="00AC7181"/>
    <w:rsid w:val="00AC7FD9"/>
    <w:rsid w:val="00AD16DC"/>
    <w:rsid w:val="00AD29D0"/>
    <w:rsid w:val="00AD2CB2"/>
    <w:rsid w:val="00AD3AB7"/>
    <w:rsid w:val="00AD3EDE"/>
    <w:rsid w:val="00AD65FB"/>
    <w:rsid w:val="00AD6C32"/>
    <w:rsid w:val="00AD7CDB"/>
    <w:rsid w:val="00AE098C"/>
    <w:rsid w:val="00AE0E6C"/>
    <w:rsid w:val="00AE2F27"/>
    <w:rsid w:val="00AE30E4"/>
    <w:rsid w:val="00AE4FF8"/>
    <w:rsid w:val="00AE51DA"/>
    <w:rsid w:val="00AE5C4B"/>
    <w:rsid w:val="00AF0676"/>
    <w:rsid w:val="00AF0D3F"/>
    <w:rsid w:val="00AF1309"/>
    <w:rsid w:val="00AF218B"/>
    <w:rsid w:val="00AF327C"/>
    <w:rsid w:val="00AF6554"/>
    <w:rsid w:val="00AF724D"/>
    <w:rsid w:val="00B012A5"/>
    <w:rsid w:val="00B026AC"/>
    <w:rsid w:val="00B03E86"/>
    <w:rsid w:val="00B04AA4"/>
    <w:rsid w:val="00B054F0"/>
    <w:rsid w:val="00B06947"/>
    <w:rsid w:val="00B10934"/>
    <w:rsid w:val="00B11F8B"/>
    <w:rsid w:val="00B1388F"/>
    <w:rsid w:val="00B14AF3"/>
    <w:rsid w:val="00B16381"/>
    <w:rsid w:val="00B203FB"/>
    <w:rsid w:val="00B21936"/>
    <w:rsid w:val="00B22A0C"/>
    <w:rsid w:val="00B22BD2"/>
    <w:rsid w:val="00B2313D"/>
    <w:rsid w:val="00B23FE9"/>
    <w:rsid w:val="00B24B8F"/>
    <w:rsid w:val="00B27EDA"/>
    <w:rsid w:val="00B300BC"/>
    <w:rsid w:val="00B31153"/>
    <w:rsid w:val="00B32CF7"/>
    <w:rsid w:val="00B33341"/>
    <w:rsid w:val="00B33D29"/>
    <w:rsid w:val="00B343B7"/>
    <w:rsid w:val="00B36171"/>
    <w:rsid w:val="00B377D4"/>
    <w:rsid w:val="00B40905"/>
    <w:rsid w:val="00B44141"/>
    <w:rsid w:val="00B47924"/>
    <w:rsid w:val="00B514F1"/>
    <w:rsid w:val="00B51662"/>
    <w:rsid w:val="00B51BF3"/>
    <w:rsid w:val="00B52F99"/>
    <w:rsid w:val="00B53532"/>
    <w:rsid w:val="00B575C0"/>
    <w:rsid w:val="00B6011E"/>
    <w:rsid w:val="00B62D0B"/>
    <w:rsid w:val="00B6384E"/>
    <w:rsid w:val="00B63BE3"/>
    <w:rsid w:val="00B63E3D"/>
    <w:rsid w:val="00B64296"/>
    <w:rsid w:val="00B65EAD"/>
    <w:rsid w:val="00B665EF"/>
    <w:rsid w:val="00B672FF"/>
    <w:rsid w:val="00B675A8"/>
    <w:rsid w:val="00B676F9"/>
    <w:rsid w:val="00B74237"/>
    <w:rsid w:val="00B747A2"/>
    <w:rsid w:val="00B75383"/>
    <w:rsid w:val="00B76DC0"/>
    <w:rsid w:val="00B77332"/>
    <w:rsid w:val="00B774B5"/>
    <w:rsid w:val="00B775E4"/>
    <w:rsid w:val="00B8088B"/>
    <w:rsid w:val="00B80C3F"/>
    <w:rsid w:val="00B83B2C"/>
    <w:rsid w:val="00B84CC4"/>
    <w:rsid w:val="00B86548"/>
    <w:rsid w:val="00B8676C"/>
    <w:rsid w:val="00B8711F"/>
    <w:rsid w:val="00B87EA9"/>
    <w:rsid w:val="00B90363"/>
    <w:rsid w:val="00B908A1"/>
    <w:rsid w:val="00B93AA8"/>
    <w:rsid w:val="00B93B55"/>
    <w:rsid w:val="00B95348"/>
    <w:rsid w:val="00BA06B9"/>
    <w:rsid w:val="00BA36F8"/>
    <w:rsid w:val="00BA5521"/>
    <w:rsid w:val="00BA7013"/>
    <w:rsid w:val="00BB07D6"/>
    <w:rsid w:val="00BB4A5E"/>
    <w:rsid w:val="00BB4B58"/>
    <w:rsid w:val="00BB6BDA"/>
    <w:rsid w:val="00BB6EF6"/>
    <w:rsid w:val="00BC0589"/>
    <w:rsid w:val="00BC2469"/>
    <w:rsid w:val="00BC26D2"/>
    <w:rsid w:val="00BC321B"/>
    <w:rsid w:val="00BC3DCA"/>
    <w:rsid w:val="00BC5259"/>
    <w:rsid w:val="00BC5B11"/>
    <w:rsid w:val="00BC5CD1"/>
    <w:rsid w:val="00BC70DA"/>
    <w:rsid w:val="00BC7EFF"/>
    <w:rsid w:val="00BD0390"/>
    <w:rsid w:val="00BD0E26"/>
    <w:rsid w:val="00BD2D04"/>
    <w:rsid w:val="00BD3894"/>
    <w:rsid w:val="00BD3D42"/>
    <w:rsid w:val="00BD43BB"/>
    <w:rsid w:val="00BD4754"/>
    <w:rsid w:val="00BD5489"/>
    <w:rsid w:val="00BD5C27"/>
    <w:rsid w:val="00BE0033"/>
    <w:rsid w:val="00BE2D9E"/>
    <w:rsid w:val="00BE385E"/>
    <w:rsid w:val="00BE3D88"/>
    <w:rsid w:val="00BE6E5A"/>
    <w:rsid w:val="00BF0279"/>
    <w:rsid w:val="00BF0A2D"/>
    <w:rsid w:val="00BF11C6"/>
    <w:rsid w:val="00BF1CF4"/>
    <w:rsid w:val="00BF3416"/>
    <w:rsid w:val="00BF3861"/>
    <w:rsid w:val="00BF3CEC"/>
    <w:rsid w:val="00BF4C99"/>
    <w:rsid w:val="00BF619F"/>
    <w:rsid w:val="00BF6EC5"/>
    <w:rsid w:val="00C01A07"/>
    <w:rsid w:val="00C02B74"/>
    <w:rsid w:val="00C05749"/>
    <w:rsid w:val="00C05A20"/>
    <w:rsid w:val="00C05DF8"/>
    <w:rsid w:val="00C101DC"/>
    <w:rsid w:val="00C105EA"/>
    <w:rsid w:val="00C11042"/>
    <w:rsid w:val="00C11523"/>
    <w:rsid w:val="00C11E63"/>
    <w:rsid w:val="00C12301"/>
    <w:rsid w:val="00C12859"/>
    <w:rsid w:val="00C1292E"/>
    <w:rsid w:val="00C12A52"/>
    <w:rsid w:val="00C138BD"/>
    <w:rsid w:val="00C148B2"/>
    <w:rsid w:val="00C159C7"/>
    <w:rsid w:val="00C161F5"/>
    <w:rsid w:val="00C1761B"/>
    <w:rsid w:val="00C229B1"/>
    <w:rsid w:val="00C25696"/>
    <w:rsid w:val="00C25FF1"/>
    <w:rsid w:val="00C266C3"/>
    <w:rsid w:val="00C26863"/>
    <w:rsid w:val="00C305F7"/>
    <w:rsid w:val="00C31CB4"/>
    <w:rsid w:val="00C32E70"/>
    <w:rsid w:val="00C33FA9"/>
    <w:rsid w:val="00C341FB"/>
    <w:rsid w:val="00C36135"/>
    <w:rsid w:val="00C37BA6"/>
    <w:rsid w:val="00C40295"/>
    <w:rsid w:val="00C405AF"/>
    <w:rsid w:val="00C41284"/>
    <w:rsid w:val="00C436D2"/>
    <w:rsid w:val="00C46194"/>
    <w:rsid w:val="00C53E7F"/>
    <w:rsid w:val="00C55451"/>
    <w:rsid w:val="00C55D04"/>
    <w:rsid w:val="00C61418"/>
    <w:rsid w:val="00C6365F"/>
    <w:rsid w:val="00C653F4"/>
    <w:rsid w:val="00C66D37"/>
    <w:rsid w:val="00C675F7"/>
    <w:rsid w:val="00C67A30"/>
    <w:rsid w:val="00C67DC1"/>
    <w:rsid w:val="00C70094"/>
    <w:rsid w:val="00C70559"/>
    <w:rsid w:val="00C73A71"/>
    <w:rsid w:val="00C7471F"/>
    <w:rsid w:val="00C75079"/>
    <w:rsid w:val="00C7555E"/>
    <w:rsid w:val="00C76DC3"/>
    <w:rsid w:val="00C77170"/>
    <w:rsid w:val="00C77FE3"/>
    <w:rsid w:val="00C8021A"/>
    <w:rsid w:val="00C804C3"/>
    <w:rsid w:val="00C813FE"/>
    <w:rsid w:val="00C81CA8"/>
    <w:rsid w:val="00C847F1"/>
    <w:rsid w:val="00C84CFF"/>
    <w:rsid w:val="00C84D47"/>
    <w:rsid w:val="00C85473"/>
    <w:rsid w:val="00C8674D"/>
    <w:rsid w:val="00C879FA"/>
    <w:rsid w:val="00C904A1"/>
    <w:rsid w:val="00C90766"/>
    <w:rsid w:val="00C90FB5"/>
    <w:rsid w:val="00C91106"/>
    <w:rsid w:val="00C931C2"/>
    <w:rsid w:val="00C9342E"/>
    <w:rsid w:val="00C94A74"/>
    <w:rsid w:val="00C95579"/>
    <w:rsid w:val="00C96407"/>
    <w:rsid w:val="00C97A6F"/>
    <w:rsid w:val="00C97A83"/>
    <w:rsid w:val="00CA06B6"/>
    <w:rsid w:val="00CA1E85"/>
    <w:rsid w:val="00CA26A1"/>
    <w:rsid w:val="00CA2A0F"/>
    <w:rsid w:val="00CA30C4"/>
    <w:rsid w:val="00CA4F65"/>
    <w:rsid w:val="00CA57B3"/>
    <w:rsid w:val="00CA5989"/>
    <w:rsid w:val="00CA60F9"/>
    <w:rsid w:val="00CA6D98"/>
    <w:rsid w:val="00CA7B4F"/>
    <w:rsid w:val="00CB0DE4"/>
    <w:rsid w:val="00CB0F65"/>
    <w:rsid w:val="00CB23A2"/>
    <w:rsid w:val="00CB4416"/>
    <w:rsid w:val="00CB444A"/>
    <w:rsid w:val="00CB66CE"/>
    <w:rsid w:val="00CB6BD7"/>
    <w:rsid w:val="00CB7835"/>
    <w:rsid w:val="00CB78DC"/>
    <w:rsid w:val="00CC07B4"/>
    <w:rsid w:val="00CC262A"/>
    <w:rsid w:val="00CC3913"/>
    <w:rsid w:val="00CC3C1F"/>
    <w:rsid w:val="00CC48C8"/>
    <w:rsid w:val="00CC49D0"/>
    <w:rsid w:val="00CC59CC"/>
    <w:rsid w:val="00CC7060"/>
    <w:rsid w:val="00CC7079"/>
    <w:rsid w:val="00CD0141"/>
    <w:rsid w:val="00CD04CD"/>
    <w:rsid w:val="00CD0CE9"/>
    <w:rsid w:val="00CD2005"/>
    <w:rsid w:val="00CD42F8"/>
    <w:rsid w:val="00CD6219"/>
    <w:rsid w:val="00CD7DC0"/>
    <w:rsid w:val="00CE0ACB"/>
    <w:rsid w:val="00CE214E"/>
    <w:rsid w:val="00CE2D88"/>
    <w:rsid w:val="00CE2E65"/>
    <w:rsid w:val="00CE3B7A"/>
    <w:rsid w:val="00CE3CF2"/>
    <w:rsid w:val="00CE5CFF"/>
    <w:rsid w:val="00CE6FD0"/>
    <w:rsid w:val="00CE7E18"/>
    <w:rsid w:val="00CF03EB"/>
    <w:rsid w:val="00CF076F"/>
    <w:rsid w:val="00CF0B79"/>
    <w:rsid w:val="00CF1095"/>
    <w:rsid w:val="00CF1910"/>
    <w:rsid w:val="00CF2CF0"/>
    <w:rsid w:val="00CF51C1"/>
    <w:rsid w:val="00CF520F"/>
    <w:rsid w:val="00CF6907"/>
    <w:rsid w:val="00D00206"/>
    <w:rsid w:val="00D00837"/>
    <w:rsid w:val="00D015FB"/>
    <w:rsid w:val="00D01A5F"/>
    <w:rsid w:val="00D03372"/>
    <w:rsid w:val="00D03AAE"/>
    <w:rsid w:val="00D042AF"/>
    <w:rsid w:val="00D046CD"/>
    <w:rsid w:val="00D04C89"/>
    <w:rsid w:val="00D05F34"/>
    <w:rsid w:val="00D108C4"/>
    <w:rsid w:val="00D11CE8"/>
    <w:rsid w:val="00D13A89"/>
    <w:rsid w:val="00D1453B"/>
    <w:rsid w:val="00D16301"/>
    <w:rsid w:val="00D16A75"/>
    <w:rsid w:val="00D20381"/>
    <w:rsid w:val="00D220F0"/>
    <w:rsid w:val="00D22D92"/>
    <w:rsid w:val="00D2382F"/>
    <w:rsid w:val="00D241BF"/>
    <w:rsid w:val="00D2483C"/>
    <w:rsid w:val="00D256DB"/>
    <w:rsid w:val="00D258A1"/>
    <w:rsid w:val="00D25D27"/>
    <w:rsid w:val="00D26AD2"/>
    <w:rsid w:val="00D31956"/>
    <w:rsid w:val="00D31FA7"/>
    <w:rsid w:val="00D32C40"/>
    <w:rsid w:val="00D33A86"/>
    <w:rsid w:val="00D33C22"/>
    <w:rsid w:val="00D33E41"/>
    <w:rsid w:val="00D3443D"/>
    <w:rsid w:val="00D35069"/>
    <w:rsid w:val="00D3546F"/>
    <w:rsid w:val="00D362CA"/>
    <w:rsid w:val="00D401EC"/>
    <w:rsid w:val="00D42282"/>
    <w:rsid w:val="00D4242E"/>
    <w:rsid w:val="00D42595"/>
    <w:rsid w:val="00D4375F"/>
    <w:rsid w:val="00D458E1"/>
    <w:rsid w:val="00D458FB"/>
    <w:rsid w:val="00D4717C"/>
    <w:rsid w:val="00D4767C"/>
    <w:rsid w:val="00D50259"/>
    <w:rsid w:val="00D510B1"/>
    <w:rsid w:val="00D51BD5"/>
    <w:rsid w:val="00D55A0F"/>
    <w:rsid w:val="00D5627F"/>
    <w:rsid w:val="00D56D46"/>
    <w:rsid w:val="00D570C6"/>
    <w:rsid w:val="00D612C1"/>
    <w:rsid w:val="00D615B2"/>
    <w:rsid w:val="00D6204A"/>
    <w:rsid w:val="00D624EC"/>
    <w:rsid w:val="00D6298F"/>
    <w:rsid w:val="00D62B8A"/>
    <w:rsid w:val="00D6321B"/>
    <w:rsid w:val="00D651C7"/>
    <w:rsid w:val="00D6586D"/>
    <w:rsid w:val="00D6638A"/>
    <w:rsid w:val="00D66F77"/>
    <w:rsid w:val="00D679A0"/>
    <w:rsid w:val="00D70446"/>
    <w:rsid w:val="00D7136B"/>
    <w:rsid w:val="00D71447"/>
    <w:rsid w:val="00D73349"/>
    <w:rsid w:val="00D7452E"/>
    <w:rsid w:val="00D75664"/>
    <w:rsid w:val="00D7686C"/>
    <w:rsid w:val="00D76926"/>
    <w:rsid w:val="00D80AF9"/>
    <w:rsid w:val="00D815D9"/>
    <w:rsid w:val="00D81A25"/>
    <w:rsid w:val="00D82DE1"/>
    <w:rsid w:val="00D84B6B"/>
    <w:rsid w:val="00D87817"/>
    <w:rsid w:val="00D91DC4"/>
    <w:rsid w:val="00D9598B"/>
    <w:rsid w:val="00D96D2E"/>
    <w:rsid w:val="00DA0CD8"/>
    <w:rsid w:val="00DA0CE1"/>
    <w:rsid w:val="00DA1FAA"/>
    <w:rsid w:val="00DA4D34"/>
    <w:rsid w:val="00DA4D4F"/>
    <w:rsid w:val="00DA5CF8"/>
    <w:rsid w:val="00DA5D87"/>
    <w:rsid w:val="00DA6262"/>
    <w:rsid w:val="00DA646A"/>
    <w:rsid w:val="00DA7527"/>
    <w:rsid w:val="00DB13E3"/>
    <w:rsid w:val="00DB14F1"/>
    <w:rsid w:val="00DB3333"/>
    <w:rsid w:val="00DB38B0"/>
    <w:rsid w:val="00DB44FE"/>
    <w:rsid w:val="00DB4EBB"/>
    <w:rsid w:val="00DB547A"/>
    <w:rsid w:val="00DB5FF3"/>
    <w:rsid w:val="00DB73EA"/>
    <w:rsid w:val="00DB74C0"/>
    <w:rsid w:val="00DB7D9D"/>
    <w:rsid w:val="00DC023F"/>
    <w:rsid w:val="00DC0342"/>
    <w:rsid w:val="00DC1BA4"/>
    <w:rsid w:val="00DC1CB2"/>
    <w:rsid w:val="00DC28F8"/>
    <w:rsid w:val="00DC7437"/>
    <w:rsid w:val="00DD0755"/>
    <w:rsid w:val="00DD5768"/>
    <w:rsid w:val="00DE0594"/>
    <w:rsid w:val="00DE086B"/>
    <w:rsid w:val="00DE09FA"/>
    <w:rsid w:val="00DE2C6A"/>
    <w:rsid w:val="00DE4207"/>
    <w:rsid w:val="00DE4E99"/>
    <w:rsid w:val="00DE621E"/>
    <w:rsid w:val="00DE6332"/>
    <w:rsid w:val="00DE682C"/>
    <w:rsid w:val="00DF1DCD"/>
    <w:rsid w:val="00DF2638"/>
    <w:rsid w:val="00DF2CFA"/>
    <w:rsid w:val="00DF6F49"/>
    <w:rsid w:val="00DF7E8D"/>
    <w:rsid w:val="00E01478"/>
    <w:rsid w:val="00E01A38"/>
    <w:rsid w:val="00E01B13"/>
    <w:rsid w:val="00E023F6"/>
    <w:rsid w:val="00E03055"/>
    <w:rsid w:val="00E03553"/>
    <w:rsid w:val="00E05473"/>
    <w:rsid w:val="00E056FF"/>
    <w:rsid w:val="00E058B5"/>
    <w:rsid w:val="00E06201"/>
    <w:rsid w:val="00E102A3"/>
    <w:rsid w:val="00E1057F"/>
    <w:rsid w:val="00E11311"/>
    <w:rsid w:val="00E117A0"/>
    <w:rsid w:val="00E11EBF"/>
    <w:rsid w:val="00E12A61"/>
    <w:rsid w:val="00E12B92"/>
    <w:rsid w:val="00E12FA8"/>
    <w:rsid w:val="00E1318C"/>
    <w:rsid w:val="00E142BA"/>
    <w:rsid w:val="00E15E2C"/>
    <w:rsid w:val="00E16911"/>
    <w:rsid w:val="00E1789E"/>
    <w:rsid w:val="00E21B5B"/>
    <w:rsid w:val="00E225BF"/>
    <w:rsid w:val="00E22CBF"/>
    <w:rsid w:val="00E240DC"/>
    <w:rsid w:val="00E2506A"/>
    <w:rsid w:val="00E25FD1"/>
    <w:rsid w:val="00E27087"/>
    <w:rsid w:val="00E31B84"/>
    <w:rsid w:val="00E359F7"/>
    <w:rsid w:val="00E4000E"/>
    <w:rsid w:val="00E40AD7"/>
    <w:rsid w:val="00E42878"/>
    <w:rsid w:val="00E43733"/>
    <w:rsid w:val="00E50037"/>
    <w:rsid w:val="00E5049C"/>
    <w:rsid w:val="00E5052D"/>
    <w:rsid w:val="00E5104E"/>
    <w:rsid w:val="00E51363"/>
    <w:rsid w:val="00E51DD1"/>
    <w:rsid w:val="00E527DA"/>
    <w:rsid w:val="00E55C28"/>
    <w:rsid w:val="00E56417"/>
    <w:rsid w:val="00E56D09"/>
    <w:rsid w:val="00E62D0D"/>
    <w:rsid w:val="00E65493"/>
    <w:rsid w:val="00E662F8"/>
    <w:rsid w:val="00E664ED"/>
    <w:rsid w:val="00E6659C"/>
    <w:rsid w:val="00E66D1A"/>
    <w:rsid w:val="00E675C6"/>
    <w:rsid w:val="00E67A11"/>
    <w:rsid w:val="00E70696"/>
    <w:rsid w:val="00E75E9C"/>
    <w:rsid w:val="00E7699C"/>
    <w:rsid w:val="00E77B9B"/>
    <w:rsid w:val="00E8013D"/>
    <w:rsid w:val="00E826D2"/>
    <w:rsid w:val="00E82F38"/>
    <w:rsid w:val="00E831E4"/>
    <w:rsid w:val="00E8508F"/>
    <w:rsid w:val="00E862BE"/>
    <w:rsid w:val="00E868A9"/>
    <w:rsid w:val="00E907E5"/>
    <w:rsid w:val="00E90B8F"/>
    <w:rsid w:val="00E91F21"/>
    <w:rsid w:val="00E92CD0"/>
    <w:rsid w:val="00E94B3F"/>
    <w:rsid w:val="00E9505A"/>
    <w:rsid w:val="00E962A6"/>
    <w:rsid w:val="00E96329"/>
    <w:rsid w:val="00E96A79"/>
    <w:rsid w:val="00E97BDB"/>
    <w:rsid w:val="00E97D38"/>
    <w:rsid w:val="00E97DF1"/>
    <w:rsid w:val="00EA0C38"/>
    <w:rsid w:val="00EA0EBE"/>
    <w:rsid w:val="00EA10C9"/>
    <w:rsid w:val="00EA175A"/>
    <w:rsid w:val="00EA1A14"/>
    <w:rsid w:val="00EA1D0C"/>
    <w:rsid w:val="00EA22D3"/>
    <w:rsid w:val="00EA3FEF"/>
    <w:rsid w:val="00EA6585"/>
    <w:rsid w:val="00EB3647"/>
    <w:rsid w:val="00EB3C40"/>
    <w:rsid w:val="00EB3D62"/>
    <w:rsid w:val="00EB4671"/>
    <w:rsid w:val="00EB4BE8"/>
    <w:rsid w:val="00EB6C85"/>
    <w:rsid w:val="00EC3EFC"/>
    <w:rsid w:val="00EC41FB"/>
    <w:rsid w:val="00ED14E9"/>
    <w:rsid w:val="00ED1624"/>
    <w:rsid w:val="00ED1B20"/>
    <w:rsid w:val="00ED22DD"/>
    <w:rsid w:val="00ED30A4"/>
    <w:rsid w:val="00ED3310"/>
    <w:rsid w:val="00ED4728"/>
    <w:rsid w:val="00ED5076"/>
    <w:rsid w:val="00ED5189"/>
    <w:rsid w:val="00ED6623"/>
    <w:rsid w:val="00ED6C2F"/>
    <w:rsid w:val="00EE0B38"/>
    <w:rsid w:val="00EE0D4C"/>
    <w:rsid w:val="00EE25F2"/>
    <w:rsid w:val="00EE3413"/>
    <w:rsid w:val="00EE3983"/>
    <w:rsid w:val="00EE4525"/>
    <w:rsid w:val="00EE4921"/>
    <w:rsid w:val="00EE6F21"/>
    <w:rsid w:val="00EE7975"/>
    <w:rsid w:val="00EF0282"/>
    <w:rsid w:val="00EF04B3"/>
    <w:rsid w:val="00EF0595"/>
    <w:rsid w:val="00EF0D00"/>
    <w:rsid w:val="00EF10DD"/>
    <w:rsid w:val="00EF14D6"/>
    <w:rsid w:val="00EF400D"/>
    <w:rsid w:val="00EF4E5B"/>
    <w:rsid w:val="00EF5781"/>
    <w:rsid w:val="00EF5825"/>
    <w:rsid w:val="00EF7397"/>
    <w:rsid w:val="00EF761E"/>
    <w:rsid w:val="00EF773D"/>
    <w:rsid w:val="00F026A1"/>
    <w:rsid w:val="00F02733"/>
    <w:rsid w:val="00F02ADB"/>
    <w:rsid w:val="00F02E48"/>
    <w:rsid w:val="00F02FF5"/>
    <w:rsid w:val="00F0347D"/>
    <w:rsid w:val="00F04E82"/>
    <w:rsid w:val="00F056E5"/>
    <w:rsid w:val="00F05DCA"/>
    <w:rsid w:val="00F06A55"/>
    <w:rsid w:val="00F07B2F"/>
    <w:rsid w:val="00F11AE4"/>
    <w:rsid w:val="00F11C2F"/>
    <w:rsid w:val="00F11F99"/>
    <w:rsid w:val="00F121C3"/>
    <w:rsid w:val="00F13ADD"/>
    <w:rsid w:val="00F13F05"/>
    <w:rsid w:val="00F1449E"/>
    <w:rsid w:val="00F14620"/>
    <w:rsid w:val="00F14B77"/>
    <w:rsid w:val="00F158C4"/>
    <w:rsid w:val="00F159E0"/>
    <w:rsid w:val="00F16270"/>
    <w:rsid w:val="00F17E36"/>
    <w:rsid w:val="00F21A26"/>
    <w:rsid w:val="00F2256D"/>
    <w:rsid w:val="00F23C03"/>
    <w:rsid w:val="00F23DE1"/>
    <w:rsid w:val="00F24820"/>
    <w:rsid w:val="00F24AD9"/>
    <w:rsid w:val="00F273E7"/>
    <w:rsid w:val="00F27401"/>
    <w:rsid w:val="00F27A2A"/>
    <w:rsid w:val="00F27CC6"/>
    <w:rsid w:val="00F3055F"/>
    <w:rsid w:val="00F31533"/>
    <w:rsid w:val="00F357E3"/>
    <w:rsid w:val="00F359AC"/>
    <w:rsid w:val="00F400AE"/>
    <w:rsid w:val="00F40477"/>
    <w:rsid w:val="00F40B49"/>
    <w:rsid w:val="00F41BA7"/>
    <w:rsid w:val="00F41C50"/>
    <w:rsid w:val="00F424A5"/>
    <w:rsid w:val="00F4279A"/>
    <w:rsid w:val="00F42D25"/>
    <w:rsid w:val="00F4525C"/>
    <w:rsid w:val="00F4528A"/>
    <w:rsid w:val="00F4538D"/>
    <w:rsid w:val="00F50C2B"/>
    <w:rsid w:val="00F5150A"/>
    <w:rsid w:val="00F54753"/>
    <w:rsid w:val="00F548DE"/>
    <w:rsid w:val="00F54CA8"/>
    <w:rsid w:val="00F54E56"/>
    <w:rsid w:val="00F55078"/>
    <w:rsid w:val="00F55230"/>
    <w:rsid w:val="00F56F14"/>
    <w:rsid w:val="00F61BCE"/>
    <w:rsid w:val="00F63DC4"/>
    <w:rsid w:val="00F65F88"/>
    <w:rsid w:val="00F66774"/>
    <w:rsid w:val="00F66F13"/>
    <w:rsid w:val="00F71140"/>
    <w:rsid w:val="00F71599"/>
    <w:rsid w:val="00F73053"/>
    <w:rsid w:val="00F73F2C"/>
    <w:rsid w:val="00F74051"/>
    <w:rsid w:val="00F74649"/>
    <w:rsid w:val="00F746A9"/>
    <w:rsid w:val="00F752AA"/>
    <w:rsid w:val="00F82F71"/>
    <w:rsid w:val="00F83AF1"/>
    <w:rsid w:val="00F8412F"/>
    <w:rsid w:val="00F84594"/>
    <w:rsid w:val="00F85551"/>
    <w:rsid w:val="00F85BC0"/>
    <w:rsid w:val="00F8634B"/>
    <w:rsid w:val="00F86C55"/>
    <w:rsid w:val="00F87D68"/>
    <w:rsid w:val="00F903D4"/>
    <w:rsid w:val="00F90579"/>
    <w:rsid w:val="00F90763"/>
    <w:rsid w:val="00F90850"/>
    <w:rsid w:val="00F90BDE"/>
    <w:rsid w:val="00F941C2"/>
    <w:rsid w:val="00F942FA"/>
    <w:rsid w:val="00F97E2C"/>
    <w:rsid w:val="00FA0DD2"/>
    <w:rsid w:val="00FA2027"/>
    <w:rsid w:val="00FA3093"/>
    <w:rsid w:val="00FA38B6"/>
    <w:rsid w:val="00FA3997"/>
    <w:rsid w:val="00FA4DCA"/>
    <w:rsid w:val="00FA5930"/>
    <w:rsid w:val="00FA7F81"/>
    <w:rsid w:val="00FB1FF9"/>
    <w:rsid w:val="00FB4476"/>
    <w:rsid w:val="00FB6003"/>
    <w:rsid w:val="00FC08F4"/>
    <w:rsid w:val="00FC38F8"/>
    <w:rsid w:val="00FC3FF7"/>
    <w:rsid w:val="00FD0003"/>
    <w:rsid w:val="00FD070F"/>
    <w:rsid w:val="00FD1E84"/>
    <w:rsid w:val="00FD2284"/>
    <w:rsid w:val="00FD3BDD"/>
    <w:rsid w:val="00FD6748"/>
    <w:rsid w:val="00FD76BC"/>
    <w:rsid w:val="00FE1D84"/>
    <w:rsid w:val="00FE3A54"/>
    <w:rsid w:val="00FE4D12"/>
    <w:rsid w:val="00FF0FBA"/>
    <w:rsid w:val="00FF23C9"/>
    <w:rsid w:val="00FF39DA"/>
    <w:rsid w:val="00FF4240"/>
    <w:rsid w:val="01233E67"/>
    <w:rsid w:val="016B67CF"/>
    <w:rsid w:val="0197918F"/>
    <w:rsid w:val="01B648C8"/>
    <w:rsid w:val="023A9734"/>
    <w:rsid w:val="02685FF0"/>
    <w:rsid w:val="028FC7BA"/>
    <w:rsid w:val="02DC086F"/>
    <w:rsid w:val="032894B4"/>
    <w:rsid w:val="0344087D"/>
    <w:rsid w:val="03442D5B"/>
    <w:rsid w:val="040071CF"/>
    <w:rsid w:val="04038763"/>
    <w:rsid w:val="042A63EE"/>
    <w:rsid w:val="045D7818"/>
    <w:rsid w:val="046FAB3E"/>
    <w:rsid w:val="0484BBFB"/>
    <w:rsid w:val="048A6F54"/>
    <w:rsid w:val="04D0EEAF"/>
    <w:rsid w:val="04F7F82D"/>
    <w:rsid w:val="051393C3"/>
    <w:rsid w:val="0529702D"/>
    <w:rsid w:val="0564435C"/>
    <w:rsid w:val="05664229"/>
    <w:rsid w:val="05787094"/>
    <w:rsid w:val="0579F06A"/>
    <w:rsid w:val="05BC376C"/>
    <w:rsid w:val="05E12BF5"/>
    <w:rsid w:val="05F81FC2"/>
    <w:rsid w:val="05FEFA5F"/>
    <w:rsid w:val="06253EE2"/>
    <w:rsid w:val="06B1D421"/>
    <w:rsid w:val="06B9BB3F"/>
    <w:rsid w:val="0723E6D2"/>
    <w:rsid w:val="077FF902"/>
    <w:rsid w:val="07937B76"/>
    <w:rsid w:val="07C79E0B"/>
    <w:rsid w:val="07E61182"/>
    <w:rsid w:val="083F0181"/>
    <w:rsid w:val="08687DD3"/>
    <w:rsid w:val="08877191"/>
    <w:rsid w:val="0916CD5D"/>
    <w:rsid w:val="09255E6E"/>
    <w:rsid w:val="0937B24B"/>
    <w:rsid w:val="097CB7DB"/>
    <w:rsid w:val="098178B4"/>
    <w:rsid w:val="0997459C"/>
    <w:rsid w:val="09AB4F0C"/>
    <w:rsid w:val="09F4FFDF"/>
    <w:rsid w:val="0A04737E"/>
    <w:rsid w:val="0A22A4A3"/>
    <w:rsid w:val="0A29AC4F"/>
    <w:rsid w:val="0A2E9011"/>
    <w:rsid w:val="0A3770E0"/>
    <w:rsid w:val="0AB30E9C"/>
    <w:rsid w:val="0AD7B848"/>
    <w:rsid w:val="0AE6927B"/>
    <w:rsid w:val="0B3AB62C"/>
    <w:rsid w:val="0B3E2DEA"/>
    <w:rsid w:val="0B439D96"/>
    <w:rsid w:val="0BBC112D"/>
    <w:rsid w:val="0BE577E8"/>
    <w:rsid w:val="0C151587"/>
    <w:rsid w:val="0C223D1D"/>
    <w:rsid w:val="0C2F0A37"/>
    <w:rsid w:val="0C555781"/>
    <w:rsid w:val="0C69C6DB"/>
    <w:rsid w:val="0C9F979D"/>
    <w:rsid w:val="0CCCB48B"/>
    <w:rsid w:val="0CD7C71C"/>
    <w:rsid w:val="0CDFD73E"/>
    <w:rsid w:val="0CED381F"/>
    <w:rsid w:val="0D365E42"/>
    <w:rsid w:val="0D36742B"/>
    <w:rsid w:val="0D7B3888"/>
    <w:rsid w:val="0DA4ECD6"/>
    <w:rsid w:val="0DAD45F5"/>
    <w:rsid w:val="0DDE5A94"/>
    <w:rsid w:val="0E1CF247"/>
    <w:rsid w:val="0E435BA2"/>
    <w:rsid w:val="0E511D9D"/>
    <w:rsid w:val="0EAE37A7"/>
    <w:rsid w:val="0EB3B621"/>
    <w:rsid w:val="0EE15D2B"/>
    <w:rsid w:val="0F49C1B2"/>
    <w:rsid w:val="0F6E4074"/>
    <w:rsid w:val="0F815134"/>
    <w:rsid w:val="0FA39590"/>
    <w:rsid w:val="0FA7E5A5"/>
    <w:rsid w:val="1004C8A0"/>
    <w:rsid w:val="102BBEFC"/>
    <w:rsid w:val="1032A0B5"/>
    <w:rsid w:val="10428C5A"/>
    <w:rsid w:val="106089B9"/>
    <w:rsid w:val="108A8C83"/>
    <w:rsid w:val="11233BDF"/>
    <w:rsid w:val="11A3D8DB"/>
    <w:rsid w:val="11C6CFD1"/>
    <w:rsid w:val="11F00853"/>
    <w:rsid w:val="127C57FC"/>
    <w:rsid w:val="12E5C852"/>
    <w:rsid w:val="12E74C4A"/>
    <w:rsid w:val="12F01826"/>
    <w:rsid w:val="1304A1FC"/>
    <w:rsid w:val="13385FEE"/>
    <w:rsid w:val="13881057"/>
    <w:rsid w:val="145D6808"/>
    <w:rsid w:val="1482C705"/>
    <w:rsid w:val="1511FFE9"/>
    <w:rsid w:val="153CB7C3"/>
    <w:rsid w:val="155074F4"/>
    <w:rsid w:val="158C3DC6"/>
    <w:rsid w:val="15A7CC3D"/>
    <w:rsid w:val="15C80FF5"/>
    <w:rsid w:val="15F439A9"/>
    <w:rsid w:val="16B538DE"/>
    <w:rsid w:val="170EBE36"/>
    <w:rsid w:val="173D8CD3"/>
    <w:rsid w:val="1749748E"/>
    <w:rsid w:val="174CE6E9"/>
    <w:rsid w:val="177F00B2"/>
    <w:rsid w:val="17C7107D"/>
    <w:rsid w:val="17D3B92D"/>
    <w:rsid w:val="1822B369"/>
    <w:rsid w:val="18267811"/>
    <w:rsid w:val="1876625B"/>
    <w:rsid w:val="18C47C71"/>
    <w:rsid w:val="18C95857"/>
    <w:rsid w:val="18CE7B16"/>
    <w:rsid w:val="18D3C325"/>
    <w:rsid w:val="18E3FF95"/>
    <w:rsid w:val="18FB8232"/>
    <w:rsid w:val="192FF8AC"/>
    <w:rsid w:val="193B5ECC"/>
    <w:rsid w:val="195ECC0F"/>
    <w:rsid w:val="1963C80B"/>
    <w:rsid w:val="19902B10"/>
    <w:rsid w:val="19C32301"/>
    <w:rsid w:val="19E55A4B"/>
    <w:rsid w:val="19F2A31E"/>
    <w:rsid w:val="1A58EDDB"/>
    <w:rsid w:val="1A6D22AE"/>
    <w:rsid w:val="1A714C6D"/>
    <w:rsid w:val="1AB40574"/>
    <w:rsid w:val="1AC09173"/>
    <w:rsid w:val="1AEC1347"/>
    <w:rsid w:val="1AF6C1AD"/>
    <w:rsid w:val="1B088351"/>
    <w:rsid w:val="1B2C609D"/>
    <w:rsid w:val="1BD8ED31"/>
    <w:rsid w:val="1C21670F"/>
    <w:rsid w:val="1C2A90D0"/>
    <w:rsid w:val="1C81F401"/>
    <w:rsid w:val="1C87D22F"/>
    <w:rsid w:val="1D53612D"/>
    <w:rsid w:val="1D880BCE"/>
    <w:rsid w:val="1E1321BB"/>
    <w:rsid w:val="1E1545F6"/>
    <w:rsid w:val="1E21FF26"/>
    <w:rsid w:val="1E4C62DB"/>
    <w:rsid w:val="1E50AECA"/>
    <w:rsid w:val="1E970F0C"/>
    <w:rsid w:val="1EB6DAB4"/>
    <w:rsid w:val="1ED01505"/>
    <w:rsid w:val="1F1DA425"/>
    <w:rsid w:val="1F363E7D"/>
    <w:rsid w:val="1F47FDCE"/>
    <w:rsid w:val="1F614CE3"/>
    <w:rsid w:val="1F8EBBD8"/>
    <w:rsid w:val="20420854"/>
    <w:rsid w:val="2062E574"/>
    <w:rsid w:val="20744CF8"/>
    <w:rsid w:val="20783A02"/>
    <w:rsid w:val="20A88AC9"/>
    <w:rsid w:val="215235EC"/>
    <w:rsid w:val="21865EC3"/>
    <w:rsid w:val="21CF6769"/>
    <w:rsid w:val="220F63F5"/>
    <w:rsid w:val="222E4BBC"/>
    <w:rsid w:val="227B655C"/>
    <w:rsid w:val="227DB122"/>
    <w:rsid w:val="2363C302"/>
    <w:rsid w:val="23AC2518"/>
    <w:rsid w:val="23CA286B"/>
    <w:rsid w:val="23F3232B"/>
    <w:rsid w:val="240C7E63"/>
    <w:rsid w:val="24106FCC"/>
    <w:rsid w:val="241F2A70"/>
    <w:rsid w:val="246FED33"/>
    <w:rsid w:val="24922102"/>
    <w:rsid w:val="24CAA73F"/>
    <w:rsid w:val="24DE6FC1"/>
    <w:rsid w:val="24F29789"/>
    <w:rsid w:val="2503D576"/>
    <w:rsid w:val="2505B440"/>
    <w:rsid w:val="250D74B7"/>
    <w:rsid w:val="253B7EBD"/>
    <w:rsid w:val="254494DA"/>
    <w:rsid w:val="2583A73D"/>
    <w:rsid w:val="2645B685"/>
    <w:rsid w:val="2691C750"/>
    <w:rsid w:val="26B51D9B"/>
    <w:rsid w:val="26E018C3"/>
    <w:rsid w:val="26FFE643"/>
    <w:rsid w:val="275CD301"/>
    <w:rsid w:val="282C76B5"/>
    <w:rsid w:val="28471D2A"/>
    <w:rsid w:val="287ABEB8"/>
    <w:rsid w:val="2885B4C7"/>
    <w:rsid w:val="28A248D5"/>
    <w:rsid w:val="28CD09F0"/>
    <w:rsid w:val="28DF97EE"/>
    <w:rsid w:val="28EAE38A"/>
    <w:rsid w:val="2908BA29"/>
    <w:rsid w:val="29212375"/>
    <w:rsid w:val="2941CE49"/>
    <w:rsid w:val="296B6D4B"/>
    <w:rsid w:val="298DC04D"/>
    <w:rsid w:val="29B8B90F"/>
    <w:rsid w:val="2A7029C8"/>
    <w:rsid w:val="2A780274"/>
    <w:rsid w:val="2AAA79C7"/>
    <w:rsid w:val="2AC429EC"/>
    <w:rsid w:val="2ADE0769"/>
    <w:rsid w:val="2AFDFE43"/>
    <w:rsid w:val="2B4D1ECE"/>
    <w:rsid w:val="2B6EA257"/>
    <w:rsid w:val="2B8B7DD0"/>
    <w:rsid w:val="2B9A7151"/>
    <w:rsid w:val="2B9CD032"/>
    <w:rsid w:val="2BE7900E"/>
    <w:rsid w:val="2BF50C37"/>
    <w:rsid w:val="2CB2093B"/>
    <w:rsid w:val="2CDAD92D"/>
    <w:rsid w:val="2CE27589"/>
    <w:rsid w:val="2D107EB0"/>
    <w:rsid w:val="2D4A239C"/>
    <w:rsid w:val="2D8CF1F4"/>
    <w:rsid w:val="2E0EE439"/>
    <w:rsid w:val="2E2F1DC5"/>
    <w:rsid w:val="2E68202A"/>
    <w:rsid w:val="2E769082"/>
    <w:rsid w:val="2E8B95F6"/>
    <w:rsid w:val="2E9FD27D"/>
    <w:rsid w:val="2F045513"/>
    <w:rsid w:val="2F3537D5"/>
    <w:rsid w:val="2F543C3C"/>
    <w:rsid w:val="2F762779"/>
    <w:rsid w:val="2FC24BA6"/>
    <w:rsid w:val="2FE6D1BC"/>
    <w:rsid w:val="300111E9"/>
    <w:rsid w:val="302CD857"/>
    <w:rsid w:val="30645B3C"/>
    <w:rsid w:val="307D4BEA"/>
    <w:rsid w:val="30885D21"/>
    <w:rsid w:val="309AC12B"/>
    <w:rsid w:val="30DF5E58"/>
    <w:rsid w:val="30F3C4C4"/>
    <w:rsid w:val="3114A6BE"/>
    <w:rsid w:val="316E9143"/>
    <w:rsid w:val="31AE9138"/>
    <w:rsid w:val="31BB2F7E"/>
    <w:rsid w:val="321DE631"/>
    <w:rsid w:val="322181E6"/>
    <w:rsid w:val="32235817"/>
    <w:rsid w:val="332BEDCE"/>
    <w:rsid w:val="335AA5F8"/>
    <w:rsid w:val="3389AD73"/>
    <w:rsid w:val="338B6C5D"/>
    <w:rsid w:val="3391BC0F"/>
    <w:rsid w:val="33974823"/>
    <w:rsid w:val="33D251EC"/>
    <w:rsid w:val="33E28AEC"/>
    <w:rsid w:val="340A07AE"/>
    <w:rsid w:val="342B9570"/>
    <w:rsid w:val="343FAECA"/>
    <w:rsid w:val="346B0801"/>
    <w:rsid w:val="34A7711E"/>
    <w:rsid w:val="34D01697"/>
    <w:rsid w:val="34D0DBE7"/>
    <w:rsid w:val="34D524D5"/>
    <w:rsid w:val="351FAC11"/>
    <w:rsid w:val="35460964"/>
    <w:rsid w:val="355869EA"/>
    <w:rsid w:val="3562B36E"/>
    <w:rsid w:val="3593DF90"/>
    <w:rsid w:val="368F74DA"/>
    <w:rsid w:val="36DBD6E4"/>
    <w:rsid w:val="3722A5D2"/>
    <w:rsid w:val="37742086"/>
    <w:rsid w:val="37829594"/>
    <w:rsid w:val="379EFDCF"/>
    <w:rsid w:val="38298F3F"/>
    <w:rsid w:val="38449647"/>
    <w:rsid w:val="388D78ED"/>
    <w:rsid w:val="38C75FFE"/>
    <w:rsid w:val="38D486A3"/>
    <w:rsid w:val="38F6273F"/>
    <w:rsid w:val="3908AD48"/>
    <w:rsid w:val="3931E094"/>
    <w:rsid w:val="3945ECD8"/>
    <w:rsid w:val="395E4C92"/>
    <w:rsid w:val="39769132"/>
    <w:rsid w:val="397F1D38"/>
    <w:rsid w:val="3A17B25C"/>
    <w:rsid w:val="3A3F861B"/>
    <w:rsid w:val="3A64CC1C"/>
    <w:rsid w:val="3A8BF691"/>
    <w:rsid w:val="3A929E1D"/>
    <w:rsid w:val="3A944954"/>
    <w:rsid w:val="3AED3EFD"/>
    <w:rsid w:val="3AFED1E1"/>
    <w:rsid w:val="3B637B92"/>
    <w:rsid w:val="3B6F7801"/>
    <w:rsid w:val="3BCB7770"/>
    <w:rsid w:val="3BD4C390"/>
    <w:rsid w:val="3BF57D6F"/>
    <w:rsid w:val="3C0EB2C7"/>
    <w:rsid w:val="3C819799"/>
    <w:rsid w:val="3D050AE1"/>
    <w:rsid w:val="3D08EE14"/>
    <w:rsid w:val="3D0E3FA9"/>
    <w:rsid w:val="3D2156D2"/>
    <w:rsid w:val="3D8C2B60"/>
    <w:rsid w:val="3DCA7BAF"/>
    <w:rsid w:val="3DFBF219"/>
    <w:rsid w:val="3E0066BF"/>
    <w:rsid w:val="3E08F29B"/>
    <w:rsid w:val="3E8DE656"/>
    <w:rsid w:val="3F08ED3C"/>
    <w:rsid w:val="3F2FE6CD"/>
    <w:rsid w:val="3F4E8F12"/>
    <w:rsid w:val="3F57C6CB"/>
    <w:rsid w:val="3F70264A"/>
    <w:rsid w:val="3F8F23B5"/>
    <w:rsid w:val="3FA63C5D"/>
    <w:rsid w:val="40C6F3D2"/>
    <w:rsid w:val="40F91072"/>
    <w:rsid w:val="4108F1D4"/>
    <w:rsid w:val="41205BF0"/>
    <w:rsid w:val="415D66DD"/>
    <w:rsid w:val="416DD717"/>
    <w:rsid w:val="41AA2466"/>
    <w:rsid w:val="41CBE52D"/>
    <w:rsid w:val="42067401"/>
    <w:rsid w:val="420ED131"/>
    <w:rsid w:val="422E2951"/>
    <w:rsid w:val="42A2A935"/>
    <w:rsid w:val="42C99F2D"/>
    <w:rsid w:val="42CC40DC"/>
    <w:rsid w:val="42E04E0A"/>
    <w:rsid w:val="43225B25"/>
    <w:rsid w:val="433900DF"/>
    <w:rsid w:val="4353202E"/>
    <w:rsid w:val="440B7497"/>
    <w:rsid w:val="440FFCA1"/>
    <w:rsid w:val="44C68453"/>
    <w:rsid w:val="44CC0FEB"/>
    <w:rsid w:val="453DD72F"/>
    <w:rsid w:val="45401CD6"/>
    <w:rsid w:val="45713C86"/>
    <w:rsid w:val="45A65874"/>
    <w:rsid w:val="45A874B6"/>
    <w:rsid w:val="45E4FA0D"/>
    <w:rsid w:val="460B7A4D"/>
    <w:rsid w:val="460D1810"/>
    <w:rsid w:val="464A4830"/>
    <w:rsid w:val="46592FE0"/>
    <w:rsid w:val="465F716B"/>
    <w:rsid w:val="46671A2C"/>
    <w:rsid w:val="4691BFB8"/>
    <w:rsid w:val="4691E040"/>
    <w:rsid w:val="46CFB201"/>
    <w:rsid w:val="46E80086"/>
    <w:rsid w:val="46FFA803"/>
    <w:rsid w:val="471EF6D4"/>
    <w:rsid w:val="47C98DE2"/>
    <w:rsid w:val="481BC54E"/>
    <w:rsid w:val="481D4FAB"/>
    <w:rsid w:val="48292124"/>
    <w:rsid w:val="483A3C07"/>
    <w:rsid w:val="483C9677"/>
    <w:rsid w:val="485C9FD5"/>
    <w:rsid w:val="48945E11"/>
    <w:rsid w:val="48A0161F"/>
    <w:rsid w:val="48AD9672"/>
    <w:rsid w:val="48CD65A0"/>
    <w:rsid w:val="48E16DE8"/>
    <w:rsid w:val="49068A54"/>
    <w:rsid w:val="4952226E"/>
    <w:rsid w:val="4A11FEA9"/>
    <w:rsid w:val="4A44B3E6"/>
    <w:rsid w:val="4A4A0521"/>
    <w:rsid w:val="4A57752C"/>
    <w:rsid w:val="4A81313F"/>
    <w:rsid w:val="4A8A0D99"/>
    <w:rsid w:val="4AA28963"/>
    <w:rsid w:val="4AE1D6A9"/>
    <w:rsid w:val="4AF09662"/>
    <w:rsid w:val="4B00592C"/>
    <w:rsid w:val="4B4217FB"/>
    <w:rsid w:val="4B5773C1"/>
    <w:rsid w:val="4BD874EC"/>
    <w:rsid w:val="4BD8DF0F"/>
    <w:rsid w:val="4C7FEFD3"/>
    <w:rsid w:val="4CCC8489"/>
    <w:rsid w:val="4CD9C764"/>
    <w:rsid w:val="4D8F027F"/>
    <w:rsid w:val="4DB2EB72"/>
    <w:rsid w:val="4DCACB1C"/>
    <w:rsid w:val="4DE5078D"/>
    <w:rsid w:val="4E23DB04"/>
    <w:rsid w:val="4E5C4A26"/>
    <w:rsid w:val="4F025CAD"/>
    <w:rsid w:val="4F207487"/>
    <w:rsid w:val="4F324CCE"/>
    <w:rsid w:val="4F3C477D"/>
    <w:rsid w:val="4F3E642C"/>
    <w:rsid w:val="4F6A90F8"/>
    <w:rsid w:val="4F7CDEDA"/>
    <w:rsid w:val="4FD21258"/>
    <w:rsid w:val="500883C6"/>
    <w:rsid w:val="500A5BB8"/>
    <w:rsid w:val="5013A140"/>
    <w:rsid w:val="502A6A61"/>
    <w:rsid w:val="505BF113"/>
    <w:rsid w:val="5084B816"/>
    <w:rsid w:val="50A8085B"/>
    <w:rsid w:val="50CCFEDC"/>
    <w:rsid w:val="515057FD"/>
    <w:rsid w:val="517B1292"/>
    <w:rsid w:val="51868462"/>
    <w:rsid w:val="51B37319"/>
    <w:rsid w:val="51BEE145"/>
    <w:rsid w:val="51F42B17"/>
    <w:rsid w:val="5235CECF"/>
    <w:rsid w:val="5248187C"/>
    <w:rsid w:val="5284B0DE"/>
    <w:rsid w:val="52870C72"/>
    <w:rsid w:val="52A27402"/>
    <w:rsid w:val="532FB96A"/>
    <w:rsid w:val="5344D58E"/>
    <w:rsid w:val="5363BED9"/>
    <w:rsid w:val="5373D3C2"/>
    <w:rsid w:val="53B6AFEE"/>
    <w:rsid w:val="53D9D54D"/>
    <w:rsid w:val="53F4CE58"/>
    <w:rsid w:val="545D555A"/>
    <w:rsid w:val="548868C4"/>
    <w:rsid w:val="54AA6D1D"/>
    <w:rsid w:val="54CF24E4"/>
    <w:rsid w:val="54F38B0A"/>
    <w:rsid w:val="5526B9C0"/>
    <w:rsid w:val="552946A9"/>
    <w:rsid w:val="5569E881"/>
    <w:rsid w:val="558DB8F1"/>
    <w:rsid w:val="558F8FEF"/>
    <w:rsid w:val="55EF8075"/>
    <w:rsid w:val="55F796F5"/>
    <w:rsid w:val="56313923"/>
    <w:rsid w:val="56900303"/>
    <w:rsid w:val="56CDE2A6"/>
    <w:rsid w:val="56CF1207"/>
    <w:rsid w:val="576C5618"/>
    <w:rsid w:val="57DD8357"/>
    <w:rsid w:val="581D6099"/>
    <w:rsid w:val="5825EA3B"/>
    <w:rsid w:val="584CCE70"/>
    <w:rsid w:val="586DE559"/>
    <w:rsid w:val="58D7BBD8"/>
    <w:rsid w:val="58E474A0"/>
    <w:rsid w:val="590524B2"/>
    <w:rsid w:val="59206E0D"/>
    <w:rsid w:val="593BE828"/>
    <w:rsid w:val="59A7E35C"/>
    <w:rsid w:val="59BFE00C"/>
    <w:rsid w:val="59D5190F"/>
    <w:rsid w:val="5A08B5F7"/>
    <w:rsid w:val="5A459180"/>
    <w:rsid w:val="5A8F1B68"/>
    <w:rsid w:val="5A9531F0"/>
    <w:rsid w:val="5A9C11B9"/>
    <w:rsid w:val="5A9E8F3F"/>
    <w:rsid w:val="5B6D45A2"/>
    <w:rsid w:val="5BCF5631"/>
    <w:rsid w:val="5BFAF03E"/>
    <w:rsid w:val="5C489A1C"/>
    <w:rsid w:val="5D3DFEE9"/>
    <w:rsid w:val="5DC4CBE4"/>
    <w:rsid w:val="5DE3541A"/>
    <w:rsid w:val="5E701445"/>
    <w:rsid w:val="5E9D8694"/>
    <w:rsid w:val="5EA50194"/>
    <w:rsid w:val="5EF7D509"/>
    <w:rsid w:val="5F36FA10"/>
    <w:rsid w:val="5F8A1E1B"/>
    <w:rsid w:val="5FA30D9B"/>
    <w:rsid w:val="5FC65BC5"/>
    <w:rsid w:val="5FD13AD8"/>
    <w:rsid w:val="60BA4CB5"/>
    <w:rsid w:val="60E15935"/>
    <w:rsid w:val="61050BE6"/>
    <w:rsid w:val="61445E10"/>
    <w:rsid w:val="614B3426"/>
    <w:rsid w:val="614C537E"/>
    <w:rsid w:val="617BD4C5"/>
    <w:rsid w:val="61B204CC"/>
    <w:rsid w:val="61C164E6"/>
    <w:rsid w:val="621FA3DD"/>
    <w:rsid w:val="623003DE"/>
    <w:rsid w:val="623E6B87"/>
    <w:rsid w:val="623EF42D"/>
    <w:rsid w:val="6247D8D5"/>
    <w:rsid w:val="62B76728"/>
    <w:rsid w:val="62B822CD"/>
    <w:rsid w:val="630CDC2E"/>
    <w:rsid w:val="6326A800"/>
    <w:rsid w:val="633B7F88"/>
    <w:rsid w:val="634E5D8C"/>
    <w:rsid w:val="63546F68"/>
    <w:rsid w:val="6368D2EE"/>
    <w:rsid w:val="639C34D0"/>
    <w:rsid w:val="63E25606"/>
    <w:rsid w:val="64026CA6"/>
    <w:rsid w:val="642EE9E4"/>
    <w:rsid w:val="6510A63E"/>
    <w:rsid w:val="65248D99"/>
    <w:rsid w:val="65283E50"/>
    <w:rsid w:val="658E11E5"/>
    <w:rsid w:val="65CD5C2E"/>
    <w:rsid w:val="664E17B7"/>
    <w:rsid w:val="6667E193"/>
    <w:rsid w:val="668C36F7"/>
    <w:rsid w:val="6724B672"/>
    <w:rsid w:val="674DB152"/>
    <w:rsid w:val="675A888C"/>
    <w:rsid w:val="679CD629"/>
    <w:rsid w:val="682139EE"/>
    <w:rsid w:val="68D63EB2"/>
    <w:rsid w:val="68F744AA"/>
    <w:rsid w:val="69338213"/>
    <w:rsid w:val="6973CD79"/>
    <w:rsid w:val="69A45475"/>
    <w:rsid w:val="69C9E8A0"/>
    <w:rsid w:val="6A228709"/>
    <w:rsid w:val="6A262707"/>
    <w:rsid w:val="6A476D92"/>
    <w:rsid w:val="6A7D8C4B"/>
    <w:rsid w:val="6AEC94AE"/>
    <w:rsid w:val="6B0F4C11"/>
    <w:rsid w:val="6B10025E"/>
    <w:rsid w:val="6B1771E7"/>
    <w:rsid w:val="6B1A0CD4"/>
    <w:rsid w:val="6B1C3154"/>
    <w:rsid w:val="6B244AA1"/>
    <w:rsid w:val="6B2CC9A3"/>
    <w:rsid w:val="6B2D9B5F"/>
    <w:rsid w:val="6B6A4FBA"/>
    <w:rsid w:val="6B86DCAD"/>
    <w:rsid w:val="6BB7E534"/>
    <w:rsid w:val="6BE7BE49"/>
    <w:rsid w:val="6C36C3EE"/>
    <w:rsid w:val="6D1E5497"/>
    <w:rsid w:val="6D831274"/>
    <w:rsid w:val="6D921F70"/>
    <w:rsid w:val="6DA14DBF"/>
    <w:rsid w:val="6DB0EA21"/>
    <w:rsid w:val="6DCE274F"/>
    <w:rsid w:val="6DCFC646"/>
    <w:rsid w:val="6DE68D40"/>
    <w:rsid w:val="6DF2C4D1"/>
    <w:rsid w:val="6E05223D"/>
    <w:rsid w:val="6E156340"/>
    <w:rsid w:val="6E28A123"/>
    <w:rsid w:val="6E399748"/>
    <w:rsid w:val="6E43C93A"/>
    <w:rsid w:val="6EBC18E2"/>
    <w:rsid w:val="6EC9542A"/>
    <w:rsid w:val="6EE3BA9C"/>
    <w:rsid w:val="6F555F5C"/>
    <w:rsid w:val="702AE610"/>
    <w:rsid w:val="704061E7"/>
    <w:rsid w:val="70414E38"/>
    <w:rsid w:val="70479EEF"/>
    <w:rsid w:val="7058C95E"/>
    <w:rsid w:val="705FFD9C"/>
    <w:rsid w:val="7095A9AA"/>
    <w:rsid w:val="70A7691E"/>
    <w:rsid w:val="714EB1C0"/>
    <w:rsid w:val="71967EB7"/>
    <w:rsid w:val="71C0FB0F"/>
    <w:rsid w:val="71D7EC82"/>
    <w:rsid w:val="72244216"/>
    <w:rsid w:val="723DAB20"/>
    <w:rsid w:val="72A50DFD"/>
    <w:rsid w:val="72AF64FE"/>
    <w:rsid w:val="72C97092"/>
    <w:rsid w:val="7314281B"/>
    <w:rsid w:val="73539245"/>
    <w:rsid w:val="735DEF50"/>
    <w:rsid w:val="73744C7D"/>
    <w:rsid w:val="73793D15"/>
    <w:rsid w:val="7379A616"/>
    <w:rsid w:val="738EB568"/>
    <w:rsid w:val="73EA198E"/>
    <w:rsid w:val="742E1A06"/>
    <w:rsid w:val="743DF73A"/>
    <w:rsid w:val="7463123C"/>
    <w:rsid w:val="74720177"/>
    <w:rsid w:val="749CAEE0"/>
    <w:rsid w:val="74CB5715"/>
    <w:rsid w:val="7504C095"/>
    <w:rsid w:val="75156596"/>
    <w:rsid w:val="75167693"/>
    <w:rsid w:val="7529D815"/>
    <w:rsid w:val="759A87FB"/>
    <w:rsid w:val="75D466F9"/>
    <w:rsid w:val="76314A1E"/>
    <w:rsid w:val="766BBB3F"/>
    <w:rsid w:val="767DAC5A"/>
    <w:rsid w:val="768508BA"/>
    <w:rsid w:val="776E9C2B"/>
    <w:rsid w:val="787E9D7F"/>
    <w:rsid w:val="78B9B155"/>
    <w:rsid w:val="78DE5A0E"/>
    <w:rsid w:val="7908454B"/>
    <w:rsid w:val="7969A9AE"/>
    <w:rsid w:val="797955B3"/>
    <w:rsid w:val="79A17610"/>
    <w:rsid w:val="79D6CE10"/>
    <w:rsid w:val="79E76B68"/>
    <w:rsid w:val="7A827429"/>
    <w:rsid w:val="7A8D59EB"/>
    <w:rsid w:val="7AA423AF"/>
    <w:rsid w:val="7AED759A"/>
    <w:rsid w:val="7B077BF4"/>
    <w:rsid w:val="7B503F08"/>
    <w:rsid w:val="7BF46782"/>
    <w:rsid w:val="7C10C362"/>
    <w:rsid w:val="7C5CA4C9"/>
    <w:rsid w:val="7CCC8F9B"/>
    <w:rsid w:val="7CD04EF9"/>
    <w:rsid w:val="7D3F7621"/>
    <w:rsid w:val="7D4BEE3C"/>
    <w:rsid w:val="7D669BFA"/>
    <w:rsid w:val="7D867813"/>
    <w:rsid w:val="7E248A59"/>
    <w:rsid w:val="7E3BC2B6"/>
    <w:rsid w:val="7E607C04"/>
    <w:rsid w:val="7E65A6C9"/>
    <w:rsid w:val="7E7C803B"/>
    <w:rsid w:val="7EC0E078"/>
    <w:rsid w:val="7EDF16AE"/>
    <w:rsid w:val="7F3578D8"/>
    <w:rsid w:val="7FBEB3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C63EDAF-3D0D-4E66-B3D8-884D847D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63B33"/>
    <w:pPr>
      <w:numPr>
        <w:numId w:val="1"/>
      </w:numPr>
    </w:pPr>
    <w:rPr>
      <w:rFonts w:eastAsia="Times New Roman"/>
      <w:lang w:eastAsia="en-GB"/>
    </w:rPr>
  </w:style>
  <w:style w:type="paragraph" w:styleId="ListBullet2">
    <w:name w:val="List Bullet 2"/>
    <w:basedOn w:val="Normal"/>
    <w:uiPriority w:val="99"/>
    <w:semiHidden/>
    <w:unhideWhenUsed/>
    <w:rsid w:val="002E2085"/>
    <w:pPr>
      <w:numPr>
        <w:numId w:val="2"/>
      </w:numPr>
      <w:contextualSpacing/>
    </w:pPr>
  </w:style>
  <w:style w:type="paragraph" w:styleId="ListBullet3">
    <w:name w:val="List Bullet 3"/>
    <w:basedOn w:val="Normal"/>
    <w:uiPriority w:val="99"/>
    <w:semiHidden/>
    <w:unhideWhenUsed/>
    <w:rsid w:val="002E2085"/>
    <w:pPr>
      <w:numPr>
        <w:numId w:val="3"/>
      </w:numPr>
      <w:contextualSpacing/>
    </w:pPr>
  </w:style>
  <w:style w:type="paragraph" w:styleId="ListBullet4">
    <w:name w:val="List Bullet 4"/>
    <w:basedOn w:val="Normal"/>
    <w:uiPriority w:val="99"/>
    <w:semiHidden/>
    <w:unhideWhenUsed/>
    <w:rsid w:val="002E2085"/>
    <w:pPr>
      <w:numPr>
        <w:numId w:val="4"/>
      </w:numPr>
      <w:contextualSpacing/>
    </w:pPr>
  </w:style>
  <w:style w:type="character" w:styleId="CommentReference">
    <w:name w:val="annotation reference"/>
    <w:basedOn w:val="DefaultParagraphFont"/>
    <w:uiPriority w:val="99"/>
    <w:semiHidden/>
    <w:unhideWhenUsed/>
    <w:rsid w:val="00CE2E6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CE2E65"/>
    <w:rPr>
      <w:rFonts w:ascii="Times New Roman" w:hAnsi="Times New Roman" w:cs="Times New Roman"/>
      <w:sz w:val="20"/>
      <w:szCs w:val="20"/>
      <w:lang w:val="ro-RO"/>
    </w:rPr>
  </w:style>
  <w:style w:type="paragraph" w:styleId="ListParagraph">
    <w:name w:val="List Paragraph"/>
    <w:basedOn w:val="Normal"/>
    <w:uiPriority w:val="34"/>
    <w:qFormat/>
    <w:rsid w:val="00306A22"/>
    <w:pPr>
      <w:spacing w:before="0" w:after="160" w:line="259" w:lineRule="auto"/>
      <w:ind w:left="720"/>
      <w:contextualSpacing/>
      <w:jc w:val="left"/>
    </w:pPr>
    <w:rPr>
      <w:rFonts w:asciiTheme="minorHAnsi" w:hAnsiTheme="minorHAnsi" w:cstheme="minorBidi"/>
      <w:kern w:val="2"/>
      <w:sz w:val="22"/>
      <w14:ligatures w14:val="standardContextual"/>
    </w:rPr>
  </w:style>
  <w:style w:type="paragraph" w:styleId="CommentSubject">
    <w:name w:val="annotation subject"/>
    <w:basedOn w:val="CommentText"/>
    <w:next w:val="CommentText"/>
    <w:link w:val="CommentSubjectChar"/>
    <w:uiPriority w:val="99"/>
    <w:semiHidden/>
    <w:unhideWhenUsed/>
    <w:rsid w:val="00B51662"/>
    <w:rPr>
      <w:b/>
      <w:bCs/>
    </w:rPr>
  </w:style>
  <w:style w:type="character" w:customStyle="1" w:styleId="CommentSubjectChar">
    <w:name w:val="Comment Subject Char"/>
    <w:basedOn w:val="CommentTextChar"/>
    <w:link w:val="CommentSubject"/>
    <w:uiPriority w:val="99"/>
    <w:semiHidden/>
    <w:rsid w:val="00B51662"/>
    <w:rPr>
      <w:rFonts w:ascii="Times New Roman" w:hAnsi="Times New Roman" w:cs="Times New Roman"/>
      <w:b/>
      <w:bCs/>
      <w:sz w:val="20"/>
      <w:szCs w:val="20"/>
      <w:lang w:val="ro-RO"/>
    </w:rPr>
  </w:style>
  <w:style w:type="character" w:styleId="Hyperlink">
    <w:name w:val="Hyperlink"/>
    <w:basedOn w:val="DefaultParagraphFont"/>
    <w:uiPriority w:val="99"/>
    <w:unhideWhenUsed/>
    <w:rsid w:val="004B6F82"/>
    <w:rPr>
      <w:color w:val="0000FF"/>
      <w:u w:val="single"/>
    </w:rPr>
  </w:style>
  <w:style w:type="table" w:styleId="PlainTable3">
    <w:name w:val="Plain Table 3"/>
    <w:basedOn w:val="TableNormal"/>
    <w:uiPriority w:val="43"/>
    <w:rsid w:val="00EF77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F740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051A7"/>
    <w:pPr>
      <w:spacing w:after="0" w:line="240" w:lineRule="auto"/>
    </w:pPr>
    <w:rPr>
      <w:rFonts w:ascii="Times New Roman" w:hAnsi="Times New Roman" w:cs="Times New Roman"/>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73349"/>
    <w:rPr>
      <w:color w:val="800080" w:themeColor="followedHyperlink"/>
      <w:u w:val="single"/>
    </w:rPr>
  </w:style>
  <w:style w:type="character" w:customStyle="1" w:styleId="HeaderChar">
    <w:name w:val="Header Char"/>
    <w:basedOn w:val="DefaultParagraphFont"/>
    <w:link w:val="Header"/>
    <w:uiPriority w:val="99"/>
    <w:rsid w:val="00ED6623"/>
    <w:rPr>
      <w:rFonts w:ascii="Times New Roman" w:hAnsi="Times New Roman" w:cs="Times New Roman"/>
      <w:sz w:val="24"/>
      <w:lang w:val="ro-RO"/>
    </w:rPr>
  </w:style>
  <w:style w:type="character" w:customStyle="1" w:styleId="FooterChar">
    <w:name w:val="Footer Char"/>
    <w:basedOn w:val="DefaultParagraphFont"/>
    <w:link w:val="Footer"/>
    <w:uiPriority w:val="99"/>
    <w:rsid w:val="00ED662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D662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D6623"/>
    <w:pPr>
      <w:spacing w:before="0"/>
      <w:jc w:val="right"/>
    </w:pPr>
    <w:rPr>
      <w:sz w:val="28"/>
    </w:rPr>
  </w:style>
  <w:style w:type="paragraph" w:customStyle="1" w:styleId="FooterSensitivity">
    <w:name w:val="Footer Sensitivity"/>
    <w:basedOn w:val="Normal"/>
    <w:rsid w:val="00ED66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D6623"/>
    <w:pPr>
      <w:tabs>
        <w:tab w:val="center" w:pos="4535"/>
        <w:tab w:val="right" w:pos="9071"/>
      </w:tabs>
      <w:spacing w:before="0"/>
    </w:pPr>
  </w:style>
  <w:style w:type="paragraph" w:customStyle="1" w:styleId="HeaderLandscape">
    <w:name w:val="HeaderLandscape"/>
    <w:basedOn w:val="Normal"/>
    <w:rsid w:val="00ED6623"/>
    <w:pPr>
      <w:tabs>
        <w:tab w:val="center" w:pos="7285"/>
        <w:tab w:val="right" w:pos="14003"/>
      </w:tabs>
      <w:spacing w:before="0"/>
    </w:pPr>
  </w:style>
  <w:style w:type="paragraph" w:styleId="Footer">
    <w:name w:val="footer"/>
    <w:basedOn w:val="Normal"/>
    <w:link w:val="FooterChar"/>
    <w:uiPriority w:val="99"/>
    <w:unhideWhenUsed/>
    <w:rsid w:val="00ED662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D662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88619">
      <w:bodyDiv w:val="1"/>
      <w:marLeft w:val="0"/>
      <w:marRight w:val="0"/>
      <w:marTop w:val="0"/>
      <w:marBottom w:val="0"/>
      <w:divBdr>
        <w:top w:val="none" w:sz="0" w:space="0" w:color="auto"/>
        <w:left w:val="none" w:sz="0" w:space="0" w:color="auto"/>
        <w:bottom w:val="none" w:sz="0" w:space="0" w:color="auto"/>
        <w:right w:val="none" w:sz="0" w:space="0" w:color="auto"/>
      </w:divBdr>
    </w:div>
    <w:div w:id="377901024">
      <w:bodyDiv w:val="1"/>
      <w:marLeft w:val="0"/>
      <w:marRight w:val="0"/>
      <w:marTop w:val="0"/>
      <w:marBottom w:val="0"/>
      <w:divBdr>
        <w:top w:val="none" w:sz="0" w:space="0" w:color="auto"/>
        <w:left w:val="none" w:sz="0" w:space="0" w:color="auto"/>
        <w:bottom w:val="none" w:sz="0" w:space="0" w:color="auto"/>
        <w:right w:val="none" w:sz="0" w:space="0" w:color="auto"/>
      </w:divBdr>
    </w:div>
    <w:div w:id="486745117">
      <w:bodyDiv w:val="1"/>
      <w:marLeft w:val="0"/>
      <w:marRight w:val="0"/>
      <w:marTop w:val="0"/>
      <w:marBottom w:val="0"/>
      <w:divBdr>
        <w:top w:val="none" w:sz="0" w:space="0" w:color="auto"/>
        <w:left w:val="none" w:sz="0" w:space="0" w:color="auto"/>
        <w:bottom w:val="none" w:sz="0" w:space="0" w:color="auto"/>
        <w:right w:val="none" w:sz="0" w:space="0" w:color="auto"/>
      </w:divBdr>
    </w:div>
    <w:div w:id="939720893">
      <w:bodyDiv w:val="1"/>
      <w:marLeft w:val="0"/>
      <w:marRight w:val="0"/>
      <w:marTop w:val="0"/>
      <w:marBottom w:val="0"/>
      <w:divBdr>
        <w:top w:val="none" w:sz="0" w:space="0" w:color="auto"/>
        <w:left w:val="none" w:sz="0" w:space="0" w:color="auto"/>
        <w:bottom w:val="none" w:sz="0" w:space="0" w:color="auto"/>
        <w:right w:val="none" w:sz="0" w:space="0" w:color="auto"/>
      </w:divBdr>
    </w:div>
    <w:div w:id="1361399397">
      <w:bodyDiv w:val="1"/>
      <w:marLeft w:val="0"/>
      <w:marRight w:val="0"/>
      <w:marTop w:val="0"/>
      <w:marBottom w:val="0"/>
      <w:divBdr>
        <w:top w:val="none" w:sz="0" w:space="0" w:color="auto"/>
        <w:left w:val="none" w:sz="0" w:space="0" w:color="auto"/>
        <w:bottom w:val="none" w:sz="0" w:space="0" w:color="auto"/>
        <w:right w:val="none" w:sz="0" w:space="0" w:color="auto"/>
      </w:divBdr>
    </w:div>
    <w:div w:id="210456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3/96/oj" TargetMode="External"/><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5AE0ADC0A5A146BC27407AD9B6C988" ma:contentTypeVersion="4" ma:contentTypeDescription="Create a new document." ma:contentTypeScope="" ma:versionID="8a249963cc30786fd278b02ae3c96f56">
  <xsd:schema xmlns:xsd="http://www.w3.org/2001/XMLSchema" xmlns:xs="http://www.w3.org/2001/XMLSchema" xmlns:p="http://schemas.microsoft.com/office/2006/metadata/properties" xmlns:ns2="109fcfd2-021d-4f4d-b448-87f88c558579" targetNamespace="http://schemas.microsoft.com/office/2006/metadata/properties" ma:root="true" ma:fieldsID="c3ae6ead6ce24f899b0d8b19b770b283" ns2:_="">
    <xsd:import namespace="109fcfd2-021d-4f4d-b448-87f88c558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fcfd2-021d-4f4d-b448-87f88c558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1D18D-7FF3-4091-A4DE-5CF821C8746B}">
  <ds:schemaRefs>
    <ds:schemaRef ds:uri="http://schemas.microsoft.com/sharepoint/v3/contenttype/forms"/>
  </ds:schemaRefs>
</ds:datastoreItem>
</file>

<file path=customXml/itemProps2.xml><?xml version="1.0" encoding="utf-8"?>
<ds:datastoreItem xmlns:ds="http://schemas.openxmlformats.org/officeDocument/2006/customXml" ds:itemID="{75F82366-50DA-44A7-A937-1CA140C7D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fcfd2-021d-4f4d-b448-87f88c558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646C2-745B-4051-9F7D-87C50BDAF0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6ECDE4-60F8-4D7A-AC1D-1799BB023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41</TotalTime>
  <Pages>11</Pages>
  <Words>3973</Words>
  <Characters>22648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26568</CharactersWithSpaces>
  <SharedDoc>false</SharedDoc>
  <HLinks>
    <vt:vector size="6" baseType="variant">
      <vt:variant>
        <vt:i4>7798784</vt:i4>
      </vt:variant>
      <vt:variant>
        <vt:i4>0</vt:i4>
      </vt:variant>
      <vt:variant>
        <vt:i4>0</vt:i4>
      </vt:variant>
      <vt:variant>
        <vt:i4>5</vt:i4>
      </vt:variant>
      <vt:variant>
        <vt:lpwstr>https://employment-social-affairs.ec.europa.eu/economic-and-distributional-effects-higher-energy-prices-households-eu_en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cp:lastPrinted>2026-04-01T13:09:00Z</cp:lastPrinted>
  <dcterms:created xsi:type="dcterms:W3CDTF">2026-06-11T08:07:00Z</dcterms:created>
  <dcterms:modified xsi:type="dcterms:W3CDTF">2026-06-19T09:10:00Z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2026-03-23T13:43:12Z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dfb892a6-a40e-4732-92d7-2901fd719b0e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0x010100C45AE0ADC0A5A146BC27407AD9B6C988</vt:lpwstr>
  </property>
  <property fmtid="{D5CDD505-2E9C-101B-9397-08002B2CF9AE}" pid="19" name="DQCStatus">
    <vt:lpwstr>Green (DQC version 03)</vt:lpwstr>
  </property>
</Properties>
</file>