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3FF" w:rsidRDefault="00067D13" w:rsidP="00067D1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B81FA69-21E4-45FF-AEC8-CAE1728F9571" style="width:455.25pt;height:371.25pt">
            <v:imagedata r:id="rId11" o:title=""/>
          </v:shape>
        </w:pict>
      </w:r>
    </w:p>
    <w:p w:rsidR="007B7DBD" w:rsidRPr="007B7DBD" w:rsidRDefault="007B7DBD" w:rsidP="007B7DBD">
      <w:pPr>
        <w:pStyle w:val="Pagedecouverture"/>
        <w:rPr>
          <w:noProof/>
        </w:rPr>
        <w:sectPr w:rsidR="007B7DBD" w:rsidRPr="007B7DBD" w:rsidSect="00067D13">
          <w:footerReference w:type="even" r:id="rId12"/>
          <w:footerReference w:type="default" r:id="rId13"/>
          <w:pgSz w:w="11907" w:h="16839"/>
          <w:pgMar w:top="1134" w:right="1417" w:bottom="1134" w:left="1417" w:header="709" w:footer="709" w:gutter="0"/>
          <w:pgNumType w:start="0"/>
          <w:cols w:space="720"/>
          <w:docGrid w:linePitch="360"/>
        </w:sectPr>
      </w:pPr>
    </w:p>
    <w:p w:rsidR="00C11FA9" w:rsidRDefault="00C11FA9" w:rsidP="00A52F19">
      <w:pPr>
        <w:pStyle w:val="Exposdesmotifstitre"/>
        <w:rPr>
          <w:noProof/>
        </w:rPr>
      </w:pPr>
      <w:bookmarkStart w:id="0" w:name="_GoBack"/>
      <w:bookmarkEnd w:id="0"/>
      <w:r w:rsidRPr="006F770D">
        <w:rPr>
          <w:noProof/>
        </w:rPr>
        <w:lastRenderedPageBreak/>
        <w:t>EXPLANATORY MEMORANDUM</w:t>
      </w:r>
    </w:p>
    <w:p w:rsidR="00C11FA9" w:rsidRPr="00C11E78" w:rsidRDefault="3C452CD4" w:rsidP="007A08BF">
      <w:pPr>
        <w:widowControl w:val="0"/>
        <w:shd w:val="clear" w:color="auto" w:fill="FFFFFF" w:themeFill="background1"/>
        <w:autoSpaceDE w:val="0"/>
        <w:autoSpaceDN w:val="0"/>
        <w:adjustRightInd w:val="0"/>
        <w:spacing w:before="230" w:after="0" w:line="269" w:lineRule="exact"/>
        <w:rPr>
          <w:noProof/>
        </w:rPr>
      </w:pPr>
      <w:r>
        <w:rPr>
          <w:noProof/>
        </w:rPr>
        <w:t xml:space="preserve">The present proposal concerns the </w:t>
      </w:r>
      <w:r w:rsidR="00057F9A">
        <w:rPr>
          <w:noProof/>
        </w:rPr>
        <w:t xml:space="preserve">conclusion </w:t>
      </w:r>
      <w:r>
        <w:rPr>
          <w:noProof/>
        </w:rPr>
        <w:t xml:space="preserve">of an Agreement between the European Union </w:t>
      </w:r>
      <w:r w:rsidR="00C11E78">
        <w:rPr>
          <w:noProof/>
        </w:rPr>
        <w:t xml:space="preserve">and </w:t>
      </w:r>
      <w:r w:rsidR="00610919">
        <w:rPr>
          <w:noProof/>
        </w:rPr>
        <w:t>Algeria</w:t>
      </w:r>
      <w:r w:rsidR="00C11E78">
        <w:rPr>
          <w:noProof/>
        </w:rPr>
        <w:t xml:space="preserve"> on </w:t>
      </w:r>
      <w:r w:rsidR="007A2771">
        <w:rPr>
          <w:noProof/>
        </w:rPr>
        <w:t xml:space="preserve">the </w:t>
      </w:r>
      <w:r>
        <w:rPr>
          <w:noProof/>
        </w:rPr>
        <w:t xml:space="preserve">cooperation between the European Agency for Criminal Justice Cooperation (Eurojust) and the authorities </w:t>
      </w:r>
      <w:r w:rsidR="007A2771">
        <w:rPr>
          <w:noProof/>
        </w:rPr>
        <w:t xml:space="preserve">of </w:t>
      </w:r>
      <w:r w:rsidR="00610919">
        <w:rPr>
          <w:noProof/>
        </w:rPr>
        <w:t>Algeria</w:t>
      </w:r>
      <w:r w:rsidR="007A2771">
        <w:rPr>
          <w:noProof/>
        </w:rPr>
        <w:t xml:space="preserve"> competent </w:t>
      </w:r>
      <w:r>
        <w:rPr>
          <w:noProof/>
        </w:rPr>
        <w:t xml:space="preserve">for judicial cooperation in criminal matters </w:t>
      </w:r>
      <w:r w:rsidR="545CCE41" w:rsidRPr="7075FCB8">
        <w:rPr>
          <w:noProof/>
          <w:color w:val="000000" w:themeColor="text1"/>
        </w:rPr>
        <w:t>(hereafter “</w:t>
      </w:r>
      <w:r w:rsidR="7596EFBA" w:rsidRPr="7075FCB8">
        <w:rPr>
          <w:noProof/>
          <w:color w:val="000000" w:themeColor="text1"/>
        </w:rPr>
        <w:t xml:space="preserve">the </w:t>
      </w:r>
      <w:r w:rsidR="545CCE41" w:rsidRPr="7075FCB8">
        <w:rPr>
          <w:noProof/>
          <w:color w:val="000000" w:themeColor="text1"/>
        </w:rPr>
        <w:t>Agreement”).</w:t>
      </w:r>
    </w:p>
    <w:p w:rsidR="00C11FA9" w:rsidRPr="006F770D" w:rsidRDefault="00C11FA9" w:rsidP="00A52F19">
      <w:pPr>
        <w:pStyle w:val="ManualHeading1"/>
        <w:rPr>
          <w:noProof/>
        </w:rPr>
      </w:pPr>
      <w:r w:rsidRPr="00C567EE">
        <w:rPr>
          <w:noProof/>
        </w:rPr>
        <w:t>1.</w:t>
      </w:r>
      <w:r w:rsidRPr="00C567EE">
        <w:rPr>
          <w:noProof/>
        </w:rPr>
        <w:tab/>
      </w:r>
      <w:r w:rsidRPr="006F770D">
        <w:rPr>
          <w:noProof/>
        </w:rPr>
        <w:t>CONTEXT OF THE PROPOSAL</w:t>
      </w:r>
    </w:p>
    <w:p w:rsidR="00C11FA9" w:rsidRPr="00044058" w:rsidRDefault="00C11FA9" w:rsidP="00A52F19">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AB2544" w:rsidRDefault="00AB2544" w:rsidP="007A08BF">
      <w:pPr>
        <w:widowControl w:val="0"/>
        <w:shd w:val="clear" w:color="auto" w:fill="FFFFFF"/>
        <w:autoSpaceDE w:val="0"/>
        <w:autoSpaceDN w:val="0"/>
        <w:adjustRightInd w:val="0"/>
        <w:spacing w:before="230" w:after="0" w:line="269" w:lineRule="exact"/>
        <w:rPr>
          <w:noProof/>
          <w:color w:val="000000" w:themeColor="text1"/>
          <w:lang w:bidi="en-US"/>
        </w:rPr>
      </w:pPr>
      <w:r w:rsidRPr="00AB2544">
        <w:rPr>
          <w:noProof/>
          <w:color w:val="000000" w:themeColor="text1"/>
          <w:lang w:bidi="en-US"/>
        </w:rPr>
        <w:t>The European Union Agency for Criminal Justice Cooperation (Eurojust) coordinates investigations and prosecutions of serious cross-border crime in Europe and beyond. As the European Union’s (EU) hub for judicial cooperation in criminal matters, Eurojust supports national investigating and prosecuting authorities.</w:t>
      </w:r>
    </w:p>
    <w:p w:rsidR="001529E9" w:rsidRPr="00A2158B" w:rsidRDefault="001529E9" w:rsidP="00A2158B">
      <w:pPr>
        <w:rPr>
          <w:noProof/>
          <w:color w:val="000000" w:themeColor="text1"/>
          <w:lang w:bidi="en-US"/>
        </w:rPr>
      </w:pPr>
      <w:r w:rsidRPr="00A2158B">
        <w:rPr>
          <w:noProof/>
        </w:rPr>
        <w:t xml:space="preserve">In a globalised world, the need for cooperation </w:t>
      </w:r>
      <w:r w:rsidR="00991687" w:rsidRPr="00A2158B">
        <w:rPr>
          <w:noProof/>
        </w:rPr>
        <w:t xml:space="preserve">between judicial authorities involved in the investigation and prosecution of serious crimes </w:t>
      </w:r>
      <w:r w:rsidRPr="00A2158B">
        <w:rPr>
          <w:noProof/>
        </w:rPr>
        <w:t xml:space="preserve">does not stop at Union borders. </w:t>
      </w:r>
      <w:r w:rsidR="003D450F" w:rsidRPr="181C8758">
        <w:rPr>
          <w:noProof/>
          <w:color w:val="000000" w:themeColor="text1"/>
          <w:lang w:val="en-US" w:bidi="en-US"/>
        </w:rPr>
        <w:t xml:space="preserve">With the increase of cross-border crime, it is crucial to obtain information from outside one’s jurisdiction. </w:t>
      </w:r>
      <w:r w:rsidRPr="00A2158B">
        <w:rPr>
          <w:noProof/>
        </w:rPr>
        <w:t xml:space="preserve">Therefore, Eurojust should be able to cooperate closely and exchange personal data with judicial authorities of </w:t>
      </w:r>
      <w:r w:rsidR="00991687" w:rsidRPr="00A2158B">
        <w:rPr>
          <w:noProof/>
        </w:rPr>
        <w:t xml:space="preserve">selected </w:t>
      </w:r>
      <w:r w:rsidRPr="00A2158B">
        <w:rPr>
          <w:noProof/>
        </w:rPr>
        <w:t>third countries to the extent necessary for the accomplishment of its tasks within the framework of the requirements</w:t>
      </w:r>
      <w:r w:rsidR="00001E5C" w:rsidRPr="00A2158B">
        <w:rPr>
          <w:noProof/>
        </w:rPr>
        <w:t xml:space="preserve"> set out in Regulation (EU) 2018/1727</w:t>
      </w:r>
      <w:r w:rsidR="00001E5C" w:rsidRPr="00A2158B">
        <w:rPr>
          <w:rStyle w:val="FootnoteReference"/>
          <w:iCs/>
          <w:noProof/>
        </w:rPr>
        <w:footnoteReference w:id="2"/>
      </w:r>
      <w:r w:rsidR="00AF08A8" w:rsidRPr="00A2158B">
        <w:rPr>
          <w:noProof/>
        </w:rPr>
        <w:t xml:space="preserve"> (hereafter “</w:t>
      </w:r>
      <w:r w:rsidR="0067178C" w:rsidRPr="00A2158B">
        <w:rPr>
          <w:noProof/>
        </w:rPr>
        <w:t>Eurojust Regulation</w:t>
      </w:r>
      <w:r w:rsidR="00AF08A8" w:rsidRPr="00A2158B">
        <w:rPr>
          <w:noProof/>
        </w:rPr>
        <w:t>”</w:t>
      </w:r>
      <w:r w:rsidR="0067178C" w:rsidRPr="00A2158B">
        <w:rPr>
          <w:noProof/>
        </w:rPr>
        <w:t>)</w:t>
      </w:r>
      <w:r w:rsidRPr="00A2158B">
        <w:rPr>
          <w:noProof/>
        </w:rPr>
        <w:t>.</w:t>
      </w:r>
      <w:r w:rsidR="003D450F" w:rsidRPr="003D450F">
        <w:rPr>
          <w:noProof/>
          <w:color w:val="000000" w:themeColor="text1"/>
          <w:lang w:val="en-US" w:bidi="en-US"/>
        </w:rPr>
        <w:t xml:space="preserve"> </w:t>
      </w:r>
      <w:r w:rsidR="003D450F" w:rsidRPr="181C8758">
        <w:rPr>
          <w:noProof/>
          <w:color w:val="000000" w:themeColor="text1"/>
          <w:lang w:val="en-US" w:bidi="en-US"/>
        </w:rPr>
        <w:t xml:space="preserve">At the same time, it is important to ensure that </w:t>
      </w:r>
      <w:r w:rsidR="003D450F" w:rsidRPr="00620245">
        <w:rPr>
          <w:noProof/>
          <w:color w:val="000000" w:themeColor="text1"/>
          <w:lang w:val="en-US" w:bidi="en-US"/>
        </w:rPr>
        <w:t>adequate safeguards with respect to the protection of privacy and fundamental rights and freedoms of individuals</w:t>
      </w:r>
      <w:r w:rsidR="003D450F">
        <w:rPr>
          <w:noProof/>
          <w:color w:val="000000" w:themeColor="text1"/>
          <w:lang w:val="en-US" w:bidi="en-US"/>
        </w:rPr>
        <w:t xml:space="preserve"> are in place for the protection of </w:t>
      </w:r>
      <w:r w:rsidR="003D450F" w:rsidRPr="181C8758">
        <w:rPr>
          <w:noProof/>
          <w:color w:val="000000" w:themeColor="text1"/>
          <w:lang w:val="en-US" w:bidi="en-US"/>
        </w:rPr>
        <w:t>personal data.</w:t>
      </w:r>
    </w:p>
    <w:p w:rsidR="00AB2544" w:rsidRPr="00991687" w:rsidRDefault="15095958" w:rsidP="007A08BF">
      <w:pPr>
        <w:widowControl w:val="0"/>
        <w:shd w:val="clear" w:color="auto" w:fill="FFFFFF" w:themeFill="background1"/>
        <w:autoSpaceDE w:val="0"/>
        <w:autoSpaceDN w:val="0"/>
        <w:adjustRightInd w:val="0"/>
        <w:spacing w:before="230" w:after="0" w:line="269" w:lineRule="exact"/>
        <w:rPr>
          <w:noProof/>
          <w:color w:val="000000" w:themeColor="text1"/>
          <w:lang w:bidi="en-US"/>
        </w:rPr>
      </w:pPr>
      <w:r w:rsidRPr="181C8758">
        <w:rPr>
          <w:noProof/>
          <w:color w:val="000000" w:themeColor="text1"/>
          <w:lang w:bidi="en-US"/>
        </w:rPr>
        <w:t xml:space="preserve">Eurojust </w:t>
      </w:r>
      <w:r w:rsidR="11C92EE1" w:rsidRPr="181C8758">
        <w:rPr>
          <w:noProof/>
          <w:color w:val="000000" w:themeColor="text1"/>
          <w:lang w:bidi="en-US"/>
        </w:rPr>
        <w:t>can</w:t>
      </w:r>
      <w:r w:rsidRPr="181C8758">
        <w:rPr>
          <w:noProof/>
          <w:color w:val="000000" w:themeColor="text1"/>
          <w:lang w:bidi="en-US"/>
        </w:rPr>
        <w:t xml:space="preserve"> </w:t>
      </w:r>
      <w:r w:rsidR="2367ED66" w:rsidRPr="181C8758">
        <w:rPr>
          <w:noProof/>
          <w:color w:val="000000" w:themeColor="text1"/>
          <w:lang w:bidi="en-US"/>
        </w:rPr>
        <w:t>exchange</w:t>
      </w:r>
      <w:r w:rsidRPr="181C8758">
        <w:rPr>
          <w:noProof/>
          <w:color w:val="000000" w:themeColor="text1"/>
          <w:lang w:bidi="en-US"/>
        </w:rPr>
        <w:t xml:space="preserve"> operational personal data</w:t>
      </w:r>
      <w:r w:rsidR="11C92EE1" w:rsidRPr="181C8758">
        <w:rPr>
          <w:noProof/>
          <w:color w:val="000000" w:themeColor="text1"/>
          <w:lang w:bidi="en-US"/>
        </w:rPr>
        <w:t xml:space="preserve"> </w:t>
      </w:r>
      <w:r w:rsidR="2367ED66" w:rsidRPr="181C8758">
        <w:rPr>
          <w:noProof/>
          <w:color w:val="000000" w:themeColor="text1"/>
          <w:lang w:bidi="en-US"/>
        </w:rPr>
        <w:t>with</w:t>
      </w:r>
      <w:r w:rsidR="11C92EE1" w:rsidRPr="181C8758">
        <w:rPr>
          <w:noProof/>
          <w:color w:val="000000" w:themeColor="text1"/>
          <w:lang w:bidi="en-US"/>
        </w:rPr>
        <w:t xml:space="preserve"> third countries</w:t>
      </w:r>
      <w:r w:rsidR="2367ED66" w:rsidRPr="181C8758">
        <w:rPr>
          <w:noProof/>
          <w:color w:val="000000" w:themeColor="text1"/>
          <w:lang w:bidi="en-US"/>
        </w:rPr>
        <w:t xml:space="preserve"> where one of the requirements set out in Article 56</w:t>
      </w:r>
      <w:r w:rsidR="7596EFBA" w:rsidRPr="181C8758">
        <w:rPr>
          <w:noProof/>
          <w:color w:val="000000" w:themeColor="text1"/>
          <w:lang w:bidi="en-US"/>
        </w:rPr>
        <w:t>(</w:t>
      </w:r>
      <w:r w:rsidR="2367ED66" w:rsidRPr="181C8758">
        <w:rPr>
          <w:noProof/>
          <w:color w:val="000000" w:themeColor="text1"/>
          <w:lang w:bidi="en-US"/>
        </w:rPr>
        <w:t>2</w:t>
      </w:r>
      <w:r w:rsidR="7596EFBA" w:rsidRPr="181C8758">
        <w:rPr>
          <w:noProof/>
          <w:color w:val="000000" w:themeColor="text1"/>
          <w:lang w:bidi="en-US"/>
        </w:rPr>
        <w:t>)</w:t>
      </w:r>
      <w:r w:rsidR="2367ED66" w:rsidRPr="181C8758">
        <w:rPr>
          <w:noProof/>
          <w:color w:val="000000" w:themeColor="text1"/>
          <w:lang w:bidi="en-US"/>
        </w:rPr>
        <w:t xml:space="preserve"> points </w:t>
      </w:r>
      <w:r w:rsidR="3067E616" w:rsidRPr="181C8758">
        <w:rPr>
          <w:noProof/>
          <w:color w:val="000000" w:themeColor="text1"/>
          <w:lang w:bidi="en-US"/>
        </w:rPr>
        <w:t>(</w:t>
      </w:r>
      <w:r w:rsidR="2367ED66" w:rsidRPr="181C8758">
        <w:rPr>
          <w:noProof/>
          <w:color w:val="000000" w:themeColor="text1"/>
          <w:lang w:bidi="en-US"/>
        </w:rPr>
        <w:t>a</w:t>
      </w:r>
      <w:r w:rsidR="6AB5985E" w:rsidRPr="181C8758">
        <w:rPr>
          <w:noProof/>
          <w:color w:val="000000" w:themeColor="text1"/>
          <w:lang w:bidi="en-US"/>
        </w:rPr>
        <w:t>)</w:t>
      </w:r>
      <w:r w:rsidR="2367ED66" w:rsidRPr="181C8758">
        <w:rPr>
          <w:noProof/>
          <w:color w:val="000000" w:themeColor="text1"/>
          <w:lang w:bidi="en-US"/>
        </w:rPr>
        <w:t xml:space="preserve"> to </w:t>
      </w:r>
      <w:r w:rsidR="6C826F2E" w:rsidRPr="181C8758">
        <w:rPr>
          <w:noProof/>
          <w:color w:val="000000" w:themeColor="text1"/>
          <w:lang w:bidi="en-US"/>
        </w:rPr>
        <w:t>(</w:t>
      </w:r>
      <w:r w:rsidR="2367ED66" w:rsidRPr="181C8758">
        <w:rPr>
          <w:noProof/>
          <w:color w:val="000000" w:themeColor="text1"/>
          <w:lang w:bidi="en-US"/>
        </w:rPr>
        <w:t>c</w:t>
      </w:r>
      <w:r w:rsidR="0A5A30AF" w:rsidRPr="181C8758">
        <w:rPr>
          <w:noProof/>
          <w:color w:val="000000" w:themeColor="text1"/>
          <w:lang w:bidi="en-US"/>
        </w:rPr>
        <w:t>)</w:t>
      </w:r>
      <w:r w:rsidR="00FA2801">
        <w:rPr>
          <w:noProof/>
          <w:color w:val="000000" w:themeColor="text1"/>
          <w:lang w:bidi="en-US"/>
        </w:rPr>
        <w:t>,</w:t>
      </w:r>
      <w:r w:rsidR="2367ED66" w:rsidRPr="181C8758">
        <w:rPr>
          <w:noProof/>
          <w:color w:val="000000" w:themeColor="text1"/>
          <w:lang w:bidi="en-US"/>
        </w:rPr>
        <w:t xml:space="preserve"> of the Eurojust Regulation is met: </w:t>
      </w:r>
    </w:p>
    <w:p w:rsidR="0067178C" w:rsidRPr="0067178C" w:rsidRDefault="0067178C" w:rsidP="00D75E99">
      <w:pPr>
        <w:pStyle w:val="Bullet0"/>
        <w:numPr>
          <w:ilvl w:val="0"/>
          <w:numId w:val="5"/>
        </w:numPr>
        <w:rPr>
          <w:noProof/>
          <w:lang w:val="en-US" w:bidi="en-US"/>
        </w:rPr>
      </w:pPr>
      <w:r>
        <w:rPr>
          <w:noProof/>
          <w:lang w:val="en-US" w:bidi="en-US"/>
        </w:rPr>
        <w:t>T</w:t>
      </w:r>
      <w:r w:rsidRPr="0067178C">
        <w:rPr>
          <w:noProof/>
          <w:lang w:bidi="en-US"/>
        </w:rPr>
        <w:t>he Commission has decided pursuant to Article 57 that the third country or international organisation in question ensures an adequate level of protection, or in the absence of such an adequacy decision, appropriate safeguards have been provided for or exist in accordance with Article 58(1), or in the absence of both an adequacy decision and of such appropriate safeguards, a derogation for specific situations applies</w:t>
      </w:r>
      <w:r>
        <w:rPr>
          <w:noProof/>
          <w:lang w:bidi="en-US"/>
        </w:rPr>
        <w:t xml:space="preserve"> pursuant to Article 59(1); </w:t>
      </w:r>
    </w:p>
    <w:p w:rsidR="0067178C" w:rsidRPr="0067178C" w:rsidRDefault="00F812B0" w:rsidP="0067178C">
      <w:pPr>
        <w:pStyle w:val="Bullet0"/>
        <w:rPr>
          <w:noProof/>
          <w:lang w:val="en-US" w:bidi="en-US"/>
        </w:rPr>
      </w:pPr>
      <w:r>
        <w:rPr>
          <w:noProof/>
          <w:lang w:val="en-US" w:bidi="en-US"/>
        </w:rPr>
        <w:t>a</w:t>
      </w:r>
      <w:r w:rsidR="0067178C" w:rsidRPr="0067178C">
        <w:rPr>
          <w:noProof/>
          <w:lang w:bidi="en-US"/>
        </w:rPr>
        <w:t xml:space="preserve"> cooperation agreement allowing for the exchange of operational personal data has been concluded before 12 December 2019 between Eurojust and th</w:t>
      </w:r>
      <w:r w:rsidR="00FA2801">
        <w:rPr>
          <w:noProof/>
          <w:lang w:bidi="en-US"/>
        </w:rPr>
        <w:t>e</w:t>
      </w:r>
      <w:r w:rsidR="0067178C" w:rsidRPr="0067178C">
        <w:rPr>
          <w:noProof/>
          <w:lang w:bidi="en-US"/>
        </w:rPr>
        <w:t xml:space="preserve"> third country or international organisation, in accordance with Article 26a of Decision 2002/187/JHA</w:t>
      </w:r>
      <w:r w:rsidR="00FA2801">
        <w:rPr>
          <w:rStyle w:val="FootnoteReference"/>
          <w:noProof/>
          <w:lang w:bidi="en-US"/>
        </w:rPr>
        <w:footnoteReference w:id="3"/>
      </w:r>
      <w:r w:rsidR="0067178C" w:rsidRPr="0067178C">
        <w:rPr>
          <w:noProof/>
          <w:lang w:bidi="en-US"/>
        </w:rPr>
        <w:t xml:space="preserve">; or </w:t>
      </w:r>
    </w:p>
    <w:p w:rsidR="0067178C" w:rsidRPr="0067178C" w:rsidRDefault="00F812B0" w:rsidP="0067178C">
      <w:pPr>
        <w:pStyle w:val="Bullet0"/>
        <w:rPr>
          <w:noProof/>
          <w:lang w:val="en-US" w:bidi="en-US"/>
        </w:rPr>
      </w:pPr>
      <w:r>
        <w:rPr>
          <w:noProof/>
          <w:lang w:val="en-US" w:bidi="en-US"/>
        </w:rPr>
        <w:t>a</w:t>
      </w:r>
      <w:r w:rsidR="0067178C" w:rsidRPr="0067178C">
        <w:rPr>
          <w:noProof/>
          <w:lang w:bidi="en-US"/>
        </w:rPr>
        <w:t>n international agreement has been concluded between the Union and the third country or international organisation pursuant to Article 218</w:t>
      </w:r>
      <w:r w:rsidR="00863E77">
        <w:rPr>
          <w:noProof/>
          <w:lang w:bidi="en-US"/>
        </w:rPr>
        <w:t xml:space="preserve"> of the Treaty on the Functioning of the European Union (</w:t>
      </w:r>
      <w:r w:rsidR="0067178C" w:rsidRPr="0067178C">
        <w:rPr>
          <w:noProof/>
          <w:lang w:bidi="en-US"/>
        </w:rPr>
        <w:t>TFEU</w:t>
      </w:r>
      <w:r w:rsidR="00863E77">
        <w:rPr>
          <w:noProof/>
          <w:lang w:bidi="en-US"/>
        </w:rPr>
        <w:t>)</w:t>
      </w:r>
      <w:r>
        <w:rPr>
          <w:noProof/>
          <w:lang w:bidi="en-US"/>
        </w:rPr>
        <w:t>,</w:t>
      </w:r>
      <w:r w:rsidR="0067178C" w:rsidRPr="0067178C">
        <w:rPr>
          <w:noProof/>
          <w:lang w:bidi="en-US"/>
        </w:rPr>
        <w:t xml:space="preserve"> that provides for adequate safeguards with respect to the protection of privacy and fundamental rights and freedoms of individuals.</w:t>
      </w:r>
    </w:p>
    <w:p w:rsidR="00AB2544" w:rsidRPr="00AB2544" w:rsidRDefault="009D2327" w:rsidP="007A08BF">
      <w:pPr>
        <w:widowControl w:val="0"/>
        <w:shd w:val="clear" w:color="auto" w:fill="FFFFFF"/>
        <w:autoSpaceDE w:val="0"/>
        <w:autoSpaceDN w:val="0"/>
        <w:adjustRightInd w:val="0"/>
        <w:spacing w:before="230" w:after="0" w:line="269" w:lineRule="exact"/>
        <w:rPr>
          <w:noProof/>
          <w:color w:val="000000" w:themeColor="text1"/>
          <w:lang w:val="en-US" w:bidi="en-US"/>
        </w:rPr>
      </w:pPr>
      <w:r>
        <w:rPr>
          <w:noProof/>
          <w:color w:val="000000" w:themeColor="text1"/>
          <w:lang w:val="en-US" w:bidi="en-US"/>
        </w:rPr>
        <w:t>At present</w:t>
      </w:r>
      <w:r w:rsidR="00AB2544" w:rsidRPr="00AB2544">
        <w:rPr>
          <w:noProof/>
          <w:color w:val="000000" w:themeColor="text1"/>
          <w:lang w:val="en-US" w:bidi="en-US"/>
        </w:rPr>
        <w:t>, Eurojust has cooperation agreements</w:t>
      </w:r>
      <w:r w:rsidR="0067178C">
        <w:rPr>
          <w:noProof/>
          <w:color w:val="000000" w:themeColor="text1"/>
          <w:lang w:val="en-US" w:bidi="en-US"/>
        </w:rPr>
        <w:t xml:space="preserve"> based on Article 26a of Decision </w:t>
      </w:r>
      <w:r w:rsidR="0067178C">
        <w:rPr>
          <w:noProof/>
          <w:color w:val="000000" w:themeColor="text1"/>
          <w:lang w:val="en-US" w:bidi="en-US"/>
        </w:rPr>
        <w:lastRenderedPageBreak/>
        <w:t>2002/187/JHA</w:t>
      </w:r>
      <w:r w:rsidR="00AB2544">
        <w:rPr>
          <w:noProof/>
          <w:color w:val="000000" w:themeColor="text1"/>
          <w:lang w:val="en-US" w:bidi="en-US"/>
        </w:rPr>
        <w:t>,</w:t>
      </w:r>
      <w:r w:rsidR="00AB2544" w:rsidRPr="00AB2544">
        <w:rPr>
          <w:noProof/>
          <w:color w:val="000000" w:themeColor="text1"/>
          <w:lang w:val="en-US" w:bidi="en-US"/>
        </w:rPr>
        <w:t xml:space="preserve"> which allow for exchanges of personal data</w:t>
      </w:r>
      <w:r w:rsidR="00991687">
        <w:rPr>
          <w:noProof/>
          <w:color w:val="000000" w:themeColor="text1"/>
          <w:lang w:val="en-US" w:bidi="en-US"/>
        </w:rPr>
        <w:t>,</w:t>
      </w:r>
      <w:r w:rsidR="00AB2544" w:rsidRPr="00AB2544">
        <w:rPr>
          <w:noProof/>
          <w:color w:val="000000" w:themeColor="text1"/>
          <w:lang w:val="en-US" w:bidi="en-US"/>
        </w:rPr>
        <w:t xml:space="preserve"> in place with Montenegro, Ukraine, Moldova, Liechtenstein, Switzerland, North Macedonia, the USA, Iceland, Norway, Georgia, Albania</w:t>
      </w:r>
      <w:r w:rsidR="00F04A5D">
        <w:rPr>
          <w:noProof/>
          <w:color w:val="000000" w:themeColor="text1"/>
          <w:lang w:val="en-US" w:bidi="en-US"/>
        </w:rPr>
        <w:t xml:space="preserve"> </w:t>
      </w:r>
      <w:r w:rsidR="00AB2544" w:rsidRPr="00AB2544">
        <w:rPr>
          <w:noProof/>
          <w:color w:val="000000" w:themeColor="text1"/>
          <w:lang w:val="en-US" w:bidi="en-US"/>
        </w:rPr>
        <w:t>and Serbia. Under Artic</w:t>
      </w:r>
      <w:r w:rsidR="00AF08A8">
        <w:rPr>
          <w:noProof/>
          <w:color w:val="000000" w:themeColor="text1"/>
          <w:lang w:val="en-US" w:bidi="en-US"/>
        </w:rPr>
        <w:t>le 80(5) of the Eurojust Regulation</w:t>
      </w:r>
      <w:r w:rsidR="00AB2544" w:rsidRPr="00AB2544">
        <w:rPr>
          <w:noProof/>
          <w:color w:val="000000" w:themeColor="text1"/>
          <w:lang w:val="en-US" w:bidi="en-US"/>
        </w:rPr>
        <w:t xml:space="preserve"> these cooperation agreements remain valid.</w:t>
      </w:r>
    </w:p>
    <w:p w:rsidR="0067178C" w:rsidRDefault="5B5577D0" w:rsidP="007A08BF">
      <w:pPr>
        <w:widowControl w:val="0"/>
        <w:shd w:val="clear" w:color="auto" w:fill="FFFFFF" w:themeFill="background1"/>
        <w:autoSpaceDE w:val="0"/>
        <w:autoSpaceDN w:val="0"/>
        <w:adjustRightInd w:val="0"/>
        <w:spacing w:before="230" w:after="0" w:line="269" w:lineRule="exact"/>
        <w:rPr>
          <w:noProof/>
          <w:color w:val="000000" w:themeColor="text1"/>
          <w:lang w:val="en-US" w:bidi="en-US"/>
        </w:rPr>
      </w:pPr>
      <w:r w:rsidRPr="181C8758">
        <w:rPr>
          <w:noProof/>
          <w:color w:val="000000" w:themeColor="text1"/>
          <w:lang w:val="en-US" w:bidi="en-US"/>
        </w:rPr>
        <w:t>Since the entry into application of the Eurojust Regulation on 12 December 2</w:t>
      </w:r>
      <w:r w:rsidR="2367ED66" w:rsidRPr="181C8758">
        <w:rPr>
          <w:noProof/>
          <w:color w:val="000000" w:themeColor="text1"/>
          <w:lang w:val="en-US" w:bidi="en-US"/>
        </w:rPr>
        <w:t>019 and pursuant to the Treat</w:t>
      </w:r>
      <w:r w:rsidR="006C3835">
        <w:rPr>
          <w:noProof/>
          <w:color w:val="000000" w:themeColor="text1"/>
          <w:lang w:val="en-US" w:bidi="en-US"/>
        </w:rPr>
        <w:t>y</w:t>
      </w:r>
      <w:r w:rsidR="2367ED66" w:rsidRPr="181C8758">
        <w:rPr>
          <w:noProof/>
          <w:color w:val="000000" w:themeColor="text1"/>
          <w:lang w:val="en-US" w:bidi="en-US"/>
        </w:rPr>
        <w:t xml:space="preserve">, </w:t>
      </w:r>
      <w:r w:rsidRPr="181C8758">
        <w:rPr>
          <w:noProof/>
          <w:color w:val="000000" w:themeColor="text1"/>
          <w:lang w:val="en-US" w:bidi="en-US"/>
        </w:rPr>
        <w:t>the Commission is responsible, on behalf of the Union, for negotiating international agreements with third countries for the cooperation and exchange of personal data with Eurojust. In so far as necessary for the performance of its tasks, in line with Chapter V of the Eurojust Regulation, Eurojust may establish and maintain cooperative relations with external partners through working arrangements. However, these cannot by themselves be a legal basis for the exchange of personal data.</w:t>
      </w:r>
    </w:p>
    <w:p w:rsidR="00C84806" w:rsidRPr="00C84806" w:rsidRDefault="00C84806" w:rsidP="007A08BF">
      <w:pPr>
        <w:widowControl w:val="0"/>
        <w:shd w:val="clear" w:color="auto" w:fill="FFFFFF" w:themeFill="background1"/>
        <w:autoSpaceDE w:val="0"/>
        <w:autoSpaceDN w:val="0"/>
        <w:adjustRightInd w:val="0"/>
        <w:spacing w:before="230" w:after="0" w:line="269" w:lineRule="exact"/>
        <w:rPr>
          <w:noProof/>
          <w:color w:val="000000" w:themeColor="text1"/>
          <w:lang w:bidi="en-US"/>
        </w:rPr>
      </w:pPr>
      <w:r w:rsidRPr="00C84806">
        <w:rPr>
          <w:noProof/>
          <w:color w:val="000000" w:themeColor="text1"/>
          <w:lang w:bidi="en-US"/>
        </w:rPr>
        <w:t>The Agreement provides a legal basis for the exchange of personal data for judicial cooperation in criminal matters by ensuring for adequate safeguards with respect to the protection of privacy and fundamental rights and freedoms of individuals.</w:t>
      </w:r>
    </w:p>
    <w:p w:rsidR="00991687" w:rsidRPr="00991687" w:rsidRDefault="0F78A9E8" w:rsidP="007A08BF">
      <w:pPr>
        <w:widowControl w:val="0"/>
        <w:shd w:val="clear" w:color="auto" w:fill="FFFFFF" w:themeFill="background1"/>
        <w:autoSpaceDE w:val="0"/>
        <w:autoSpaceDN w:val="0"/>
        <w:adjustRightInd w:val="0"/>
        <w:spacing w:before="230" w:after="0" w:line="269" w:lineRule="exact"/>
        <w:rPr>
          <w:noProof/>
          <w:color w:val="000000" w:themeColor="text1"/>
          <w:lang w:bidi="en-US"/>
        </w:rPr>
      </w:pPr>
      <w:r w:rsidRPr="00991687">
        <w:rPr>
          <w:noProof/>
          <w:color w:val="000000" w:themeColor="text1"/>
          <w:lang w:val="en-US" w:bidi="en-US"/>
        </w:rPr>
        <w:t xml:space="preserve">In order to strengthen the judicial cooperation between Eurojust and selected third countries, the Commission adopted a Recommendation for a Council Decision </w:t>
      </w:r>
      <w:r w:rsidRPr="00991687">
        <w:rPr>
          <w:noProof/>
          <w:color w:val="000000" w:themeColor="text1"/>
          <w:lang w:bidi="en-US"/>
        </w:rPr>
        <w:t>authorising the opening of negotiations for Agreements between the European Union and Algeria, Armenia, Bosnia and Herzegovina, Egypt, Israel, Jordan, Lebanon, Morocco, Tunisia and Turkey on cooperation between the European Union Agency for Criminal Justice Cooperation (Eurojust) and the competent authorities for judicial cooperation in criminal matters of those third States.</w:t>
      </w:r>
      <w:r w:rsidR="00991687" w:rsidRPr="00C11E78">
        <w:rPr>
          <w:rStyle w:val="FootnoteReference"/>
          <w:noProof/>
        </w:rPr>
        <w:footnoteReference w:id="4"/>
      </w:r>
    </w:p>
    <w:p w:rsidR="00B20972" w:rsidRDefault="00991687" w:rsidP="00DA5D9E">
      <w:pPr>
        <w:widowControl w:val="0"/>
        <w:shd w:val="clear" w:color="auto" w:fill="FFFFFF"/>
        <w:autoSpaceDE w:val="0"/>
        <w:autoSpaceDN w:val="0"/>
        <w:adjustRightInd w:val="0"/>
        <w:spacing w:before="230" w:after="0" w:line="269" w:lineRule="exact"/>
        <w:rPr>
          <w:noProof/>
          <w:color w:val="000000" w:themeColor="text1"/>
          <w:lang w:bidi="en-US"/>
        </w:rPr>
      </w:pPr>
      <w:r w:rsidRPr="00991687">
        <w:rPr>
          <w:noProof/>
          <w:color w:val="000000" w:themeColor="text1"/>
          <w:lang w:bidi="en-US"/>
        </w:rPr>
        <w:t xml:space="preserve">The </w:t>
      </w:r>
      <w:r w:rsidRPr="00A400BB">
        <w:rPr>
          <w:noProof/>
          <w:color w:val="000000" w:themeColor="text1"/>
          <w:lang w:bidi="en-US"/>
        </w:rPr>
        <w:t xml:space="preserve">Council granted that authorisation on 1 March 2021 </w:t>
      </w:r>
      <w:r w:rsidR="00A23887" w:rsidRPr="00A400BB">
        <w:rPr>
          <w:noProof/>
          <w:color w:val="000000" w:themeColor="text1"/>
          <w:lang w:bidi="en-US"/>
        </w:rPr>
        <w:t xml:space="preserve">and </w:t>
      </w:r>
      <w:r w:rsidR="007B4FFD" w:rsidRPr="00A400BB">
        <w:rPr>
          <w:noProof/>
          <w:color w:val="000000" w:themeColor="text1"/>
          <w:lang w:bidi="en-US"/>
        </w:rPr>
        <w:t>adopted</w:t>
      </w:r>
      <w:r w:rsidRPr="00A400BB">
        <w:rPr>
          <w:noProof/>
          <w:color w:val="000000" w:themeColor="text1"/>
          <w:lang w:bidi="en-US"/>
        </w:rPr>
        <w:t xml:space="preserve"> a set of negotiating directives and appointed a special committee to assist </w:t>
      </w:r>
      <w:r w:rsidR="009E61EC" w:rsidRPr="00A400BB">
        <w:rPr>
          <w:noProof/>
          <w:color w:val="000000" w:themeColor="text1"/>
          <w:lang w:bidi="en-US"/>
        </w:rPr>
        <w:t>the Council</w:t>
      </w:r>
      <w:r w:rsidRPr="00A400BB">
        <w:rPr>
          <w:noProof/>
          <w:color w:val="000000" w:themeColor="text1"/>
          <w:lang w:bidi="en-US"/>
        </w:rPr>
        <w:t xml:space="preserve"> in this task.</w:t>
      </w:r>
      <w:r w:rsidRPr="00A400BB">
        <w:rPr>
          <w:rStyle w:val="FootnoteReference"/>
          <w:noProof/>
        </w:rPr>
        <w:footnoteReference w:id="5"/>
      </w:r>
      <w:r w:rsidR="00DA5D9E" w:rsidRPr="00A400BB">
        <w:rPr>
          <w:noProof/>
          <w:color w:val="000000" w:themeColor="text1"/>
          <w:lang w:bidi="en-US"/>
        </w:rPr>
        <w:t xml:space="preserve"> </w:t>
      </w:r>
      <w:bookmarkStart w:id="1" w:name="_Hlk149559778"/>
      <w:bookmarkStart w:id="2" w:name="_Hlk162023293"/>
    </w:p>
    <w:p w:rsidR="00385F29" w:rsidRPr="001C52EF" w:rsidRDefault="00A400BB" w:rsidP="001C52EF">
      <w:pPr>
        <w:widowControl w:val="0"/>
        <w:shd w:val="clear" w:color="auto" w:fill="FFFFFF" w:themeFill="background1"/>
        <w:autoSpaceDE w:val="0"/>
        <w:autoSpaceDN w:val="0"/>
        <w:adjustRightInd w:val="0"/>
        <w:spacing w:before="230" w:after="0" w:line="269" w:lineRule="exact"/>
        <w:rPr>
          <w:rFonts w:eastAsia="Arial Unicode MS"/>
          <w:noProof/>
          <w:color w:val="000000" w:themeColor="text1"/>
        </w:rPr>
      </w:pPr>
      <w:r w:rsidRPr="72DBD264">
        <w:rPr>
          <w:rFonts w:eastAsia="Times New Roman"/>
          <w:noProof/>
          <w:color w:val="0E101A"/>
        </w:rPr>
        <w:t>Several negotiation</w:t>
      </w:r>
      <w:r w:rsidR="00A56316" w:rsidRPr="72DBD264">
        <w:rPr>
          <w:rFonts w:eastAsia="Times New Roman"/>
          <w:noProof/>
        </w:rPr>
        <w:t xml:space="preserve"> rounds</w:t>
      </w:r>
      <w:r w:rsidR="00385F29" w:rsidRPr="72DBD264">
        <w:rPr>
          <w:rFonts w:eastAsia="Times New Roman"/>
          <w:noProof/>
        </w:rPr>
        <w:t xml:space="preserve"> </w:t>
      </w:r>
      <w:r w:rsidR="006C3835">
        <w:rPr>
          <w:rFonts w:eastAsia="Times New Roman"/>
          <w:noProof/>
          <w:szCs w:val="24"/>
        </w:rPr>
        <w:t xml:space="preserve">and written exchanges </w:t>
      </w:r>
      <w:r w:rsidR="00385F29" w:rsidRPr="72DBD264">
        <w:rPr>
          <w:rFonts w:eastAsia="Times New Roman"/>
          <w:noProof/>
        </w:rPr>
        <w:t>took place</w:t>
      </w:r>
      <w:r w:rsidR="0089581A" w:rsidRPr="72DBD264">
        <w:rPr>
          <w:rFonts w:eastAsia="Times New Roman"/>
          <w:noProof/>
        </w:rPr>
        <w:t xml:space="preserve"> </w:t>
      </w:r>
      <w:r w:rsidR="0089581A" w:rsidRPr="72DBD264">
        <w:rPr>
          <w:rFonts w:eastAsia="Times New Roman"/>
          <w:noProof/>
          <w:color w:val="0E101A"/>
        </w:rPr>
        <w:t xml:space="preserve">between </w:t>
      </w:r>
      <w:r w:rsidR="00A56316" w:rsidRPr="72DBD264">
        <w:rPr>
          <w:rFonts w:eastAsia="Times New Roman"/>
          <w:noProof/>
          <w:color w:val="0E101A"/>
        </w:rPr>
        <w:t>April</w:t>
      </w:r>
      <w:r w:rsidR="0089581A" w:rsidRPr="72DBD264">
        <w:rPr>
          <w:rFonts w:eastAsia="Times New Roman"/>
          <w:noProof/>
          <w:color w:val="0E101A"/>
        </w:rPr>
        <w:t xml:space="preserve"> 2022 and </w:t>
      </w:r>
      <w:r w:rsidR="434B8F42" w:rsidRPr="72DBD264">
        <w:rPr>
          <w:rFonts w:eastAsia="Times New Roman"/>
          <w:noProof/>
          <w:color w:val="0E101A"/>
        </w:rPr>
        <w:t xml:space="preserve">August </w:t>
      </w:r>
      <w:r w:rsidR="0089581A" w:rsidRPr="72DBD264">
        <w:rPr>
          <w:rFonts w:eastAsia="Times New Roman"/>
          <w:noProof/>
          <w:color w:val="0E101A"/>
        </w:rPr>
        <w:t>2025</w:t>
      </w:r>
      <w:r w:rsidR="20266057" w:rsidRPr="72DBD264">
        <w:rPr>
          <w:rFonts w:eastAsia="Times New Roman"/>
          <w:noProof/>
          <w:color w:val="0E101A"/>
        </w:rPr>
        <w:t xml:space="preserve">, when </w:t>
      </w:r>
      <w:r w:rsidR="198B9B60" w:rsidRPr="72DBD264">
        <w:rPr>
          <w:rFonts w:eastAsia="Times New Roman"/>
          <w:noProof/>
          <w:color w:val="0E101A"/>
        </w:rPr>
        <w:t>t</w:t>
      </w:r>
      <w:r w:rsidR="00385F29" w:rsidRPr="72DBD264">
        <w:rPr>
          <w:rFonts w:eastAsia="Arial Unicode MS"/>
          <w:noProof/>
          <w:color w:val="000000" w:themeColor="text1"/>
        </w:rPr>
        <w:t>he negotiators reached a</w:t>
      </w:r>
      <w:r w:rsidR="0B551F4E" w:rsidRPr="72DBD264">
        <w:rPr>
          <w:rFonts w:eastAsia="Arial Unicode MS"/>
          <w:noProof/>
          <w:color w:val="000000" w:themeColor="text1"/>
        </w:rPr>
        <w:t xml:space="preserve">n </w:t>
      </w:r>
      <w:r w:rsidR="00385F29" w:rsidRPr="72DBD264">
        <w:rPr>
          <w:rFonts w:eastAsia="Arial Unicode MS"/>
          <w:noProof/>
          <w:color w:val="000000" w:themeColor="text1"/>
        </w:rPr>
        <w:t>agreement</w:t>
      </w:r>
      <w:r w:rsidR="42A732FB" w:rsidRPr="72DBD264">
        <w:rPr>
          <w:rFonts w:eastAsia="Arial Unicode MS"/>
          <w:noProof/>
          <w:color w:val="000000" w:themeColor="text1"/>
        </w:rPr>
        <w:t xml:space="preserve"> at technical level</w:t>
      </w:r>
      <w:r w:rsidR="00385F29" w:rsidRPr="72DBD264">
        <w:rPr>
          <w:rFonts w:eastAsia="Arial Unicode MS"/>
          <w:noProof/>
          <w:color w:val="000000" w:themeColor="text1"/>
        </w:rPr>
        <w:t xml:space="preserve"> </w:t>
      </w:r>
      <w:r w:rsidR="0089581A" w:rsidRPr="72DBD264">
        <w:rPr>
          <w:rFonts w:eastAsia="Arial Unicode MS"/>
          <w:noProof/>
          <w:color w:val="000000" w:themeColor="text1"/>
        </w:rPr>
        <w:t xml:space="preserve">on </w:t>
      </w:r>
      <w:r w:rsidR="11517E7C" w:rsidRPr="72DBD264">
        <w:rPr>
          <w:rFonts w:eastAsia="Arial Unicode MS"/>
          <w:noProof/>
          <w:color w:val="000000" w:themeColor="text1"/>
        </w:rPr>
        <w:t>a text</w:t>
      </w:r>
      <w:r w:rsidR="00385F29" w:rsidRPr="72DBD264">
        <w:rPr>
          <w:rFonts w:eastAsia="Arial Unicode MS"/>
          <w:noProof/>
          <w:color w:val="000000" w:themeColor="text1"/>
        </w:rPr>
        <w:t>. Th</w:t>
      </w:r>
      <w:r w:rsidR="48614E0F" w:rsidRPr="72DBD264">
        <w:rPr>
          <w:rFonts w:eastAsia="Arial Unicode MS"/>
          <w:noProof/>
          <w:color w:val="000000" w:themeColor="text1"/>
        </w:rPr>
        <w:t xml:space="preserve">is proposal was discussed with </w:t>
      </w:r>
      <w:r w:rsidR="00385F29" w:rsidRPr="72DBD264">
        <w:rPr>
          <w:rFonts w:eastAsia="Arial Unicode MS"/>
          <w:noProof/>
          <w:color w:val="000000" w:themeColor="text1"/>
        </w:rPr>
        <w:t xml:space="preserve">EU Member States </w:t>
      </w:r>
      <w:r w:rsidR="265920FE" w:rsidRPr="72DBD264">
        <w:rPr>
          <w:rFonts w:eastAsia="Arial Unicode MS"/>
          <w:noProof/>
          <w:color w:val="000000" w:themeColor="text1"/>
        </w:rPr>
        <w:t xml:space="preserve">in the </w:t>
      </w:r>
      <w:r w:rsidR="58D1CC0F" w:rsidRPr="72DBD264">
        <w:rPr>
          <w:rFonts w:eastAsia="Arial Unicode MS"/>
          <w:noProof/>
          <w:color w:val="000000" w:themeColor="text1"/>
        </w:rPr>
        <w:t>Working Party on Judicial Cooperation in Criminal Matters (COPEN)</w:t>
      </w:r>
      <w:r w:rsidR="00385F29" w:rsidRPr="72DBD264">
        <w:rPr>
          <w:rFonts w:eastAsia="Arial Unicode MS"/>
          <w:noProof/>
          <w:color w:val="000000" w:themeColor="text1"/>
        </w:rPr>
        <w:t xml:space="preserve">s. </w:t>
      </w:r>
      <w:r w:rsidR="005173D6" w:rsidRPr="72DBD264">
        <w:rPr>
          <w:rFonts w:eastAsia="Arial Unicode MS"/>
          <w:noProof/>
          <w:color w:val="000000" w:themeColor="text1"/>
        </w:rPr>
        <w:t>Algeria</w:t>
      </w:r>
      <w:r w:rsidR="00385F29" w:rsidRPr="72DBD264">
        <w:rPr>
          <w:rFonts w:eastAsia="Arial Unicode MS"/>
          <w:noProof/>
          <w:color w:val="000000" w:themeColor="text1"/>
        </w:rPr>
        <w:t xml:space="preserve"> </w:t>
      </w:r>
      <w:r w:rsidR="00E41183" w:rsidRPr="72DBD264">
        <w:rPr>
          <w:rFonts w:eastAsia="Arial Unicode MS"/>
          <w:noProof/>
          <w:color w:val="000000" w:themeColor="text1"/>
        </w:rPr>
        <w:t>had given</w:t>
      </w:r>
      <w:r w:rsidR="00385F29" w:rsidRPr="72DBD264">
        <w:rPr>
          <w:rFonts w:eastAsia="Arial Unicode MS"/>
          <w:noProof/>
          <w:color w:val="000000" w:themeColor="text1"/>
        </w:rPr>
        <w:t xml:space="preserve"> its final agreement </w:t>
      </w:r>
      <w:r w:rsidR="00D45A17" w:rsidRPr="72DBD264">
        <w:rPr>
          <w:rFonts w:eastAsia="Arial Unicode MS"/>
          <w:noProof/>
          <w:color w:val="000000" w:themeColor="text1"/>
        </w:rPr>
        <w:t>on 3 February 2026</w:t>
      </w:r>
      <w:r w:rsidR="00385F29" w:rsidRPr="72DBD264">
        <w:rPr>
          <w:rFonts w:eastAsia="Arial Unicode MS"/>
          <w:noProof/>
          <w:color w:val="000000" w:themeColor="text1"/>
        </w:rPr>
        <w:t xml:space="preserve">. </w:t>
      </w:r>
      <w:bookmarkEnd w:id="1"/>
    </w:p>
    <w:bookmarkEnd w:id="2"/>
    <w:p w:rsidR="00C11FA9" w:rsidRPr="00503677" w:rsidRDefault="30AC0B55" w:rsidP="00A52F19">
      <w:pPr>
        <w:pStyle w:val="ManualHeading2"/>
        <w:rPr>
          <w:rFonts w:eastAsia="Arial Unicode MS"/>
          <w:noProof/>
          <w:bdr w:val="nil"/>
          <w:lang w:val="en-US" w:eastAsia="en-GB"/>
        </w:rPr>
      </w:pPr>
      <w:r w:rsidRPr="00503677">
        <w:rPr>
          <w:rFonts w:eastAsia="Arial Unicode MS"/>
          <w:noProof/>
          <w:bdr w:val="nil"/>
          <w:lang w:val="en-US" w:eastAsia="en-GB"/>
        </w:rPr>
        <w:t>•</w:t>
      </w:r>
      <w:r w:rsidR="00C11FA9" w:rsidRPr="00503677">
        <w:rPr>
          <w:rFonts w:eastAsia="Arial Unicode MS"/>
          <w:noProof/>
          <w:u w:color="000000"/>
          <w:bdr w:val="nil"/>
          <w:lang w:val="en-US" w:eastAsia="en-GB"/>
        </w:rPr>
        <w:tab/>
      </w:r>
      <w:r w:rsidR="00C84806" w:rsidRPr="00912659">
        <w:rPr>
          <w:rFonts w:eastAsia="Arial Unicode MS"/>
          <w:noProof/>
          <w:color w:val="000000" w:themeColor="text1"/>
        </w:rPr>
        <w:t xml:space="preserve">Consistency with existing policy provisions </w:t>
      </w:r>
      <w:r w:rsidR="00C84806">
        <w:rPr>
          <w:rFonts w:eastAsia="Arial Unicode MS"/>
          <w:noProof/>
          <w:color w:val="000000" w:themeColor="text1"/>
        </w:rPr>
        <w:t>regarding judicial cooperation between Eurojust and third countries</w:t>
      </w:r>
    </w:p>
    <w:p w:rsidR="00912659" w:rsidRDefault="0D3F8E48" w:rsidP="00A52F19">
      <w:pPr>
        <w:pBdr>
          <w:top w:val="nil"/>
          <w:left w:val="nil"/>
          <w:bottom w:val="nil"/>
          <w:right w:val="nil"/>
          <w:between w:val="nil"/>
          <w:bar w:val="nil"/>
        </w:pBdr>
        <w:spacing w:before="0" w:after="240"/>
        <w:rPr>
          <w:rFonts w:eastAsia="Arial Unicode MS"/>
          <w:noProof/>
          <w:color w:val="000000" w:themeColor="text1"/>
        </w:rPr>
      </w:pPr>
      <w:r w:rsidRPr="181C8758">
        <w:rPr>
          <w:rFonts w:eastAsia="Arial Unicode MS"/>
          <w:noProof/>
          <w:color w:val="000000" w:themeColor="text1"/>
        </w:rPr>
        <w:t xml:space="preserve">The Agreement was negotiated </w:t>
      </w:r>
      <w:r w:rsidR="007B4FFD">
        <w:rPr>
          <w:rFonts w:eastAsia="Arial Unicode MS"/>
          <w:noProof/>
          <w:color w:val="000000" w:themeColor="text1"/>
        </w:rPr>
        <w:t>taking</w:t>
      </w:r>
      <w:r w:rsidR="00A23887">
        <w:rPr>
          <w:rFonts w:eastAsia="Arial Unicode MS"/>
          <w:noProof/>
          <w:color w:val="000000" w:themeColor="text1"/>
        </w:rPr>
        <w:t xml:space="preserve"> </w:t>
      </w:r>
      <w:r w:rsidR="007B4FFD">
        <w:rPr>
          <w:rFonts w:eastAsia="Arial Unicode MS"/>
          <w:noProof/>
          <w:color w:val="000000" w:themeColor="text1"/>
        </w:rPr>
        <w:t xml:space="preserve">into account </w:t>
      </w:r>
      <w:r w:rsidRPr="181C8758">
        <w:rPr>
          <w:rFonts w:eastAsia="Arial Unicode MS"/>
          <w:noProof/>
          <w:color w:val="000000" w:themeColor="text1"/>
        </w:rPr>
        <w:t xml:space="preserve">the comprehensive negotiating directives adopted by the Council </w:t>
      </w:r>
      <w:r w:rsidR="0057017D">
        <w:rPr>
          <w:rFonts w:eastAsia="Arial Unicode MS"/>
          <w:noProof/>
          <w:color w:val="000000" w:themeColor="text1"/>
        </w:rPr>
        <w:t xml:space="preserve">together with the </w:t>
      </w:r>
      <w:r w:rsidR="0057017D" w:rsidRPr="0062768F">
        <w:rPr>
          <w:rFonts w:eastAsia="Arial Unicode MS"/>
          <w:noProof/>
          <w:color w:val="000000" w:themeColor="text1"/>
        </w:rPr>
        <w:t xml:space="preserve">authorisation to negotiate </w:t>
      </w:r>
      <w:r w:rsidRPr="0062768F">
        <w:rPr>
          <w:rFonts w:eastAsia="Arial Unicode MS"/>
          <w:noProof/>
          <w:color w:val="000000" w:themeColor="text1"/>
        </w:rPr>
        <w:t xml:space="preserve">on </w:t>
      </w:r>
      <w:r w:rsidR="38FE7567" w:rsidRPr="0062768F">
        <w:rPr>
          <w:rFonts w:eastAsia="Arial Unicode MS"/>
          <w:noProof/>
          <w:color w:val="000000" w:themeColor="text1"/>
        </w:rPr>
        <w:t>1 March 2021</w:t>
      </w:r>
      <w:r w:rsidRPr="181C8758">
        <w:rPr>
          <w:rFonts w:eastAsia="Arial Unicode MS"/>
          <w:noProof/>
          <w:color w:val="000000" w:themeColor="text1"/>
        </w:rPr>
        <w:t xml:space="preserve">. The present Agreement is also consistent with existing Union policy in the </w:t>
      </w:r>
      <w:r w:rsidR="2133ECF5" w:rsidRPr="181C8758">
        <w:rPr>
          <w:rFonts w:eastAsia="Arial Unicode MS"/>
          <w:noProof/>
          <w:color w:val="000000" w:themeColor="text1"/>
        </w:rPr>
        <w:t>area</w:t>
      </w:r>
      <w:r w:rsidRPr="181C8758">
        <w:rPr>
          <w:rFonts w:eastAsia="Arial Unicode MS"/>
          <w:noProof/>
          <w:color w:val="000000" w:themeColor="text1"/>
        </w:rPr>
        <w:t xml:space="preserve"> of </w:t>
      </w:r>
      <w:r w:rsidR="38FE7567" w:rsidRPr="181C8758">
        <w:rPr>
          <w:rFonts w:eastAsia="Arial Unicode MS"/>
          <w:noProof/>
          <w:color w:val="000000" w:themeColor="text1"/>
        </w:rPr>
        <w:t xml:space="preserve">judicial </w:t>
      </w:r>
      <w:r w:rsidRPr="181C8758">
        <w:rPr>
          <w:rFonts w:eastAsia="Arial Unicode MS"/>
          <w:noProof/>
          <w:color w:val="000000" w:themeColor="text1"/>
        </w:rPr>
        <w:t xml:space="preserve">cooperation. </w:t>
      </w:r>
    </w:p>
    <w:p w:rsidR="004A2FD2" w:rsidRDefault="004A2FD2" w:rsidP="72DBD264">
      <w:pPr>
        <w:pBdr>
          <w:top w:val="nil"/>
          <w:left w:val="nil"/>
          <w:bottom w:val="nil"/>
          <w:right w:val="nil"/>
          <w:between w:val="nil"/>
          <w:bar w:val="nil"/>
        </w:pBdr>
        <w:spacing w:before="0" w:after="240"/>
        <w:rPr>
          <w:rFonts w:eastAsia="Arial Unicode MS"/>
          <w:noProof/>
          <w:color w:val="000000" w:themeColor="text1"/>
        </w:rPr>
      </w:pPr>
      <w:r w:rsidRPr="00912659">
        <w:rPr>
          <w:rFonts w:eastAsia="Arial Unicode MS"/>
          <w:noProof/>
          <w:color w:val="000000" w:themeColor="text1"/>
        </w:rPr>
        <w:lastRenderedPageBreak/>
        <w:t xml:space="preserve">In recent years, progress was made to improve the exchange of information cooperation </w:t>
      </w:r>
      <w:r w:rsidR="2FC85ADF" w:rsidRPr="00912659">
        <w:rPr>
          <w:rFonts w:eastAsia="Arial Unicode MS"/>
          <w:noProof/>
          <w:color w:val="000000" w:themeColor="text1"/>
        </w:rPr>
        <w:t>among</w:t>
      </w:r>
      <w:r w:rsidRPr="00912659">
        <w:rPr>
          <w:rFonts w:eastAsia="Arial Unicode MS"/>
          <w:noProof/>
          <w:color w:val="000000" w:themeColor="text1"/>
        </w:rPr>
        <w:t xml:space="preserve"> Member States </w:t>
      </w:r>
      <w:r w:rsidR="119683DE" w:rsidRPr="00912659">
        <w:rPr>
          <w:rFonts w:eastAsia="Arial Unicode MS"/>
          <w:noProof/>
          <w:color w:val="000000" w:themeColor="text1"/>
        </w:rPr>
        <w:t>as well as</w:t>
      </w:r>
      <w:r w:rsidR="00FA799B">
        <w:rPr>
          <w:rFonts w:eastAsia="Arial Unicode MS"/>
          <w:noProof/>
          <w:color w:val="000000" w:themeColor="text1"/>
        </w:rPr>
        <w:t xml:space="preserve"> </w:t>
      </w:r>
      <w:r w:rsidRPr="00912659">
        <w:rPr>
          <w:rFonts w:eastAsia="Arial Unicode MS"/>
          <w:noProof/>
          <w:color w:val="000000" w:themeColor="text1"/>
        </w:rPr>
        <w:t>between Union agencies and third countries. Regulation</w:t>
      </w:r>
      <w:r>
        <w:rPr>
          <w:rFonts w:eastAsia="Arial Unicode MS"/>
          <w:noProof/>
          <w:color w:val="000000" w:themeColor="text1"/>
        </w:rPr>
        <w:t xml:space="preserve"> (EU) 2023/2131</w:t>
      </w:r>
      <w:r w:rsidRPr="00912659">
        <w:rPr>
          <w:rFonts w:eastAsia="Arial Unicode MS"/>
          <w:noProof/>
          <w:color w:val="000000" w:themeColor="text1"/>
        </w:rPr>
        <w:t xml:space="preserve"> amending Regulation (EU) 2018/1727 and Council Decision 2005/671/JHA, as regards the digital information exchange in terrorism cases,</w:t>
      </w:r>
      <w:r w:rsidRPr="00912659">
        <w:rPr>
          <w:rStyle w:val="FootnoteReference"/>
          <w:rFonts w:eastAsia="Arial Unicode MS"/>
          <w:noProof/>
          <w:color w:val="000000" w:themeColor="text1"/>
        </w:rPr>
        <w:footnoteReference w:id="6"/>
      </w:r>
      <w:r w:rsidRPr="00912659">
        <w:rPr>
          <w:rFonts w:eastAsia="Arial Unicode MS"/>
          <w:noProof/>
          <w:color w:val="000000" w:themeColor="text1"/>
        </w:rPr>
        <w:t xml:space="preserve"> </w:t>
      </w:r>
      <w:r>
        <w:rPr>
          <w:rFonts w:eastAsia="Arial Unicode MS"/>
          <w:noProof/>
          <w:color w:val="000000" w:themeColor="text1"/>
        </w:rPr>
        <w:t xml:space="preserve">strengthens the framework for cooperation with third countries on the side of Eurojust by providing for a solid legal basis for the secondment of a third country liaison prosecutor to Eurojust and the cooperation with Eurojust. </w:t>
      </w:r>
    </w:p>
    <w:p w:rsidR="004A2FD2" w:rsidRDefault="004A2FD2" w:rsidP="004A2FD2">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Also, </w:t>
      </w:r>
      <w:r w:rsidRPr="00912659">
        <w:rPr>
          <w:rFonts w:eastAsia="Arial Unicode MS"/>
          <w:noProof/>
          <w:color w:val="000000" w:themeColor="text1"/>
        </w:rPr>
        <w:t xml:space="preserve">Regulation </w:t>
      </w:r>
      <w:r>
        <w:rPr>
          <w:rFonts w:eastAsia="Arial Unicode MS"/>
          <w:noProof/>
          <w:color w:val="000000" w:themeColor="text1"/>
        </w:rPr>
        <w:t xml:space="preserve">(EU) 2022/838 </w:t>
      </w:r>
      <w:r w:rsidRPr="00912659">
        <w:rPr>
          <w:rFonts w:eastAsia="Arial Unicode MS"/>
          <w:noProof/>
          <w:color w:val="000000" w:themeColor="text1"/>
        </w:rPr>
        <w:t>amending Regulation (EU) 2018/1727, as regards the collection, preservation and analysis of evidence relating to genocide, crimes against humanity and war crimes at Eurojust,</w:t>
      </w:r>
      <w:r w:rsidRPr="00912659">
        <w:rPr>
          <w:rStyle w:val="FootnoteReference"/>
          <w:rFonts w:eastAsia="Arial Unicode MS"/>
          <w:noProof/>
          <w:color w:val="000000" w:themeColor="text1"/>
        </w:rPr>
        <w:footnoteReference w:id="7"/>
      </w:r>
      <w:r>
        <w:rPr>
          <w:rFonts w:eastAsia="Arial Unicode MS"/>
          <w:noProof/>
          <w:color w:val="000000" w:themeColor="text1"/>
        </w:rPr>
        <w:t xml:space="preserve"> has</w:t>
      </w:r>
      <w:r w:rsidRPr="00912659">
        <w:rPr>
          <w:rFonts w:eastAsia="Arial Unicode MS"/>
          <w:noProof/>
          <w:color w:val="000000" w:themeColor="text1"/>
        </w:rPr>
        <w:t xml:space="preserve"> a strong nexus to third countries</w:t>
      </w:r>
      <w:r>
        <w:rPr>
          <w:rFonts w:eastAsia="Arial Unicode MS"/>
          <w:noProof/>
          <w:color w:val="000000" w:themeColor="text1"/>
        </w:rPr>
        <w:t>. Both legislative acts</w:t>
      </w:r>
      <w:r w:rsidRPr="00912659">
        <w:rPr>
          <w:rFonts w:eastAsia="Arial Unicode MS"/>
          <w:noProof/>
          <w:color w:val="000000" w:themeColor="text1"/>
        </w:rPr>
        <w:t xml:space="preserve"> underline the importance of close cooperation with third countries to investigate and prosecute serious crimes. </w:t>
      </w:r>
    </w:p>
    <w:p w:rsidR="00C11FA9" w:rsidRPr="006429B1" w:rsidRDefault="00C11FA9" w:rsidP="7075FCB8">
      <w:pPr>
        <w:pStyle w:val="ManualHeading2"/>
        <w:rPr>
          <w:rFonts w:eastAsia="Arial Unicode MS"/>
          <w:noProof/>
        </w:rPr>
      </w:pPr>
      <w:r w:rsidRPr="002D5EE2">
        <w:rPr>
          <w:rFonts w:eastAsia="Arial Unicode MS"/>
          <w:noProof/>
          <w:color w:val="000000"/>
          <w:bdr w:val="nil"/>
          <w:lang w:val="en-US" w:eastAsia="en-GB"/>
        </w:rPr>
        <w:t>•</w:t>
      </w:r>
      <w:r w:rsidRPr="002D5EE2">
        <w:rPr>
          <w:rFonts w:eastAsia="Arial Unicode MS"/>
          <w:noProof/>
          <w:color w:val="000000"/>
          <w:u w:color="000000"/>
          <w:bdr w:val="nil"/>
          <w:lang w:val="en-US" w:eastAsia="en-GB"/>
        </w:rPr>
        <w:tab/>
      </w:r>
      <w:r w:rsidRPr="006429B1">
        <w:rPr>
          <w:rFonts w:eastAsia="Arial Unicode MS"/>
          <w:noProof/>
        </w:rPr>
        <w:t>Consistency with other Union policies</w:t>
      </w:r>
    </w:p>
    <w:p w:rsidR="00650E5D" w:rsidRPr="006429B1" w:rsidRDefault="00712040" w:rsidP="7075FCB8">
      <w:pPr>
        <w:pBdr>
          <w:top w:val="nil"/>
          <w:left w:val="nil"/>
          <w:bottom w:val="nil"/>
          <w:right w:val="nil"/>
          <w:between w:val="nil"/>
          <w:bar w:val="nil"/>
        </w:pBdr>
        <w:spacing w:before="0" w:after="240"/>
        <w:rPr>
          <w:rFonts w:eastAsia="Arial Unicode MS"/>
          <w:noProof/>
          <w:color w:val="000000" w:themeColor="text1"/>
        </w:rPr>
      </w:pPr>
      <w:r w:rsidRPr="31637BE2">
        <w:rPr>
          <w:rFonts w:eastAsia="Arial Unicode MS"/>
          <w:noProof/>
          <w:color w:val="000000" w:themeColor="text1"/>
        </w:rPr>
        <w:t xml:space="preserve">The proposal is also consistent with other Union policies. </w:t>
      </w:r>
    </w:p>
    <w:p w:rsidR="00FA799B" w:rsidRDefault="19CE5D4F" w:rsidP="45BEA7CF">
      <w:pPr>
        <w:pBdr>
          <w:top w:val="nil"/>
          <w:left w:val="nil"/>
          <w:bottom w:val="nil"/>
          <w:right w:val="nil"/>
          <w:between w:val="nil"/>
          <w:bar w:val="nil"/>
        </w:pBdr>
        <w:spacing w:before="0" w:after="240"/>
        <w:rPr>
          <w:noProof/>
        </w:rPr>
      </w:pPr>
      <w:r>
        <w:rPr>
          <w:noProof/>
        </w:rPr>
        <w:t xml:space="preserve">Relations between the EU and Algeria are based on the Association Agreement, which entered into force in 2005. The Partnership Priorities adopted in 2017 guide the relationship for the period 2021-2027 including political dialogue, governance, rule of law and promotion of fundamental rights, as well as strategic and security dialogue. </w:t>
      </w:r>
    </w:p>
    <w:p w:rsidR="00912659" w:rsidRPr="007003A2" w:rsidRDefault="786E1FCC" w:rsidP="45BEA7CF">
      <w:pPr>
        <w:pBdr>
          <w:top w:val="nil"/>
          <w:left w:val="nil"/>
          <w:bottom w:val="nil"/>
          <w:right w:val="nil"/>
          <w:between w:val="nil"/>
          <w:bar w:val="nil"/>
        </w:pBdr>
        <w:spacing w:before="0" w:after="240"/>
        <w:rPr>
          <w:rFonts w:eastAsia="Arial Unicode MS"/>
          <w:noProof/>
          <w:color w:val="000000" w:themeColor="text1"/>
        </w:rPr>
      </w:pPr>
      <w:r w:rsidRPr="007003A2">
        <w:rPr>
          <w:rFonts w:eastAsia="Arial Unicode MS"/>
          <w:noProof/>
          <w:color w:val="000000" w:themeColor="text1"/>
        </w:rPr>
        <w:t xml:space="preserve">Existing Commission strategic documents underpin the necessity of improving the efficiency and effectiveness of </w:t>
      </w:r>
      <w:r w:rsidR="574CBED8" w:rsidRPr="007003A2">
        <w:rPr>
          <w:rFonts w:eastAsia="Arial Unicode MS"/>
          <w:noProof/>
          <w:color w:val="000000" w:themeColor="text1"/>
        </w:rPr>
        <w:t xml:space="preserve">law enforcement and </w:t>
      </w:r>
      <w:r w:rsidRPr="007003A2">
        <w:rPr>
          <w:rFonts w:eastAsia="Arial Unicode MS"/>
          <w:noProof/>
          <w:color w:val="000000" w:themeColor="text1"/>
        </w:rPr>
        <w:t>judicial cooperation in the E</w:t>
      </w:r>
      <w:r w:rsidR="008965AA">
        <w:rPr>
          <w:rFonts w:eastAsia="Arial Unicode MS"/>
          <w:noProof/>
          <w:color w:val="000000" w:themeColor="text1"/>
        </w:rPr>
        <w:t>uropean Union (EU)</w:t>
      </w:r>
      <w:r w:rsidRPr="007003A2">
        <w:rPr>
          <w:rFonts w:eastAsia="Arial Unicode MS"/>
          <w:noProof/>
          <w:color w:val="000000" w:themeColor="text1"/>
        </w:rPr>
        <w:t>, as well as of expanding the cooperation with third</w:t>
      </w:r>
      <w:r w:rsidRPr="007003A2">
        <w:rPr>
          <w:noProof/>
          <w:color w:val="000000" w:themeColor="text1"/>
        </w:rPr>
        <w:t xml:space="preserve"> </w:t>
      </w:r>
      <w:r w:rsidRPr="007003A2">
        <w:rPr>
          <w:rFonts w:eastAsia="Arial Unicode MS"/>
          <w:noProof/>
          <w:color w:val="000000" w:themeColor="text1"/>
        </w:rPr>
        <w:t>countries. These include, among others, the</w:t>
      </w:r>
      <w:r w:rsidRPr="007003A2">
        <w:rPr>
          <w:noProof/>
        </w:rPr>
        <w:t xml:space="preserve"> </w:t>
      </w:r>
      <w:r w:rsidR="00994015">
        <w:rPr>
          <w:noProof/>
        </w:rPr>
        <w:t>European Internal Security Strategy (ProtectEU)</w:t>
      </w:r>
      <w:r w:rsidR="00912659" w:rsidRPr="007003A2">
        <w:rPr>
          <w:rStyle w:val="FootnoteReference"/>
          <w:rFonts w:eastAsia="Arial Unicode MS"/>
          <w:noProof/>
        </w:rPr>
        <w:footnoteReference w:id="8"/>
      </w:r>
      <w:r w:rsidRPr="007003A2">
        <w:rPr>
          <w:noProof/>
        </w:rPr>
        <w:t>, the Counter-Terrorism Agenda for the EU</w:t>
      </w:r>
      <w:r w:rsidR="00912659" w:rsidRPr="007003A2">
        <w:rPr>
          <w:rStyle w:val="FootnoteReference"/>
          <w:rFonts w:eastAsia="Arial Unicode MS"/>
          <w:noProof/>
        </w:rPr>
        <w:footnoteReference w:id="9"/>
      </w:r>
      <w:r w:rsidRPr="007003A2">
        <w:rPr>
          <w:noProof/>
        </w:rPr>
        <w:t xml:space="preserve">, </w:t>
      </w:r>
      <w:r w:rsidR="1ED61885" w:rsidRPr="007003A2">
        <w:rPr>
          <w:noProof/>
        </w:rPr>
        <w:t xml:space="preserve">and </w:t>
      </w:r>
      <w:r w:rsidRPr="007003A2">
        <w:rPr>
          <w:noProof/>
        </w:rPr>
        <w:t>the EU Strategy</w:t>
      </w:r>
      <w:r w:rsidR="5E072CCF" w:rsidRPr="007003A2">
        <w:rPr>
          <w:noProof/>
        </w:rPr>
        <w:t xml:space="preserve"> </w:t>
      </w:r>
      <w:r w:rsidR="006F3D3B">
        <w:rPr>
          <w:noProof/>
        </w:rPr>
        <w:t>to tackle</w:t>
      </w:r>
      <w:r w:rsidR="5E072CCF" w:rsidRPr="007003A2">
        <w:rPr>
          <w:noProof/>
        </w:rPr>
        <w:t xml:space="preserve"> organised crime.</w:t>
      </w:r>
      <w:r w:rsidR="00994015" w:rsidRPr="007003A2">
        <w:rPr>
          <w:rStyle w:val="FootnoteReference"/>
          <w:rFonts w:eastAsia="Arial Unicode MS"/>
          <w:noProof/>
        </w:rPr>
        <w:footnoteReference w:id="10"/>
      </w:r>
      <w:r w:rsidR="00994015">
        <w:rPr>
          <w:noProof/>
        </w:rPr>
        <w:t xml:space="preserve"> </w:t>
      </w:r>
      <w:r w:rsidR="00994015" w:rsidRPr="007003A2">
        <w:rPr>
          <w:noProof/>
        </w:rPr>
        <w:t xml:space="preserve"> </w:t>
      </w:r>
    </w:p>
    <w:p w:rsidR="07EDB4C4" w:rsidRPr="007003A2" w:rsidRDefault="07EDB4C4" w:rsidP="7075FCB8">
      <w:pPr>
        <w:spacing w:before="0" w:after="240"/>
        <w:rPr>
          <w:rFonts w:eastAsia="Times New Roman"/>
          <w:noProof/>
        </w:rPr>
      </w:pPr>
      <w:r w:rsidRPr="007003A2">
        <w:rPr>
          <w:noProof/>
        </w:rPr>
        <w:t xml:space="preserve">In line with these strategic documents, international cooperation has also been enhanced in the area of law enforcement. </w:t>
      </w:r>
      <w:r w:rsidR="5CD48C6C" w:rsidRPr="007003A2">
        <w:rPr>
          <w:noProof/>
        </w:rPr>
        <w:t>Based on the authorisation by the Council</w:t>
      </w:r>
      <w:r w:rsidR="00CD684E" w:rsidRPr="007003A2">
        <w:rPr>
          <w:rStyle w:val="FootnoteReference"/>
          <w:rFonts w:eastAsia="Arial Unicode MS"/>
          <w:noProof/>
        </w:rPr>
        <w:footnoteReference w:id="11"/>
      </w:r>
      <w:r w:rsidR="5CD48C6C" w:rsidRPr="007003A2">
        <w:rPr>
          <w:noProof/>
        </w:rPr>
        <w:t xml:space="preserve">, the Commission has negotiated </w:t>
      </w:r>
      <w:r w:rsidR="007B0F82">
        <w:rPr>
          <w:noProof/>
        </w:rPr>
        <w:t xml:space="preserve">an </w:t>
      </w:r>
      <w:r w:rsidRPr="007003A2">
        <w:rPr>
          <w:noProof/>
        </w:rPr>
        <w:t xml:space="preserve">Agreement with New Zealand </w:t>
      </w:r>
      <w:r w:rsidR="740D5424" w:rsidRPr="007003A2">
        <w:rPr>
          <w:rFonts w:eastAsia="Times New Roman"/>
          <w:noProof/>
        </w:rPr>
        <w:t xml:space="preserve">on the exchange of personal data </w:t>
      </w:r>
      <w:r w:rsidR="00F326A5">
        <w:rPr>
          <w:rFonts w:eastAsia="Times New Roman"/>
          <w:noProof/>
        </w:rPr>
        <w:t>with</w:t>
      </w:r>
      <w:r w:rsidR="740D5424" w:rsidRPr="007003A2">
        <w:rPr>
          <w:rFonts w:eastAsia="Times New Roman"/>
          <w:noProof/>
        </w:rPr>
        <w:t xml:space="preserve"> the European Union Agency for Law Enforcement Cooperation (Europol).</w:t>
      </w:r>
    </w:p>
    <w:p w:rsidR="00C11FA9" w:rsidRPr="002D5EE2" w:rsidRDefault="00C11FA9" w:rsidP="00A52F19">
      <w:pPr>
        <w:pStyle w:val="ManualHeading1"/>
        <w:rPr>
          <w:noProof/>
        </w:rPr>
      </w:pPr>
      <w:r w:rsidRPr="002D5EE2">
        <w:rPr>
          <w:noProof/>
        </w:rPr>
        <w:t>2.</w:t>
      </w:r>
      <w:r w:rsidRPr="002D5EE2">
        <w:rPr>
          <w:noProof/>
        </w:rPr>
        <w:tab/>
        <w:t>LEGAL BASIS, SUBSIDIARITY AND PROPORTIONALITY</w:t>
      </w:r>
    </w:p>
    <w:p w:rsidR="00C11FA9" w:rsidRPr="002D5EE2" w:rsidRDefault="00C11FA9" w:rsidP="00A52F19">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32616C">
        <w:rPr>
          <w:rFonts w:eastAsia="Arial Unicode MS"/>
          <w:noProof/>
          <w:u w:color="000000"/>
          <w:bdr w:val="nil"/>
          <w:lang w:val="en-US" w:eastAsia="en-GB"/>
        </w:rPr>
        <w:t>Substantive l</w:t>
      </w:r>
      <w:r w:rsidRPr="002D5EE2">
        <w:rPr>
          <w:rFonts w:eastAsia="Arial Unicode MS"/>
          <w:noProof/>
          <w:u w:color="000000"/>
          <w:bdr w:val="nil"/>
          <w:lang w:val="en-US" w:eastAsia="en-GB"/>
        </w:rPr>
        <w:t>egal basis</w:t>
      </w:r>
    </w:p>
    <w:p w:rsidR="0032616C" w:rsidRPr="003E265E" w:rsidRDefault="0032616C" w:rsidP="7075FCB8">
      <w:pPr>
        <w:pBdr>
          <w:top w:val="nil"/>
          <w:left w:val="nil"/>
          <w:bottom w:val="nil"/>
          <w:right w:val="nil"/>
          <w:between w:val="nil"/>
          <w:bar w:val="nil"/>
        </w:pBdr>
        <w:spacing w:before="0" w:after="240"/>
        <w:rPr>
          <w:noProof/>
          <w:lang w:val="en-IE"/>
        </w:rPr>
      </w:pPr>
      <w:r w:rsidRPr="003E265E">
        <w:rPr>
          <w:rFonts w:eastAsia="Arial Unicode MS"/>
          <w:noProof/>
          <w:color w:val="000000" w:themeColor="text1"/>
          <w:lang w:val="en-IE"/>
        </w:rPr>
        <w:t xml:space="preserve">Article 16(2) and Article 85 TFEU provide for the </w:t>
      </w:r>
      <w:r>
        <w:rPr>
          <w:rFonts w:eastAsia="Arial Unicode MS"/>
          <w:noProof/>
          <w:color w:val="000000" w:themeColor="text1"/>
          <w:lang w:val="en-IE"/>
        </w:rPr>
        <w:t xml:space="preserve">competence of the Union to </w:t>
      </w:r>
      <w:r w:rsidRPr="0032616C">
        <w:rPr>
          <w:rFonts w:eastAsia="Arial Unicode MS"/>
          <w:noProof/>
          <w:color w:val="000000" w:themeColor="text1"/>
        </w:rPr>
        <w:t>determine Eurojust's structure, operation, field of action and tasks</w:t>
      </w:r>
      <w:r w:rsidR="003E265E">
        <w:rPr>
          <w:rFonts w:eastAsia="Arial Unicode MS"/>
          <w:noProof/>
          <w:color w:val="000000" w:themeColor="text1"/>
        </w:rPr>
        <w:t>.</w:t>
      </w:r>
    </w:p>
    <w:p w:rsidR="009E5643" w:rsidRDefault="0032616C" w:rsidP="7075FCB8">
      <w:pPr>
        <w:pBdr>
          <w:top w:val="nil"/>
          <w:left w:val="nil"/>
          <w:bottom w:val="nil"/>
          <w:right w:val="nil"/>
          <w:between w:val="nil"/>
          <w:bar w:val="nil"/>
        </w:pBdr>
        <w:spacing w:before="0" w:after="240"/>
        <w:rPr>
          <w:rFonts w:eastAsia="Arial Unicode MS"/>
          <w:noProof/>
          <w:color w:val="000000" w:themeColor="text1"/>
        </w:rPr>
      </w:pPr>
      <w:r w:rsidRPr="003E265E">
        <w:rPr>
          <w:rFonts w:eastAsia="Arial Unicode MS"/>
          <w:noProof/>
          <w:szCs w:val="24"/>
        </w:rPr>
        <w:lastRenderedPageBreak/>
        <w:t xml:space="preserve">The Agreement covers </w:t>
      </w:r>
      <w:r w:rsidR="009E5643" w:rsidRPr="003E265E">
        <w:rPr>
          <w:noProof/>
        </w:rPr>
        <w:t xml:space="preserve">the cooperation between Eurojust and </w:t>
      </w:r>
      <w:r w:rsidR="00A7072F" w:rsidRPr="003E265E">
        <w:rPr>
          <w:noProof/>
        </w:rPr>
        <w:t>Algeria</w:t>
      </w:r>
      <w:r w:rsidR="009E5643" w:rsidRPr="003E265E">
        <w:rPr>
          <w:noProof/>
        </w:rPr>
        <w:t xml:space="preserve"> in criminal matters as well as establishing </w:t>
      </w:r>
      <w:r w:rsidR="009E5643" w:rsidRPr="003E265E">
        <w:rPr>
          <w:rFonts w:eastAsia="Arial Unicode MS"/>
          <w:noProof/>
          <w:color w:val="000000" w:themeColor="text1"/>
        </w:rPr>
        <w:t xml:space="preserve">adequate safeguards with respect to the protection of privacy and other fundamental rights and freedoms of individuals for this cooperation. </w:t>
      </w:r>
      <w:r w:rsidR="000E3F48" w:rsidRPr="003E265E">
        <w:rPr>
          <w:noProof/>
          <w:lang w:val="en-IE"/>
        </w:rPr>
        <w:t xml:space="preserve">Given that the main objectives and components of the Agreement are the above two areas, the substantive legal bases </w:t>
      </w:r>
      <w:r w:rsidR="003E265E" w:rsidRPr="003E265E">
        <w:rPr>
          <w:noProof/>
          <w:lang w:val="en-IE"/>
        </w:rPr>
        <w:t xml:space="preserve">are </w:t>
      </w:r>
      <w:r w:rsidR="003E265E" w:rsidRPr="003E265E">
        <w:rPr>
          <w:rFonts w:eastAsia="Arial Unicode MS"/>
          <w:noProof/>
          <w:color w:val="000000" w:themeColor="text1"/>
        </w:rPr>
        <w:t>Article</w:t>
      </w:r>
      <w:r w:rsidR="009E5643" w:rsidRPr="003E265E">
        <w:rPr>
          <w:rFonts w:eastAsia="Arial Unicode MS"/>
          <w:noProof/>
          <w:color w:val="000000" w:themeColor="text1"/>
        </w:rPr>
        <w:t xml:space="preserve"> 16(2) and Article 85 TFEU.</w:t>
      </w:r>
    </w:p>
    <w:p w:rsidR="00AF08A8" w:rsidRDefault="129D4BDB">
      <w:pPr>
        <w:pBdr>
          <w:top w:val="nil"/>
          <w:left w:val="nil"/>
          <w:bottom w:val="nil"/>
          <w:right w:val="nil"/>
          <w:between w:val="nil"/>
          <w:bar w:val="nil"/>
        </w:pBdr>
        <w:spacing w:before="0" w:after="240"/>
        <w:rPr>
          <w:rFonts w:eastAsia="Arial Unicode MS"/>
          <w:noProof/>
          <w:color w:val="000000" w:themeColor="text1"/>
        </w:rPr>
      </w:pPr>
      <w:r w:rsidRPr="181C8758">
        <w:rPr>
          <w:rFonts w:eastAsia="Arial Unicode MS"/>
          <w:noProof/>
          <w:color w:val="000000" w:themeColor="text1"/>
        </w:rPr>
        <w:t>Th</w:t>
      </w:r>
      <w:r w:rsidR="009E5643">
        <w:rPr>
          <w:rFonts w:eastAsia="Arial Unicode MS"/>
          <w:noProof/>
          <w:color w:val="000000" w:themeColor="text1"/>
        </w:rPr>
        <w:t>erefore, th</w:t>
      </w:r>
      <w:r w:rsidRPr="181C8758">
        <w:rPr>
          <w:rFonts w:eastAsia="Arial Unicode MS"/>
          <w:noProof/>
          <w:color w:val="000000" w:themeColor="text1"/>
        </w:rPr>
        <w:t>is proposal is based on Article 16(2) and Article 85</w:t>
      </w:r>
      <w:r w:rsidR="009E5643" w:rsidRPr="009E5643">
        <w:rPr>
          <w:rFonts w:eastAsia="Arial Unicode MS"/>
          <w:noProof/>
          <w:color w:val="000000" w:themeColor="text1"/>
        </w:rPr>
        <w:t xml:space="preserve"> </w:t>
      </w:r>
      <w:r w:rsidR="009E5643">
        <w:rPr>
          <w:rFonts w:eastAsia="Arial Unicode MS"/>
          <w:noProof/>
          <w:color w:val="000000" w:themeColor="text1"/>
        </w:rPr>
        <w:t>TFEU</w:t>
      </w:r>
      <w:r w:rsidRPr="181C8758">
        <w:rPr>
          <w:rFonts w:eastAsia="Arial Unicode MS"/>
          <w:noProof/>
          <w:color w:val="000000" w:themeColor="text1"/>
        </w:rPr>
        <w:t xml:space="preserve"> in conjunction with Article 218(</w:t>
      </w:r>
      <w:r w:rsidR="003516A9">
        <w:rPr>
          <w:rFonts w:eastAsia="Arial Unicode MS"/>
          <w:noProof/>
          <w:color w:val="000000" w:themeColor="text1"/>
        </w:rPr>
        <w:t>6</w:t>
      </w:r>
      <w:r w:rsidRPr="181C8758">
        <w:rPr>
          <w:rFonts w:eastAsia="Arial Unicode MS"/>
          <w:noProof/>
          <w:color w:val="000000" w:themeColor="text1"/>
        </w:rPr>
        <w:t>)</w:t>
      </w:r>
      <w:r w:rsidR="00A23887">
        <w:rPr>
          <w:rFonts w:eastAsia="Arial Unicode MS"/>
          <w:noProof/>
          <w:color w:val="000000" w:themeColor="text1"/>
        </w:rPr>
        <w:t>,</w:t>
      </w:r>
      <w:r w:rsidR="003516A9">
        <w:rPr>
          <w:rFonts w:eastAsia="Arial Unicode MS"/>
          <w:noProof/>
          <w:color w:val="000000" w:themeColor="text1"/>
        </w:rPr>
        <w:t xml:space="preserve"> point (a)</w:t>
      </w:r>
      <w:r w:rsidR="007B4FFD">
        <w:rPr>
          <w:rFonts w:eastAsia="Arial Unicode MS"/>
          <w:noProof/>
          <w:color w:val="000000" w:themeColor="text1"/>
        </w:rPr>
        <w:t>(v)</w:t>
      </w:r>
      <w:r w:rsidR="00D626D5">
        <w:rPr>
          <w:rFonts w:eastAsia="Arial Unicode MS"/>
          <w:noProof/>
          <w:color w:val="000000" w:themeColor="text1"/>
        </w:rPr>
        <w:t xml:space="preserve"> TFEU.</w:t>
      </w:r>
    </w:p>
    <w:p w:rsidR="00FE57B6" w:rsidRPr="002D5EE2" w:rsidRDefault="00FE57B6" w:rsidP="00FE57B6">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Pr>
          <w:rFonts w:eastAsia="Arial Unicode MS"/>
          <w:noProof/>
          <w:u w:color="000000"/>
          <w:bdr w:val="nil"/>
          <w:lang w:val="en-US" w:eastAsia="en-GB"/>
        </w:rPr>
        <w:t>Procedural l</w:t>
      </w:r>
      <w:r w:rsidRPr="002D5EE2">
        <w:rPr>
          <w:rFonts w:eastAsia="Arial Unicode MS"/>
          <w:noProof/>
          <w:u w:color="000000"/>
          <w:bdr w:val="nil"/>
          <w:lang w:val="en-US" w:eastAsia="en-GB"/>
        </w:rPr>
        <w:t>egal basis</w:t>
      </w:r>
    </w:p>
    <w:p w:rsidR="000E3F48" w:rsidRPr="000E3F48" w:rsidRDefault="000E3F48" w:rsidP="000E3F48">
      <w:pPr>
        <w:pBdr>
          <w:top w:val="nil"/>
          <w:left w:val="nil"/>
          <w:bottom w:val="nil"/>
          <w:right w:val="nil"/>
          <w:between w:val="nil"/>
          <w:bar w:val="nil"/>
        </w:pBdr>
        <w:spacing w:before="0" w:after="240"/>
        <w:rPr>
          <w:noProof/>
          <w:lang w:val="en-IE"/>
        </w:rPr>
      </w:pPr>
      <w:r w:rsidRPr="000E3F48">
        <w:rPr>
          <w:noProof/>
          <w:lang w:val="en-IE"/>
        </w:rPr>
        <w:t>In accordance with Article 218(6) TFEU, where the agreement relates to matters outside of the common foreign and security policy (CFSP), the Council is to adopt a decision concluding the agreement on a proposal by the Commission as negotiator.</w:t>
      </w:r>
    </w:p>
    <w:p w:rsidR="000E3F48" w:rsidRDefault="000E3F48" w:rsidP="000E3F48">
      <w:pPr>
        <w:pBdr>
          <w:top w:val="nil"/>
          <w:left w:val="nil"/>
          <w:bottom w:val="nil"/>
          <w:right w:val="nil"/>
          <w:between w:val="nil"/>
          <w:bar w:val="nil"/>
        </w:pBdr>
        <w:spacing w:before="0" w:after="240"/>
        <w:rPr>
          <w:noProof/>
          <w:lang w:val="en-IE"/>
        </w:rPr>
      </w:pPr>
      <w:r w:rsidRPr="000E3F48">
        <w:rPr>
          <w:noProof/>
          <w:lang w:val="en-IE"/>
        </w:rPr>
        <w:t>Given that Article</w:t>
      </w:r>
      <w:r>
        <w:rPr>
          <w:noProof/>
          <w:lang w:val="en-IE"/>
        </w:rPr>
        <w:t xml:space="preserve"> 16(2) and 85 </w:t>
      </w:r>
      <w:r w:rsidRPr="000E3F48">
        <w:rPr>
          <w:noProof/>
          <w:lang w:val="en-IE"/>
        </w:rPr>
        <w:t>TFEU are the substantive legal bases, the Council is to adopt the decision concluding the agreement after obtaining the consent of</w:t>
      </w:r>
      <w:r w:rsidR="003E265E">
        <w:rPr>
          <w:noProof/>
          <w:lang w:val="en-IE"/>
        </w:rPr>
        <w:t xml:space="preserve"> </w:t>
      </w:r>
      <w:r w:rsidRPr="000E3F48">
        <w:rPr>
          <w:noProof/>
          <w:lang w:val="en-IE"/>
        </w:rPr>
        <w:t>the European Parliament, in accordance with Article 218(6), point (a), TFEU.</w:t>
      </w:r>
    </w:p>
    <w:p w:rsidR="000E3F48" w:rsidRDefault="000E3F48" w:rsidP="000E3F48">
      <w:pPr>
        <w:pBdr>
          <w:top w:val="nil"/>
          <w:left w:val="nil"/>
          <w:bottom w:val="nil"/>
          <w:right w:val="nil"/>
          <w:between w:val="nil"/>
          <w:bar w:val="nil"/>
        </w:pBdr>
        <w:spacing w:before="0" w:after="240"/>
        <w:rPr>
          <w:rFonts w:eastAsia="Arial Unicode MS"/>
          <w:noProof/>
          <w:szCs w:val="24"/>
        </w:rPr>
      </w:pPr>
      <w:r w:rsidRPr="005E7699">
        <w:rPr>
          <w:rFonts w:eastAsia="Arial Unicode MS"/>
          <w:noProof/>
          <w:szCs w:val="24"/>
        </w:rPr>
        <w:t>Therefore, the procedural legal basis for the proposed decision on concluding the agreement is Article 218(6), second subparagraph</w:t>
      </w:r>
      <w:r w:rsidRPr="000E3F48">
        <w:rPr>
          <w:rFonts w:eastAsia="Arial Unicode MS"/>
          <w:noProof/>
          <w:szCs w:val="24"/>
        </w:rPr>
        <w:t xml:space="preserve">, </w:t>
      </w:r>
      <w:r w:rsidRPr="003E265E">
        <w:rPr>
          <w:rFonts w:eastAsia="Arial Unicode MS"/>
          <w:noProof/>
          <w:szCs w:val="24"/>
        </w:rPr>
        <w:t xml:space="preserve">point (a) </w:t>
      </w:r>
      <w:r w:rsidRPr="005E7699">
        <w:rPr>
          <w:rFonts w:eastAsia="Arial Unicode MS"/>
          <w:noProof/>
          <w:szCs w:val="24"/>
        </w:rPr>
        <w:t>TFEU</w:t>
      </w:r>
      <w:r>
        <w:rPr>
          <w:rFonts w:eastAsia="Arial Unicode MS"/>
          <w:noProof/>
          <w:szCs w:val="24"/>
        </w:rPr>
        <w:t>.</w:t>
      </w:r>
    </w:p>
    <w:p w:rsidR="00FE57B6" w:rsidRPr="002D5EE2" w:rsidRDefault="00FE57B6" w:rsidP="00FE57B6">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Pr>
          <w:rFonts w:eastAsia="Arial Unicode MS"/>
          <w:noProof/>
          <w:u w:color="000000"/>
          <w:bdr w:val="nil"/>
          <w:lang w:val="en-US" w:eastAsia="en-GB"/>
        </w:rPr>
        <w:t>Union competence</w:t>
      </w:r>
    </w:p>
    <w:p w:rsidR="000E3F48" w:rsidRPr="000E3F48" w:rsidRDefault="000E3F48" w:rsidP="000E3F48">
      <w:pPr>
        <w:pBdr>
          <w:top w:val="nil"/>
          <w:left w:val="nil"/>
          <w:bottom w:val="nil"/>
          <w:right w:val="nil"/>
          <w:between w:val="nil"/>
          <w:bar w:val="nil"/>
        </w:pBdr>
        <w:spacing w:before="0" w:after="240"/>
        <w:rPr>
          <w:noProof/>
        </w:rPr>
      </w:pPr>
      <w:r w:rsidRPr="000E3F48">
        <w:rPr>
          <w:noProof/>
        </w:rPr>
        <w:t>The Union has competence to determine Eurojust's structure, operation, field of action and tasks as well as to provide for safeguards concerning personal data protection.</w:t>
      </w:r>
    </w:p>
    <w:p w:rsidR="00C11FA9" w:rsidRPr="002D5EE2" w:rsidRDefault="00C11FA9" w:rsidP="00A52F19">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C11FA9" w:rsidRPr="009D60F8" w:rsidRDefault="005F6193" w:rsidP="7075FCB8">
      <w:pPr>
        <w:pBdr>
          <w:top w:val="nil"/>
          <w:left w:val="nil"/>
          <w:bottom w:val="nil"/>
          <w:right w:val="nil"/>
          <w:between w:val="nil"/>
          <w:bar w:val="nil"/>
        </w:pBdr>
        <w:spacing w:before="0" w:after="240"/>
        <w:rPr>
          <w:rFonts w:eastAsia="Arial Unicode MS"/>
          <w:noProof/>
          <w:color w:val="000000" w:themeColor="text1"/>
        </w:rPr>
      </w:pPr>
      <w:r w:rsidRPr="7075FCB8">
        <w:rPr>
          <w:rFonts w:eastAsia="Arial Unicode MS"/>
          <w:noProof/>
          <w:color w:val="000000" w:themeColor="text1"/>
        </w:rPr>
        <w:t xml:space="preserve">The Eurojust Regulation lays down specific rules regarding transfers of personal data by Eurojust outside of the EU. Article 56(2) thereof lists situations where Eurojust can lawfully transfer personal data to </w:t>
      </w:r>
      <w:r w:rsidR="00286216" w:rsidRPr="7075FCB8">
        <w:rPr>
          <w:rFonts w:eastAsia="Arial Unicode MS"/>
          <w:noProof/>
          <w:color w:val="000000" w:themeColor="text1"/>
        </w:rPr>
        <w:t xml:space="preserve">the </w:t>
      </w:r>
      <w:r w:rsidRPr="7075FCB8">
        <w:rPr>
          <w:rFonts w:eastAsia="Arial Unicode MS"/>
          <w:noProof/>
          <w:color w:val="000000" w:themeColor="text1"/>
        </w:rPr>
        <w:t xml:space="preserve">judicial authorities of third countries. </w:t>
      </w:r>
      <w:r w:rsidR="00350E10" w:rsidRPr="7075FCB8">
        <w:rPr>
          <w:rFonts w:eastAsia="Arial Unicode MS"/>
          <w:noProof/>
          <w:color w:val="000000" w:themeColor="text1"/>
        </w:rPr>
        <w:t>It follows from the provision</w:t>
      </w:r>
      <w:r w:rsidRPr="7075FCB8">
        <w:rPr>
          <w:rFonts w:eastAsia="Arial Unicode MS"/>
          <w:noProof/>
          <w:color w:val="000000" w:themeColor="text1"/>
        </w:rPr>
        <w:t xml:space="preserve"> that for structural transfers of personal data by Eurojust to </w:t>
      </w:r>
      <w:r w:rsidR="000C5831">
        <w:rPr>
          <w:rFonts w:eastAsia="Arial Unicode MS"/>
          <w:noProof/>
          <w:color w:val="000000" w:themeColor="text1"/>
        </w:rPr>
        <w:t>Algeria</w:t>
      </w:r>
      <w:r w:rsidRPr="7075FCB8">
        <w:rPr>
          <w:rFonts w:eastAsia="Arial Unicode MS"/>
          <w:noProof/>
          <w:color w:val="000000" w:themeColor="text1"/>
        </w:rPr>
        <w:t xml:space="preserve"> the conclusion of a binding international agreement between the EU and </w:t>
      </w:r>
      <w:r w:rsidR="002B516F">
        <w:rPr>
          <w:rFonts w:eastAsia="Arial Unicode MS"/>
          <w:noProof/>
          <w:color w:val="000000" w:themeColor="text1"/>
        </w:rPr>
        <w:t>Algeria</w:t>
      </w:r>
      <w:r w:rsidRPr="7075FCB8">
        <w:rPr>
          <w:rFonts w:eastAsia="Arial Unicode MS"/>
          <w:noProof/>
          <w:color w:val="000000" w:themeColor="text1"/>
        </w:rPr>
        <w:t>, adducing adequate safeguards with respect to the protection of privacy and other fundamental rights and freedoms of individuals</w:t>
      </w:r>
      <w:r w:rsidR="004F45C6" w:rsidRPr="7075FCB8">
        <w:rPr>
          <w:rFonts w:eastAsia="Arial Unicode MS"/>
          <w:noProof/>
          <w:color w:val="000000" w:themeColor="text1"/>
        </w:rPr>
        <w:t>,</w:t>
      </w:r>
      <w:r w:rsidRPr="7075FCB8">
        <w:rPr>
          <w:rFonts w:eastAsia="Arial Unicode MS"/>
          <w:noProof/>
          <w:color w:val="000000" w:themeColor="text1"/>
        </w:rPr>
        <w:t xml:space="preserve"> is required.</w:t>
      </w:r>
      <w:r w:rsidR="00166023" w:rsidRPr="7075FCB8">
        <w:rPr>
          <w:rFonts w:eastAsia="Arial Unicode MS"/>
          <w:noProof/>
          <w:color w:val="000000" w:themeColor="text1"/>
        </w:rPr>
        <w:t xml:space="preserve"> </w:t>
      </w:r>
      <w:r w:rsidRPr="7075FCB8">
        <w:rPr>
          <w:rFonts w:eastAsia="Arial Unicode MS"/>
          <w:noProof/>
          <w:color w:val="000000" w:themeColor="text1"/>
        </w:rPr>
        <w:t xml:space="preserve">In accordance with Article 3(2) TFEU, the Agreement thus falls within the exclusive external competence of the Union. Therefore, this proposal is not subject to subsidiarity check. </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C11FA9" w:rsidRPr="009D60F8" w:rsidRDefault="60EFB503" w:rsidP="7075FCB8">
      <w:pPr>
        <w:pBdr>
          <w:top w:val="nil"/>
          <w:left w:val="nil"/>
          <w:bottom w:val="nil"/>
          <w:right w:val="nil"/>
          <w:between w:val="nil"/>
          <w:bar w:val="nil"/>
        </w:pBdr>
        <w:spacing w:before="0" w:after="240"/>
        <w:rPr>
          <w:rFonts w:eastAsia="Arial Unicode MS"/>
          <w:noProof/>
          <w:color w:val="000000" w:themeColor="text1"/>
        </w:rPr>
      </w:pPr>
      <w:r w:rsidRPr="7075FCB8">
        <w:rPr>
          <w:rFonts w:eastAsia="Arial Unicode MS"/>
          <w:noProof/>
          <w:color w:val="000000" w:themeColor="text1"/>
        </w:rPr>
        <w:t>The Union’s objectives with regard to this proposal as set out above can only be achieved by entering into a binding international agreement providing for the necessary cooperation measures, while ensuring appropriate protection of fundamental rights. The provisions of the agreement are limited to what is necessary to achieve its main objectives. Unilateral action</w:t>
      </w:r>
      <w:r w:rsidR="009C1C07" w:rsidRPr="7075FCB8">
        <w:rPr>
          <w:rFonts w:eastAsia="Arial Unicode MS"/>
          <w:noProof/>
          <w:color w:val="000000" w:themeColor="text1"/>
        </w:rPr>
        <w:t xml:space="preserve"> of the Member States</w:t>
      </w:r>
      <w:r w:rsidR="00712040" w:rsidRPr="7075FCB8">
        <w:rPr>
          <w:rFonts w:eastAsia="Arial Unicode MS"/>
          <w:noProof/>
          <w:color w:val="000000" w:themeColor="text1"/>
        </w:rPr>
        <w:t xml:space="preserve"> towards </w:t>
      </w:r>
      <w:r w:rsidR="000C5831">
        <w:rPr>
          <w:rFonts w:eastAsia="Arial Unicode MS"/>
          <w:noProof/>
          <w:color w:val="000000" w:themeColor="text1"/>
        </w:rPr>
        <w:t>Algeria</w:t>
      </w:r>
      <w:r w:rsidRPr="7075FCB8">
        <w:rPr>
          <w:rFonts w:eastAsia="Arial Unicode MS"/>
          <w:noProof/>
          <w:color w:val="000000" w:themeColor="text1"/>
        </w:rPr>
        <w:t xml:space="preserve"> does not represent an alternative, as </w:t>
      </w:r>
      <w:r w:rsidR="125CA59D" w:rsidRPr="7075FCB8">
        <w:rPr>
          <w:rFonts w:eastAsia="Arial Unicode MS"/>
          <w:noProof/>
          <w:color w:val="000000" w:themeColor="text1"/>
        </w:rPr>
        <w:t xml:space="preserve">Eurojust has a unique role. Unilateral action would also not provide a sufficient basis for judicial cooperation between Eurojust and third countries and would not ensure the necessary protection of fundamental rights. </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C11FA9" w:rsidRPr="00044058" w:rsidRDefault="60EFB503" w:rsidP="00A52F19">
      <w:pPr>
        <w:pBdr>
          <w:top w:val="nil"/>
          <w:left w:val="nil"/>
          <w:bottom w:val="nil"/>
          <w:right w:val="nil"/>
          <w:between w:val="nil"/>
          <w:bar w:val="nil"/>
        </w:pBdr>
        <w:spacing w:before="0" w:after="240"/>
        <w:rPr>
          <w:rFonts w:eastAsia="Arial Unicode MS"/>
          <w:noProof/>
        </w:rPr>
      </w:pPr>
      <w:r w:rsidRPr="181C8758">
        <w:rPr>
          <w:rFonts w:eastAsia="Arial Unicode MS"/>
          <w:noProof/>
        </w:rPr>
        <w:t xml:space="preserve">In accordance with Article 56 of </w:t>
      </w:r>
      <w:r w:rsidR="00EC48E5">
        <w:rPr>
          <w:rFonts w:eastAsia="Arial Unicode MS"/>
          <w:noProof/>
        </w:rPr>
        <w:t xml:space="preserve">Eurojust </w:t>
      </w:r>
      <w:r w:rsidRPr="181C8758">
        <w:rPr>
          <w:rFonts w:eastAsia="Arial Unicode MS"/>
          <w:noProof/>
        </w:rPr>
        <w:t xml:space="preserve">Regulation, </w:t>
      </w:r>
      <w:r w:rsidR="7E7725AB" w:rsidRPr="181C8758">
        <w:rPr>
          <w:rFonts w:eastAsia="Arial Unicode MS"/>
          <w:noProof/>
        </w:rPr>
        <w:t xml:space="preserve">in the absence of an adequacy finding </w:t>
      </w:r>
      <w:r w:rsidRPr="181C8758">
        <w:rPr>
          <w:rFonts w:eastAsia="Arial Unicode MS"/>
          <w:noProof/>
        </w:rPr>
        <w:t xml:space="preserve">Eurojust may </w:t>
      </w:r>
      <w:r w:rsidR="78C47FE5" w:rsidRPr="181C8758">
        <w:rPr>
          <w:rFonts w:eastAsia="Arial Unicode MS"/>
          <w:noProof/>
        </w:rPr>
        <w:t xml:space="preserve">engage in the structural </w:t>
      </w:r>
      <w:r w:rsidRPr="181C8758">
        <w:rPr>
          <w:rFonts w:eastAsia="Arial Unicode MS"/>
          <w:noProof/>
        </w:rPr>
        <w:t xml:space="preserve">transfer </w:t>
      </w:r>
      <w:r w:rsidR="258F0C35" w:rsidRPr="181C8758">
        <w:rPr>
          <w:rFonts w:eastAsia="Arial Unicode MS"/>
          <w:noProof/>
        </w:rPr>
        <w:t xml:space="preserve">of </w:t>
      </w:r>
      <w:r w:rsidRPr="181C8758">
        <w:rPr>
          <w:rFonts w:eastAsia="Arial Unicode MS"/>
          <w:noProof/>
        </w:rPr>
        <w:t xml:space="preserve">operational personal data to a third country </w:t>
      </w:r>
      <w:r w:rsidRPr="181C8758">
        <w:rPr>
          <w:rFonts w:eastAsia="Arial Unicode MS"/>
          <w:noProof/>
        </w:rPr>
        <w:lastRenderedPageBreak/>
        <w:t xml:space="preserve">only </w:t>
      </w:r>
      <w:r w:rsidR="7CD5285D" w:rsidRPr="181C8758">
        <w:rPr>
          <w:rFonts w:eastAsia="Arial Unicode MS"/>
          <w:noProof/>
        </w:rPr>
        <w:t>based on</w:t>
      </w:r>
      <w:r w:rsidRPr="181C8758">
        <w:rPr>
          <w:rFonts w:eastAsia="Arial Unicode MS"/>
          <w:noProof/>
        </w:rPr>
        <w:t xml:space="preserve"> an international agreement pursuant to Article 218 TFEU that provides for adequate safeguards with respect to the protection of privacy and fundamental rights and freedoms of individuals</w:t>
      </w:r>
      <w:r w:rsidR="2C4BDE93" w:rsidRPr="181C8758">
        <w:rPr>
          <w:rFonts w:eastAsia="Arial Unicode MS"/>
          <w:noProof/>
        </w:rPr>
        <w:t xml:space="preserve"> (Article 56(</w:t>
      </w:r>
      <w:r w:rsidR="00B22DC3">
        <w:rPr>
          <w:rFonts w:eastAsia="Arial Unicode MS"/>
          <w:noProof/>
        </w:rPr>
        <w:t>2</w:t>
      </w:r>
      <w:r w:rsidR="2C4BDE93" w:rsidRPr="181C8758">
        <w:rPr>
          <w:rFonts w:eastAsia="Arial Unicode MS"/>
          <w:noProof/>
        </w:rPr>
        <w:t>)(c))</w:t>
      </w:r>
      <w:r w:rsidRPr="181C8758">
        <w:rPr>
          <w:rFonts w:eastAsia="Arial Unicode MS"/>
          <w:noProof/>
        </w:rPr>
        <w:t>. In accordance with Article 218(</w:t>
      </w:r>
      <w:r w:rsidR="004F45C6">
        <w:rPr>
          <w:rFonts w:eastAsia="Arial Unicode MS"/>
          <w:noProof/>
        </w:rPr>
        <w:t>6</w:t>
      </w:r>
      <w:r w:rsidRPr="181C8758">
        <w:rPr>
          <w:rFonts w:eastAsia="Arial Unicode MS"/>
          <w:noProof/>
        </w:rPr>
        <w:t xml:space="preserve">) TFEU, </w:t>
      </w:r>
      <w:r w:rsidR="00542CE1">
        <w:rPr>
          <w:rFonts w:eastAsia="Arial Unicode MS"/>
          <w:noProof/>
        </w:rPr>
        <w:t xml:space="preserve">the signing of </w:t>
      </w:r>
      <w:r w:rsidRPr="181C8758">
        <w:rPr>
          <w:rFonts w:eastAsia="Arial Unicode MS"/>
          <w:noProof/>
        </w:rPr>
        <w:t xml:space="preserve">such </w:t>
      </w:r>
      <w:r w:rsidR="004F45C6">
        <w:rPr>
          <w:rFonts w:eastAsia="Arial Unicode MS"/>
          <w:noProof/>
        </w:rPr>
        <w:t xml:space="preserve">an </w:t>
      </w:r>
      <w:r w:rsidRPr="181C8758">
        <w:rPr>
          <w:rFonts w:eastAsia="Arial Unicode MS"/>
          <w:noProof/>
        </w:rPr>
        <w:t xml:space="preserve">agreement is </w:t>
      </w:r>
      <w:r w:rsidR="00542CE1">
        <w:rPr>
          <w:rFonts w:eastAsia="Arial Unicode MS"/>
          <w:noProof/>
        </w:rPr>
        <w:t xml:space="preserve">authorised </w:t>
      </w:r>
      <w:r w:rsidRPr="181C8758">
        <w:rPr>
          <w:rFonts w:eastAsia="Arial Unicode MS"/>
          <w:noProof/>
        </w:rPr>
        <w:t xml:space="preserve">by a </w:t>
      </w:r>
      <w:r w:rsidR="00825C9B">
        <w:rPr>
          <w:rFonts w:eastAsia="Arial Unicode MS"/>
          <w:noProof/>
        </w:rPr>
        <w:t>d</w:t>
      </w:r>
      <w:r w:rsidRPr="181C8758">
        <w:rPr>
          <w:rFonts w:eastAsia="Arial Unicode MS"/>
          <w:noProof/>
        </w:rPr>
        <w:t xml:space="preserve">ecision of the Council. </w:t>
      </w:r>
    </w:p>
    <w:p w:rsidR="00C11FA9" w:rsidRPr="00550536" w:rsidRDefault="00C11FA9" w:rsidP="00A52F19">
      <w:pPr>
        <w:pStyle w:val="ManualHeading1"/>
        <w:rPr>
          <w:noProof/>
        </w:rPr>
      </w:pPr>
      <w:r w:rsidRPr="00550536">
        <w:rPr>
          <w:noProof/>
        </w:rPr>
        <w:t>3.</w:t>
      </w:r>
      <w:r w:rsidRPr="00550536">
        <w:rPr>
          <w:noProof/>
        </w:rPr>
        <w:tab/>
        <w:t>RESULTS OF EX-POST EVALUATIONS, STAKEHOLDER CONSULTATIONS AND IMPACT ASSESSMENTS</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C11FA9" w:rsidRPr="009D60F8" w:rsidRDefault="009D60F8" w:rsidP="00A52F19">
      <w:pPr>
        <w:pBdr>
          <w:top w:val="nil"/>
          <w:left w:val="nil"/>
          <w:bottom w:val="nil"/>
          <w:right w:val="nil"/>
          <w:between w:val="nil"/>
          <w:bar w:val="nil"/>
        </w:pBdr>
        <w:spacing w:before="0" w:after="240"/>
        <w:rPr>
          <w:rFonts w:eastAsia="Arial Unicode MS"/>
          <w:noProof/>
          <w:color w:val="000000" w:themeColor="text1"/>
        </w:rPr>
      </w:pPr>
      <w:r w:rsidRPr="00C11E78">
        <w:rPr>
          <w:noProof/>
        </w:rPr>
        <w:t xml:space="preserve">Not applicable. </w:t>
      </w:r>
    </w:p>
    <w:p w:rsidR="00C11FA9" w:rsidRPr="009D60F8" w:rsidRDefault="00C11FA9" w:rsidP="00A52F19">
      <w:pPr>
        <w:pStyle w:val="ManualHeading2"/>
        <w:rPr>
          <w:rFonts w:eastAsia="Arial Unicode MS"/>
          <w:noProof/>
          <w:color w:val="000000" w:themeColor="text1"/>
          <w:u w:color="000000"/>
          <w:bdr w:val="nil"/>
          <w:lang w:val="en-US" w:eastAsia="en-GB"/>
        </w:rPr>
      </w:pPr>
      <w:r w:rsidRPr="009D60F8">
        <w:rPr>
          <w:rFonts w:eastAsia="Arial Unicode MS"/>
          <w:noProof/>
          <w:color w:val="000000" w:themeColor="text1"/>
          <w:u w:color="000000"/>
          <w:bdr w:val="nil"/>
          <w:lang w:val="en-US" w:eastAsia="en-GB"/>
        </w:rPr>
        <w:t>•</w:t>
      </w:r>
      <w:r w:rsidRPr="009D60F8">
        <w:rPr>
          <w:rFonts w:eastAsia="Arial Unicode MS"/>
          <w:noProof/>
          <w:color w:val="000000" w:themeColor="text1"/>
          <w:u w:color="000000"/>
          <w:bdr w:val="nil"/>
          <w:lang w:val="en-US" w:eastAsia="en-GB"/>
        </w:rPr>
        <w:tab/>
        <w:t>Stakeholder consultations</w:t>
      </w:r>
    </w:p>
    <w:p w:rsidR="00C11FA9" w:rsidRPr="009D60F8" w:rsidRDefault="009D60F8" w:rsidP="00A52F19">
      <w:pPr>
        <w:pBdr>
          <w:top w:val="nil"/>
          <w:left w:val="nil"/>
          <w:bottom w:val="nil"/>
          <w:right w:val="nil"/>
          <w:between w:val="nil"/>
          <w:bar w:val="nil"/>
        </w:pBdr>
        <w:spacing w:before="0" w:after="240"/>
        <w:rPr>
          <w:rFonts w:eastAsia="Arial Unicode MS"/>
          <w:noProof/>
          <w:color w:val="000000" w:themeColor="text1"/>
        </w:rPr>
      </w:pPr>
      <w:r w:rsidRPr="00C11E78">
        <w:rPr>
          <w:noProof/>
        </w:rPr>
        <w:t xml:space="preserve">Not applicable. </w:t>
      </w:r>
    </w:p>
    <w:p w:rsidR="00C11FA9" w:rsidRPr="009D60F8" w:rsidRDefault="00C11FA9" w:rsidP="00A52F19">
      <w:pPr>
        <w:pStyle w:val="ManualHeading2"/>
        <w:rPr>
          <w:rFonts w:eastAsia="Arial Unicode MS"/>
          <w:noProof/>
          <w:color w:val="000000" w:themeColor="text1"/>
          <w:u w:color="000000"/>
          <w:bdr w:val="nil"/>
          <w:lang w:val="en-US" w:eastAsia="en-GB"/>
        </w:rPr>
      </w:pPr>
      <w:r w:rsidRPr="009D60F8">
        <w:rPr>
          <w:rFonts w:eastAsia="Arial Unicode MS"/>
          <w:noProof/>
          <w:color w:val="000000" w:themeColor="text1"/>
          <w:u w:color="000000"/>
          <w:bdr w:val="nil"/>
          <w:lang w:val="en-US" w:eastAsia="en-GB"/>
        </w:rPr>
        <w:t>•</w:t>
      </w:r>
      <w:r w:rsidRPr="009D60F8">
        <w:rPr>
          <w:rFonts w:eastAsia="Arial Unicode MS"/>
          <w:noProof/>
          <w:color w:val="000000" w:themeColor="text1"/>
          <w:u w:color="000000"/>
          <w:bdr w:val="nil"/>
          <w:lang w:val="en-US" w:eastAsia="en-GB"/>
        </w:rPr>
        <w:tab/>
        <w:t>Collection and use of expertise</w:t>
      </w:r>
    </w:p>
    <w:p w:rsidR="00C11FA9" w:rsidRPr="009D60F8" w:rsidRDefault="009D60F8" w:rsidP="00A52F19">
      <w:pPr>
        <w:pBdr>
          <w:top w:val="nil"/>
          <w:left w:val="nil"/>
          <w:bottom w:val="nil"/>
          <w:right w:val="nil"/>
          <w:between w:val="nil"/>
          <w:bar w:val="nil"/>
        </w:pBdr>
        <w:spacing w:before="0" w:after="240"/>
        <w:rPr>
          <w:rFonts w:eastAsia="Arial Unicode MS"/>
          <w:noProof/>
          <w:color w:val="000000" w:themeColor="text1"/>
        </w:rPr>
      </w:pPr>
      <w:r w:rsidRPr="009D60F8">
        <w:rPr>
          <w:rFonts w:eastAsia="Arial Unicode MS"/>
          <w:noProof/>
          <w:color w:val="000000" w:themeColor="text1"/>
        </w:rPr>
        <w:t>In the process of the negotiation, the Commission did not use external expertise.</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9D60F8" w:rsidRPr="009D60F8" w:rsidRDefault="009D60F8" w:rsidP="009D60F8">
      <w:pPr>
        <w:pBdr>
          <w:top w:val="nil"/>
          <w:left w:val="nil"/>
          <w:bottom w:val="nil"/>
          <w:right w:val="nil"/>
          <w:between w:val="nil"/>
          <w:bar w:val="nil"/>
        </w:pBdr>
        <w:spacing w:before="0" w:after="240"/>
        <w:rPr>
          <w:rFonts w:eastAsia="Arial Unicode MS"/>
          <w:noProof/>
          <w:color w:val="000000" w:themeColor="text1"/>
        </w:rPr>
      </w:pPr>
      <w:r w:rsidRPr="009D60F8">
        <w:rPr>
          <w:rFonts w:eastAsia="Arial Unicode MS"/>
          <w:noProof/>
          <w:color w:val="000000" w:themeColor="text1"/>
        </w:rPr>
        <w:t xml:space="preserve">Not applicable. </w:t>
      </w:r>
    </w:p>
    <w:p w:rsidR="00C11FA9" w:rsidRPr="009D60F8" w:rsidRDefault="00C11FA9" w:rsidP="00A52F19">
      <w:pPr>
        <w:pStyle w:val="ManualHeading2"/>
        <w:rPr>
          <w:rFonts w:eastAsia="Arial Unicode MS"/>
          <w:noProof/>
          <w:color w:val="000000" w:themeColor="text1"/>
          <w:u w:color="000000"/>
          <w:bdr w:val="nil"/>
          <w:lang w:val="en-US" w:eastAsia="en-GB"/>
        </w:rPr>
      </w:pPr>
      <w:r w:rsidRPr="009D60F8">
        <w:rPr>
          <w:rFonts w:eastAsia="Arial Unicode MS"/>
          <w:noProof/>
          <w:color w:val="000000" w:themeColor="text1"/>
          <w:u w:color="000000"/>
          <w:bdr w:val="nil"/>
          <w:lang w:val="en-US" w:eastAsia="en-GB"/>
        </w:rPr>
        <w:t>•</w:t>
      </w:r>
      <w:r w:rsidRPr="009D60F8">
        <w:rPr>
          <w:rFonts w:eastAsia="Arial Unicode MS"/>
          <w:noProof/>
          <w:color w:val="000000" w:themeColor="text1"/>
          <w:u w:color="000000"/>
          <w:bdr w:val="nil"/>
          <w:lang w:val="en-US" w:eastAsia="en-GB"/>
        </w:rPr>
        <w:tab/>
        <w:t>Regulatory fitness and simplification</w:t>
      </w:r>
    </w:p>
    <w:p w:rsidR="00C11FA9" w:rsidRPr="009D60F8" w:rsidRDefault="009D60F8" w:rsidP="00A52F19">
      <w:pPr>
        <w:pBdr>
          <w:top w:val="nil"/>
          <w:left w:val="nil"/>
          <w:bottom w:val="nil"/>
          <w:right w:val="nil"/>
          <w:between w:val="nil"/>
          <w:bar w:val="nil"/>
        </w:pBdr>
        <w:spacing w:before="0" w:after="240"/>
        <w:rPr>
          <w:rFonts w:eastAsia="Arial Unicode MS"/>
          <w:noProof/>
          <w:color w:val="000000" w:themeColor="text1"/>
        </w:rPr>
      </w:pPr>
      <w:r w:rsidRPr="00C11E78">
        <w:rPr>
          <w:noProof/>
        </w:rPr>
        <w:t xml:space="preserve">Not applicable. </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9D60F8" w:rsidRPr="005B49ED" w:rsidRDefault="60EFB503" w:rsidP="45BEA7CF">
      <w:pPr>
        <w:pBdr>
          <w:top w:val="nil"/>
          <w:left w:val="nil"/>
          <w:bottom w:val="nil"/>
          <w:right w:val="nil"/>
          <w:between w:val="nil"/>
          <w:bar w:val="nil"/>
        </w:pBdr>
        <w:spacing w:before="0" w:after="240"/>
        <w:rPr>
          <w:rFonts w:eastAsia="Arial Unicode MS"/>
          <w:noProof/>
          <w:color w:val="000000" w:themeColor="text1"/>
        </w:rPr>
      </w:pPr>
      <w:r w:rsidRPr="45BEA7CF">
        <w:rPr>
          <w:rFonts w:eastAsia="Arial Unicode MS"/>
          <w:noProof/>
          <w:color w:val="000000" w:themeColor="text1"/>
        </w:rPr>
        <w:t xml:space="preserve">The exchange of personal data </w:t>
      </w:r>
      <w:r w:rsidR="133FA085" w:rsidRPr="45BEA7CF">
        <w:rPr>
          <w:rFonts w:eastAsia="Arial Unicode MS"/>
          <w:noProof/>
          <w:color w:val="000000" w:themeColor="text1"/>
        </w:rPr>
        <w:t xml:space="preserve">and its processing by the authorities of a third country </w:t>
      </w:r>
      <w:r w:rsidR="22A70EC3" w:rsidRPr="45BEA7CF">
        <w:rPr>
          <w:rFonts w:eastAsia="Arial Unicode MS"/>
          <w:noProof/>
          <w:color w:val="000000" w:themeColor="text1"/>
        </w:rPr>
        <w:t>concerns</w:t>
      </w:r>
      <w:r w:rsidR="00417E75">
        <w:rPr>
          <w:rFonts w:eastAsia="Arial Unicode MS"/>
          <w:noProof/>
          <w:color w:val="000000" w:themeColor="text1"/>
        </w:rPr>
        <w:t xml:space="preserve"> </w:t>
      </w:r>
      <w:r w:rsidR="133FA085" w:rsidRPr="45BEA7CF">
        <w:rPr>
          <w:rFonts w:eastAsia="Arial Unicode MS"/>
          <w:noProof/>
          <w:color w:val="000000" w:themeColor="text1"/>
        </w:rPr>
        <w:t>the fundamental rights to privacy and</w:t>
      </w:r>
      <w:r w:rsidRPr="45BEA7CF">
        <w:rPr>
          <w:rFonts w:eastAsia="Arial Unicode MS"/>
          <w:noProof/>
          <w:color w:val="000000" w:themeColor="text1"/>
        </w:rPr>
        <w:t xml:space="preserve"> data protection</w:t>
      </w:r>
      <w:r w:rsidR="4D5C51BF" w:rsidRPr="45BEA7CF">
        <w:rPr>
          <w:rFonts w:eastAsia="Arial Unicode MS"/>
          <w:noProof/>
          <w:color w:val="000000" w:themeColor="text1"/>
        </w:rPr>
        <w:t>.</w:t>
      </w:r>
      <w:r w:rsidRPr="45BEA7CF">
        <w:rPr>
          <w:rFonts w:eastAsia="Arial Unicode MS"/>
          <w:noProof/>
          <w:color w:val="000000" w:themeColor="text1"/>
        </w:rPr>
        <w:t xml:space="preserve"> </w:t>
      </w:r>
      <w:r w:rsidR="1A47FAEB" w:rsidRPr="45BEA7CF">
        <w:rPr>
          <w:rFonts w:eastAsia="Arial Unicode MS"/>
          <w:noProof/>
          <w:color w:val="000000" w:themeColor="text1"/>
        </w:rPr>
        <w:t>In that regard</w:t>
      </w:r>
      <w:r w:rsidRPr="45BEA7CF">
        <w:rPr>
          <w:rFonts w:eastAsia="Arial Unicode MS"/>
          <w:noProof/>
          <w:color w:val="000000" w:themeColor="text1"/>
        </w:rPr>
        <w:t>, the Agreement</w:t>
      </w:r>
      <w:r w:rsidR="7FE585C2" w:rsidRPr="45BEA7CF">
        <w:rPr>
          <w:rFonts w:eastAsia="Arial Unicode MS"/>
          <w:noProof/>
          <w:color w:val="000000" w:themeColor="text1"/>
        </w:rPr>
        <w:t xml:space="preserve"> ensures the application of adequate safeguards to t</w:t>
      </w:r>
      <w:r w:rsidR="19B62DD9" w:rsidRPr="45BEA7CF">
        <w:rPr>
          <w:rFonts w:eastAsia="Arial Unicode MS"/>
          <w:noProof/>
          <w:color w:val="000000" w:themeColor="text1"/>
        </w:rPr>
        <w:t>he personal data transferred</w:t>
      </w:r>
      <w:r w:rsidR="20ACE720" w:rsidRPr="45BEA7CF">
        <w:rPr>
          <w:rFonts w:eastAsia="Arial Unicode MS"/>
          <w:noProof/>
          <w:color w:val="000000" w:themeColor="text1"/>
        </w:rPr>
        <w:t xml:space="preserve"> under the Agreement itself</w:t>
      </w:r>
      <w:r w:rsidRPr="45BEA7CF">
        <w:rPr>
          <w:rFonts w:eastAsia="Arial Unicode MS"/>
          <w:noProof/>
          <w:color w:val="000000" w:themeColor="text1"/>
        </w:rPr>
        <w:t xml:space="preserve">, in line with </w:t>
      </w:r>
      <w:r w:rsidR="00BD3DC7" w:rsidRPr="45BEA7CF">
        <w:rPr>
          <w:rFonts w:eastAsia="Arial Unicode MS"/>
          <w:noProof/>
          <w:color w:val="000000" w:themeColor="text1"/>
        </w:rPr>
        <w:t xml:space="preserve">Union </w:t>
      </w:r>
      <w:r w:rsidRPr="45BEA7CF">
        <w:rPr>
          <w:rFonts w:eastAsia="Arial Unicode MS"/>
          <w:noProof/>
          <w:color w:val="000000" w:themeColor="text1"/>
        </w:rPr>
        <w:t xml:space="preserve">law. </w:t>
      </w:r>
    </w:p>
    <w:p w:rsidR="005B49ED" w:rsidRPr="005B49ED" w:rsidRDefault="704E96EF" w:rsidP="45BEA7CF">
      <w:pPr>
        <w:pBdr>
          <w:top w:val="nil"/>
          <w:left w:val="nil"/>
          <w:bottom w:val="nil"/>
          <w:right w:val="nil"/>
          <w:between w:val="nil"/>
          <w:bar w:val="nil"/>
        </w:pBdr>
        <w:spacing w:before="0" w:after="240"/>
        <w:rPr>
          <w:rFonts w:eastAsia="Arial Unicode MS"/>
          <w:noProof/>
          <w:color w:val="000000" w:themeColor="text1"/>
        </w:rPr>
      </w:pPr>
      <w:r w:rsidRPr="45BEA7CF">
        <w:rPr>
          <w:rFonts w:eastAsia="Arial Unicode MS"/>
          <w:noProof/>
          <w:color w:val="000000" w:themeColor="text1"/>
        </w:rPr>
        <w:t>In partic</w:t>
      </w:r>
      <w:r w:rsidR="00417E75">
        <w:rPr>
          <w:rFonts w:eastAsia="Arial Unicode MS"/>
          <w:noProof/>
          <w:color w:val="000000" w:themeColor="text1"/>
        </w:rPr>
        <w:t>u</w:t>
      </w:r>
      <w:r w:rsidRPr="45BEA7CF">
        <w:rPr>
          <w:rFonts w:eastAsia="Arial Unicode MS"/>
          <w:noProof/>
          <w:color w:val="000000" w:themeColor="text1"/>
        </w:rPr>
        <w:t xml:space="preserve">lar, </w:t>
      </w:r>
      <w:r w:rsidR="009D60F8" w:rsidRPr="45BEA7CF">
        <w:rPr>
          <w:rFonts w:eastAsia="Arial Unicode MS"/>
          <w:noProof/>
          <w:color w:val="000000" w:themeColor="text1"/>
        </w:rPr>
        <w:t>Chapter II provides for the protection of persona</w:t>
      </w:r>
      <w:r w:rsidR="005B49ED" w:rsidRPr="45BEA7CF">
        <w:rPr>
          <w:rFonts w:eastAsia="Arial Unicode MS"/>
          <w:noProof/>
          <w:color w:val="000000" w:themeColor="text1"/>
        </w:rPr>
        <w:t>l data. On that basis, Articles 10 to 20</w:t>
      </w:r>
      <w:r w:rsidR="009D60F8" w:rsidRPr="45BEA7CF">
        <w:rPr>
          <w:rFonts w:eastAsia="Arial Unicode MS"/>
          <w:noProof/>
          <w:color w:val="000000" w:themeColor="text1"/>
        </w:rPr>
        <w:t xml:space="preserve"> </w:t>
      </w:r>
      <w:r w:rsidR="3A8A97DA" w:rsidRPr="45BEA7CF">
        <w:rPr>
          <w:rFonts w:eastAsia="Arial Unicode MS"/>
          <w:noProof/>
          <w:color w:val="000000" w:themeColor="text1"/>
        </w:rPr>
        <w:t xml:space="preserve">lay down provisions that provide for </w:t>
      </w:r>
      <w:r w:rsidR="009D60F8" w:rsidRPr="45BEA7CF">
        <w:rPr>
          <w:rFonts w:eastAsia="Arial Unicode MS"/>
          <w:noProof/>
          <w:color w:val="000000" w:themeColor="text1"/>
        </w:rPr>
        <w:t xml:space="preserve">data protection principles, </w:t>
      </w:r>
      <w:r w:rsidR="199882AA" w:rsidRPr="45BEA7CF">
        <w:rPr>
          <w:rFonts w:eastAsia="Arial Unicode MS"/>
          <w:noProof/>
          <w:color w:val="000000" w:themeColor="text1"/>
        </w:rPr>
        <w:t>(</w:t>
      </w:r>
      <w:r w:rsidR="009D60F8" w:rsidRPr="45BEA7CF">
        <w:rPr>
          <w:rFonts w:eastAsia="Arial Unicode MS"/>
          <w:noProof/>
          <w:color w:val="000000" w:themeColor="text1"/>
        </w:rPr>
        <w:t>including purpose limitation</w:t>
      </w:r>
      <w:r w:rsidR="003ECD83" w:rsidRPr="45BEA7CF">
        <w:rPr>
          <w:rFonts w:eastAsia="Arial Unicode MS"/>
          <w:noProof/>
          <w:color w:val="000000" w:themeColor="text1"/>
        </w:rPr>
        <w:t xml:space="preserve"> and data minimisation)</w:t>
      </w:r>
      <w:r w:rsidR="009D60F8" w:rsidRPr="45BEA7CF">
        <w:rPr>
          <w:rFonts w:eastAsia="Arial Unicode MS"/>
          <w:noProof/>
          <w:color w:val="000000" w:themeColor="text1"/>
        </w:rPr>
        <w:t xml:space="preserve">, </w:t>
      </w:r>
      <w:r w:rsidR="6983879B" w:rsidRPr="45BEA7CF">
        <w:rPr>
          <w:rFonts w:eastAsia="Arial Unicode MS"/>
          <w:noProof/>
          <w:color w:val="000000" w:themeColor="text1"/>
        </w:rPr>
        <w:t xml:space="preserve">safeguards for </w:t>
      </w:r>
      <w:r w:rsidR="009D60F8" w:rsidRPr="45BEA7CF">
        <w:rPr>
          <w:rFonts w:eastAsia="Arial Unicode MS"/>
          <w:noProof/>
          <w:color w:val="000000" w:themeColor="text1"/>
        </w:rPr>
        <w:t xml:space="preserve">the processing of special categories of data, obligations applicable to controllers, </w:t>
      </w:r>
      <w:r w:rsidR="7C5DEFC3" w:rsidRPr="45BEA7CF">
        <w:rPr>
          <w:rFonts w:eastAsia="Arial Unicode MS"/>
          <w:noProof/>
          <w:color w:val="000000" w:themeColor="text1"/>
        </w:rPr>
        <w:t>(</w:t>
      </w:r>
      <w:r w:rsidR="009D60F8" w:rsidRPr="45BEA7CF">
        <w:rPr>
          <w:rFonts w:eastAsia="Arial Unicode MS"/>
          <w:noProof/>
          <w:color w:val="000000" w:themeColor="text1"/>
        </w:rPr>
        <w:t xml:space="preserve">including on retention, keeping of records, </w:t>
      </w:r>
      <w:r w:rsidR="2DDA4C24" w:rsidRPr="45BEA7CF">
        <w:rPr>
          <w:rFonts w:eastAsia="Arial Unicode MS"/>
          <w:noProof/>
          <w:color w:val="000000" w:themeColor="text1"/>
        </w:rPr>
        <w:t xml:space="preserve">data </w:t>
      </w:r>
      <w:r w:rsidR="009D60F8" w:rsidRPr="45BEA7CF">
        <w:rPr>
          <w:rFonts w:eastAsia="Arial Unicode MS"/>
          <w:noProof/>
          <w:color w:val="000000" w:themeColor="text1"/>
        </w:rPr>
        <w:t>security and as regards onward transfers</w:t>
      </w:r>
      <w:r w:rsidR="2406D310" w:rsidRPr="45BEA7CF">
        <w:rPr>
          <w:rFonts w:eastAsia="Arial Unicode MS"/>
          <w:noProof/>
          <w:color w:val="000000" w:themeColor="text1"/>
        </w:rPr>
        <w:t>)</w:t>
      </w:r>
      <w:r w:rsidR="009D60F8" w:rsidRPr="45BEA7CF">
        <w:rPr>
          <w:rFonts w:eastAsia="Arial Unicode MS"/>
          <w:noProof/>
          <w:color w:val="000000" w:themeColor="text1"/>
        </w:rPr>
        <w:t xml:space="preserve">, enforceable individual rights, </w:t>
      </w:r>
      <w:r w:rsidR="2B43E52E" w:rsidRPr="45BEA7CF">
        <w:rPr>
          <w:rFonts w:eastAsia="Arial Unicode MS"/>
          <w:noProof/>
          <w:color w:val="000000" w:themeColor="text1"/>
        </w:rPr>
        <w:t>(</w:t>
      </w:r>
      <w:r w:rsidR="009D60F8" w:rsidRPr="45BEA7CF">
        <w:rPr>
          <w:rFonts w:eastAsia="Arial Unicode MS"/>
          <w:noProof/>
          <w:color w:val="000000" w:themeColor="text1"/>
        </w:rPr>
        <w:t>including on access, rectification</w:t>
      </w:r>
      <w:r w:rsidR="008F2565">
        <w:rPr>
          <w:rFonts w:eastAsia="Arial Unicode MS"/>
          <w:noProof/>
          <w:color w:val="000000" w:themeColor="text1"/>
        </w:rPr>
        <w:t>)</w:t>
      </w:r>
      <w:r w:rsidR="009D60F8" w:rsidRPr="45BEA7CF">
        <w:rPr>
          <w:rFonts w:eastAsia="Arial Unicode MS"/>
          <w:noProof/>
          <w:color w:val="000000" w:themeColor="text1"/>
        </w:rPr>
        <w:t xml:space="preserve"> and </w:t>
      </w:r>
      <w:r w:rsidR="26C796FD" w:rsidRPr="45BEA7CF">
        <w:rPr>
          <w:rFonts w:eastAsia="Arial Unicode MS"/>
          <w:noProof/>
          <w:color w:val="000000" w:themeColor="text1"/>
        </w:rPr>
        <w:t>judicial redress and</w:t>
      </w:r>
      <w:r w:rsidR="2916BB4E" w:rsidRPr="45BEA7CF">
        <w:rPr>
          <w:rFonts w:eastAsia="Arial Unicode MS"/>
          <w:noProof/>
          <w:color w:val="000000" w:themeColor="text1"/>
        </w:rPr>
        <w:t xml:space="preserve"> </w:t>
      </w:r>
      <w:r w:rsidR="009D60F8" w:rsidRPr="45BEA7CF">
        <w:rPr>
          <w:rFonts w:eastAsia="Arial Unicode MS"/>
          <w:noProof/>
          <w:color w:val="000000" w:themeColor="text1"/>
        </w:rPr>
        <w:t>independent</w:t>
      </w:r>
      <w:r w:rsidR="00417E75">
        <w:rPr>
          <w:rFonts w:eastAsia="Arial Unicode MS"/>
          <w:noProof/>
          <w:color w:val="000000" w:themeColor="text1"/>
        </w:rPr>
        <w:t xml:space="preserve"> </w:t>
      </w:r>
      <w:r w:rsidR="009D60F8" w:rsidRPr="45BEA7CF">
        <w:rPr>
          <w:rFonts w:eastAsia="Arial Unicode MS"/>
          <w:noProof/>
          <w:color w:val="000000" w:themeColor="text1"/>
        </w:rPr>
        <w:t>supervision</w:t>
      </w:r>
      <w:r w:rsidR="062185C4" w:rsidRPr="45BEA7CF">
        <w:rPr>
          <w:rFonts w:eastAsia="Arial Unicode MS"/>
          <w:noProof/>
          <w:color w:val="000000" w:themeColor="text1"/>
        </w:rPr>
        <w:t xml:space="preserve">, as on each side </w:t>
      </w:r>
      <w:r w:rsidR="006C3835">
        <w:rPr>
          <w:rFonts w:eastAsia="Arial Unicode MS"/>
          <w:noProof/>
          <w:color w:val="000000" w:themeColor="text1"/>
        </w:rPr>
        <w:t xml:space="preserve">one </w:t>
      </w:r>
      <w:r w:rsidR="062185C4" w:rsidRPr="45BEA7CF">
        <w:rPr>
          <w:rFonts w:eastAsia="Arial Unicode MS"/>
          <w:noProof/>
          <w:color w:val="000000" w:themeColor="text1"/>
        </w:rPr>
        <w:t>or more</w:t>
      </w:r>
      <w:r w:rsidR="1046BCBE" w:rsidRPr="45BEA7CF">
        <w:rPr>
          <w:rFonts w:eastAsia="Arial Unicode MS"/>
          <w:noProof/>
          <w:color w:val="000000" w:themeColor="text1"/>
        </w:rPr>
        <w:t xml:space="preserve"> independent public authority responsible for data protection (supervisory authority) shall oversee </w:t>
      </w:r>
      <w:r w:rsidR="006C3835">
        <w:rPr>
          <w:rFonts w:eastAsia="Arial Unicode MS"/>
          <w:noProof/>
          <w:color w:val="000000" w:themeColor="text1"/>
        </w:rPr>
        <w:t>t</w:t>
      </w:r>
      <w:r w:rsidR="1046BCBE" w:rsidRPr="45BEA7CF">
        <w:rPr>
          <w:rFonts w:eastAsia="Arial Unicode MS"/>
          <w:noProof/>
          <w:color w:val="000000" w:themeColor="text1"/>
        </w:rPr>
        <w:t>he implementation of the Agreement in order to protect the fundamental rights and freedoms of natural persons in relation to the processing of personal data</w:t>
      </w:r>
      <w:r w:rsidR="47F88A95" w:rsidRPr="45BEA7CF">
        <w:rPr>
          <w:rFonts w:eastAsia="Arial Unicode MS"/>
          <w:noProof/>
          <w:color w:val="000000" w:themeColor="text1"/>
        </w:rPr>
        <w:t>.</w:t>
      </w:r>
    </w:p>
    <w:p w:rsidR="00322586" w:rsidRPr="005B49ED" w:rsidRDefault="5888083D" w:rsidP="45BEA7CF">
      <w:pPr>
        <w:pBdr>
          <w:top w:val="nil"/>
          <w:left w:val="nil"/>
          <w:bottom w:val="nil"/>
          <w:right w:val="nil"/>
          <w:between w:val="nil"/>
          <w:bar w:val="nil"/>
        </w:pBdr>
        <w:spacing w:before="0" w:after="240"/>
        <w:rPr>
          <w:rFonts w:eastAsia="Arial Unicode MS"/>
          <w:noProof/>
          <w:color w:val="000000" w:themeColor="text1"/>
        </w:rPr>
      </w:pPr>
      <w:r w:rsidRPr="45BEA7CF">
        <w:rPr>
          <w:rFonts w:eastAsia="Arial Unicode MS"/>
          <w:noProof/>
          <w:color w:val="000000" w:themeColor="text1"/>
        </w:rPr>
        <w:t>In line with Union law, t</w:t>
      </w:r>
      <w:r w:rsidR="60EFB503" w:rsidRPr="45BEA7CF">
        <w:rPr>
          <w:rFonts w:eastAsia="Arial Unicode MS"/>
          <w:noProof/>
          <w:color w:val="000000" w:themeColor="text1"/>
        </w:rPr>
        <w:t xml:space="preserve">he exercise of certain individual rights can </w:t>
      </w:r>
      <w:r w:rsidR="5200393F" w:rsidRPr="45BEA7CF">
        <w:rPr>
          <w:rFonts w:eastAsia="Arial Unicode MS"/>
          <w:noProof/>
          <w:color w:val="000000" w:themeColor="text1"/>
        </w:rPr>
        <w:t xml:space="preserve">only </w:t>
      </w:r>
      <w:r w:rsidR="60EFB503" w:rsidRPr="45BEA7CF">
        <w:rPr>
          <w:rFonts w:eastAsia="Arial Unicode MS"/>
          <w:noProof/>
          <w:color w:val="000000" w:themeColor="text1"/>
        </w:rPr>
        <w:t xml:space="preserve">be delayed, limited or refused </w:t>
      </w:r>
      <w:r w:rsidR="51C3AA30" w:rsidRPr="45BEA7CF">
        <w:rPr>
          <w:rFonts w:eastAsia="Arial Unicode MS"/>
          <w:noProof/>
          <w:color w:val="000000" w:themeColor="text1"/>
        </w:rPr>
        <w:t xml:space="preserve">to the extent that it is </w:t>
      </w:r>
      <w:r w:rsidR="60EFB503" w:rsidRPr="45BEA7CF">
        <w:rPr>
          <w:rFonts w:eastAsia="Arial Unicode MS"/>
          <w:noProof/>
          <w:color w:val="000000" w:themeColor="text1"/>
        </w:rPr>
        <w:t xml:space="preserve">necessary and proportionate, taking into account the fundamental rights and interests of the data subject, </w:t>
      </w:r>
      <w:r w:rsidR="2F41C3CD" w:rsidRPr="45BEA7CF">
        <w:rPr>
          <w:rFonts w:eastAsia="Arial Unicode MS"/>
          <w:noProof/>
          <w:color w:val="000000" w:themeColor="text1"/>
        </w:rPr>
        <w:t xml:space="preserve">on important public interest grounds, </w:t>
      </w:r>
      <w:r w:rsidR="60EFB503" w:rsidRPr="45BEA7CF">
        <w:rPr>
          <w:rFonts w:eastAsia="Arial Unicode MS"/>
          <w:noProof/>
          <w:color w:val="000000" w:themeColor="text1"/>
        </w:rPr>
        <w:t xml:space="preserve">in particular to prevent </w:t>
      </w:r>
      <w:r w:rsidR="7C1F9EE5" w:rsidRPr="45BEA7CF">
        <w:rPr>
          <w:rFonts w:eastAsia="Arial Unicode MS"/>
          <w:noProof/>
          <w:color w:val="000000" w:themeColor="text1"/>
        </w:rPr>
        <w:t>harm,</w:t>
      </w:r>
      <w:r w:rsidR="60EFB503" w:rsidRPr="45BEA7CF">
        <w:rPr>
          <w:rFonts w:eastAsia="Arial Unicode MS"/>
          <w:noProof/>
          <w:color w:val="000000" w:themeColor="text1"/>
        </w:rPr>
        <w:t xml:space="preserve"> to an ongoing criminal investigation or prosecution</w:t>
      </w:r>
      <w:r w:rsidR="634695D5" w:rsidRPr="45BEA7CF">
        <w:rPr>
          <w:rFonts w:eastAsia="Arial Unicode MS"/>
          <w:noProof/>
          <w:color w:val="000000" w:themeColor="text1"/>
        </w:rPr>
        <w:t>.</w:t>
      </w:r>
      <w:r w:rsidR="195B0F14" w:rsidRPr="45BEA7CF">
        <w:rPr>
          <w:rFonts w:eastAsia="Arial Unicode MS"/>
          <w:noProof/>
          <w:color w:val="000000" w:themeColor="text1"/>
        </w:rPr>
        <w:t xml:space="preserve"> </w:t>
      </w:r>
    </w:p>
    <w:p w:rsidR="22AB2BA0" w:rsidRDefault="22AB2BA0" w:rsidP="45BEA7CF">
      <w:pPr>
        <w:pBdr>
          <w:top w:val="nil"/>
          <w:left w:val="nil"/>
          <w:bottom w:val="nil"/>
          <w:right w:val="nil"/>
          <w:between w:val="nil"/>
          <w:bar w:val="nil"/>
        </w:pBdr>
        <w:spacing w:before="0" w:after="240"/>
        <w:rPr>
          <w:rFonts w:eastAsia="Arial Unicode MS"/>
          <w:noProof/>
          <w:color w:val="000000" w:themeColor="text1"/>
        </w:rPr>
      </w:pPr>
      <w:r w:rsidRPr="45BEA7CF">
        <w:rPr>
          <w:rFonts w:eastAsia="Arial Unicode MS"/>
          <w:noProof/>
          <w:color w:val="000000" w:themeColor="text1"/>
        </w:rPr>
        <w:t xml:space="preserve">Article 10(6) of the Agreement guarantees that no information exchanged under the agreement may be used in connection with death penalty or human rights violations at large.   </w:t>
      </w:r>
    </w:p>
    <w:p w:rsidR="005E062A" w:rsidRPr="006E74BE" w:rsidRDefault="005E062A" w:rsidP="005E062A">
      <w:pPr>
        <w:rPr>
          <w:rFonts w:eastAsia="Arial Unicode MS"/>
          <w:noProof/>
          <w:color w:val="000000" w:themeColor="text1"/>
        </w:rPr>
      </w:pPr>
      <w:r w:rsidRPr="45BEA7CF">
        <w:rPr>
          <w:rFonts w:eastAsia="Arial Unicode MS"/>
          <w:noProof/>
          <w:color w:val="000000" w:themeColor="text1"/>
        </w:rPr>
        <w:t xml:space="preserve">In accordance with Article 31(3) of the Agreement, the Agreement shall not </w:t>
      </w:r>
      <w:r w:rsidR="6B7BA966" w:rsidRPr="45BEA7CF">
        <w:rPr>
          <w:rFonts w:eastAsia="Arial Unicode MS"/>
          <w:noProof/>
          <w:color w:val="000000" w:themeColor="text1"/>
        </w:rPr>
        <w:t xml:space="preserve">enter into application </w:t>
      </w:r>
      <w:r w:rsidRPr="45BEA7CF">
        <w:rPr>
          <w:rFonts w:eastAsia="Arial Unicode MS"/>
          <w:noProof/>
          <w:color w:val="000000" w:themeColor="text1"/>
        </w:rPr>
        <w:t xml:space="preserve">until both parties have notified each other of the fulfilment of the obligations </w:t>
      </w:r>
      <w:r w:rsidRPr="45BEA7CF">
        <w:rPr>
          <w:rFonts w:eastAsia="Arial Unicode MS"/>
          <w:noProof/>
          <w:color w:val="000000" w:themeColor="text1"/>
        </w:rPr>
        <w:lastRenderedPageBreak/>
        <w:t xml:space="preserve">contained in the Agreement, including those related to the protection of personal data, and this notification has been accepted. In addition to that, and to further strengthen the safeguards for the protection of personal data, Article 34(4) of the Agreement states that a Party may postpone the transfer of personal data for as long as the other Party has not provided for in law and implemented the safeguards and obligations contained in Chapter II of the Agreement (Information exchange and data protection). </w:t>
      </w:r>
    </w:p>
    <w:p w:rsidR="005E062A" w:rsidRPr="00EE6E98" w:rsidRDefault="005E062A" w:rsidP="45BEA7CF">
      <w:pPr>
        <w:pBdr>
          <w:top w:val="nil"/>
          <w:left w:val="nil"/>
          <w:bottom w:val="nil"/>
          <w:right w:val="nil"/>
          <w:between w:val="nil"/>
          <w:bar w:val="nil"/>
        </w:pBdr>
        <w:spacing w:before="0" w:after="240"/>
        <w:rPr>
          <w:rFonts w:eastAsia="Arial Unicode MS"/>
          <w:noProof/>
          <w:color w:val="000000" w:themeColor="text1"/>
        </w:rPr>
      </w:pPr>
      <w:r w:rsidRPr="45BEA7CF">
        <w:rPr>
          <w:rFonts w:eastAsia="Arial Unicode MS"/>
          <w:noProof/>
          <w:color w:val="000000" w:themeColor="text1"/>
        </w:rPr>
        <w:t>Furthermore, the Agreement guarantees that the exchange of personal data between Eurojust and Algeria is consistent with both the principle of non-discrimination and Article 52(1) of the Charter, which ensure that interferences with fundamental rights guaranteed under the Charter are limited to what is necessary to genuinely meet the objectives of general interest pursued, subject to the principle of proportionality.</w:t>
      </w:r>
    </w:p>
    <w:p w:rsidR="00C11FA9" w:rsidRPr="00F7558F" w:rsidRDefault="00C11FA9" w:rsidP="00A52F19">
      <w:pPr>
        <w:pStyle w:val="ManualHeading1"/>
        <w:rPr>
          <w:noProof/>
          <w:color w:val="000000" w:themeColor="text1"/>
        </w:rPr>
      </w:pPr>
      <w:r w:rsidRPr="005B49ED">
        <w:rPr>
          <w:noProof/>
          <w:color w:val="000000" w:themeColor="text1"/>
        </w:rPr>
        <w:t>4.</w:t>
      </w:r>
      <w:r w:rsidRPr="005B49ED">
        <w:rPr>
          <w:noProof/>
          <w:color w:val="000000" w:themeColor="text1"/>
        </w:rPr>
        <w:tab/>
      </w:r>
      <w:r w:rsidRPr="00F7558F">
        <w:rPr>
          <w:noProof/>
          <w:color w:val="000000" w:themeColor="text1"/>
        </w:rPr>
        <w:t>BUDGETARY IMPLICATIONS</w:t>
      </w:r>
    </w:p>
    <w:p w:rsidR="00C11FA9" w:rsidRPr="005B49ED" w:rsidRDefault="005B49ED" w:rsidP="00A52F19">
      <w:pPr>
        <w:pBdr>
          <w:top w:val="nil"/>
          <w:left w:val="nil"/>
          <w:bottom w:val="nil"/>
          <w:right w:val="nil"/>
          <w:between w:val="nil"/>
          <w:bar w:val="nil"/>
        </w:pBdr>
        <w:spacing w:before="0" w:after="240"/>
        <w:rPr>
          <w:rFonts w:eastAsia="Arial Unicode MS"/>
          <w:noProof/>
          <w:color w:val="000000" w:themeColor="text1"/>
        </w:rPr>
      </w:pPr>
      <w:r w:rsidRPr="00F7558F">
        <w:rPr>
          <w:noProof/>
        </w:rPr>
        <w:t>There are no budgetary implications for the Union budget.</w:t>
      </w:r>
    </w:p>
    <w:p w:rsidR="00C11FA9" w:rsidRPr="00550536" w:rsidRDefault="00C11FA9" w:rsidP="00A52F19">
      <w:pPr>
        <w:pStyle w:val="ManualHeading1"/>
        <w:rPr>
          <w:noProof/>
        </w:rPr>
      </w:pPr>
      <w:r w:rsidRPr="00550536">
        <w:rPr>
          <w:noProof/>
        </w:rPr>
        <w:t>5.</w:t>
      </w:r>
      <w:r w:rsidRPr="00550536">
        <w:rPr>
          <w:noProof/>
        </w:rPr>
        <w:tab/>
        <w:t>OTHER ELEMENTS</w:t>
      </w:r>
    </w:p>
    <w:p w:rsidR="00C11FA9" w:rsidRDefault="00C11FA9" w:rsidP="00A52F19">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5B49ED" w:rsidRPr="005B49ED" w:rsidRDefault="5090BB18" w:rsidP="7075FCB8">
      <w:pPr>
        <w:pBdr>
          <w:top w:val="nil"/>
          <w:left w:val="nil"/>
          <w:bottom w:val="nil"/>
          <w:right w:val="nil"/>
          <w:between w:val="nil"/>
          <w:bar w:val="nil"/>
        </w:pBdr>
        <w:spacing w:before="0" w:after="240"/>
        <w:rPr>
          <w:rFonts w:eastAsia="Arial Unicode MS"/>
          <w:noProof/>
          <w:color w:val="000000" w:themeColor="text1"/>
        </w:rPr>
      </w:pPr>
      <w:r w:rsidRPr="7075FCB8">
        <w:rPr>
          <w:rFonts w:eastAsia="Arial Unicode MS"/>
          <w:noProof/>
          <w:color w:val="000000" w:themeColor="text1"/>
        </w:rPr>
        <w:t xml:space="preserve">There is no need for an implementation plan, as the Agreement will enter into force on the </w:t>
      </w:r>
      <w:r w:rsidR="00094767" w:rsidRPr="7075FCB8">
        <w:rPr>
          <w:rFonts w:eastAsia="Arial Unicode MS"/>
          <w:noProof/>
          <w:color w:val="000000" w:themeColor="text1"/>
        </w:rPr>
        <w:t xml:space="preserve">first day of the second month following the month during which </w:t>
      </w:r>
      <w:r w:rsidR="00BD3DC7" w:rsidRPr="7075FCB8">
        <w:rPr>
          <w:rFonts w:eastAsia="Arial Unicode MS"/>
          <w:noProof/>
          <w:color w:val="000000" w:themeColor="text1"/>
        </w:rPr>
        <w:t>the European Union and</w:t>
      </w:r>
      <w:r w:rsidR="01A9CA78" w:rsidRPr="7075FCB8">
        <w:rPr>
          <w:rFonts w:eastAsia="Arial Unicode MS"/>
          <w:noProof/>
          <w:color w:val="000000" w:themeColor="text1"/>
        </w:rPr>
        <w:t xml:space="preserve"> </w:t>
      </w:r>
      <w:bookmarkStart w:id="3" w:name="_Hlk150780051"/>
      <w:r w:rsidR="00B842CE">
        <w:rPr>
          <w:rFonts w:eastAsia="Arial Unicode MS"/>
          <w:noProof/>
          <w:color w:val="000000" w:themeColor="text1"/>
        </w:rPr>
        <w:t>Algeria</w:t>
      </w:r>
      <w:r w:rsidR="00094767" w:rsidRPr="7075FCB8">
        <w:rPr>
          <w:rFonts w:eastAsia="Arial Unicode MS"/>
          <w:noProof/>
          <w:color w:val="000000" w:themeColor="text1"/>
        </w:rPr>
        <w:t xml:space="preserve"> </w:t>
      </w:r>
      <w:bookmarkEnd w:id="3"/>
      <w:r w:rsidR="00094767" w:rsidRPr="7075FCB8">
        <w:rPr>
          <w:rFonts w:eastAsia="Arial Unicode MS"/>
          <w:noProof/>
          <w:color w:val="000000" w:themeColor="text1"/>
        </w:rPr>
        <w:t xml:space="preserve">have notified each other that the respective </w:t>
      </w:r>
      <w:r w:rsidRPr="7075FCB8">
        <w:rPr>
          <w:rFonts w:eastAsia="Arial Unicode MS"/>
          <w:noProof/>
          <w:color w:val="000000" w:themeColor="text1"/>
        </w:rPr>
        <w:t xml:space="preserve">procedures have been completed. </w:t>
      </w:r>
    </w:p>
    <w:p w:rsidR="00C11FA9" w:rsidRPr="00044058" w:rsidRDefault="5090BB18" w:rsidP="005B49ED">
      <w:pPr>
        <w:pBdr>
          <w:top w:val="nil"/>
          <w:left w:val="nil"/>
          <w:bottom w:val="nil"/>
          <w:right w:val="nil"/>
          <w:between w:val="nil"/>
          <w:bar w:val="nil"/>
        </w:pBdr>
        <w:spacing w:before="0" w:after="240"/>
        <w:rPr>
          <w:rFonts w:eastAsia="Arial Unicode MS"/>
          <w:noProof/>
        </w:rPr>
      </w:pPr>
      <w:r w:rsidRPr="181C8758">
        <w:rPr>
          <w:rFonts w:eastAsia="Arial Unicode MS"/>
          <w:noProof/>
          <w:color w:val="000000" w:themeColor="text1"/>
        </w:rPr>
        <w:t xml:space="preserve">With regard to monitoring, the European Union and </w:t>
      </w:r>
      <w:r w:rsidR="00B842CE">
        <w:rPr>
          <w:rFonts w:eastAsia="Arial Unicode MS"/>
          <w:noProof/>
          <w:color w:val="000000" w:themeColor="text1"/>
        </w:rPr>
        <w:t>Algeria</w:t>
      </w:r>
      <w:r w:rsidR="00257774" w:rsidRPr="7075FCB8">
        <w:rPr>
          <w:rFonts w:eastAsia="Arial Unicode MS"/>
          <w:noProof/>
          <w:color w:val="000000" w:themeColor="text1"/>
        </w:rPr>
        <w:t xml:space="preserve"> </w:t>
      </w:r>
      <w:r w:rsidRPr="181C8758">
        <w:rPr>
          <w:rFonts w:eastAsia="Arial Unicode MS"/>
          <w:noProof/>
          <w:color w:val="000000" w:themeColor="text1"/>
        </w:rPr>
        <w:t xml:space="preserve">shall jointly review the implementation of the Agreement one year after its entry into </w:t>
      </w:r>
      <w:r w:rsidR="00507011">
        <w:rPr>
          <w:rFonts w:eastAsia="Arial Unicode MS"/>
          <w:noProof/>
          <w:color w:val="000000" w:themeColor="text1"/>
        </w:rPr>
        <w:t>application</w:t>
      </w:r>
      <w:r w:rsidRPr="181C8758">
        <w:rPr>
          <w:rFonts w:eastAsia="Arial Unicode MS"/>
          <w:noProof/>
          <w:color w:val="000000" w:themeColor="text1"/>
        </w:rPr>
        <w:t xml:space="preserve">, and at regular intervals thereafter, and additionally if requested by either </w:t>
      </w:r>
      <w:r w:rsidR="03FFA901" w:rsidRPr="181C8758">
        <w:rPr>
          <w:rFonts w:eastAsia="Arial Unicode MS"/>
          <w:noProof/>
          <w:color w:val="000000" w:themeColor="text1"/>
        </w:rPr>
        <w:t>P</w:t>
      </w:r>
      <w:r w:rsidRPr="181C8758">
        <w:rPr>
          <w:rFonts w:eastAsia="Arial Unicode MS"/>
          <w:noProof/>
          <w:color w:val="000000" w:themeColor="text1"/>
        </w:rPr>
        <w:t>arty and jointly decided</w:t>
      </w:r>
      <w:r w:rsidRPr="181C8758">
        <w:rPr>
          <w:rFonts w:eastAsia="Arial Unicode MS"/>
          <w:noProof/>
          <w:color w:val="0000FF"/>
        </w:rPr>
        <w:t>.</w:t>
      </w:r>
      <w:r w:rsidR="00507011" w:rsidRPr="00507011">
        <w:rPr>
          <w:rFonts w:eastAsia="Arial Unicode MS"/>
          <w:noProof/>
        </w:rPr>
        <w:t xml:space="preserve"> </w:t>
      </w:r>
    </w:p>
    <w:p w:rsidR="00C11FA9" w:rsidRDefault="00C11FA9" w:rsidP="00A52F19">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2B2460" w:rsidRPr="00796CE7" w:rsidRDefault="002B2460" w:rsidP="002B2460">
      <w:pPr>
        <w:rPr>
          <w:noProof/>
        </w:rPr>
      </w:pPr>
      <w:r w:rsidRPr="00796CE7">
        <w:rPr>
          <w:noProof/>
        </w:rPr>
        <w:t>Article 1 includes the definitions of important terms of the Agreement.</w:t>
      </w:r>
    </w:p>
    <w:p w:rsidR="002B2460" w:rsidRPr="00796CE7" w:rsidRDefault="002B2460" w:rsidP="002B2460">
      <w:pPr>
        <w:rPr>
          <w:noProof/>
        </w:rPr>
      </w:pPr>
      <w:r w:rsidRPr="00796CE7">
        <w:rPr>
          <w:noProof/>
        </w:rPr>
        <w:t xml:space="preserve">Article 2 defines the </w:t>
      </w:r>
      <w:r>
        <w:rPr>
          <w:noProof/>
        </w:rPr>
        <w:t>objectives</w:t>
      </w:r>
      <w:r w:rsidRPr="00796CE7">
        <w:rPr>
          <w:noProof/>
        </w:rPr>
        <w:t xml:space="preserve"> of the </w:t>
      </w:r>
      <w:r>
        <w:rPr>
          <w:noProof/>
        </w:rPr>
        <w:t>Agreement</w:t>
      </w:r>
      <w:r w:rsidRPr="00796CE7">
        <w:rPr>
          <w:noProof/>
        </w:rPr>
        <w:t>.</w:t>
      </w:r>
    </w:p>
    <w:p w:rsidR="002B2460" w:rsidRPr="00796CE7" w:rsidRDefault="002B2460" w:rsidP="002B2460">
      <w:pPr>
        <w:rPr>
          <w:noProof/>
        </w:rPr>
      </w:pPr>
      <w:r w:rsidRPr="00796CE7">
        <w:rPr>
          <w:noProof/>
        </w:rPr>
        <w:t xml:space="preserve">Article 3 </w:t>
      </w:r>
      <w:r>
        <w:rPr>
          <w:noProof/>
        </w:rPr>
        <w:t>defines the scope</w:t>
      </w:r>
      <w:r w:rsidRPr="00796CE7">
        <w:rPr>
          <w:noProof/>
        </w:rPr>
        <w:t xml:space="preserve"> of the Agreement.</w:t>
      </w:r>
    </w:p>
    <w:p w:rsidR="002B2460" w:rsidRPr="00796CE7" w:rsidRDefault="002B2460" w:rsidP="002B2460">
      <w:pPr>
        <w:rPr>
          <w:noProof/>
        </w:rPr>
      </w:pPr>
      <w:r w:rsidRPr="00796CE7">
        <w:rPr>
          <w:noProof/>
        </w:rPr>
        <w:t>Article 4 establishe</w:t>
      </w:r>
      <w:r>
        <w:rPr>
          <w:noProof/>
        </w:rPr>
        <w:t>s</w:t>
      </w:r>
      <w:r w:rsidRPr="00796CE7">
        <w:rPr>
          <w:noProof/>
        </w:rPr>
        <w:t xml:space="preserve"> the obligation of </w:t>
      </w:r>
      <w:r>
        <w:rPr>
          <w:noProof/>
        </w:rPr>
        <w:t>Algeria</w:t>
      </w:r>
      <w:r w:rsidRPr="00796CE7">
        <w:rPr>
          <w:noProof/>
        </w:rPr>
        <w:t xml:space="preserve"> to </w:t>
      </w:r>
      <w:r w:rsidRPr="00EE347C">
        <w:rPr>
          <w:noProof/>
        </w:rPr>
        <w:t>designate at least one contact point within its domestic competent authorities, who cannot be identical to the Liaison Prosecutor. A contact point shall be d</w:t>
      </w:r>
      <w:r>
        <w:rPr>
          <w:noProof/>
        </w:rPr>
        <w:t>esignated also for terrorism matters</w:t>
      </w:r>
      <w:r w:rsidRPr="00796CE7">
        <w:rPr>
          <w:noProof/>
        </w:rPr>
        <w:t>.</w:t>
      </w:r>
      <w:r>
        <w:rPr>
          <w:noProof/>
        </w:rPr>
        <w:t xml:space="preserve"> </w:t>
      </w:r>
    </w:p>
    <w:p w:rsidR="002B2460" w:rsidRPr="00F86F0E" w:rsidRDefault="002B2460" w:rsidP="002B2460">
      <w:pPr>
        <w:rPr>
          <w:noProof/>
          <w:lang w:val="en-US"/>
        </w:rPr>
      </w:pPr>
      <w:r w:rsidRPr="00796CE7">
        <w:rPr>
          <w:noProof/>
        </w:rPr>
        <w:t xml:space="preserve">Article 5 provides for the secondment of the Liaison Prosecutor to Eurojust. </w:t>
      </w:r>
    </w:p>
    <w:p w:rsidR="002B2460" w:rsidRPr="00796CE7" w:rsidRDefault="002B2460" w:rsidP="002B2460">
      <w:pPr>
        <w:rPr>
          <w:noProof/>
        </w:rPr>
      </w:pPr>
      <w:r w:rsidRPr="00796CE7">
        <w:rPr>
          <w:noProof/>
        </w:rPr>
        <w:t xml:space="preserve">Article 6 provides for the conditions for the participation of </w:t>
      </w:r>
      <w:r>
        <w:rPr>
          <w:noProof/>
        </w:rPr>
        <w:t xml:space="preserve">the Liaison Prosecutor and </w:t>
      </w:r>
      <w:r w:rsidRPr="00796CE7">
        <w:rPr>
          <w:noProof/>
        </w:rPr>
        <w:t xml:space="preserve">representatives of </w:t>
      </w:r>
      <w:r>
        <w:rPr>
          <w:noProof/>
        </w:rPr>
        <w:t>Algeria</w:t>
      </w:r>
      <w:r w:rsidRPr="00796CE7">
        <w:rPr>
          <w:noProof/>
        </w:rPr>
        <w:t xml:space="preserve"> in operational and strategic meetings at Eurojust. </w:t>
      </w:r>
    </w:p>
    <w:p w:rsidR="002B2460" w:rsidRPr="00796CE7" w:rsidRDefault="002B2460" w:rsidP="002B2460">
      <w:pPr>
        <w:rPr>
          <w:noProof/>
        </w:rPr>
      </w:pPr>
      <w:r w:rsidRPr="00796CE7">
        <w:rPr>
          <w:noProof/>
        </w:rPr>
        <w:t xml:space="preserve">Article 7 provides for the option of Eurojust to post a Liaison Magistrate to </w:t>
      </w:r>
      <w:r>
        <w:rPr>
          <w:noProof/>
        </w:rPr>
        <w:t>Algeria</w:t>
      </w:r>
      <w:r w:rsidRPr="00796CE7">
        <w:rPr>
          <w:noProof/>
        </w:rPr>
        <w:t>.</w:t>
      </w:r>
    </w:p>
    <w:p w:rsidR="002B2460" w:rsidRPr="00796CE7" w:rsidRDefault="002B2460" w:rsidP="002B2460">
      <w:pPr>
        <w:rPr>
          <w:noProof/>
        </w:rPr>
      </w:pPr>
      <w:r w:rsidRPr="00796CE7">
        <w:rPr>
          <w:noProof/>
        </w:rPr>
        <w:t xml:space="preserve">Article 8 provides that Eurojust may assist </w:t>
      </w:r>
      <w:r>
        <w:rPr>
          <w:noProof/>
        </w:rPr>
        <w:t>Algeria</w:t>
      </w:r>
      <w:r w:rsidRPr="00796CE7">
        <w:rPr>
          <w:noProof/>
        </w:rPr>
        <w:t xml:space="preserve"> to establish Joint Investigation Teams and may be requested to provide financial or technical assistance</w:t>
      </w:r>
      <w:r>
        <w:rPr>
          <w:noProof/>
        </w:rPr>
        <w:t>.</w:t>
      </w:r>
    </w:p>
    <w:p w:rsidR="002B2460" w:rsidRPr="00796CE7" w:rsidRDefault="002B2460" w:rsidP="002B2460">
      <w:pPr>
        <w:rPr>
          <w:noProof/>
        </w:rPr>
      </w:pPr>
      <w:r>
        <w:rPr>
          <w:noProof/>
        </w:rPr>
        <w:t xml:space="preserve">Article 9 sets out the purposes of data processing under the Agreement. </w:t>
      </w:r>
    </w:p>
    <w:p w:rsidR="002B2460" w:rsidRPr="00796CE7" w:rsidRDefault="002B2460" w:rsidP="002B2460">
      <w:pPr>
        <w:rPr>
          <w:noProof/>
        </w:rPr>
      </w:pPr>
      <w:r>
        <w:rPr>
          <w:noProof/>
        </w:rPr>
        <w:t>Article 10 lists the general data protection principles applicable under the Agreement</w:t>
      </w:r>
      <w:r w:rsidR="1DC78F61">
        <w:rPr>
          <w:noProof/>
        </w:rPr>
        <w:t xml:space="preserve"> and enshrines the prohibition to use data transferred under the agreement in relation to death penalty or human rights violations. </w:t>
      </w:r>
    </w:p>
    <w:p w:rsidR="002B2460" w:rsidRPr="00796CE7" w:rsidRDefault="002B2460" w:rsidP="002B2460">
      <w:pPr>
        <w:rPr>
          <w:noProof/>
        </w:rPr>
      </w:pPr>
      <w:r>
        <w:rPr>
          <w:noProof/>
        </w:rPr>
        <w:t xml:space="preserve">Article 11 guarantees additional safeguards for the processing of special categories of personal data and different categories of data subjects. </w:t>
      </w:r>
    </w:p>
    <w:p w:rsidR="002B2460" w:rsidRPr="00796CE7" w:rsidRDefault="002B2460" w:rsidP="002B2460">
      <w:pPr>
        <w:rPr>
          <w:noProof/>
        </w:rPr>
      </w:pPr>
      <w:r>
        <w:rPr>
          <w:noProof/>
        </w:rPr>
        <w:lastRenderedPageBreak/>
        <w:t>Article 12 limits fully automated decision-making using personal data transferred under the Agreement.</w:t>
      </w:r>
    </w:p>
    <w:p w:rsidR="002B2460" w:rsidRPr="00D72E34" w:rsidRDefault="002B2460" w:rsidP="002B2460">
      <w:pPr>
        <w:rPr>
          <w:noProof/>
        </w:rPr>
      </w:pPr>
      <w:r>
        <w:rPr>
          <w:noProof/>
        </w:rPr>
        <w:t>Article 13 restricts the onward transfer of the personal data received.</w:t>
      </w:r>
    </w:p>
    <w:p w:rsidR="002B2460" w:rsidRPr="00D72E34" w:rsidRDefault="002B2460" w:rsidP="002B2460">
      <w:pPr>
        <w:rPr>
          <w:noProof/>
        </w:rPr>
      </w:pPr>
      <w:r>
        <w:rPr>
          <w:noProof/>
        </w:rPr>
        <w:t>Article 14 provides for the right of access, including to obtain confirmation on whether personal data relating to the data subject are processed under the Agreement as well as essential information on the processing.</w:t>
      </w:r>
    </w:p>
    <w:p w:rsidR="002B2460" w:rsidRPr="00D72E34" w:rsidRDefault="002B2460" w:rsidP="002B2460">
      <w:pPr>
        <w:rPr>
          <w:noProof/>
        </w:rPr>
      </w:pPr>
      <w:r>
        <w:rPr>
          <w:noProof/>
        </w:rPr>
        <w:t>Article 15 provides for the right to rectification, erasure, and restriction of processing, under certain conditions.</w:t>
      </w:r>
    </w:p>
    <w:p w:rsidR="002B2460" w:rsidRPr="00D72E34" w:rsidRDefault="002B2460" w:rsidP="002B2460">
      <w:pPr>
        <w:rPr>
          <w:noProof/>
        </w:rPr>
      </w:pPr>
      <w:r>
        <w:rPr>
          <w:noProof/>
        </w:rPr>
        <w:t>Article 16 provides for the notification of a personal data breach affecting personal data transferred under the Agreement, ensuring that the respective competent authorities notify each other as well as their respective supervisory authority of such breach without delay, and to take measures to mitigate its possible adverse effects.</w:t>
      </w:r>
    </w:p>
    <w:p w:rsidR="002B2460" w:rsidRPr="00D72E34" w:rsidRDefault="002B2460" w:rsidP="002B2460">
      <w:pPr>
        <w:rPr>
          <w:noProof/>
        </w:rPr>
      </w:pPr>
      <w:r>
        <w:rPr>
          <w:noProof/>
        </w:rPr>
        <w:t xml:space="preserve">Article 17 provides for the communication to the data subject of a personal data breach likely to have a serious effect upon his or her rights and freedoms. </w:t>
      </w:r>
    </w:p>
    <w:p w:rsidR="002B2460" w:rsidRPr="004C67B5" w:rsidRDefault="002B2460" w:rsidP="002B2460">
      <w:pPr>
        <w:rPr>
          <w:noProof/>
        </w:rPr>
      </w:pPr>
      <w:r>
        <w:rPr>
          <w:noProof/>
        </w:rPr>
        <w:t>Article 18 includes rules as regards storage, review, correction and deletion of personal data.</w:t>
      </w:r>
    </w:p>
    <w:p w:rsidR="002B2460" w:rsidRPr="004C67B5" w:rsidRDefault="002B2460" w:rsidP="002B2460">
      <w:pPr>
        <w:rPr>
          <w:noProof/>
        </w:rPr>
      </w:pPr>
      <w:r>
        <w:rPr>
          <w:noProof/>
        </w:rPr>
        <w:t xml:space="preserve">Article 19 requires the keeping of logs of the collection, alteration, access, disclosure including onward transfers, combination and erasure of personal data. </w:t>
      </w:r>
    </w:p>
    <w:p w:rsidR="002B2460" w:rsidRPr="004C67B5" w:rsidRDefault="002B2460" w:rsidP="002B2460">
      <w:pPr>
        <w:rPr>
          <w:noProof/>
        </w:rPr>
      </w:pPr>
      <w:r>
        <w:rPr>
          <w:noProof/>
        </w:rPr>
        <w:t>Article 20 includes obligations regarding data security, ensuring the implementation of technical and organizational measures to protect personal data exchanged under this Agreement.</w:t>
      </w:r>
    </w:p>
    <w:p w:rsidR="002B2460" w:rsidRPr="004C67B5" w:rsidRDefault="002B2460" w:rsidP="002B2460">
      <w:pPr>
        <w:rPr>
          <w:noProof/>
        </w:rPr>
      </w:pPr>
      <w:r>
        <w:rPr>
          <w:noProof/>
        </w:rPr>
        <w:t>Article 21 requires effective supervision and enforcement of compliance with the safeguards set out in the Agreement, ensuring that there is an independent public authority responsible for data protection (supervisory authority) to oversee matters affecting the privacy of individuals, including the domestic rules relevant under the Agreement to protect the fundamental rights and freedoms of natural persons in relation to the processing of personal data.</w:t>
      </w:r>
    </w:p>
    <w:p w:rsidR="002B2460" w:rsidRPr="00F86F0E" w:rsidRDefault="002B2460" w:rsidP="002B2460">
      <w:pPr>
        <w:rPr>
          <w:noProof/>
        </w:rPr>
      </w:pPr>
      <w:r w:rsidRPr="00F86F0E">
        <w:rPr>
          <w:noProof/>
        </w:rPr>
        <w:t xml:space="preserve">Article 22 provides for judicial </w:t>
      </w:r>
      <w:r>
        <w:rPr>
          <w:noProof/>
        </w:rPr>
        <w:t>remedy</w:t>
      </w:r>
      <w:r w:rsidRPr="00F86F0E">
        <w:rPr>
          <w:noProof/>
        </w:rPr>
        <w:t>, ensuring that data subjects have the right to effective judicial redress for violations of the rights and safeguards recognized in the Agreement resulting from the processing of their personal data.</w:t>
      </w:r>
    </w:p>
    <w:p w:rsidR="002B2460" w:rsidRPr="0019600F" w:rsidRDefault="002B2460" w:rsidP="002B2460">
      <w:pPr>
        <w:rPr>
          <w:noProof/>
        </w:rPr>
      </w:pPr>
      <w:r w:rsidRPr="00F86F0E">
        <w:rPr>
          <w:noProof/>
        </w:rPr>
        <w:t xml:space="preserve">Article 23 </w:t>
      </w:r>
      <w:r>
        <w:rPr>
          <w:noProof/>
        </w:rPr>
        <w:t xml:space="preserve">provides for the </w:t>
      </w:r>
      <w:r w:rsidRPr="0019600F">
        <w:rPr>
          <w:noProof/>
        </w:rPr>
        <w:t>publication of contact details and a document setting out safeguards applicable to personal data under the Agreement.</w:t>
      </w:r>
    </w:p>
    <w:p w:rsidR="002B2460" w:rsidRPr="0019600F" w:rsidRDefault="002B2460" w:rsidP="002B2460">
      <w:pPr>
        <w:rPr>
          <w:noProof/>
        </w:rPr>
      </w:pPr>
      <w:r w:rsidRPr="0019600F">
        <w:rPr>
          <w:noProof/>
        </w:rPr>
        <w:t xml:space="preserve">Article 24 provides for the confidentiality of information exchanged between the competent authorities of Algeria and Eurojust. </w:t>
      </w:r>
    </w:p>
    <w:p w:rsidR="002B2460" w:rsidRPr="00F86F0E" w:rsidRDefault="002B2460" w:rsidP="002B2460">
      <w:pPr>
        <w:rPr>
          <w:noProof/>
        </w:rPr>
      </w:pPr>
      <w:r w:rsidRPr="0019600F">
        <w:rPr>
          <w:noProof/>
        </w:rPr>
        <w:t xml:space="preserve">Article 25 provides that the exchange and protection of EU classified and sensitive non-classified information is regulated by a working arrangement on confidentiality concluded between Eurojust and the competent authorities of Algeria. </w:t>
      </w:r>
    </w:p>
    <w:p w:rsidR="002B2460" w:rsidRPr="00475E4B" w:rsidRDefault="002B2460" w:rsidP="002B2460">
      <w:pPr>
        <w:rPr>
          <w:noProof/>
        </w:rPr>
      </w:pPr>
      <w:r w:rsidRPr="002D6B03">
        <w:rPr>
          <w:noProof/>
        </w:rPr>
        <w:t xml:space="preserve">Article 26 provides for the </w:t>
      </w:r>
      <w:r w:rsidRPr="00833EB1">
        <w:rPr>
          <w:noProof/>
        </w:rPr>
        <w:t>responsibility of the competent authorities. E.g. the competent authorities shall be liable for any damage caused to an individual as a result of legal or factual errors in information exchanged.</w:t>
      </w:r>
      <w:r w:rsidRPr="00F86F0E">
        <w:rPr>
          <w:noProof/>
        </w:rPr>
        <w:t xml:space="preserve"> </w:t>
      </w:r>
    </w:p>
    <w:p w:rsidR="002B2460" w:rsidRDefault="002B2460" w:rsidP="002B2460">
      <w:pPr>
        <w:rPr>
          <w:noProof/>
        </w:rPr>
      </w:pPr>
      <w:r w:rsidRPr="00454A6F">
        <w:rPr>
          <w:noProof/>
        </w:rPr>
        <w:t>Article 27 p</w:t>
      </w:r>
      <w:r w:rsidRPr="00833EB1">
        <w:rPr>
          <w:noProof/>
        </w:rPr>
        <w:t>rovides that, in principle, each Party shall bear its own expenses associated with the implementation of this Agreement.</w:t>
      </w:r>
    </w:p>
    <w:p w:rsidR="002B2460" w:rsidRPr="0019600F" w:rsidRDefault="002B2460" w:rsidP="002B2460">
      <w:pPr>
        <w:rPr>
          <w:noProof/>
        </w:rPr>
      </w:pPr>
      <w:r w:rsidRPr="0019600F">
        <w:rPr>
          <w:noProof/>
        </w:rPr>
        <w:t xml:space="preserve">Article 28 provides for the conclusion of </w:t>
      </w:r>
      <w:r w:rsidR="00C508EB">
        <w:rPr>
          <w:noProof/>
        </w:rPr>
        <w:t xml:space="preserve">a </w:t>
      </w:r>
      <w:r w:rsidR="00F56B91">
        <w:rPr>
          <w:noProof/>
        </w:rPr>
        <w:t xml:space="preserve">implementing </w:t>
      </w:r>
      <w:r w:rsidRPr="0019600F">
        <w:rPr>
          <w:noProof/>
        </w:rPr>
        <w:t>working agreements</w:t>
      </w:r>
      <w:r w:rsidR="00D32A69">
        <w:rPr>
          <w:noProof/>
        </w:rPr>
        <w:t xml:space="preserve"> between Eurojust</w:t>
      </w:r>
      <w:r w:rsidR="00F56B91">
        <w:rPr>
          <w:noProof/>
        </w:rPr>
        <w:t xml:space="preserve"> and the Ministry of Justice of Algeria.</w:t>
      </w:r>
      <w:r w:rsidRPr="0019600F">
        <w:rPr>
          <w:noProof/>
        </w:rPr>
        <w:t xml:space="preserve"> </w:t>
      </w:r>
    </w:p>
    <w:p w:rsidR="002B2460" w:rsidRPr="0019600F" w:rsidRDefault="002B2460" w:rsidP="002B2460">
      <w:pPr>
        <w:rPr>
          <w:noProof/>
        </w:rPr>
      </w:pPr>
      <w:r w:rsidRPr="0019600F">
        <w:rPr>
          <w:noProof/>
        </w:rPr>
        <w:lastRenderedPageBreak/>
        <w:t>Article 29 provides for notifications of measures prior to the implementation of the Agreement.</w:t>
      </w:r>
    </w:p>
    <w:p w:rsidR="002B2460" w:rsidRPr="0019600F" w:rsidRDefault="002B2460" w:rsidP="002B2460">
      <w:pPr>
        <w:rPr>
          <w:noProof/>
        </w:rPr>
      </w:pPr>
      <w:r w:rsidRPr="0019600F">
        <w:rPr>
          <w:noProof/>
        </w:rPr>
        <w:t xml:space="preserve">Article 30 provides for </w:t>
      </w:r>
      <w:r w:rsidR="00D32A69">
        <w:rPr>
          <w:noProof/>
        </w:rPr>
        <w:t xml:space="preserve">the </w:t>
      </w:r>
      <w:r w:rsidRPr="0019600F">
        <w:rPr>
          <w:noProof/>
        </w:rPr>
        <w:t>notification of the supervisory authority responsible for supervising and ensuring compliance with the implementation of the Agreement.</w:t>
      </w:r>
    </w:p>
    <w:p w:rsidR="002B2460" w:rsidRPr="0019600F" w:rsidRDefault="002B2460" w:rsidP="002B2460">
      <w:pPr>
        <w:rPr>
          <w:noProof/>
        </w:rPr>
      </w:pPr>
      <w:r w:rsidRPr="0019600F">
        <w:rPr>
          <w:noProof/>
        </w:rPr>
        <w:t>Article 31 provides for the entry into force and application of the Agreement.</w:t>
      </w:r>
    </w:p>
    <w:p w:rsidR="002B2460" w:rsidRPr="0019600F" w:rsidRDefault="002B2460" w:rsidP="002B2460">
      <w:pPr>
        <w:rPr>
          <w:noProof/>
        </w:rPr>
      </w:pPr>
      <w:r w:rsidRPr="0019600F">
        <w:rPr>
          <w:noProof/>
        </w:rPr>
        <w:t>Article 32 provides for the way amendments to the Agreement can be made.</w:t>
      </w:r>
    </w:p>
    <w:p w:rsidR="002B2460" w:rsidRPr="0019600F" w:rsidRDefault="002B2460" w:rsidP="002B2460">
      <w:pPr>
        <w:rPr>
          <w:noProof/>
        </w:rPr>
      </w:pPr>
      <w:r w:rsidRPr="0019600F">
        <w:rPr>
          <w:noProof/>
        </w:rPr>
        <w:t>Article 33 provides for review and evaluation of the Agreement.</w:t>
      </w:r>
    </w:p>
    <w:p w:rsidR="002B2460" w:rsidRPr="0019600F" w:rsidRDefault="002B2460" w:rsidP="002B2460">
      <w:pPr>
        <w:rPr>
          <w:noProof/>
        </w:rPr>
      </w:pPr>
      <w:r w:rsidRPr="0019600F">
        <w:rPr>
          <w:noProof/>
        </w:rPr>
        <w:t xml:space="preserve">Article 34 provides for a dispute settlement mechanism and the conditions for a suspension of the Agreement. </w:t>
      </w:r>
    </w:p>
    <w:p w:rsidR="005C0502" w:rsidRDefault="002B2460" w:rsidP="002B2460">
      <w:pPr>
        <w:jc w:val="left"/>
        <w:rPr>
          <w:noProof/>
        </w:rPr>
      </w:pPr>
      <w:r w:rsidRPr="0019600F">
        <w:rPr>
          <w:noProof/>
        </w:rPr>
        <w:t>Article 35 provides for the conditions of the termination of the Agreement.</w:t>
      </w:r>
    </w:p>
    <w:p w:rsidR="005C0502" w:rsidRPr="0019600F" w:rsidRDefault="002B2460" w:rsidP="002B2460">
      <w:pPr>
        <w:jc w:val="left"/>
        <w:rPr>
          <w:noProof/>
        </w:rPr>
      </w:pPr>
      <w:r w:rsidRPr="0019600F">
        <w:rPr>
          <w:noProof/>
        </w:rPr>
        <w:t>Article 36 provides for the way in which notifications under the Agreement are to be made.</w:t>
      </w:r>
    </w:p>
    <w:p w:rsidR="002B2460" w:rsidRDefault="002B2460" w:rsidP="006D50F8">
      <w:pPr>
        <w:jc w:val="left"/>
        <w:rPr>
          <w:noProof/>
        </w:rPr>
      </w:pPr>
      <w:r w:rsidRPr="0019600F">
        <w:rPr>
          <w:noProof/>
        </w:rPr>
        <w:t xml:space="preserve">Article 37 provides for the </w:t>
      </w:r>
      <w:r w:rsidRPr="00833EB1">
        <w:rPr>
          <w:noProof/>
        </w:rPr>
        <w:t>relation with other international instruments, ensuring that the Agreement will not prejudice or affect the legal provisions relating to judicial cooperation foreseen in any treaty, agreement, or arrangement between Algeria and any Member State of the European</w:t>
      </w:r>
      <w:r w:rsidR="00927FA0">
        <w:rPr>
          <w:noProof/>
        </w:rPr>
        <w:t xml:space="preserve"> Union</w:t>
      </w:r>
      <w:r>
        <w:rPr>
          <w:noProof/>
        </w:rPr>
        <w:t>.</w:t>
      </w:r>
    </w:p>
    <w:p w:rsidR="00CF725E" w:rsidRDefault="00CF725E" w:rsidP="00CF725E">
      <w:pPr>
        <w:rPr>
          <w:noProof/>
        </w:rPr>
      </w:pPr>
      <w:r>
        <w:rPr>
          <w:noProof/>
        </w:rPr>
        <w:t>A final sentence refers to the authentic text</w:t>
      </w:r>
      <w:r w:rsidR="00487B58">
        <w:rPr>
          <w:noProof/>
        </w:rPr>
        <w:t>s</w:t>
      </w:r>
      <w:r>
        <w:rPr>
          <w:noProof/>
        </w:rPr>
        <w:t>.</w:t>
      </w:r>
    </w:p>
    <w:p w:rsidR="008B63FB" w:rsidRDefault="008B63FB" w:rsidP="00CF725E">
      <w:pPr>
        <w:rPr>
          <w:noProof/>
        </w:rPr>
      </w:pPr>
    </w:p>
    <w:p w:rsidR="000E3F48" w:rsidRPr="005E7699" w:rsidRDefault="000E3F48" w:rsidP="000E3F48">
      <w:pPr>
        <w:pStyle w:val="ManualHeading2"/>
        <w:rPr>
          <w:rFonts w:eastAsia="Arial Unicode MS"/>
          <w:noProof/>
          <w:u w:color="000000"/>
          <w:bdr w:val="nil"/>
          <w:lang w:val="en-IE" w:eastAsia="en-GB"/>
        </w:rPr>
      </w:pPr>
      <w:bookmarkStart w:id="4" w:name="_Toc216446894"/>
      <w:r w:rsidRPr="005E7699">
        <w:rPr>
          <w:rFonts w:eastAsia="Arial Unicode MS"/>
          <w:noProof/>
          <w:u w:color="000000"/>
          <w:bdr w:val="nil"/>
          <w:lang w:val="en-IE" w:eastAsia="en-GB"/>
        </w:rPr>
        <w:t>•</w:t>
      </w:r>
      <w:r w:rsidRPr="005E7699">
        <w:rPr>
          <w:rFonts w:eastAsia="Arial Unicode MS"/>
          <w:noProof/>
          <w:u w:color="000000"/>
          <w:bdr w:val="nil"/>
          <w:lang w:val="en-IE" w:eastAsia="en-GB"/>
        </w:rPr>
        <w:tab/>
        <w:t>Text of the Agreement and notifications</w:t>
      </w:r>
      <w:bookmarkEnd w:id="4"/>
    </w:p>
    <w:p w:rsidR="000E3F48" w:rsidRPr="005E7699" w:rsidRDefault="000E3F48" w:rsidP="000E3F48">
      <w:pPr>
        <w:rPr>
          <w:noProof/>
          <w:szCs w:val="24"/>
        </w:rPr>
      </w:pPr>
      <w:r w:rsidRPr="005E7699">
        <w:rPr>
          <w:noProof/>
          <w:szCs w:val="24"/>
        </w:rPr>
        <w:t>The text of the Agreement is submitted to the Council together with this proposal</w:t>
      </w:r>
      <w:r>
        <w:rPr>
          <w:noProof/>
          <w:szCs w:val="24"/>
        </w:rPr>
        <w:t>.</w:t>
      </w:r>
    </w:p>
    <w:p w:rsidR="000E3F48" w:rsidRDefault="000E3F48" w:rsidP="000E3F48">
      <w:pPr>
        <w:rPr>
          <w:noProof/>
          <w:szCs w:val="24"/>
        </w:rPr>
      </w:pPr>
      <w:r w:rsidRPr="005E7699">
        <w:rPr>
          <w:noProof/>
          <w:szCs w:val="24"/>
        </w:rPr>
        <w:t xml:space="preserve">In accordance with the Treaties, it is for the Commission to proceed to make the notification provided for in Article </w:t>
      </w:r>
      <w:r>
        <w:rPr>
          <w:noProof/>
          <w:szCs w:val="24"/>
        </w:rPr>
        <w:t>31(2)</w:t>
      </w:r>
      <w:r w:rsidRPr="005E7699">
        <w:rPr>
          <w:noProof/>
          <w:szCs w:val="24"/>
        </w:rPr>
        <w:t xml:space="preserve"> of the Agreement, in order to express the consent of the Union to be bound by the Agreement. </w:t>
      </w:r>
    </w:p>
    <w:p w:rsidR="000E3F48" w:rsidRPr="005E7699" w:rsidRDefault="000E3F48" w:rsidP="000E3F48">
      <w:pPr>
        <w:rPr>
          <w:noProof/>
          <w:szCs w:val="24"/>
        </w:rPr>
      </w:pPr>
      <w:r w:rsidRPr="005E7699">
        <w:rPr>
          <w:noProof/>
          <w:szCs w:val="24"/>
        </w:rPr>
        <w:t xml:space="preserve">In accordance with the Treaties, it is also for the Commission make the notifications provided for in Article </w:t>
      </w:r>
      <w:r>
        <w:rPr>
          <w:noProof/>
          <w:szCs w:val="24"/>
        </w:rPr>
        <w:t>31(3)</w:t>
      </w:r>
      <w:r w:rsidRPr="005E7699">
        <w:rPr>
          <w:noProof/>
          <w:szCs w:val="24"/>
        </w:rPr>
        <w:t xml:space="preserve"> of the Agreement.</w:t>
      </w:r>
    </w:p>
    <w:p w:rsidR="000E3F48" w:rsidRPr="005E7699" w:rsidRDefault="000E3F48" w:rsidP="000E3F48">
      <w:pPr>
        <w:rPr>
          <w:noProof/>
          <w:szCs w:val="24"/>
        </w:rPr>
      </w:pPr>
    </w:p>
    <w:p w:rsidR="00A35074" w:rsidRDefault="00A35074" w:rsidP="006D50F8">
      <w:pPr>
        <w:jc w:val="left"/>
        <w:rPr>
          <w:noProof/>
        </w:rPr>
      </w:pPr>
    </w:p>
    <w:p w:rsidR="007B7DBD" w:rsidRDefault="007B7DBD">
      <w:pPr>
        <w:spacing w:before="0" w:after="200" w:line="276" w:lineRule="auto"/>
        <w:jc w:val="left"/>
        <w:rPr>
          <w:noProof/>
        </w:rPr>
        <w:sectPr w:rsidR="007B7DBD" w:rsidSect="00067D13">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455EE0" w:rsidRDefault="00A94D03">
      <w:pPr>
        <w:pStyle w:val="Rfrenceinterinstitutionnelle"/>
        <w:rPr>
          <w:noProof/>
        </w:rPr>
      </w:pPr>
      <w:r>
        <w:rPr>
          <w:noProof/>
        </w:rPr>
        <w:lastRenderedPageBreak/>
        <w:t>2026/0155 (NLE)</w:t>
      </w:r>
    </w:p>
    <w:p w:rsidR="00C11FA9" w:rsidRPr="002B2460" w:rsidRDefault="003B3B96" w:rsidP="003B3B96">
      <w:pPr>
        <w:pStyle w:val="Statut"/>
        <w:rPr>
          <w:noProof/>
        </w:rPr>
      </w:pPr>
      <w:r w:rsidRPr="003B3B96">
        <w:rPr>
          <w:noProof/>
        </w:rPr>
        <w:t>Proposal for a</w:t>
      </w:r>
    </w:p>
    <w:p w:rsidR="00C11FA9" w:rsidRPr="00FD40BA" w:rsidRDefault="003B3B96" w:rsidP="003B3B96">
      <w:pPr>
        <w:pStyle w:val="Typedudocument"/>
        <w:rPr>
          <w:noProof/>
        </w:rPr>
      </w:pPr>
      <w:r w:rsidRPr="003B3B96">
        <w:rPr>
          <w:noProof/>
        </w:rPr>
        <w:t>COUNCIL DECISION</w:t>
      </w:r>
    </w:p>
    <w:p w:rsidR="00C11FA9" w:rsidRPr="00FD40BA" w:rsidRDefault="003B3B96" w:rsidP="003B3B96">
      <w:pPr>
        <w:pStyle w:val="Titreobjet"/>
        <w:rPr>
          <w:noProof/>
        </w:rPr>
      </w:pPr>
      <w:r w:rsidRPr="003B3B96">
        <w:rPr>
          <w:noProof/>
        </w:rPr>
        <w:t>on the conclusion of an Agreement between the European Union and the People’s Democratic Republic of Algeria on the cooperation between the European Union Agency for Criminal Justice Cooperation (Eurojust) and the authorities of the People’s Democratic Republic of Algeria competent for judicial cooperation in criminal matters</w:t>
      </w:r>
    </w:p>
    <w:p w:rsidR="00C11FA9" w:rsidRPr="00FD40BA" w:rsidRDefault="00C11FA9" w:rsidP="00A52F19">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C11FA9" w:rsidRPr="008860A7" w:rsidRDefault="00C11FA9" w:rsidP="00A52F19">
      <w:pPr>
        <w:rPr>
          <w:noProof/>
        </w:rPr>
      </w:pPr>
      <w:r w:rsidRPr="008860A7">
        <w:rPr>
          <w:noProof/>
        </w:rPr>
        <w:t xml:space="preserve">Having regard to the Treaty on the Functioning of the European Union, and in particular Article </w:t>
      </w:r>
      <w:r w:rsidR="006920B6" w:rsidRPr="00C11E78">
        <w:rPr>
          <w:noProof/>
        </w:rPr>
        <w:t>16(2)</w:t>
      </w:r>
      <w:r w:rsidR="00DE528F">
        <w:rPr>
          <w:noProof/>
        </w:rPr>
        <w:t xml:space="preserve"> and</w:t>
      </w:r>
      <w:r w:rsidR="006920B6" w:rsidRPr="00C11E78">
        <w:rPr>
          <w:noProof/>
        </w:rPr>
        <w:t xml:space="preserve"> Article 85 in conjunction with Article 218(</w:t>
      </w:r>
      <w:r w:rsidR="00A947E3">
        <w:rPr>
          <w:noProof/>
        </w:rPr>
        <w:t>6</w:t>
      </w:r>
      <w:r w:rsidR="006920B6" w:rsidRPr="00C11E78">
        <w:rPr>
          <w:noProof/>
        </w:rPr>
        <w:t>)</w:t>
      </w:r>
      <w:r w:rsidR="008344D7" w:rsidRPr="008344D7">
        <w:rPr>
          <w:noProof/>
        </w:rPr>
        <w:t xml:space="preserve">, </w:t>
      </w:r>
      <w:r w:rsidR="00A13D02">
        <w:rPr>
          <w:noProof/>
        </w:rPr>
        <w:t xml:space="preserve">second subparagraph, </w:t>
      </w:r>
      <w:r w:rsidR="008344D7" w:rsidRPr="008344D7">
        <w:rPr>
          <w:noProof/>
        </w:rPr>
        <w:t>point (a)</w:t>
      </w:r>
      <w:r w:rsidR="00A13D02">
        <w:rPr>
          <w:noProof/>
        </w:rPr>
        <w:t>(v)</w:t>
      </w:r>
      <w:r w:rsidR="008344D7" w:rsidRPr="008344D7">
        <w:rPr>
          <w:noProof/>
        </w:rPr>
        <w:t>, and Article 218(7)</w:t>
      </w:r>
      <w:r w:rsidR="00205041" w:rsidRPr="00C11E78">
        <w:rPr>
          <w:noProof/>
        </w:rPr>
        <w:t xml:space="preserve"> </w:t>
      </w:r>
      <w:r w:rsidRPr="008860A7">
        <w:rPr>
          <w:noProof/>
        </w:rPr>
        <w:t>thereof,</w:t>
      </w:r>
    </w:p>
    <w:p w:rsidR="00C11FA9" w:rsidRDefault="00C11FA9" w:rsidP="00A52F19">
      <w:pPr>
        <w:rPr>
          <w:noProof/>
        </w:rPr>
      </w:pPr>
      <w:r w:rsidRPr="008860A7">
        <w:rPr>
          <w:noProof/>
        </w:rPr>
        <w:t>Having regard to the proposal from the European Commission,</w:t>
      </w:r>
    </w:p>
    <w:p w:rsidR="00A13D02" w:rsidRPr="008860A7" w:rsidRDefault="00A13D02" w:rsidP="00A52F19">
      <w:pPr>
        <w:rPr>
          <w:noProof/>
        </w:rPr>
      </w:pPr>
      <w:r>
        <w:rPr>
          <w:noProof/>
        </w:rPr>
        <w:t>Having regard to the consent of the European Parliament</w:t>
      </w:r>
      <w:r w:rsidR="002247A2">
        <w:rPr>
          <w:rStyle w:val="FootnoteReference"/>
          <w:noProof/>
        </w:rPr>
        <w:footnoteReference w:id="12"/>
      </w:r>
      <w:r>
        <w:rPr>
          <w:noProof/>
        </w:rPr>
        <w:t>,</w:t>
      </w:r>
    </w:p>
    <w:p w:rsidR="00C11FA9" w:rsidRPr="008860A7" w:rsidRDefault="00C11FA9" w:rsidP="00A52F19">
      <w:pPr>
        <w:rPr>
          <w:noProof/>
        </w:rPr>
      </w:pPr>
      <w:r w:rsidRPr="008860A7">
        <w:rPr>
          <w:noProof/>
        </w:rPr>
        <w:t>Whereas:</w:t>
      </w:r>
    </w:p>
    <w:p w:rsidR="008860A7" w:rsidRPr="008860A7" w:rsidRDefault="00A13D02" w:rsidP="00D75E99">
      <w:pPr>
        <w:pStyle w:val="ManualConsidrant"/>
        <w:rPr>
          <w:noProof/>
        </w:rPr>
      </w:pPr>
      <w:r>
        <w:rPr>
          <w:noProof/>
        </w:rPr>
        <w:t>(1)</w:t>
      </w:r>
      <w:r>
        <w:rPr>
          <w:noProof/>
        </w:rPr>
        <w:tab/>
        <w:t>Article</w:t>
      </w:r>
      <w:r w:rsidR="00E531AB">
        <w:rPr>
          <w:noProof/>
        </w:rPr>
        <w:t>s</w:t>
      </w:r>
      <w:r>
        <w:rPr>
          <w:noProof/>
        </w:rPr>
        <w:t xml:space="preserve"> 47 and 52 of </w:t>
      </w:r>
      <w:r w:rsidR="00370A6C" w:rsidRPr="008860A7">
        <w:rPr>
          <w:noProof/>
        </w:rPr>
        <w:t>Regulation (EU) 2018/1727 of the European Parliament and of the Council</w:t>
      </w:r>
      <w:r w:rsidR="00370A6C" w:rsidRPr="008860A7">
        <w:rPr>
          <w:rStyle w:val="FootnoteReference"/>
          <w:noProof/>
        </w:rPr>
        <w:footnoteReference w:id="13"/>
      </w:r>
      <w:r w:rsidR="00370A6C">
        <w:rPr>
          <w:noProof/>
        </w:rPr>
        <w:t xml:space="preserve"> provide that Eurojust may establish and maintain cooperation with authorities of third countries based on a cooperation strategy. </w:t>
      </w:r>
    </w:p>
    <w:p w:rsidR="009F5368" w:rsidRPr="009F5368" w:rsidRDefault="009F5368" w:rsidP="009F5368">
      <w:pPr>
        <w:pStyle w:val="ManualConsidrant"/>
        <w:rPr>
          <w:noProof/>
        </w:rPr>
      </w:pPr>
      <w:r>
        <w:rPr>
          <w:noProof/>
        </w:rPr>
        <w:t>(2)</w:t>
      </w:r>
      <w:r>
        <w:rPr>
          <w:noProof/>
        </w:rPr>
        <w:tab/>
      </w:r>
      <w:r w:rsidRPr="009F5368">
        <w:rPr>
          <w:noProof/>
        </w:rPr>
        <w:t>Pursuant to Article 56(2)(c) of Regulation (EU) 2018/1727, Eurojust may transfer personal data to an authority of a third country</w:t>
      </w:r>
      <w:r w:rsidR="00B31D3D">
        <w:rPr>
          <w:noProof/>
        </w:rPr>
        <w:t>,</w:t>
      </w:r>
      <w:r w:rsidRPr="009F5368">
        <w:rPr>
          <w:noProof/>
        </w:rPr>
        <w:t xml:space="preserve"> </w:t>
      </w:r>
      <w:r w:rsidRPr="00FE311E">
        <w:rPr>
          <w:i/>
          <w:iCs/>
          <w:noProof/>
        </w:rPr>
        <w:t>inter alia</w:t>
      </w:r>
      <w:r w:rsidRPr="009F5368">
        <w:rPr>
          <w:noProof/>
        </w:rPr>
        <w:t xml:space="preserve"> </w:t>
      </w:r>
      <w:r w:rsidR="00B31D3D">
        <w:rPr>
          <w:noProof/>
        </w:rPr>
        <w:t xml:space="preserve">based on </w:t>
      </w:r>
      <w:r w:rsidRPr="009F5368">
        <w:rPr>
          <w:noProof/>
        </w:rPr>
        <w:t xml:space="preserve">an international agreement </w:t>
      </w:r>
      <w:r w:rsidR="00B31D3D">
        <w:rPr>
          <w:noProof/>
        </w:rPr>
        <w:t xml:space="preserve"> </w:t>
      </w:r>
      <w:r w:rsidRPr="009F5368">
        <w:rPr>
          <w:noProof/>
        </w:rPr>
        <w:t>between the Union and that third country pursuant to Article 218 of the Treaty on the Functioning of the European Union (TFEU), that provides for adequate safeguards with respect to the protection of privacy and fundamental rights and freedoms of individuals.</w:t>
      </w:r>
    </w:p>
    <w:p w:rsidR="00833346" w:rsidRDefault="00833346" w:rsidP="00C11FA9">
      <w:pPr>
        <w:pStyle w:val="ManualConsidrant"/>
        <w:rPr>
          <w:noProof/>
        </w:rPr>
      </w:pPr>
      <w:r>
        <w:rPr>
          <w:noProof/>
        </w:rPr>
        <w:t>(3)</w:t>
      </w:r>
      <w:r>
        <w:rPr>
          <w:noProof/>
        </w:rPr>
        <w:tab/>
        <w:t xml:space="preserve">In accordance with </w:t>
      </w:r>
      <w:r w:rsidRPr="002E5451">
        <w:rPr>
          <w:noProof/>
        </w:rPr>
        <w:t xml:space="preserve">Council Decision (EU) </w:t>
      </w:r>
      <w:r w:rsidR="00A13D02" w:rsidRPr="002E5451">
        <w:rPr>
          <w:noProof/>
        </w:rPr>
        <w:t>[XXXX</w:t>
      </w:r>
      <w:r w:rsidR="00A13D02">
        <w:rPr>
          <w:noProof/>
        </w:rPr>
        <w:t>]</w:t>
      </w:r>
      <w:r w:rsidRPr="000C26C9">
        <w:rPr>
          <w:rStyle w:val="FootnoteReference"/>
          <w:noProof/>
        </w:rPr>
        <w:footnoteReference w:id="14"/>
      </w:r>
      <w:r w:rsidRPr="000C26C9">
        <w:rPr>
          <w:noProof/>
        </w:rPr>
        <w:t>,</w:t>
      </w:r>
      <w:r>
        <w:rPr>
          <w:noProof/>
        </w:rPr>
        <w:t xml:space="preserve"> </w:t>
      </w:r>
      <w:bookmarkStart w:id="5" w:name="_Hlk144899955"/>
      <w:r>
        <w:rPr>
          <w:noProof/>
        </w:rPr>
        <w:t xml:space="preserve">the Agreement between the European Union and </w:t>
      </w:r>
      <w:r w:rsidR="00C81CFF">
        <w:rPr>
          <w:noProof/>
        </w:rPr>
        <w:t>Algeria</w:t>
      </w:r>
      <w:r w:rsidR="005F0E19">
        <w:rPr>
          <w:noProof/>
        </w:rPr>
        <w:t xml:space="preserve"> </w:t>
      </w:r>
      <w:r>
        <w:rPr>
          <w:noProof/>
        </w:rPr>
        <w:t xml:space="preserve">on the </w:t>
      </w:r>
      <w:r w:rsidRPr="00833346">
        <w:rPr>
          <w:noProof/>
        </w:rPr>
        <w:t xml:space="preserve">cooperation between the European Union Agency for Criminal Justice Cooperation (Eurojust) and the authorities </w:t>
      </w:r>
      <w:r w:rsidR="005F0E19" w:rsidRPr="00833346">
        <w:rPr>
          <w:noProof/>
        </w:rPr>
        <w:t xml:space="preserve">of </w:t>
      </w:r>
      <w:r w:rsidR="00C81CFF">
        <w:rPr>
          <w:noProof/>
        </w:rPr>
        <w:t>Algeria</w:t>
      </w:r>
      <w:r w:rsidR="005F0E19" w:rsidRPr="00833346">
        <w:rPr>
          <w:noProof/>
        </w:rPr>
        <w:t xml:space="preserve"> competent </w:t>
      </w:r>
      <w:r w:rsidRPr="00833346">
        <w:rPr>
          <w:noProof/>
        </w:rPr>
        <w:t xml:space="preserve">for judicial cooperation in criminal matters </w:t>
      </w:r>
      <w:bookmarkEnd w:id="5"/>
      <w:r>
        <w:rPr>
          <w:noProof/>
        </w:rPr>
        <w:t>(</w:t>
      </w:r>
      <w:r w:rsidR="00966CFD">
        <w:rPr>
          <w:noProof/>
        </w:rPr>
        <w:t>‘</w:t>
      </w:r>
      <w:r>
        <w:rPr>
          <w:noProof/>
        </w:rPr>
        <w:t xml:space="preserve">the Agreement’) was signed on </w:t>
      </w:r>
      <w:r w:rsidRPr="002E5451">
        <w:rPr>
          <w:noProof/>
        </w:rPr>
        <w:t>[XX.XX.XXXX]</w:t>
      </w:r>
      <w:r w:rsidR="00C2455E" w:rsidRPr="002E5451">
        <w:rPr>
          <w:noProof/>
        </w:rPr>
        <w:t>,</w:t>
      </w:r>
      <w:r>
        <w:rPr>
          <w:noProof/>
        </w:rPr>
        <w:t xml:space="preserve"> subject to its conclusion.</w:t>
      </w:r>
    </w:p>
    <w:p w:rsidR="006920B6" w:rsidRDefault="644839D4" w:rsidP="00C11FA9">
      <w:pPr>
        <w:pStyle w:val="ManualConsidrant"/>
        <w:rPr>
          <w:noProof/>
        </w:rPr>
      </w:pPr>
      <w:r>
        <w:rPr>
          <w:noProof/>
        </w:rPr>
        <w:t>(4)</w:t>
      </w:r>
      <w:r>
        <w:rPr>
          <w:noProof/>
        </w:rPr>
        <w:tab/>
        <w:t>The Agreement enable</w:t>
      </w:r>
      <w:r w:rsidR="00C2455E">
        <w:rPr>
          <w:noProof/>
        </w:rPr>
        <w:t>s</w:t>
      </w:r>
      <w:r>
        <w:rPr>
          <w:noProof/>
        </w:rPr>
        <w:t xml:space="preserve"> the transfer of personal data between Euro</w:t>
      </w:r>
      <w:r w:rsidR="21656315">
        <w:rPr>
          <w:noProof/>
        </w:rPr>
        <w:t>just</w:t>
      </w:r>
      <w:r>
        <w:rPr>
          <w:noProof/>
        </w:rPr>
        <w:t xml:space="preserve"> and the competent authorities</w:t>
      </w:r>
      <w:r w:rsidR="00C2455E">
        <w:rPr>
          <w:noProof/>
        </w:rPr>
        <w:t xml:space="preserve"> of </w:t>
      </w:r>
      <w:r w:rsidR="00605D04">
        <w:rPr>
          <w:rFonts w:eastAsia="Arial Unicode MS"/>
          <w:noProof/>
          <w:color w:val="000000" w:themeColor="text1"/>
        </w:rPr>
        <w:t>Algeria</w:t>
      </w:r>
      <w:r>
        <w:rPr>
          <w:noProof/>
        </w:rPr>
        <w:t xml:space="preserve">, with a view to fighting serious crime and terrorism and protecting the security of the Union and its </w:t>
      </w:r>
      <w:r w:rsidR="0F654D76">
        <w:rPr>
          <w:noProof/>
        </w:rPr>
        <w:t>citizens</w:t>
      </w:r>
      <w:r>
        <w:rPr>
          <w:noProof/>
        </w:rPr>
        <w:t>.</w:t>
      </w:r>
    </w:p>
    <w:p w:rsidR="006920B6" w:rsidRDefault="644839D4" w:rsidP="00C11FA9">
      <w:pPr>
        <w:pStyle w:val="ManualConsidrant"/>
        <w:rPr>
          <w:noProof/>
        </w:rPr>
      </w:pPr>
      <w:r>
        <w:rPr>
          <w:noProof/>
        </w:rPr>
        <w:lastRenderedPageBreak/>
        <w:t>(5)</w:t>
      </w:r>
      <w:r>
        <w:rPr>
          <w:noProof/>
        </w:rPr>
        <w:tab/>
        <w:t xml:space="preserve">The Agreement ensures full respect of </w:t>
      </w:r>
      <w:r w:rsidR="023B299E">
        <w:rPr>
          <w:noProof/>
        </w:rPr>
        <w:t xml:space="preserve">the </w:t>
      </w:r>
      <w:bookmarkStart w:id="6" w:name="_Hlk167285139"/>
      <w:r w:rsidR="006F2A36">
        <w:rPr>
          <w:noProof/>
        </w:rPr>
        <w:t>Charter of F</w:t>
      </w:r>
      <w:bookmarkEnd w:id="6"/>
      <w:r w:rsidR="00833346">
        <w:rPr>
          <w:noProof/>
        </w:rPr>
        <w:t>undament</w:t>
      </w:r>
      <w:r w:rsidR="008344D7">
        <w:rPr>
          <w:noProof/>
        </w:rPr>
        <w:t>al</w:t>
      </w:r>
      <w:r w:rsidR="00833346">
        <w:rPr>
          <w:noProof/>
        </w:rPr>
        <w:t xml:space="preserve"> </w:t>
      </w:r>
      <w:r w:rsidR="006F2A36">
        <w:rPr>
          <w:noProof/>
        </w:rPr>
        <w:t>R</w:t>
      </w:r>
      <w:r w:rsidR="00833346">
        <w:rPr>
          <w:noProof/>
        </w:rPr>
        <w:t>ights</w:t>
      </w:r>
      <w:r>
        <w:rPr>
          <w:noProof/>
        </w:rPr>
        <w:t xml:space="preserve"> of the </w:t>
      </w:r>
      <w:r w:rsidR="006F2A36">
        <w:rPr>
          <w:noProof/>
        </w:rPr>
        <w:t xml:space="preserve">European </w:t>
      </w:r>
      <w:r>
        <w:rPr>
          <w:noProof/>
        </w:rPr>
        <w:t>Union</w:t>
      </w:r>
      <w:r w:rsidR="006F2A36">
        <w:rPr>
          <w:rStyle w:val="FootnoteReference"/>
          <w:noProof/>
        </w:rPr>
        <w:footnoteReference w:id="15"/>
      </w:r>
      <w:r>
        <w:rPr>
          <w:noProof/>
        </w:rPr>
        <w:t>, in particular the right to respect for private and famil</w:t>
      </w:r>
      <w:r w:rsidR="00440EE3">
        <w:rPr>
          <w:noProof/>
        </w:rPr>
        <w:t>y life, recognised in Article 7</w:t>
      </w:r>
      <w:r>
        <w:rPr>
          <w:noProof/>
        </w:rPr>
        <w:t>, the right to the protection of personal data, recognised in Article 8</w:t>
      </w:r>
      <w:r w:rsidR="2FFAF7FF">
        <w:rPr>
          <w:noProof/>
        </w:rPr>
        <w:t>,</w:t>
      </w:r>
      <w:r>
        <w:rPr>
          <w:noProof/>
        </w:rPr>
        <w:t xml:space="preserve"> and the right to an effective remedy and a fair trial</w:t>
      </w:r>
      <w:r w:rsidR="00A947E3">
        <w:rPr>
          <w:noProof/>
        </w:rPr>
        <w:t>,</w:t>
      </w:r>
      <w:r>
        <w:rPr>
          <w:noProof/>
        </w:rPr>
        <w:t xml:space="preserve"> recognised by Article 47</w:t>
      </w:r>
      <w:r w:rsidR="00E531AB">
        <w:rPr>
          <w:noProof/>
        </w:rPr>
        <w:t xml:space="preserve"> </w:t>
      </w:r>
      <w:r w:rsidR="00833346">
        <w:rPr>
          <w:noProof/>
        </w:rPr>
        <w:t>of the Charter</w:t>
      </w:r>
      <w:r w:rsidR="08F99EAE">
        <w:rPr>
          <w:noProof/>
        </w:rPr>
        <w:t>.</w:t>
      </w:r>
      <w:r w:rsidR="19B16F2D">
        <w:rPr>
          <w:noProof/>
        </w:rPr>
        <w:t xml:space="preserve"> In particular, </w:t>
      </w:r>
      <w:r w:rsidR="00C2455E">
        <w:rPr>
          <w:noProof/>
        </w:rPr>
        <w:t xml:space="preserve">the Agreement </w:t>
      </w:r>
      <w:r w:rsidR="19B16F2D">
        <w:rPr>
          <w:noProof/>
        </w:rPr>
        <w:t>includes adequate safeguards for the protection of personal data transferred by Eurojust under the Agreement.</w:t>
      </w:r>
    </w:p>
    <w:p w:rsidR="00833346" w:rsidRDefault="00833346" w:rsidP="00C11FA9">
      <w:pPr>
        <w:pStyle w:val="ManualConsidrant"/>
        <w:rPr>
          <w:noProof/>
        </w:rPr>
      </w:pPr>
      <w:r>
        <w:rPr>
          <w:noProof/>
        </w:rPr>
        <w:t>(6)</w:t>
      </w:r>
      <w:r>
        <w:rPr>
          <w:noProof/>
        </w:rPr>
        <w:tab/>
      </w:r>
      <w:r w:rsidRPr="00833346">
        <w:rPr>
          <w:noProof/>
        </w:rPr>
        <w:t xml:space="preserve">Pursuant to </w:t>
      </w:r>
      <w:r w:rsidRPr="00A01418">
        <w:rPr>
          <w:noProof/>
        </w:rPr>
        <w:t>Article 218(7) TFEU, it is appropriate for the Council to authorise the Commission to approve on the Union’s behalf the modifications of Annexes</w:t>
      </w:r>
      <w:r w:rsidR="008344D7" w:rsidRPr="00A01418">
        <w:rPr>
          <w:noProof/>
        </w:rPr>
        <w:t xml:space="preserve"> I,</w:t>
      </w:r>
      <w:r w:rsidRPr="00A01418">
        <w:rPr>
          <w:noProof/>
        </w:rPr>
        <w:t xml:space="preserve"> II</w:t>
      </w:r>
      <w:r w:rsidR="0019632C" w:rsidRPr="00A01418">
        <w:rPr>
          <w:noProof/>
        </w:rPr>
        <w:t xml:space="preserve"> and</w:t>
      </w:r>
      <w:r w:rsidRPr="00A01418">
        <w:rPr>
          <w:noProof/>
        </w:rPr>
        <w:t xml:space="preserve"> III, to the Agreement</w:t>
      </w:r>
      <w:r w:rsidR="00C2455E" w:rsidRPr="00A01418">
        <w:rPr>
          <w:noProof/>
        </w:rPr>
        <w:t>,</w:t>
      </w:r>
      <w:r w:rsidR="00C2455E" w:rsidRPr="00F7558F">
        <w:rPr>
          <w:noProof/>
        </w:rPr>
        <w:t xml:space="preserve"> to authorise the Commission to agree modalities for the continued use and storage of the information that has already been communicated between the Parties pursuant to the Agreement and to authorise the Commission to update the information about the addressee of notifications.</w:t>
      </w:r>
    </w:p>
    <w:p w:rsidR="00F072E2" w:rsidRDefault="008344D7" w:rsidP="00C11FA9">
      <w:pPr>
        <w:pStyle w:val="ManualConsidrant"/>
        <w:rPr>
          <w:noProof/>
        </w:rPr>
      </w:pPr>
      <w:r>
        <w:rPr>
          <w:noProof/>
        </w:rPr>
        <w:t>(7)</w:t>
      </w:r>
      <w:r>
        <w:rPr>
          <w:noProof/>
        </w:rPr>
        <w:tab/>
        <w:t xml:space="preserve">Ireland is bound by </w:t>
      </w:r>
      <w:r w:rsidR="00A8596C">
        <w:rPr>
          <w:noProof/>
        </w:rPr>
        <w:t>Regulation (EU) 2018/1727</w:t>
      </w:r>
      <w:r>
        <w:rPr>
          <w:noProof/>
        </w:rPr>
        <w:t xml:space="preserve"> and is therefore taking part in the adoption of this Decision.</w:t>
      </w:r>
    </w:p>
    <w:p w:rsidR="006920B6" w:rsidRDefault="644839D4" w:rsidP="00C11FA9">
      <w:pPr>
        <w:pStyle w:val="ManualConsidrant"/>
        <w:rPr>
          <w:noProof/>
        </w:rPr>
      </w:pPr>
      <w:r>
        <w:rPr>
          <w:noProof/>
        </w:rPr>
        <w:t>(8)</w:t>
      </w:r>
      <w:r>
        <w:rPr>
          <w:noProof/>
        </w:rPr>
        <w:tab/>
        <w:t>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w:t>
      </w:r>
      <w:r w:rsidR="0B4AC891">
        <w:rPr>
          <w:noProof/>
        </w:rPr>
        <w:t>.</w:t>
      </w:r>
    </w:p>
    <w:p w:rsidR="00BC124D" w:rsidRDefault="00BC124D" w:rsidP="00C11FA9">
      <w:pPr>
        <w:pStyle w:val="ManualConsidrant"/>
        <w:rPr>
          <w:noProof/>
        </w:rPr>
      </w:pPr>
      <w:r>
        <w:rPr>
          <w:noProof/>
        </w:rPr>
        <w:t>(9)</w:t>
      </w:r>
      <w:r>
        <w:rPr>
          <w:noProof/>
        </w:rPr>
        <w:tab/>
      </w:r>
      <w:r w:rsidRPr="00BC124D">
        <w:rPr>
          <w:noProof/>
        </w:rPr>
        <w:t xml:space="preserve">The European Data Protection Supervisor delivered </w:t>
      </w:r>
      <w:r w:rsidRPr="00050ECC">
        <w:rPr>
          <w:noProof/>
        </w:rPr>
        <w:t xml:space="preserve">its Opinion </w:t>
      </w:r>
      <w:r w:rsidRPr="002E5451">
        <w:rPr>
          <w:noProof/>
        </w:rPr>
        <w:t>[xxx]</w:t>
      </w:r>
      <w:r w:rsidRPr="00050ECC">
        <w:rPr>
          <w:noProof/>
        </w:rPr>
        <w:t xml:space="preserve"> on </w:t>
      </w:r>
      <w:r w:rsidRPr="002E5451">
        <w:rPr>
          <w:noProof/>
        </w:rPr>
        <w:t>[xx</w:t>
      </w:r>
      <w:r w:rsidR="0056708E" w:rsidRPr="002E5451">
        <w:rPr>
          <w:noProof/>
        </w:rPr>
        <w:t>.</w:t>
      </w:r>
      <w:r w:rsidRPr="002E5451">
        <w:rPr>
          <w:noProof/>
        </w:rPr>
        <w:t>xx</w:t>
      </w:r>
      <w:r w:rsidR="0056708E" w:rsidRPr="002E5451">
        <w:rPr>
          <w:noProof/>
        </w:rPr>
        <w:t>.xxxx</w:t>
      </w:r>
      <w:r w:rsidRPr="002E5451">
        <w:rPr>
          <w:noProof/>
        </w:rPr>
        <w:t>].</w:t>
      </w:r>
    </w:p>
    <w:p w:rsidR="181C8758" w:rsidRDefault="08F99EAE" w:rsidP="181C8758">
      <w:pPr>
        <w:pStyle w:val="ManualConsidrant"/>
        <w:rPr>
          <w:noProof/>
        </w:rPr>
      </w:pPr>
      <w:r>
        <w:rPr>
          <w:noProof/>
        </w:rPr>
        <w:t>(10)</w:t>
      </w:r>
      <w:r>
        <w:rPr>
          <w:noProof/>
        </w:rPr>
        <w:tab/>
        <w:t xml:space="preserve">The Agreement should be </w:t>
      </w:r>
      <w:r w:rsidR="0019632C">
        <w:rPr>
          <w:noProof/>
        </w:rPr>
        <w:t>approved</w:t>
      </w:r>
      <w:r w:rsidR="00705A8A">
        <w:rPr>
          <w:noProof/>
        </w:rPr>
        <w:t xml:space="preserve">. </w:t>
      </w:r>
    </w:p>
    <w:p w:rsidR="00C11FA9" w:rsidRPr="00FD40BA" w:rsidRDefault="00C11FA9" w:rsidP="00A52F19">
      <w:pPr>
        <w:pStyle w:val="Formuledadoption"/>
        <w:rPr>
          <w:noProof/>
        </w:rPr>
      </w:pPr>
      <w:r w:rsidRPr="00FD40BA">
        <w:rPr>
          <w:noProof/>
        </w:rPr>
        <w:t xml:space="preserve">HAS ADOPTED THIS DECISION: </w:t>
      </w:r>
    </w:p>
    <w:p w:rsidR="00C11FA9" w:rsidRPr="00FD40BA" w:rsidRDefault="00C11FA9" w:rsidP="00A52F19">
      <w:pPr>
        <w:pStyle w:val="Titrearticle"/>
        <w:rPr>
          <w:noProof/>
        </w:rPr>
      </w:pPr>
      <w:r w:rsidRPr="00FD40BA">
        <w:rPr>
          <w:noProof/>
        </w:rPr>
        <w:t>Article 1</w:t>
      </w:r>
    </w:p>
    <w:p w:rsidR="006D50F8" w:rsidRPr="003B3B96" w:rsidRDefault="00AE6066" w:rsidP="003B3B96">
      <w:pPr>
        <w:pStyle w:val="Titrearticle"/>
        <w:jc w:val="both"/>
        <w:rPr>
          <w:i w:val="0"/>
          <w:iCs/>
          <w:noProof/>
          <w:lang w:val="en-US"/>
        </w:rPr>
      </w:pPr>
      <w:r w:rsidRPr="006D50F8">
        <w:rPr>
          <w:i w:val="0"/>
          <w:iCs/>
          <w:noProof/>
          <w:lang w:val="en-US"/>
        </w:rPr>
        <w:t xml:space="preserve">The Agreement between the European Union and </w:t>
      </w:r>
      <w:r>
        <w:rPr>
          <w:i w:val="0"/>
          <w:iCs/>
          <w:noProof/>
          <w:lang w:val="en-US"/>
        </w:rPr>
        <w:t>Algeria</w:t>
      </w:r>
      <w:r w:rsidRPr="006D50F8">
        <w:rPr>
          <w:i w:val="0"/>
          <w:iCs/>
          <w:noProof/>
          <w:lang w:val="en-US"/>
        </w:rPr>
        <w:t xml:space="preserve"> on the cooperation between the European Union Agency for Criminal Justice Cooperation (Eurojust) and the authorities of </w:t>
      </w:r>
      <w:r>
        <w:rPr>
          <w:i w:val="0"/>
          <w:iCs/>
          <w:noProof/>
          <w:lang w:val="en-US"/>
        </w:rPr>
        <w:t>Algeria</w:t>
      </w:r>
      <w:r w:rsidRPr="006D50F8">
        <w:rPr>
          <w:i w:val="0"/>
          <w:iCs/>
          <w:noProof/>
          <w:lang w:val="en-US"/>
        </w:rPr>
        <w:t xml:space="preserve"> competent for judicial cooperation in criminal matters (‘the Agreement’) is hereby approved.</w:t>
      </w:r>
    </w:p>
    <w:p w:rsidR="00190076" w:rsidRPr="006D50F8" w:rsidRDefault="00190076" w:rsidP="006D50F8">
      <w:pPr>
        <w:jc w:val="center"/>
        <w:rPr>
          <w:noProof/>
          <w:lang w:val="en-US"/>
        </w:rPr>
      </w:pPr>
      <w:r w:rsidRPr="006D50F8">
        <w:rPr>
          <w:i/>
          <w:iCs/>
          <w:noProof/>
          <w:lang w:val="en-US"/>
        </w:rPr>
        <w:t xml:space="preserve">Article </w:t>
      </w:r>
      <w:r w:rsidR="009A6BD0">
        <w:rPr>
          <w:i/>
          <w:iCs/>
          <w:noProof/>
          <w:lang w:val="en-US"/>
        </w:rPr>
        <w:t>2</w:t>
      </w:r>
    </w:p>
    <w:p w:rsidR="004853F2" w:rsidRDefault="004853F2" w:rsidP="007A08BF">
      <w:pPr>
        <w:pStyle w:val="ManualNumPar1"/>
        <w:rPr>
          <w:noProof/>
        </w:rPr>
      </w:pPr>
      <w:r>
        <w:rPr>
          <w:noProof/>
        </w:rPr>
        <w:t>1.</w:t>
      </w:r>
      <w:r>
        <w:rPr>
          <w:noProof/>
        </w:rPr>
        <w:tab/>
      </w:r>
      <w:r w:rsidRPr="004853F2">
        <w:rPr>
          <w:noProof/>
        </w:rPr>
        <w:t xml:space="preserve">For the purposes of </w:t>
      </w:r>
      <w:r w:rsidRPr="00281A03">
        <w:rPr>
          <w:noProof/>
        </w:rPr>
        <w:t xml:space="preserve">Article </w:t>
      </w:r>
      <w:r w:rsidR="00BF615E" w:rsidRPr="00281A03">
        <w:rPr>
          <w:noProof/>
        </w:rPr>
        <w:t>3</w:t>
      </w:r>
      <w:r w:rsidR="00281A03" w:rsidRPr="006D50F8">
        <w:rPr>
          <w:noProof/>
        </w:rPr>
        <w:t>2</w:t>
      </w:r>
      <w:r w:rsidRPr="00281A03">
        <w:rPr>
          <w:noProof/>
        </w:rPr>
        <w:t>(2) of the Agreement</w:t>
      </w:r>
      <w:r w:rsidRPr="004853F2">
        <w:rPr>
          <w:noProof/>
        </w:rPr>
        <w:t>, the position to be taken on behalf of the Union on the modifications of Annexes</w:t>
      </w:r>
      <w:r w:rsidR="000B16F0">
        <w:rPr>
          <w:noProof/>
        </w:rPr>
        <w:t xml:space="preserve"> I,</w:t>
      </w:r>
      <w:r w:rsidRPr="004853F2">
        <w:rPr>
          <w:noProof/>
        </w:rPr>
        <w:t xml:space="preserve"> II</w:t>
      </w:r>
      <w:r w:rsidR="00BF615E">
        <w:rPr>
          <w:noProof/>
        </w:rPr>
        <w:t xml:space="preserve"> </w:t>
      </w:r>
      <w:r w:rsidRPr="004853F2">
        <w:rPr>
          <w:noProof/>
        </w:rPr>
        <w:t>and I</w:t>
      </w:r>
      <w:r w:rsidR="00BF615E">
        <w:rPr>
          <w:noProof/>
        </w:rPr>
        <w:t>II</w:t>
      </w:r>
      <w:r w:rsidRPr="004853F2">
        <w:rPr>
          <w:noProof/>
        </w:rPr>
        <w:t xml:space="preserve"> to the Agreement shall be approved by the Commission after consultation with the Council.</w:t>
      </w:r>
    </w:p>
    <w:p w:rsidR="0012167E" w:rsidRPr="000C26C9" w:rsidRDefault="0012167E" w:rsidP="007A08BF">
      <w:pPr>
        <w:pStyle w:val="ManualNumPar1"/>
        <w:rPr>
          <w:noProof/>
        </w:rPr>
      </w:pPr>
      <w:r>
        <w:rPr>
          <w:noProof/>
        </w:rPr>
        <w:t>2.</w:t>
      </w:r>
      <w:r>
        <w:rPr>
          <w:noProof/>
        </w:rPr>
        <w:tab/>
        <w:t xml:space="preserve">For the purpose of </w:t>
      </w:r>
      <w:r w:rsidRPr="00412A09">
        <w:rPr>
          <w:noProof/>
        </w:rPr>
        <w:t>Article 3</w:t>
      </w:r>
      <w:r w:rsidR="00412A09" w:rsidRPr="006D50F8">
        <w:rPr>
          <w:noProof/>
        </w:rPr>
        <w:t>5</w:t>
      </w:r>
      <w:r w:rsidRPr="00412A09">
        <w:rPr>
          <w:noProof/>
        </w:rPr>
        <w:t>(3) of the</w:t>
      </w:r>
      <w:r>
        <w:rPr>
          <w:noProof/>
        </w:rPr>
        <w:t xml:space="preserve"> Agreement, the Commission </w:t>
      </w:r>
      <w:r w:rsidR="00C2455E">
        <w:rPr>
          <w:noProof/>
        </w:rPr>
        <w:t xml:space="preserve">shall be authorised to </w:t>
      </w:r>
      <w:r>
        <w:rPr>
          <w:noProof/>
        </w:rPr>
        <w:t xml:space="preserve">agree modalities for the </w:t>
      </w:r>
      <w:r w:rsidRPr="0012167E">
        <w:rPr>
          <w:noProof/>
        </w:rPr>
        <w:t xml:space="preserve">continued use and storage of the information </w:t>
      </w:r>
      <w:r w:rsidRPr="000C26C9">
        <w:rPr>
          <w:noProof/>
        </w:rPr>
        <w:t>that has already been communicated between the Parties pursuant to the Agreement.</w:t>
      </w:r>
    </w:p>
    <w:p w:rsidR="0012167E" w:rsidRPr="000C26C9" w:rsidRDefault="0012167E" w:rsidP="007A08BF">
      <w:pPr>
        <w:pStyle w:val="ManualNumPar1"/>
        <w:rPr>
          <w:noProof/>
        </w:rPr>
      </w:pPr>
      <w:r>
        <w:rPr>
          <w:noProof/>
        </w:rPr>
        <w:t>3.</w:t>
      </w:r>
      <w:r>
        <w:rPr>
          <w:noProof/>
        </w:rPr>
        <w:tab/>
      </w:r>
      <w:r w:rsidRPr="000C26C9">
        <w:rPr>
          <w:noProof/>
        </w:rPr>
        <w:t>For the purpose</w:t>
      </w:r>
      <w:r w:rsidR="00732FC1" w:rsidRPr="000C26C9">
        <w:rPr>
          <w:noProof/>
        </w:rPr>
        <w:t xml:space="preserve"> </w:t>
      </w:r>
      <w:r w:rsidRPr="000C26C9">
        <w:rPr>
          <w:noProof/>
        </w:rPr>
        <w:t xml:space="preserve">of </w:t>
      </w:r>
      <w:r w:rsidRPr="00E0729D">
        <w:rPr>
          <w:noProof/>
        </w:rPr>
        <w:t>Article 3</w:t>
      </w:r>
      <w:r w:rsidR="00E0729D" w:rsidRPr="006D50F8">
        <w:rPr>
          <w:noProof/>
        </w:rPr>
        <w:t>6</w:t>
      </w:r>
      <w:r w:rsidRPr="00E0729D">
        <w:rPr>
          <w:noProof/>
        </w:rPr>
        <w:t>(2)</w:t>
      </w:r>
      <w:r w:rsidRPr="000C26C9">
        <w:rPr>
          <w:noProof/>
        </w:rPr>
        <w:t xml:space="preserve"> of the Agreement, the Commission </w:t>
      </w:r>
      <w:r w:rsidR="005D0D2F" w:rsidRPr="00F7558F">
        <w:rPr>
          <w:noProof/>
        </w:rPr>
        <w:t xml:space="preserve">shall be authorised to update the information about the addressee of notifications </w:t>
      </w:r>
      <w:r w:rsidRPr="000C26C9">
        <w:rPr>
          <w:noProof/>
        </w:rPr>
        <w:t>after consultation with the Council.</w:t>
      </w:r>
    </w:p>
    <w:p w:rsidR="00732FC1" w:rsidRDefault="004853F2" w:rsidP="00A94D03">
      <w:pPr>
        <w:pStyle w:val="Titrearticle"/>
        <w:rPr>
          <w:noProof/>
        </w:rPr>
      </w:pPr>
      <w:r>
        <w:rPr>
          <w:noProof/>
        </w:rPr>
        <w:lastRenderedPageBreak/>
        <w:t>Article</w:t>
      </w:r>
      <w:r w:rsidR="005C762D">
        <w:rPr>
          <w:noProof/>
        </w:rPr>
        <w:t xml:space="preserve"> </w:t>
      </w:r>
      <w:r w:rsidR="009A6BD0">
        <w:rPr>
          <w:noProof/>
        </w:rPr>
        <w:t>3</w:t>
      </w:r>
    </w:p>
    <w:p w:rsidR="00871B4A" w:rsidRDefault="00871B4A" w:rsidP="00A94D03">
      <w:pPr>
        <w:keepNext/>
        <w:keepLines/>
        <w:rPr>
          <w:noProof/>
        </w:rPr>
      </w:pPr>
      <w:r w:rsidRPr="00871B4A">
        <w:rPr>
          <w:noProof/>
        </w:rPr>
        <w:t>This Decision shall enter into force on the date of its adoption.</w:t>
      </w:r>
    </w:p>
    <w:p w:rsidR="00C11FA9" w:rsidRDefault="003B3B96" w:rsidP="00A94D03">
      <w:pPr>
        <w:pStyle w:val="Fait"/>
        <w:rPr>
          <w:noProof/>
        </w:rPr>
      </w:pPr>
      <w:r>
        <w:rPr>
          <w:noProof/>
        </w:rPr>
        <w:t>Done at Brussels,</w:t>
      </w:r>
    </w:p>
    <w:p w:rsidR="00C11FA9" w:rsidRDefault="00C11FA9" w:rsidP="00A94D03">
      <w:pPr>
        <w:pStyle w:val="Institutionquisigne"/>
        <w:rPr>
          <w:noProof/>
        </w:rPr>
      </w:pPr>
      <w:r w:rsidRPr="00C11FA9">
        <w:rPr>
          <w:noProof/>
        </w:rPr>
        <w:tab/>
        <w:t>For the Council</w:t>
      </w:r>
    </w:p>
    <w:p w:rsidR="00C11FA9" w:rsidRPr="00C11FA9" w:rsidRDefault="00C11FA9" w:rsidP="00C11FA9">
      <w:pPr>
        <w:pStyle w:val="Personnequisigne"/>
        <w:rPr>
          <w:noProof/>
        </w:rPr>
      </w:pPr>
      <w:r w:rsidRPr="00C11FA9">
        <w:rPr>
          <w:noProof/>
        </w:rPr>
        <w:tab/>
        <w:t>The President</w:t>
      </w:r>
    </w:p>
    <w:sectPr w:rsidR="00C11FA9" w:rsidRPr="00C11FA9" w:rsidSect="00067D13">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717" w:rsidRDefault="00161717" w:rsidP="00C11FA9">
      <w:pPr>
        <w:spacing w:before="0" w:after="0"/>
      </w:pPr>
      <w:r>
        <w:separator/>
      </w:r>
    </w:p>
  </w:endnote>
  <w:endnote w:type="continuationSeparator" w:id="0">
    <w:p w:rsidR="00161717" w:rsidRDefault="00161717" w:rsidP="00C11FA9">
      <w:pPr>
        <w:spacing w:before="0" w:after="0"/>
      </w:pPr>
      <w:r>
        <w:continuationSeparator/>
      </w:r>
    </w:p>
  </w:endnote>
  <w:endnote w:type="continuationNotice" w:id="1">
    <w:p w:rsidR="00161717" w:rsidRDefault="0016171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D13" w:rsidRPr="00067D13" w:rsidRDefault="00067D13" w:rsidP="00067D13">
    <w:pPr>
      <w:pStyle w:val="Footer"/>
      <w:rPr>
        <w:rFonts w:ascii="Arial" w:hAnsi="Arial" w:cs="Arial"/>
        <w:b/>
        <w:sz w:val="48"/>
      </w:rPr>
    </w:pPr>
    <w:r w:rsidRPr="00067D13">
      <w:rPr>
        <w:rFonts w:ascii="Arial" w:hAnsi="Arial" w:cs="Arial"/>
        <w:b/>
        <w:sz w:val="48"/>
      </w:rPr>
      <w:t>EN</w:t>
    </w:r>
    <w:r w:rsidRPr="00067D13">
      <w:rPr>
        <w:rFonts w:ascii="Arial" w:hAnsi="Arial" w:cs="Arial"/>
        <w:b/>
        <w:sz w:val="48"/>
      </w:rPr>
      <w:tab/>
    </w:r>
    <w:r w:rsidRPr="00067D13">
      <w:rPr>
        <w:rFonts w:ascii="Arial" w:hAnsi="Arial" w:cs="Arial"/>
        <w:b/>
        <w:sz w:val="48"/>
      </w:rPr>
      <w:tab/>
    </w:r>
    <w:r w:rsidRPr="00067D13">
      <w:tab/>
    </w:r>
    <w:r w:rsidRPr="00067D1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D13" w:rsidRPr="00067D13" w:rsidRDefault="00067D13" w:rsidP="00067D13">
    <w:pPr>
      <w:pStyle w:val="Footer"/>
      <w:rPr>
        <w:rFonts w:ascii="Arial" w:hAnsi="Arial" w:cs="Arial"/>
        <w:b/>
        <w:sz w:val="48"/>
      </w:rPr>
    </w:pPr>
    <w:r w:rsidRPr="00067D13">
      <w:rPr>
        <w:rFonts w:ascii="Arial" w:hAnsi="Arial" w:cs="Arial"/>
        <w:b/>
        <w:sz w:val="48"/>
      </w:rPr>
      <w:t>EN</w:t>
    </w:r>
    <w:r w:rsidRPr="00067D13">
      <w:rPr>
        <w:rFonts w:ascii="Arial" w:hAnsi="Arial" w:cs="Arial"/>
        <w:b/>
        <w:sz w:val="48"/>
      </w:rPr>
      <w:tab/>
    </w:r>
    <w:r w:rsidRPr="00067D13">
      <w:rPr>
        <w:rFonts w:ascii="Arial" w:hAnsi="Arial" w:cs="Arial"/>
        <w:b/>
        <w:sz w:val="48"/>
      </w:rPr>
      <w:tab/>
    </w:r>
    <w:r w:rsidRPr="00067D13">
      <w:tab/>
    </w:r>
    <w:r w:rsidRPr="00067D1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D13" w:rsidRDefault="00067D1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D13" w:rsidRPr="00067D13" w:rsidRDefault="00067D13" w:rsidP="00067D13">
    <w:pPr>
      <w:pStyle w:val="Footer"/>
      <w:rPr>
        <w:rFonts w:ascii="Arial" w:hAnsi="Arial" w:cs="Arial"/>
        <w:b/>
        <w:sz w:val="48"/>
      </w:rPr>
    </w:pPr>
    <w:r w:rsidRPr="00067D13">
      <w:rPr>
        <w:rFonts w:ascii="Arial" w:hAnsi="Arial" w:cs="Arial"/>
        <w:b/>
        <w:sz w:val="48"/>
      </w:rPr>
      <w:t>EN</w:t>
    </w:r>
    <w:r w:rsidRPr="00067D13">
      <w:rPr>
        <w:rFonts w:ascii="Arial" w:hAnsi="Arial" w:cs="Arial"/>
        <w:b/>
        <w:sz w:val="48"/>
      </w:rPr>
      <w:tab/>
    </w:r>
    <w:r>
      <w:fldChar w:fldCharType="begin"/>
    </w:r>
    <w:r>
      <w:instrText xml:space="preserve"> PAGE  \* MERGEFORMAT </w:instrText>
    </w:r>
    <w:r>
      <w:fldChar w:fldCharType="separate"/>
    </w:r>
    <w:r w:rsidR="00A94D03">
      <w:rPr>
        <w:noProof/>
      </w:rPr>
      <w:t>11</w:t>
    </w:r>
    <w:r>
      <w:fldChar w:fldCharType="end"/>
    </w:r>
    <w:r>
      <w:tab/>
    </w:r>
    <w:r w:rsidRPr="00067D13">
      <w:tab/>
    </w:r>
    <w:r w:rsidRPr="00067D1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D13" w:rsidRDefault="00067D13" w:rsidP="00067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717" w:rsidRDefault="00161717" w:rsidP="00C11FA9">
      <w:pPr>
        <w:spacing w:before="0" w:after="0"/>
      </w:pPr>
      <w:r>
        <w:separator/>
      </w:r>
    </w:p>
  </w:footnote>
  <w:footnote w:type="continuationSeparator" w:id="0">
    <w:p w:rsidR="00161717" w:rsidRDefault="00161717" w:rsidP="00C11FA9">
      <w:pPr>
        <w:spacing w:before="0" w:after="0"/>
      </w:pPr>
      <w:r>
        <w:continuationSeparator/>
      </w:r>
    </w:p>
  </w:footnote>
  <w:footnote w:type="continuationNotice" w:id="1">
    <w:p w:rsidR="00161717" w:rsidRDefault="00161717">
      <w:pPr>
        <w:spacing w:before="0" w:after="0"/>
      </w:pPr>
    </w:p>
  </w:footnote>
  <w:footnote w:id="2">
    <w:p w:rsidR="00A52F19" w:rsidRPr="00001E5C" w:rsidRDefault="00A52F19">
      <w:pPr>
        <w:pStyle w:val="FootnoteText"/>
        <w:rPr>
          <w:lang w:val="en-US"/>
        </w:rPr>
      </w:pPr>
      <w:r w:rsidRPr="00C11E78">
        <w:rPr>
          <w:rStyle w:val="FootnoteReference"/>
        </w:rPr>
        <w:footnoteRef/>
      </w:r>
      <w:r w:rsidR="00C11E78">
        <w:rPr>
          <w:lang w:val="en-US"/>
        </w:rPr>
        <w:tab/>
      </w:r>
      <w:r w:rsidRPr="00001E5C">
        <w:rPr>
          <w:lang w:val="en-US"/>
        </w:rPr>
        <w:t>Regulation (EU) 2018/1727 of the European P</w:t>
      </w:r>
      <w:r>
        <w:rPr>
          <w:lang w:val="en-US"/>
        </w:rPr>
        <w:t>arliament and of the Council of 14 November 2018</w:t>
      </w:r>
      <w:r w:rsidRPr="00001E5C">
        <w:t>on the European Union Agency for Criminal Justice Cooperation (Eurojust), and replacing and repealing Council Decision 2002/187/JHA</w:t>
      </w:r>
      <w:r>
        <w:t xml:space="preserve">, </w:t>
      </w:r>
      <w:r w:rsidRPr="00001E5C">
        <w:t>OJ L 295, p. 138, 21.11.2018.</w:t>
      </w:r>
    </w:p>
  </w:footnote>
  <w:footnote w:id="3">
    <w:p w:rsidR="00FA2801" w:rsidRPr="00FB3D8C" w:rsidRDefault="00FA2801">
      <w:pPr>
        <w:pStyle w:val="FootnoteText"/>
        <w:rPr>
          <w:lang w:val="en-IE"/>
        </w:rPr>
      </w:pPr>
      <w:r w:rsidRPr="007A08BF">
        <w:rPr>
          <w:rStyle w:val="FootnoteReference"/>
        </w:rPr>
        <w:footnoteRef/>
      </w:r>
      <w:r w:rsidR="007A08BF">
        <w:tab/>
      </w:r>
      <w:r w:rsidR="00863E77">
        <w:t>OJ</w:t>
      </w:r>
      <w:r w:rsidR="00863E77" w:rsidRPr="00824456">
        <w:t xml:space="preserve"> L 063, 06/03/2002 P. 0001 </w:t>
      </w:r>
      <w:r w:rsidR="00863E77">
        <w:t>–</w:t>
      </w:r>
      <w:r w:rsidR="00863E77" w:rsidRPr="00824456">
        <w:t xml:space="preserve"> 0013</w:t>
      </w:r>
      <w:r w:rsidR="00863E77">
        <w:t>.</w:t>
      </w:r>
    </w:p>
  </w:footnote>
  <w:footnote w:id="4">
    <w:p w:rsidR="00991687" w:rsidRPr="007773A3" w:rsidRDefault="00991687" w:rsidP="00991687">
      <w:pPr>
        <w:pStyle w:val="FootnoteText"/>
      </w:pPr>
      <w:r w:rsidRPr="00C11E78">
        <w:rPr>
          <w:rStyle w:val="FootnoteReference"/>
        </w:rPr>
        <w:footnoteRef/>
      </w:r>
      <w:r w:rsidR="00C11E78">
        <w:rPr>
          <w:lang w:val="en-US"/>
        </w:rPr>
        <w:tab/>
      </w:r>
      <w:r w:rsidRPr="007773A3">
        <w:rPr>
          <w:lang w:val="en-US"/>
        </w:rPr>
        <w:t xml:space="preserve">Recommendation for a Council Decision </w:t>
      </w:r>
      <w:r w:rsidRPr="007773A3">
        <w:t>authorising the opening of negotiations for Agreements between the European Union and Algeria, Armenia, Bosnia and Herzegovina, Egypt, Israel, Jordan, Lebanon, Morocco, Tunisia and Turkey on cooperation between the European Union Agency for Criminal Justice Cooperation (Eurojust) and the competent authorities for judicial cooperation in criminal matters of those third States</w:t>
      </w:r>
      <w:r>
        <w:t>, 19 November 2020, COM(2020) 743 final.</w:t>
      </w:r>
    </w:p>
  </w:footnote>
  <w:footnote w:id="5">
    <w:p w:rsidR="00991687" w:rsidRPr="007773A3" w:rsidRDefault="00991687" w:rsidP="00991687">
      <w:pPr>
        <w:pStyle w:val="FootnoteText"/>
        <w:rPr>
          <w:lang w:val="en-US"/>
        </w:rPr>
      </w:pPr>
      <w:r w:rsidRPr="00C11E78">
        <w:rPr>
          <w:rStyle w:val="FootnoteReference"/>
        </w:rPr>
        <w:footnoteRef/>
      </w:r>
      <w:r w:rsidR="00C11E78">
        <w:tab/>
      </w:r>
      <w:r w:rsidRPr="007773A3">
        <w:t>Council Decision authorising the opening of negotiations for Agreements between the European Union and Algeria, Argentina, Armenia, Bosnia and Herzegovina, Brazil, Colombia, Egypt, Israel, Jordan, Lebanon, Morocco, Tunisia and Turkey on cooperation between the European Union Agency for Criminal Justice Cooperation (Eurojust) and the competent authorities for judicial cooperation in criminal matters of those third States</w:t>
      </w:r>
      <w:r>
        <w:t xml:space="preserve">, </w:t>
      </w:r>
      <w:r w:rsidR="00FA537D">
        <w:t>s</w:t>
      </w:r>
      <w:r w:rsidR="00A13093">
        <w:t xml:space="preserve">ee 6153/21 + ADD 1, Council Decision adopted by written procedure on 1 March 2021 (CM 1990/21). </w:t>
      </w:r>
    </w:p>
  </w:footnote>
  <w:footnote w:id="6">
    <w:p w:rsidR="004A2FD2" w:rsidRPr="00161244" w:rsidRDefault="004A2FD2" w:rsidP="004A2FD2">
      <w:pPr>
        <w:pStyle w:val="FootnoteText"/>
        <w:rPr>
          <w:lang w:val="pt-PT"/>
        </w:rPr>
      </w:pPr>
      <w:r w:rsidRPr="00C11E78">
        <w:rPr>
          <w:rStyle w:val="FootnoteReference"/>
        </w:rPr>
        <w:footnoteRef/>
      </w:r>
      <w:r w:rsidRPr="00161244">
        <w:rPr>
          <w:lang w:val="pt-PT"/>
        </w:rPr>
        <w:tab/>
      </w:r>
      <w:r w:rsidRPr="00081E67">
        <w:rPr>
          <w:lang w:val="pt-PT"/>
        </w:rPr>
        <w:t>R</w:t>
      </w:r>
      <w:r>
        <w:rPr>
          <w:lang w:val="pt-PT"/>
        </w:rPr>
        <w:t>egulation</w:t>
      </w:r>
      <w:r w:rsidRPr="00081E67">
        <w:rPr>
          <w:lang w:val="pt-PT"/>
        </w:rPr>
        <w:t xml:space="preserve"> (EU) 2023/2131 </w:t>
      </w:r>
      <w:r>
        <w:rPr>
          <w:lang w:val="pt-PT"/>
        </w:rPr>
        <w:t>of</w:t>
      </w:r>
      <w:r w:rsidRPr="00081E67">
        <w:rPr>
          <w:lang w:val="pt-PT"/>
        </w:rPr>
        <w:t xml:space="preserve"> </w:t>
      </w:r>
      <w:r>
        <w:rPr>
          <w:lang w:val="pt-PT"/>
        </w:rPr>
        <w:t>the</w:t>
      </w:r>
      <w:r w:rsidRPr="00081E67">
        <w:rPr>
          <w:lang w:val="pt-PT"/>
        </w:rPr>
        <w:t xml:space="preserve"> E</w:t>
      </w:r>
      <w:r>
        <w:rPr>
          <w:lang w:val="pt-PT"/>
        </w:rPr>
        <w:t>uropean</w:t>
      </w:r>
      <w:r w:rsidRPr="00081E67">
        <w:rPr>
          <w:lang w:val="pt-PT"/>
        </w:rPr>
        <w:t xml:space="preserve"> P</w:t>
      </w:r>
      <w:r>
        <w:rPr>
          <w:lang w:val="pt-PT"/>
        </w:rPr>
        <w:t>arliament</w:t>
      </w:r>
      <w:r w:rsidRPr="00081E67">
        <w:rPr>
          <w:lang w:val="pt-PT"/>
        </w:rPr>
        <w:t xml:space="preserve"> </w:t>
      </w:r>
      <w:r>
        <w:rPr>
          <w:lang w:val="pt-PT"/>
        </w:rPr>
        <w:t xml:space="preserve">and of the Council </w:t>
      </w:r>
      <w:r w:rsidRPr="00081E67">
        <w:rPr>
          <w:lang w:val="pt-PT"/>
        </w:rPr>
        <w:t>of 4 October 2023</w:t>
      </w:r>
      <w:r>
        <w:rPr>
          <w:lang w:val="pt-PT"/>
        </w:rPr>
        <w:t xml:space="preserve"> </w:t>
      </w:r>
      <w:r w:rsidRPr="00081E67">
        <w:rPr>
          <w:lang w:val="pt-PT"/>
        </w:rPr>
        <w:t>amending Regulation (EU) 2018/1727 of the European Parliament and of the Council and</w:t>
      </w:r>
      <w:r>
        <w:rPr>
          <w:lang w:val="pt-PT"/>
        </w:rPr>
        <w:t xml:space="preserve"> </w:t>
      </w:r>
      <w:r w:rsidRPr="00081E67">
        <w:rPr>
          <w:lang w:val="pt-PT"/>
        </w:rPr>
        <w:t>Council Decision 2005/671/JHA, as regards digital information exchange in terrorism cases</w:t>
      </w:r>
      <w:r w:rsidR="00C43168">
        <w:rPr>
          <w:lang w:val="pt-PT"/>
        </w:rPr>
        <w:t>.</w:t>
      </w:r>
      <w:r w:rsidRPr="00081E67">
        <w:rPr>
          <w:lang w:val="pt-PT"/>
        </w:rPr>
        <w:t xml:space="preserve"> </w:t>
      </w:r>
    </w:p>
  </w:footnote>
  <w:footnote w:id="7">
    <w:p w:rsidR="004A2FD2" w:rsidRPr="00161244" w:rsidRDefault="004A2FD2" w:rsidP="004A2FD2">
      <w:pPr>
        <w:pStyle w:val="FootnoteText"/>
        <w:rPr>
          <w:lang w:val="pt-PT"/>
        </w:rPr>
      </w:pPr>
      <w:r w:rsidRPr="00C11E78">
        <w:rPr>
          <w:rStyle w:val="FootnoteReference"/>
        </w:rPr>
        <w:footnoteRef/>
      </w:r>
      <w:r w:rsidRPr="00161244">
        <w:rPr>
          <w:lang w:val="pt-PT"/>
        </w:rPr>
        <w:tab/>
      </w:r>
      <w:r w:rsidRPr="004E7602">
        <w:rPr>
          <w:lang w:val="pt-PT"/>
        </w:rPr>
        <w:t>R</w:t>
      </w:r>
      <w:r>
        <w:rPr>
          <w:lang w:val="pt-PT"/>
        </w:rPr>
        <w:t>egulation</w:t>
      </w:r>
      <w:r w:rsidRPr="004E7602">
        <w:rPr>
          <w:lang w:val="pt-PT"/>
        </w:rPr>
        <w:t xml:space="preserve"> (EU) 2022/838 </w:t>
      </w:r>
      <w:r>
        <w:rPr>
          <w:lang w:val="pt-PT"/>
        </w:rPr>
        <w:t>of</w:t>
      </w:r>
      <w:r w:rsidRPr="004E7602">
        <w:rPr>
          <w:lang w:val="pt-PT"/>
        </w:rPr>
        <w:t xml:space="preserve"> </w:t>
      </w:r>
      <w:r>
        <w:rPr>
          <w:lang w:val="pt-PT"/>
        </w:rPr>
        <w:t>the</w:t>
      </w:r>
      <w:r w:rsidRPr="004E7602">
        <w:rPr>
          <w:lang w:val="pt-PT"/>
        </w:rPr>
        <w:t xml:space="preserve"> E</w:t>
      </w:r>
      <w:r>
        <w:rPr>
          <w:lang w:val="pt-PT"/>
        </w:rPr>
        <w:t>uropean</w:t>
      </w:r>
      <w:r w:rsidRPr="004E7602">
        <w:rPr>
          <w:lang w:val="pt-PT"/>
        </w:rPr>
        <w:t xml:space="preserve"> P</w:t>
      </w:r>
      <w:r>
        <w:rPr>
          <w:lang w:val="pt-PT"/>
        </w:rPr>
        <w:t>arliament</w:t>
      </w:r>
      <w:r w:rsidRPr="004E7602">
        <w:rPr>
          <w:lang w:val="pt-PT"/>
        </w:rPr>
        <w:t xml:space="preserve"> </w:t>
      </w:r>
      <w:r>
        <w:rPr>
          <w:lang w:val="pt-PT"/>
        </w:rPr>
        <w:t xml:space="preserve">and of the Council </w:t>
      </w:r>
      <w:r w:rsidRPr="004E7602">
        <w:rPr>
          <w:lang w:val="pt-PT"/>
        </w:rPr>
        <w:t>of 30 May 2022</w:t>
      </w:r>
      <w:r>
        <w:rPr>
          <w:lang w:val="pt-PT"/>
        </w:rPr>
        <w:t xml:space="preserve"> </w:t>
      </w:r>
      <w:r w:rsidRPr="004E7602">
        <w:rPr>
          <w:lang w:val="pt-PT"/>
        </w:rPr>
        <w:t>amending Regulation (EU) 2018/1727 as regards the preservation, analysis and storage at Eurojust of</w:t>
      </w:r>
      <w:r>
        <w:rPr>
          <w:lang w:val="pt-PT"/>
        </w:rPr>
        <w:t xml:space="preserve"> </w:t>
      </w:r>
      <w:r w:rsidRPr="004E7602">
        <w:rPr>
          <w:lang w:val="pt-PT"/>
        </w:rPr>
        <w:t>evidence relating to genocide, crimes against humanity, war crimes and related criminal offences</w:t>
      </w:r>
      <w:r w:rsidR="00C43168">
        <w:rPr>
          <w:lang w:val="pt-PT"/>
        </w:rPr>
        <w:t>.</w:t>
      </w:r>
    </w:p>
  </w:footnote>
  <w:footnote w:id="8">
    <w:p w:rsidR="00912659" w:rsidRPr="00F7558F" w:rsidRDefault="00912659" w:rsidP="00912659">
      <w:pPr>
        <w:pStyle w:val="FootnoteText"/>
        <w:rPr>
          <w:lang w:val="pt-PT"/>
        </w:rPr>
      </w:pPr>
      <w:r w:rsidRPr="00C11E78">
        <w:rPr>
          <w:rStyle w:val="FootnoteReference"/>
        </w:rPr>
        <w:footnoteRef/>
      </w:r>
      <w:r w:rsidR="00C11E78" w:rsidRPr="00F7558F">
        <w:rPr>
          <w:lang w:val="pt-PT"/>
        </w:rPr>
        <w:tab/>
      </w:r>
      <w:r w:rsidR="45BEA7CF" w:rsidRPr="00F7558F">
        <w:rPr>
          <w:lang w:val="pt-PT"/>
        </w:rPr>
        <w:t>COM(202</w:t>
      </w:r>
      <w:r w:rsidR="45BEA7CF">
        <w:rPr>
          <w:lang w:val="pt-PT"/>
        </w:rPr>
        <w:t>5</w:t>
      </w:r>
      <w:r w:rsidR="45BEA7CF" w:rsidRPr="00F7558F">
        <w:rPr>
          <w:lang w:val="pt-PT"/>
        </w:rPr>
        <w:t xml:space="preserve">) </w:t>
      </w:r>
      <w:r w:rsidR="45BEA7CF">
        <w:rPr>
          <w:lang w:val="pt-PT"/>
        </w:rPr>
        <w:t>148</w:t>
      </w:r>
      <w:r w:rsidR="45BEA7CF" w:rsidRPr="00F7558F">
        <w:rPr>
          <w:lang w:val="pt-PT"/>
        </w:rPr>
        <w:t xml:space="preserve"> final, </w:t>
      </w:r>
      <w:r w:rsidR="45BEA7CF">
        <w:rPr>
          <w:lang w:val="pt-PT"/>
        </w:rPr>
        <w:t>1</w:t>
      </w:r>
      <w:r w:rsidR="45BEA7CF" w:rsidRPr="00F7558F">
        <w:rPr>
          <w:lang w:val="pt-PT"/>
        </w:rPr>
        <w:t>.</w:t>
      </w:r>
      <w:r w:rsidR="45BEA7CF">
        <w:rPr>
          <w:lang w:val="pt-PT"/>
        </w:rPr>
        <w:t>4</w:t>
      </w:r>
      <w:r w:rsidR="45BEA7CF" w:rsidRPr="00F7558F">
        <w:rPr>
          <w:lang w:val="pt-PT"/>
        </w:rPr>
        <w:t>.202</w:t>
      </w:r>
      <w:r w:rsidR="45BEA7CF">
        <w:rPr>
          <w:lang w:val="pt-PT"/>
        </w:rPr>
        <w:t>5</w:t>
      </w:r>
      <w:r w:rsidR="45BEA7CF" w:rsidRPr="00F7558F">
        <w:rPr>
          <w:lang w:val="pt-PT"/>
        </w:rPr>
        <w:t>.</w:t>
      </w:r>
    </w:p>
  </w:footnote>
  <w:footnote w:id="9">
    <w:p w:rsidR="00912659" w:rsidRPr="00767975" w:rsidRDefault="00912659" w:rsidP="00767975">
      <w:pPr>
        <w:pStyle w:val="FootnoteText"/>
        <w:rPr>
          <w:lang w:val="en-US"/>
        </w:rPr>
      </w:pPr>
      <w:r>
        <w:rPr>
          <w:rStyle w:val="FootnoteReference"/>
        </w:rPr>
        <w:footnoteRef/>
      </w:r>
      <w:r w:rsidRPr="00912659">
        <w:rPr>
          <w:lang w:val="en-US"/>
        </w:rPr>
        <w:tab/>
      </w:r>
      <w:r w:rsidR="00767975" w:rsidRPr="009F1F4E">
        <w:t xml:space="preserve">Commission Communication - Protect EU: Agenda to Prevent and Counter Terrorism, </w:t>
      </w:r>
      <w:r w:rsidR="00767975" w:rsidRPr="00CA578D">
        <w:t>COM(2026) 101 final, 26.</w:t>
      </w:r>
      <w:r w:rsidR="00767975" w:rsidRPr="00912659">
        <w:t>2.202</w:t>
      </w:r>
      <w:r w:rsidR="00767975">
        <w:t>6</w:t>
      </w:r>
      <w:r w:rsidR="00767975" w:rsidRPr="00912659">
        <w:t>.</w:t>
      </w:r>
    </w:p>
  </w:footnote>
  <w:footnote w:id="10">
    <w:p w:rsidR="00994015" w:rsidRPr="00912659" w:rsidRDefault="00994015" w:rsidP="00912659">
      <w:pPr>
        <w:pStyle w:val="FootnoteText"/>
        <w:rPr>
          <w:lang w:val="en-US"/>
        </w:rPr>
      </w:pPr>
      <w:r w:rsidRPr="00767975">
        <w:rPr>
          <w:rStyle w:val="FootnoteReference"/>
        </w:rPr>
        <w:footnoteRef/>
      </w:r>
      <w:r w:rsidRPr="00767975">
        <w:rPr>
          <w:lang w:val="en-US"/>
        </w:rPr>
        <w:tab/>
      </w:r>
      <w:r w:rsidR="00767975" w:rsidRPr="00767975">
        <w:t>Commission</w:t>
      </w:r>
      <w:r w:rsidR="00767975" w:rsidRPr="003D4DFD">
        <w:t xml:space="preserve"> Communication </w:t>
      </w:r>
      <w:r w:rsidR="00767975">
        <w:t xml:space="preserve">– EU Strategy to tackle Organised Crime 2021-2025, </w:t>
      </w:r>
      <w:r w:rsidR="00767975" w:rsidRPr="00912659">
        <w:t>COM(2021) 170 final, 14.4.2021.</w:t>
      </w:r>
    </w:p>
  </w:footnote>
  <w:footnote w:id="11">
    <w:p w:rsidR="00CD684E" w:rsidRPr="00CD684E" w:rsidRDefault="00CD684E">
      <w:pPr>
        <w:pStyle w:val="FootnoteText"/>
        <w:rPr>
          <w:lang w:val="en-US"/>
        </w:rPr>
      </w:pPr>
      <w:r>
        <w:rPr>
          <w:rStyle w:val="FootnoteReference"/>
        </w:rPr>
        <w:footnoteRef/>
      </w:r>
      <w:r w:rsidRPr="00CD684E">
        <w:rPr>
          <w:lang w:val="en-US"/>
        </w:rPr>
        <w:tab/>
      </w:r>
      <w:r w:rsidRPr="00CD684E">
        <w:t>Council Decision 7047/20, 23 April 2020, and Council Document CM 2178/20, 13 May 2020.</w:t>
      </w:r>
    </w:p>
  </w:footnote>
  <w:footnote w:id="12">
    <w:p w:rsidR="002247A2" w:rsidRPr="006D50F8" w:rsidRDefault="002247A2">
      <w:pPr>
        <w:pStyle w:val="FootnoteText"/>
        <w:rPr>
          <w:lang w:val="en-US"/>
        </w:rPr>
      </w:pPr>
      <w:r w:rsidRPr="00C4600C">
        <w:rPr>
          <w:rStyle w:val="FootnoteReference"/>
        </w:rPr>
        <w:footnoteRef/>
      </w:r>
      <w:r w:rsidR="00C4600C">
        <w:tab/>
      </w:r>
      <w:r w:rsidRPr="002247A2">
        <w:t>Consent of</w:t>
      </w:r>
      <w:r w:rsidR="00050ECC">
        <w:t xml:space="preserve"> </w:t>
      </w:r>
      <w:r w:rsidR="00050ECC" w:rsidRPr="00D445C2">
        <w:t xml:space="preserve">[XXX] </w:t>
      </w:r>
      <w:r w:rsidRPr="00D445C2">
        <w:t>(not yet published in the Official Journal).</w:t>
      </w:r>
    </w:p>
  </w:footnote>
  <w:footnote w:id="13">
    <w:p w:rsidR="00370A6C" w:rsidRPr="008860A7" w:rsidRDefault="00585930" w:rsidP="007A08BF">
      <w:pPr>
        <w:pStyle w:val="FootnoteText"/>
        <w:rPr>
          <w:lang w:val="en-US"/>
        </w:rPr>
      </w:pPr>
      <w:r w:rsidRPr="00C4600C">
        <w:rPr>
          <w:rStyle w:val="FootnoteReference"/>
        </w:rPr>
        <w:footnoteRef/>
      </w:r>
      <w:r w:rsidR="00C4600C">
        <w:rPr>
          <w:lang w:val="en-US"/>
        </w:rPr>
        <w:tab/>
      </w:r>
      <w:r w:rsidR="00370A6C" w:rsidRPr="008860A7">
        <w:rPr>
          <w:lang w:val="en-US"/>
        </w:rPr>
        <w:t>Regulation (EU) 2018/1727 of the European Parliament and of the Council of 14 November 2018</w:t>
      </w:r>
      <w:r w:rsidR="00DE528F">
        <w:rPr>
          <w:lang w:val="en-US"/>
        </w:rPr>
        <w:t xml:space="preserve"> </w:t>
      </w:r>
      <w:r w:rsidR="00370A6C" w:rsidRPr="008860A7">
        <w:t>on the</w:t>
      </w:r>
      <w:r w:rsidR="002247A2">
        <w:t xml:space="preserve"> </w:t>
      </w:r>
      <w:r w:rsidR="00370A6C" w:rsidRPr="008860A7">
        <w:t xml:space="preserve">European Union Agency for Criminal Justice Cooperation (Eurojust), and replacing and repealing Council Decision 2002/187/JHA, </w:t>
      </w:r>
      <w:r w:rsidR="00370A6C">
        <w:t>(</w:t>
      </w:r>
      <w:r w:rsidR="00370A6C" w:rsidRPr="008860A7">
        <w:t>OJ L 295, p. 138, 21.11.2018</w:t>
      </w:r>
      <w:r w:rsidR="00370A6C">
        <w:t>)</w:t>
      </w:r>
      <w:r w:rsidR="00370A6C" w:rsidRPr="008860A7">
        <w:t>.</w:t>
      </w:r>
    </w:p>
  </w:footnote>
  <w:footnote w:id="14">
    <w:p w:rsidR="00833346" w:rsidRPr="00F072E2" w:rsidRDefault="00833346">
      <w:pPr>
        <w:pStyle w:val="FootnoteText"/>
        <w:rPr>
          <w:lang w:val="en-IE"/>
        </w:rPr>
      </w:pPr>
      <w:r w:rsidRPr="00C4600C">
        <w:rPr>
          <w:rStyle w:val="FootnoteReference"/>
        </w:rPr>
        <w:footnoteRef/>
      </w:r>
      <w:r w:rsidR="00C4600C">
        <w:rPr>
          <w:lang w:val="en-IE"/>
        </w:rPr>
        <w:tab/>
      </w:r>
      <w:r w:rsidR="7075FCB8" w:rsidRPr="00F072E2">
        <w:rPr>
          <w:lang w:val="en-IE"/>
        </w:rPr>
        <w:t xml:space="preserve">Council Decision (EU) </w:t>
      </w:r>
      <w:r w:rsidR="7075FCB8" w:rsidRPr="00D445C2">
        <w:t>[XXXX]</w:t>
      </w:r>
      <w:r w:rsidR="7075FCB8" w:rsidRPr="00D445C2">
        <w:rPr>
          <w:lang w:val="en-IE"/>
        </w:rPr>
        <w:t xml:space="preserve"> of XX.XX.XXXX</w:t>
      </w:r>
      <w:r w:rsidR="7075FCB8">
        <w:rPr>
          <w:lang w:val="en-IE"/>
        </w:rPr>
        <w:t xml:space="preserve"> on the signing of </w:t>
      </w:r>
      <w:r w:rsidR="00D445C2">
        <w:t>an</w:t>
      </w:r>
      <w:r w:rsidR="7075FCB8" w:rsidRPr="00833346">
        <w:t xml:space="preserve"> </w:t>
      </w:r>
      <w:r w:rsidR="00D445C2">
        <w:t>a</w:t>
      </w:r>
      <w:r w:rsidR="7075FCB8" w:rsidRPr="00833346">
        <w:t>g</w:t>
      </w:r>
      <w:r w:rsidR="7075FCB8" w:rsidRPr="005D0D2F">
        <w:t xml:space="preserve">reement between the European Union, and </w:t>
      </w:r>
      <w:r w:rsidR="00D445C2">
        <w:t xml:space="preserve">the People’s Democratic Republic of </w:t>
      </w:r>
      <w:r w:rsidR="009F5368">
        <w:rPr>
          <w:rFonts w:eastAsia="Arial Unicode MS"/>
          <w:color w:val="000000" w:themeColor="text1"/>
        </w:rPr>
        <w:t>Algeria</w:t>
      </w:r>
      <w:r w:rsidR="7075FCB8" w:rsidRPr="005D0D2F">
        <w:t xml:space="preserve">, on </w:t>
      </w:r>
      <w:r w:rsidR="7075FCB8" w:rsidRPr="000C26C9">
        <w:t xml:space="preserve">the </w:t>
      </w:r>
      <w:r w:rsidR="7075FCB8" w:rsidRPr="005D0D2F">
        <w:t>cooperation</w:t>
      </w:r>
      <w:r w:rsidR="7075FCB8" w:rsidRPr="00833346">
        <w:t xml:space="preserve"> between the European Union Agency for Criminal Justice Cooperation (Eurojust) and the authorities </w:t>
      </w:r>
      <w:r w:rsidR="00D445C2">
        <w:t xml:space="preserve">of the People’s Democratic Republic of Algeria competent </w:t>
      </w:r>
      <w:r w:rsidR="7075FCB8" w:rsidRPr="00833346">
        <w:t>for judicial cooperation in criminal matters</w:t>
      </w:r>
      <w:r w:rsidR="00D445C2">
        <w:t>.</w:t>
      </w:r>
    </w:p>
  </w:footnote>
  <w:footnote w:id="15">
    <w:p w:rsidR="006F2A36" w:rsidRPr="00F072E2" w:rsidRDefault="006F2A36" w:rsidP="006F2A36">
      <w:pPr>
        <w:pStyle w:val="FootnoteText"/>
        <w:rPr>
          <w:lang w:val="en-IE"/>
        </w:rPr>
      </w:pPr>
      <w:r>
        <w:rPr>
          <w:rStyle w:val="FootnoteReference"/>
        </w:rPr>
        <w:footnoteRef/>
      </w:r>
      <w:r w:rsidRPr="00F072E2">
        <w:rPr>
          <w:lang w:val="en-IE"/>
        </w:rPr>
        <w:tab/>
        <w:t>O</w:t>
      </w:r>
      <w:r w:rsidRPr="00833346">
        <w:t>J C 326, 26.10.2012, p. 391.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D13" w:rsidRDefault="00067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D13" w:rsidRDefault="00067D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A7E316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B6AD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2A4BF9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9185F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F181BE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7462A8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7E826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470411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5"/>
    <w:lvlOverride w:ilvl="0">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 w:numId="27">
    <w:abstractNumId w:val="19"/>
  </w:num>
  <w:num w:numId="28">
    <w:abstractNumId w:val="12"/>
  </w:num>
  <w:num w:numId="29">
    <w:abstractNumId w:val="21"/>
  </w:num>
  <w:num w:numId="30">
    <w:abstractNumId w:val="11"/>
  </w:num>
  <w:num w:numId="31">
    <w:abstractNumId w:val="13"/>
  </w:num>
  <w:num w:numId="32">
    <w:abstractNumId w:val="14"/>
  </w:num>
  <w:num w:numId="33">
    <w:abstractNumId w:val="9"/>
  </w:num>
  <w:num w:numId="34">
    <w:abstractNumId w:val="20"/>
  </w:num>
  <w:num w:numId="35">
    <w:abstractNumId w:val="8"/>
  </w:num>
  <w:num w:numId="36">
    <w:abstractNumId w:val="15"/>
  </w:num>
  <w:num w:numId="37">
    <w:abstractNumId w:val="17"/>
  </w:num>
  <w:num w:numId="38">
    <w:abstractNumId w:val="18"/>
  </w:num>
  <w:num w:numId="39">
    <w:abstractNumId w:val="10"/>
  </w:num>
  <w:num w:numId="40">
    <w:abstractNumId w:val="16"/>
  </w:num>
  <w:num w:numId="4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06 17:51: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BB81FA69-21E4-45FF-AEC8-CAE1728F9571"/>
    <w:docVar w:name="LW_COVERPAGE_TYPE" w:val="1"/>
    <w:docVar w:name="LW_CROSSREFERENCE" w:val="&lt;UNUSED&gt;"/>
    <w:docVar w:name="LW_DocType" w:val="COM"/>
    <w:docVar w:name="LW_EMISSION" w:val="25.6.2026"/>
    <w:docVar w:name="LW_EMISSION_ISODATE" w:val="2026-06-25"/>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55"/>
    <w:docVar w:name="LW_REF.II.NEW.CP_YEAR" w:val="2026"/>
    <w:docVar w:name="LW_REF.INST.NEW" w:val="COM"/>
    <w:docVar w:name="LW_REF.INST.NEW_ADOPTED" w:val="final"/>
    <w:docVar w:name="LW_REF.INST.NEW_TEXT" w:val="(2026) 2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conclusion of an Agreement between the European Union and the People\u8217?s Democratic Republic of Algeria on the cooperation between the European Union Agency for Criminal Justice Cooperation (Eurojust) and the authorities of the People\u8217?s Democratic Republic of Algeria competent for judicial cooperation in criminal matters"/>
    <w:docVar w:name="LW_TYPE.DOC.CP" w:val="COUNCIL DECISION"/>
    <w:docVar w:name="LwApiVersions" w:val="LW4CoDe 1.24.5.0; LW 9.2, Build 20251112"/>
  </w:docVars>
  <w:rsids>
    <w:rsidRoot w:val="00C11FA9"/>
    <w:rsid w:val="00001E5C"/>
    <w:rsid w:val="00002B80"/>
    <w:rsid w:val="00005C64"/>
    <w:rsid w:val="00007945"/>
    <w:rsid w:val="00011347"/>
    <w:rsid w:val="00011F7F"/>
    <w:rsid w:val="0001415E"/>
    <w:rsid w:val="000145E9"/>
    <w:rsid w:val="000206EE"/>
    <w:rsid w:val="00022C57"/>
    <w:rsid w:val="00032696"/>
    <w:rsid w:val="0003476E"/>
    <w:rsid w:val="00040C8F"/>
    <w:rsid w:val="0004571C"/>
    <w:rsid w:val="00050ECC"/>
    <w:rsid w:val="00051746"/>
    <w:rsid w:val="00054A79"/>
    <w:rsid w:val="00057F9A"/>
    <w:rsid w:val="00060FAF"/>
    <w:rsid w:val="00067D13"/>
    <w:rsid w:val="00072901"/>
    <w:rsid w:val="000806AB"/>
    <w:rsid w:val="00082F52"/>
    <w:rsid w:val="00093179"/>
    <w:rsid w:val="000938CB"/>
    <w:rsid w:val="00094616"/>
    <w:rsid w:val="00094767"/>
    <w:rsid w:val="00096C74"/>
    <w:rsid w:val="000A33CF"/>
    <w:rsid w:val="000A5C4F"/>
    <w:rsid w:val="000A7CD5"/>
    <w:rsid w:val="000B16F0"/>
    <w:rsid w:val="000B3B6F"/>
    <w:rsid w:val="000C26C9"/>
    <w:rsid w:val="000C4FBE"/>
    <w:rsid w:val="000C5831"/>
    <w:rsid w:val="000D196F"/>
    <w:rsid w:val="000E3F48"/>
    <w:rsid w:val="000F40BD"/>
    <w:rsid w:val="001065F5"/>
    <w:rsid w:val="001113AA"/>
    <w:rsid w:val="001136C9"/>
    <w:rsid w:val="00113BF0"/>
    <w:rsid w:val="0012167E"/>
    <w:rsid w:val="0012182C"/>
    <w:rsid w:val="001218A1"/>
    <w:rsid w:val="001238EF"/>
    <w:rsid w:val="00125143"/>
    <w:rsid w:val="001258D1"/>
    <w:rsid w:val="00130E09"/>
    <w:rsid w:val="001331A5"/>
    <w:rsid w:val="001529E9"/>
    <w:rsid w:val="00161717"/>
    <w:rsid w:val="0016518A"/>
    <w:rsid w:val="00166023"/>
    <w:rsid w:val="00166668"/>
    <w:rsid w:val="00175A7E"/>
    <w:rsid w:val="00182AD0"/>
    <w:rsid w:val="00184BA4"/>
    <w:rsid w:val="001852DF"/>
    <w:rsid w:val="00190076"/>
    <w:rsid w:val="0019632C"/>
    <w:rsid w:val="001964E9"/>
    <w:rsid w:val="00196A63"/>
    <w:rsid w:val="00197613"/>
    <w:rsid w:val="001A18F5"/>
    <w:rsid w:val="001B0019"/>
    <w:rsid w:val="001B1B02"/>
    <w:rsid w:val="001B63EE"/>
    <w:rsid w:val="001C52EF"/>
    <w:rsid w:val="001C5337"/>
    <w:rsid w:val="001C5623"/>
    <w:rsid w:val="001D4A3D"/>
    <w:rsid w:val="001D7712"/>
    <w:rsid w:val="001E71C5"/>
    <w:rsid w:val="001F140D"/>
    <w:rsid w:val="001F50BA"/>
    <w:rsid w:val="001F5471"/>
    <w:rsid w:val="00205041"/>
    <w:rsid w:val="00205070"/>
    <w:rsid w:val="0022073B"/>
    <w:rsid w:val="002247A2"/>
    <w:rsid w:val="00232223"/>
    <w:rsid w:val="00233DC7"/>
    <w:rsid w:val="00235F1B"/>
    <w:rsid w:val="00242A0D"/>
    <w:rsid w:val="002437EF"/>
    <w:rsid w:val="00244F05"/>
    <w:rsid w:val="00246FEE"/>
    <w:rsid w:val="00247779"/>
    <w:rsid w:val="00250BEA"/>
    <w:rsid w:val="00251A76"/>
    <w:rsid w:val="00257774"/>
    <w:rsid w:val="002669CB"/>
    <w:rsid w:val="00274980"/>
    <w:rsid w:val="00281A03"/>
    <w:rsid w:val="00285BEE"/>
    <w:rsid w:val="00286216"/>
    <w:rsid w:val="002949F7"/>
    <w:rsid w:val="0029533F"/>
    <w:rsid w:val="002A7D01"/>
    <w:rsid w:val="002B0F83"/>
    <w:rsid w:val="002B2460"/>
    <w:rsid w:val="002B30AF"/>
    <w:rsid w:val="002B3298"/>
    <w:rsid w:val="002B516F"/>
    <w:rsid w:val="002B64C6"/>
    <w:rsid w:val="002C747B"/>
    <w:rsid w:val="002D1F69"/>
    <w:rsid w:val="002D4C63"/>
    <w:rsid w:val="002E5451"/>
    <w:rsid w:val="002F0AA7"/>
    <w:rsid w:val="002F0E82"/>
    <w:rsid w:val="002F7286"/>
    <w:rsid w:val="002F7D37"/>
    <w:rsid w:val="003122EB"/>
    <w:rsid w:val="00316035"/>
    <w:rsid w:val="003212E6"/>
    <w:rsid w:val="00322449"/>
    <w:rsid w:val="00322586"/>
    <w:rsid w:val="00323672"/>
    <w:rsid w:val="0032616C"/>
    <w:rsid w:val="003300E1"/>
    <w:rsid w:val="00331080"/>
    <w:rsid w:val="0033344A"/>
    <w:rsid w:val="003346F0"/>
    <w:rsid w:val="00337CF5"/>
    <w:rsid w:val="00345748"/>
    <w:rsid w:val="00350E10"/>
    <w:rsid w:val="003516A9"/>
    <w:rsid w:val="003618B7"/>
    <w:rsid w:val="00362E60"/>
    <w:rsid w:val="00365324"/>
    <w:rsid w:val="00366F29"/>
    <w:rsid w:val="00370A6C"/>
    <w:rsid w:val="00377EEA"/>
    <w:rsid w:val="00382684"/>
    <w:rsid w:val="00385F29"/>
    <w:rsid w:val="003867D8"/>
    <w:rsid w:val="00396B03"/>
    <w:rsid w:val="003A3392"/>
    <w:rsid w:val="003A5BEA"/>
    <w:rsid w:val="003B3B96"/>
    <w:rsid w:val="003D1AF2"/>
    <w:rsid w:val="003D450F"/>
    <w:rsid w:val="003E1966"/>
    <w:rsid w:val="003E265E"/>
    <w:rsid w:val="003E3597"/>
    <w:rsid w:val="003E4FC7"/>
    <w:rsid w:val="003E5B2D"/>
    <w:rsid w:val="003ECD83"/>
    <w:rsid w:val="003F2CB7"/>
    <w:rsid w:val="00401075"/>
    <w:rsid w:val="0040206D"/>
    <w:rsid w:val="00406FF1"/>
    <w:rsid w:val="00410341"/>
    <w:rsid w:val="00412838"/>
    <w:rsid w:val="00412A09"/>
    <w:rsid w:val="00417E75"/>
    <w:rsid w:val="004233DA"/>
    <w:rsid w:val="00424C6C"/>
    <w:rsid w:val="0042648E"/>
    <w:rsid w:val="00431B16"/>
    <w:rsid w:val="0044052D"/>
    <w:rsid w:val="00440EE3"/>
    <w:rsid w:val="00442B73"/>
    <w:rsid w:val="00450FE6"/>
    <w:rsid w:val="00455EE0"/>
    <w:rsid w:val="00475E4B"/>
    <w:rsid w:val="004853F2"/>
    <w:rsid w:val="004857D0"/>
    <w:rsid w:val="00485E26"/>
    <w:rsid w:val="00487B58"/>
    <w:rsid w:val="004936D2"/>
    <w:rsid w:val="00497749"/>
    <w:rsid w:val="004A2FD2"/>
    <w:rsid w:val="004A755E"/>
    <w:rsid w:val="004B3E1F"/>
    <w:rsid w:val="004B4224"/>
    <w:rsid w:val="004B59FA"/>
    <w:rsid w:val="004C2575"/>
    <w:rsid w:val="004C375E"/>
    <w:rsid w:val="004C67B5"/>
    <w:rsid w:val="004E61F3"/>
    <w:rsid w:val="004F4593"/>
    <w:rsid w:val="004F45C6"/>
    <w:rsid w:val="00503677"/>
    <w:rsid w:val="00503CB5"/>
    <w:rsid w:val="00506652"/>
    <w:rsid w:val="00507011"/>
    <w:rsid w:val="0051312C"/>
    <w:rsid w:val="00514F4F"/>
    <w:rsid w:val="0051529A"/>
    <w:rsid w:val="005173D6"/>
    <w:rsid w:val="00521B8B"/>
    <w:rsid w:val="005302F0"/>
    <w:rsid w:val="00541180"/>
    <w:rsid w:val="00542CE1"/>
    <w:rsid w:val="00543285"/>
    <w:rsid w:val="00562026"/>
    <w:rsid w:val="0056708E"/>
    <w:rsid w:val="0057017D"/>
    <w:rsid w:val="00571AB0"/>
    <w:rsid w:val="00572ED4"/>
    <w:rsid w:val="00585930"/>
    <w:rsid w:val="00587D1B"/>
    <w:rsid w:val="0059212A"/>
    <w:rsid w:val="00594142"/>
    <w:rsid w:val="00595FAB"/>
    <w:rsid w:val="00596E18"/>
    <w:rsid w:val="005B1EB6"/>
    <w:rsid w:val="005B49ED"/>
    <w:rsid w:val="005C04D8"/>
    <w:rsid w:val="005C0502"/>
    <w:rsid w:val="005C5F78"/>
    <w:rsid w:val="005C762D"/>
    <w:rsid w:val="005D0D2F"/>
    <w:rsid w:val="005D287B"/>
    <w:rsid w:val="005D6783"/>
    <w:rsid w:val="005E062A"/>
    <w:rsid w:val="005E07D3"/>
    <w:rsid w:val="005F0E19"/>
    <w:rsid w:val="005F6193"/>
    <w:rsid w:val="0060193E"/>
    <w:rsid w:val="00605D04"/>
    <w:rsid w:val="0060788A"/>
    <w:rsid w:val="00610919"/>
    <w:rsid w:val="006110CF"/>
    <w:rsid w:val="006123F4"/>
    <w:rsid w:val="00615A14"/>
    <w:rsid w:val="00620245"/>
    <w:rsid w:val="00626988"/>
    <w:rsid w:val="0062768F"/>
    <w:rsid w:val="0063390F"/>
    <w:rsid w:val="006429B1"/>
    <w:rsid w:val="00650245"/>
    <w:rsid w:val="00650E5D"/>
    <w:rsid w:val="00654AFE"/>
    <w:rsid w:val="00661CA0"/>
    <w:rsid w:val="0066386E"/>
    <w:rsid w:val="00666AEE"/>
    <w:rsid w:val="0067178C"/>
    <w:rsid w:val="00676763"/>
    <w:rsid w:val="00682FC7"/>
    <w:rsid w:val="0068415D"/>
    <w:rsid w:val="00691F19"/>
    <w:rsid w:val="006920B6"/>
    <w:rsid w:val="006A4365"/>
    <w:rsid w:val="006A7101"/>
    <w:rsid w:val="006C121E"/>
    <w:rsid w:val="006C3835"/>
    <w:rsid w:val="006D50F8"/>
    <w:rsid w:val="006D69AC"/>
    <w:rsid w:val="006E17E9"/>
    <w:rsid w:val="006F2A36"/>
    <w:rsid w:val="006F3D3B"/>
    <w:rsid w:val="007003A2"/>
    <w:rsid w:val="00703F99"/>
    <w:rsid w:val="00705A8A"/>
    <w:rsid w:val="00712040"/>
    <w:rsid w:val="007143AD"/>
    <w:rsid w:val="00714E80"/>
    <w:rsid w:val="007215D5"/>
    <w:rsid w:val="00732FC1"/>
    <w:rsid w:val="007340B1"/>
    <w:rsid w:val="0074531A"/>
    <w:rsid w:val="007510AB"/>
    <w:rsid w:val="007577DD"/>
    <w:rsid w:val="00767975"/>
    <w:rsid w:val="00773331"/>
    <w:rsid w:val="007773A3"/>
    <w:rsid w:val="007932EF"/>
    <w:rsid w:val="0079512F"/>
    <w:rsid w:val="00796CE7"/>
    <w:rsid w:val="007A08BF"/>
    <w:rsid w:val="007A2771"/>
    <w:rsid w:val="007A4099"/>
    <w:rsid w:val="007B0F82"/>
    <w:rsid w:val="007B3D87"/>
    <w:rsid w:val="007B4FFD"/>
    <w:rsid w:val="007B58E4"/>
    <w:rsid w:val="007B7DBD"/>
    <w:rsid w:val="007D1460"/>
    <w:rsid w:val="007D3C4C"/>
    <w:rsid w:val="007E05B0"/>
    <w:rsid w:val="008062CC"/>
    <w:rsid w:val="008157B6"/>
    <w:rsid w:val="00824456"/>
    <w:rsid w:val="008256AF"/>
    <w:rsid w:val="00825C9B"/>
    <w:rsid w:val="00826349"/>
    <w:rsid w:val="00833346"/>
    <w:rsid w:val="008344D7"/>
    <w:rsid w:val="00835320"/>
    <w:rsid w:val="0083577A"/>
    <w:rsid w:val="00843EBA"/>
    <w:rsid w:val="00853975"/>
    <w:rsid w:val="00863E77"/>
    <w:rsid w:val="0086613A"/>
    <w:rsid w:val="00870960"/>
    <w:rsid w:val="00871B4A"/>
    <w:rsid w:val="00874D22"/>
    <w:rsid w:val="00875A02"/>
    <w:rsid w:val="00885DEE"/>
    <w:rsid w:val="008860A7"/>
    <w:rsid w:val="00886D31"/>
    <w:rsid w:val="0089581A"/>
    <w:rsid w:val="008965AA"/>
    <w:rsid w:val="008A2914"/>
    <w:rsid w:val="008B07EA"/>
    <w:rsid w:val="008B0AFB"/>
    <w:rsid w:val="008B53CC"/>
    <w:rsid w:val="008B63FB"/>
    <w:rsid w:val="008B6577"/>
    <w:rsid w:val="008B65DE"/>
    <w:rsid w:val="008B6B50"/>
    <w:rsid w:val="008D1DF2"/>
    <w:rsid w:val="008D3214"/>
    <w:rsid w:val="008D3997"/>
    <w:rsid w:val="008D7693"/>
    <w:rsid w:val="008E4D8E"/>
    <w:rsid w:val="008F2565"/>
    <w:rsid w:val="008F6660"/>
    <w:rsid w:val="009005B7"/>
    <w:rsid w:val="00912659"/>
    <w:rsid w:val="00916220"/>
    <w:rsid w:val="0092171C"/>
    <w:rsid w:val="00923539"/>
    <w:rsid w:val="0092374C"/>
    <w:rsid w:val="009245FA"/>
    <w:rsid w:val="00925EC5"/>
    <w:rsid w:val="00927FA0"/>
    <w:rsid w:val="00931531"/>
    <w:rsid w:val="00942818"/>
    <w:rsid w:val="00954FC2"/>
    <w:rsid w:val="00955738"/>
    <w:rsid w:val="009561CC"/>
    <w:rsid w:val="00966CFD"/>
    <w:rsid w:val="0096716C"/>
    <w:rsid w:val="00970FF5"/>
    <w:rsid w:val="00972D9F"/>
    <w:rsid w:val="009753FF"/>
    <w:rsid w:val="009756F6"/>
    <w:rsid w:val="00975C0E"/>
    <w:rsid w:val="00977E5E"/>
    <w:rsid w:val="00990B47"/>
    <w:rsid w:val="00991687"/>
    <w:rsid w:val="009937CE"/>
    <w:rsid w:val="00994015"/>
    <w:rsid w:val="009A39F5"/>
    <w:rsid w:val="009A6BD0"/>
    <w:rsid w:val="009A72A7"/>
    <w:rsid w:val="009C0F6D"/>
    <w:rsid w:val="009C1C07"/>
    <w:rsid w:val="009D075A"/>
    <w:rsid w:val="009D2327"/>
    <w:rsid w:val="009D60F8"/>
    <w:rsid w:val="009E038C"/>
    <w:rsid w:val="009E066A"/>
    <w:rsid w:val="009E4023"/>
    <w:rsid w:val="009E45BE"/>
    <w:rsid w:val="009E5643"/>
    <w:rsid w:val="009E61EC"/>
    <w:rsid w:val="009F3D8B"/>
    <w:rsid w:val="009F4D76"/>
    <w:rsid w:val="009F5368"/>
    <w:rsid w:val="00A01418"/>
    <w:rsid w:val="00A10AB3"/>
    <w:rsid w:val="00A13093"/>
    <w:rsid w:val="00A13D02"/>
    <w:rsid w:val="00A20C78"/>
    <w:rsid w:val="00A2158B"/>
    <w:rsid w:val="00A23887"/>
    <w:rsid w:val="00A30E16"/>
    <w:rsid w:val="00A35074"/>
    <w:rsid w:val="00A400BB"/>
    <w:rsid w:val="00A42BDA"/>
    <w:rsid w:val="00A46BD3"/>
    <w:rsid w:val="00A52F19"/>
    <w:rsid w:val="00A56316"/>
    <w:rsid w:val="00A61A7D"/>
    <w:rsid w:val="00A7072F"/>
    <w:rsid w:val="00A7356A"/>
    <w:rsid w:val="00A74CB5"/>
    <w:rsid w:val="00A8485F"/>
    <w:rsid w:val="00A8596C"/>
    <w:rsid w:val="00A918A2"/>
    <w:rsid w:val="00A947E3"/>
    <w:rsid w:val="00A94D03"/>
    <w:rsid w:val="00A9564D"/>
    <w:rsid w:val="00AB2544"/>
    <w:rsid w:val="00AB465E"/>
    <w:rsid w:val="00AB6F64"/>
    <w:rsid w:val="00AD0092"/>
    <w:rsid w:val="00AD0162"/>
    <w:rsid w:val="00AD4B4A"/>
    <w:rsid w:val="00AE6066"/>
    <w:rsid w:val="00AE6D97"/>
    <w:rsid w:val="00AF08A8"/>
    <w:rsid w:val="00AF132C"/>
    <w:rsid w:val="00AF4D13"/>
    <w:rsid w:val="00AF7A49"/>
    <w:rsid w:val="00B00362"/>
    <w:rsid w:val="00B06F42"/>
    <w:rsid w:val="00B1582A"/>
    <w:rsid w:val="00B20972"/>
    <w:rsid w:val="00B22DC3"/>
    <w:rsid w:val="00B24FB4"/>
    <w:rsid w:val="00B26DE4"/>
    <w:rsid w:val="00B31D3D"/>
    <w:rsid w:val="00B477E5"/>
    <w:rsid w:val="00B51628"/>
    <w:rsid w:val="00B52C8D"/>
    <w:rsid w:val="00B55224"/>
    <w:rsid w:val="00B56E70"/>
    <w:rsid w:val="00B6039A"/>
    <w:rsid w:val="00B60B5B"/>
    <w:rsid w:val="00B82BB3"/>
    <w:rsid w:val="00B842CE"/>
    <w:rsid w:val="00B9527F"/>
    <w:rsid w:val="00BA01EF"/>
    <w:rsid w:val="00BA1795"/>
    <w:rsid w:val="00BA7CC9"/>
    <w:rsid w:val="00BA7DC3"/>
    <w:rsid w:val="00BB47BE"/>
    <w:rsid w:val="00BC124D"/>
    <w:rsid w:val="00BD3DC7"/>
    <w:rsid w:val="00BD53DD"/>
    <w:rsid w:val="00BE105F"/>
    <w:rsid w:val="00BE2B08"/>
    <w:rsid w:val="00BE2B32"/>
    <w:rsid w:val="00BE42F0"/>
    <w:rsid w:val="00BE7985"/>
    <w:rsid w:val="00BF0F2E"/>
    <w:rsid w:val="00BF5C73"/>
    <w:rsid w:val="00BF615E"/>
    <w:rsid w:val="00C002D5"/>
    <w:rsid w:val="00C11E78"/>
    <w:rsid w:val="00C11FA9"/>
    <w:rsid w:val="00C12301"/>
    <w:rsid w:val="00C14284"/>
    <w:rsid w:val="00C171B0"/>
    <w:rsid w:val="00C2455E"/>
    <w:rsid w:val="00C30ED9"/>
    <w:rsid w:val="00C43168"/>
    <w:rsid w:val="00C4600C"/>
    <w:rsid w:val="00C4704B"/>
    <w:rsid w:val="00C47BD8"/>
    <w:rsid w:val="00C508EB"/>
    <w:rsid w:val="00C53376"/>
    <w:rsid w:val="00C54C55"/>
    <w:rsid w:val="00C55EC8"/>
    <w:rsid w:val="00C62289"/>
    <w:rsid w:val="00C62C96"/>
    <w:rsid w:val="00C70836"/>
    <w:rsid w:val="00C73937"/>
    <w:rsid w:val="00C8129B"/>
    <w:rsid w:val="00C81CFF"/>
    <w:rsid w:val="00C82646"/>
    <w:rsid w:val="00C84806"/>
    <w:rsid w:val="00C94596"/>
    <w:rsid w:val="00CA64E8"/>
    <w:rsid w:val="00CB3186"/>
    <w:rsid w:val="00CB5444"/>
    <w:rsid w:val="00CB6708"/>
    <w:rsid w:val="00CB6978"/>
    <w:rsid w:val="00CB7B9B"/>
    <w:rsid w:val="00CC6129"/>
    <w:rsid w:val="00CD4C39"/>
    <w:rsid w:val="00CD684E"/>
    <w:rsid w:val="00CE0FE2"/>
    <w:rsid w:val="00CE1284"/>
    <w:rsid w:val="00CE7B52"/>
    <w:rsid w:val="00CF1E4D"/>
    <w:rsid w:val="00CF725E"/>
    <w:rsid w:val="00D026DC"/>
    <w:rsid w:val="00D20381"/>
    <w:rsid w:val="00D26F60"/>
    <w:rsid w:val="00D32A69"/>
    <w:rsid w:val="00D37C92"/>
    <w:rsid w:val="00D445C2"/>
    <w:rsid w:val="00D45A17"/>
    <w:rsid w:val="00D5090B"/>
    <w:rsid w:val="00D626D5"/>
    <w:rsid w:val="00D72E34"/>
    <w:rsid w:val="00D75E99"/>
    <w:rsid w:val="00D85BF0"/>
    <w:rsid w:val="00D91778"/>
    <w:rsid w:val="00D941E1"/>
    <w:rsid w:val="00D96DAB"/>
    <w:rsid w:val="00DA5D9E"/>
    <w:rsid w:val="00DA5FA1"/>
    <w:rsid w:val="00DB67E1"/>
    <w:rsid w:val="00DC203A"/>
    <w:rsid w:val="00DC2182"/>
    <w:rsid w:val="00DE1B00"/>
    <w:rsid w:val="00DE528F"/>
    <w:rsid w:val="00DF4A2F"/>
    <w:rsid w:val="00E00514"/>
    <w:rsid w:val="00E0221B"/>
    <w:rsid w:val="00E03929"/>
    <w:rsid w:val="00E063CC"/>
    <w:rsid w:val="00E0729D"/>
    <w:rsid w:val="00E12D4F"/>
    <w:rsid w:val="00E22798"/>
    <w:rsid w:val="00E30D18"/>
    <w:rsid w:val="00E326C3"/>
    <w:rsid w:val="00E40683"/>
    <w:rsid w:val="00E41183"/>
    <w:rsid w:val="00E45543"/>
    <w:rsid w:val="00E464E8"/>
    <w:rsid w:val="00E531AB"/>
    <w:rsid w:val="00E55CB0"/>
    <w:rsid w:val="00E67E02"/>
    <w:rsid w:val="00E73F37"/>
    <w:rsid w:val="00E77646"/>
    <w:rsid w:val="00E80F29"/>
    <w:rsid w:val="00E80F4A"/>
    <w:rsid w:val="00E929AC"/>
    <w:rsid w:val="00E96BD2"/>
    <w:rsid w:val="00EA0B74"/>
    <w:rsid w:val="00EA1927"/>
    <w:rsid w:val="00EA7FE6"/>
    <w:rsid w:val="00EC408C"/>
    <w:rsid w:val="00EC48E5"/>
    <w:rsid w:val="00EE347C"/>
    <w:rsid w:val="00EF05A4"/>
    <w:rsid w:val="00EF332E"/>
    <w:rsid w:val="00F03016"/>
    <w:rsid w:val="00F04A5D"/>
    <w:rsid w:val="00F0531E"/>
    <w:rsid w:val="00F072E2"/>
    <w:rsid w:val="00F24AB6"/>
    <w:rsid w:val="00F326A5"/>
    <w:rsid w:val="00F34249"/>
    <w:rsid w:val="00F4451E"/>
    <w:rsid w:val="00F56B91"/>
    <w:rsid w:val="00F65047"/>
    <w:rsid w:val="00F70B03"/>
    <w:rsid w:val="00F7307F"/>
    <w:rsid w:val="00F7558F"/>
    <w:rsid w:val="00F75D8B"/>
    <w:rsid w:val="00F812B0"/>
    <w:rsid w:val="00F8327B"/>
    <w:rsid w:val="00F86875"/>
    <w:rsid w:val="00F86F0E"/>
    <w:rsid w:val="00FA2801"/>
    <w:rsid w:val="00FA537D"/>
    <w:rsid w:val="00FA6061"/>
    <w:rsid w:val="00FA799B"/>
    <w:rsid w:val="00FB3D8C"/>
    <w:rsid w:val="00FB61B8"/>
    <w:rsid w:val="00FC38F8"/>
    <w:rsid w:val="00FC4034"/>
    <w:rsid w:val="00FE311E"/>
    <w:rsid w:val="00FE34BC"/>
    <w:rsid w:val="00FE5111"/>
    <w:rsid w:val="00FE57B6"/>
    <w:rsid w:val="00FE71F7"/>
    <w:rsid w:val="0169138E"/>
    <w:rsid w:val="01A9CA78"/>
    <w:rsid w:val="01E516BF"/>
    <w:rsid w:val="023B299E"/>
    <w:rsid w:val="023F2F78"/>
    <w:rsid w:val="0254EE66"/>
    <w:rsid w:val="02C300BC"/>
    <w:rsid w:val="02D0EC2C"/>
    <w:rsid w:val="02F0452C"/>
    <w:rsid w:val="035F617B"/>
    <w:rsid w:val="03F0BEC7"/>
    <w:rsid w:val="03F5EC94"/>
    <w:rsid w:val="03FFA901"/>
    <w:rsid w:val="04322234"/>
    <w:rsid w:val="046EAA33"/>
    <w:rsid w:val="0491D4E1"/>
    <w:rsid w:val="052FE10D"/>
    <w:rsid w:val="059DC924"/>
    <w:rsid w:val="05A983FC"/>
    <w:rsid w:val="05B3E04B"/>
    <w:rsid w:val="0615B686"/>
    <w:rsid w:val="062185C4"/>
    <w:rsid w:val="065F44EF"/>
    <w:rsid w:val="068E82A6"/>
    <w:rsid w:val="06CBB16E"/>
    <w:rsid w:val="06CCFA53"/>
    <w:rsid w:val="07533DB5"/>
    <w:rsid w:val="078C2EBA"/>
    <w:rsid w:val="07A1AADB"/>
    <w:rsid w:val="07EDB4C4"/>
    <w:rsid w:val="080A5401"/>
    <w:rsid w:val="08F99EAE"/>
    <w:rsid w:val="09432032"/>
    <w:rsid w:val="09739319"/>
    <w:rsid w:val="09987C29"/>
    <w:rsid w:val="0A04EF50"/>
    <w:rsid w:val="0A50E063"/>
    <w:rsid w:val="0A5A30AF"/>
    <w:rsid w:val="0B4AC891"/>
    <w:rsid w:val="0B551F4E"/>
    <w:rsid w:val="0B7900E7"/>
    <w:rsid w:val="0B937B24"/>
    <w:rsid w:val="0C431C5F"/>
    <w:rsid w:val="0C502EC0"/>
    <w:rsid w:val="0CE96B90"/>
    <w:rsid w:val="0D16B5FD"/>
    <w:rsid w:val="0D20A458"/>
    <w:rsid w:val="0D25140B"/>
    <w:rsid w:val="0D3F8E48"/>
    <w:rsid w:val="0D900ADE"/>
    <w:rsid w:val="0DEFCF94"/>
    <w:rsid w:val="0E76DE66"/>
    <w:rsid w:val="0F654D76"/>
    <w:rsid w:val="0F78A9E8"/>
    <w:rsid w:val="1046BCBE"/>
    <w:rsid w:val="10C334C5"/>
    <w:rsid w:val="112689A8"/>
    <w:rsid w:val="11517E7C"/>
    <w:rsid w:val="119683DE"/>
    <w:rsid w:val="11C92EE1"/>
    <w:rsid w:val="12240BA5"/>
    <w:rsid w:val="124E121F"/>
    <w:rsid w:val="125CA59D"/>
    <w:rsid w:val="129D4BDB"/>
    <w:rsid w:val="12D7C2C5"/>
    <w:rsid w:val="12EC25D9"/>
    <w:rsid w:val="1337B311"/>
    <w:rsid w:val="133FA085"/>
    <w:rsid w:val="13C107AD"/>
    <w:rsid w:val="144AF65A"/>
    <w:rsid w:val="14567A4D"/>
    <w:rsid w:val="14AD463A"/>
    <w:rsid w:val="15095958"/>
    <w:rsid w:val="15103EFC"/>
    <w:rsid w:val="160F6387"/>
    <w:rsid w:val="16269E3E"/>
    <w:rsid w:val="16E20809"/>
    <w:rsid w:val="16EB9D47"/>
    <w:rsid w:val="17182DCF"/>
    <w:rsid w:val="181C8758"/>
    <w:rsid w:val="18B031B2"/>
    <w:rsid w:val="18C85E04"/>
    <w:rsid w:val="195B0F14"/>
    <w:rsid w:val="198B9B60"/>
    <w:rsid w:val="199882AA"/>
    <w:rsid w:val="19B16F2D"/>
    <w:rsid w:val="19B62DD9"/>
    <w:rsid w:val="19CE5D4F"/>
    <w:rsid w:val="1A47FAEB"/>
    <w:rsid w:val="1A7E119B"/>
    <w:rsid w:val="1B299C99"/>
    <w:rsid w:val="1B77131B"/>
    <w:rsid w:val="1C05E76C"/>
    <w:rsid w:val="1D242740"/>
    <w:rsid w:val="1D9BCF27"/>
    <w:rsid w:val="1DC78F61"/>
    <w:rsid w:val="1E335C3D"/>
    <w:rsid w:val="1ED61885"/>
    <w:rsid w:val="1F04C924"/>
    <w:rsid w:val="1F0B22FA"/>
    <w:rsid w:val="1F3D882E"/>
    <w:rsid w:val="1F985615"/>
    <w:rsid w:val="20266057"/>
    <w:rsid w:val="20ACE720"/>
    <w:rsid w:val="2133ECF5"/>
    <w:rsid w:val="21656315"/>
    <w:rsid w:val="22A70EC3"/>
    <w:rsid w:val="22AB2BA0"/>
    <w:rsid w:val="231D36D7"/>
    <w:rsid w:val="2367ED66"/>
    <w:rsid w:val="2406D310"/>
    <w:rsid w:val="240B10AB"/>
    <w:rsid w:val="2502084F"/>
    <w:rsid w:val="258F0C35"/>
    <w:rsid w:val="261C200C"/>
    <w:rsid w:val="26247239"/>
    <w:rsid w:val="262CFD43"/>
    <w:rsid w:val="265920FE"/>
    <w:rsid w:val="26C796FD"/>
    <w:rsid w:val="27291A52"/>
    <w:rsid w:val="279E4BBC"/>
    <w:rsid w:val="27F58404"/>
    <w:rsid w:val="28F9C898"/>
    <w:rsid w:val="2916BB4E"/>
    <w:rsid w:val="2925D9D0"/>
    <w:rsid w:val="29372395"/>
    <w:rsid w:val="2B43E52E"/>
    <w:rsid w:val="2B6ECFFB"/>
    <w:rsid w:val="2BC2EACC"/>
    <w:rsid w:val="2BDA397E"/>
    <w:rsid w:val="2C24D835"/>
    <w:rsid w:val="2C4BDE93"/>
    <w:rsid w:val="2C772A92"/>
    <w:rsid w:val="2D0AA05C"/>
    <w:rsid w:val="2DDA4C24"/>
    <w:rsid w:val="2DFE3FEE"/>
    <w:rsid w:val="2E3886BC"/>
    <w:rsid w:val="2E4CE9D0"/>
    <w:rsid w:val="2EAD9504"/>
    <w:rsid w:val="2F377298"/>
    <w:rsid w:val="2F41C3CD"/>
    <w:rsid w:val="2F5C78F7"/>
    <w:rsid w:val="2FBE14DD"/>
    <w:rsid w:val="2FC85ADF"/>
    <w:rsid w:val="2FD4571D"/>
    <w:rsid w:val="2FFAF7FF"/>
    <w:rsid w:val="3067E616"/>
    <w:rsid w:val="3068926A"/>
    <w:rsid w:val="30AC0B55"/>
    <w:rsid w:val="30BB6741"/>
    <w:rsid w:val="312DE783"/>
    <w:rsid w:val="31637BE2"/>
    <w:rsid w:val="316E39D8"/>
    <w:rsid w:val="3179A8AF"/>
    <w:rsid w:val="31C2C382"/>
    <w:rsid w:val="32587116"/>
    <w:rsid w:val="325A0F45"/>
    <w:rsid w:val="32899C7D"/>
    <w:rsid w:val="32F12153"/>
    <w:rsid w:val="334B9DD6"/>
    <w:rsid w:val="3415E244"/>
    <w:rsid w:val="34B7D2D5"/>
    <w:rsid w:val="356C21D4"/>
    <w:rsid w:val="357A7550"/>
    <w:rsid w:val="358A58FB"/>
    <w:rsid w:val="36281E08"/>
    <w:rsid w:val="365D58D1"/>
    <w:rsid w:val="371645B1"/>
    <w:rsid w:val="38B21612"/>
    <w:rsid w:val="38EFB5B6"/>
    <w:rsid w:val="38F8DE01"/>
    <w:rsid w:val="38FE7567"/>
    <w:rsid w:val="3952F5AA"/>
    <w:rsid w:val="39D528D4"/>
    <w:rsid w:val="3A555F9E"/>
    <w:rsid w:val="3A8A97DA"/>
    <w:rsid w:val="3A98637F"/>
    <w:rsid w:val="3AB99FE0"/>
    <w:rsid w:val="3ACF504E"/>
    <w:rsid w:val="3BE62AFF"/>
    <w:rsid w:val="3C452CD4"/>
    <w:rsid w:val="3C6FD600"/>
    <w:rsid w:val="40B9CE7A"/>
    <w:rsid w:val="42A732FB"/>
    <w:rsid w:val="42E6FEEB"/>
    <w:rsid w:val="4304DA97"/>
    <w:rsid w:val="434B8F42"/>
    <w:rsid w:val="4388BA11"/>
    <w:rsid w:val="43CB3B61"/>
    <w:rsid w:val="44111953"/>
    <w:rsid w:val="45BEA7CF"/>
    <w:rsid w:val="45DF4E8F"/>
    <w:rsid w:val="4695B457"/>
    <w:rsid w:val="46BC78DB"/>
    <w:rsid w:val="46DB4995"/>
    <w:rsid w:val="47761A80"/>
    <w:rsid w:val="47F88A95"/>
    <w:rsid w:val="48614E0F"/>
    <w:rsid w:val="4867C0D2"/>
    <w:rsid w:val="48A84368"/>
    <w:rsid w:val="49066B08"/>
    <w:rsid w:val="49651445"/>
    <w:rsid w:val="49A4DDB4"/>
    <w:rsid w:val="4A475F49"/>
    <w:rsid w:val="4A9D88CC"/>
    <w:rsid w:val="4B4F9D71"/>
    <w:rsid w:val="4B94A5D7"/>
    <w:rsid w:val="4BD9370B"/>
    <w:rsid w:val="4BF4345F"/>
    <w:rsid w:val="4C0502D1"/>
    <w:rsid w:val="4C97AA4F"/>
    <w:rsid w:val="4D5C51BF"/>
    <w:rsid w:val="4D8A7028"/>
    <w:rsid w:val="4DB6AEF4"/>
    <w:rsid w:val="4E55917A"/>
    <w:rsid w:val="4E8D804C"/>
    <w:rsid w:val="4EAD82EA"/>
    <w:rsid w:val="4EC0C2A1"/>
    <w:rsid w:val="4F048AA0"/>
    <w:rsid w:val="4FA32DA6"/>
    <w:rsid w:val="4FEAC6CA"/>
    <w:rsid w:val="5007E385"/>
    <w:rsid w:val="502950AD"/>
    <w:rsid w:val="502B3E53"/>
    <w:rsid w:val="5049534B"/>
    <w:rsid w:val="5087CA1C"/>
    <w:rsid w:val="5090BB18"/>
    <w:rsid w:val="51C3AA30"/>
    <w:rsid w:val="5200393F"/>
    <w:rsid w:val="5202EB45"/>
    <w:rsid w:val="52B4A340"/>
    <w:rsid w:val="52DE5B7A"/>
    <w:rsid w:val="534AA1B9"/>
    <w:rsid w:val="53FCD7DD"/>
    <w:rsid w:val="540F4E34"/>
    <w:rsid w:val="545CCE41"/>
    <w:rsid w:val="547A9461"/>
    <w:rsid w:val="55AE13A4"/>
    <w:rsid w:val="56460EC4"/>
    <w:rsid w:val="56717E64"/>
    <w:rsid w:val="574CBED8"/>
    <w:rsid w:val="57D21665"/>
    <w:rsid w:val="57F61655"/>
    <w:rsid w:val="5867863F"/>
    <w:rsid w:val="5888083D"/>
    <w:rsid w:val="58D1CC0F"/>
    <w:rsid w:val="59922D6B"/>
    <w:rsid w:val="5A13665B"/>
    <w:rsid w:val="5B5577D0"/>
    <w:rsid w:val="5B984E5B"/>
    <w:rsid w:val="5C8F537F"/>
    <w:rsid w:val="5CD1FBCE"/>
    <w:rsid w:val="5CD48C6C"/>
    <w:rsid w:val="5D11AEE1"/>
    <w:rsid w:val="5D2FC3D9"/>
    <w:rsid w:val="5D87077A"/>
    <w:rsid w:val="5D955406"/>
    <w:rsid w:val="5E072CCF"/>
    <w:rsid w:val="5E59BF09"/>
    <w:rsid w:val="5E5D592B"/>
    <w:rsid w:val="5F4451D9"/>
    <w:rsid w:val="5F7090A5"/>
    <w:rsid w:val="6000BB11"/>
    <w:rsid w:val="6067649B"/>
    <w:rsid w:val="60A74E80"/>
    <w:rsid w:val="60B7856E"/>
    <w:rsid w:val="60BDC447"/>
    <w:rsid w:val="60EFB503"/>
    <w:rsid w:val="60FA1152"/>
    <w:rsid w:val="61E3325E"/>
    <w:rsid w:val="62E921C3"/>
    <w:rsid w:val="633D8692"/>
    <w:rsid w:val="634695D5"/>
    <w:rsid w:val="63A9EB7A"/>
    <w:rsid w:val="644839D4"/>
    <w:rsid w:val="646BA3A1"/>
    <w:rsid w:val="648ADACA"/>
    <w:rsid w:val="64D5C412"/>
    <w:rsid w:val="6602338B"/>
    <w:rsid w:val="66ADF19D"/>
    <w:rsid w:val="66BFE44A"/>
    <w:rsid w:val="67223776"/>
    <w:rsid w:val="67818C7F"/>
    <w:rsid w:val="678B3E37"/>
    <w:rsid w:val="67BD4DBF"/>
    <w:rsid w:val="67BFA2AD"/>
    <w:rsid w:val="67EF84B5"/>
    <w:rsid w:val="685EFA9D"/>
    <w:rsid w:val="68727680"/>
    <w:rsid w:val="68D364DA"/>
    <w:rsid w:val="69010711"/>
    <w:rsid w:val="695E4BED"/>
    <w:rsid w:val="6983879B"/>
    <w:rsid w:val="69D7098C"/>
    <w:rsid w:val="6A19C6B4"/>
    <w:rsid w:val="6AB5985E"/>
    <w:rsid w:val="6AEA7A4F"/>
    <w:rsid w:val="6B2B2077"/>
    <w:rsid w:val="6B5B8B6B"/>
    <w:rsid w:val="6B6067F9"/>
    <w:rsid w:val="6B7BA966"/>
    <w:rsid w:val="6C35ADE7"/>
    <w:rsid w:val="6C826F2E"/>
    <w:rsid w:val="6D2712FA"/>
    <w:rsid w:val="6D4537B6"/>
    <w:rsid w:val="6EDD8D81"/>
    <w:rsid w:val="6F288350"/>
    <w:rsid w:val="6F451D7F"/>
    <w:rsid w:val="6F466DC1"/>
    <w:rsid w:val="6FF23CDA"/>
    <w:rsid w:val="704E96EF"/>
    <w:rsid w:val="7075FCB8"/>
    <w:rsid w:val="71231F70"/>
    <w:rsid w:val="71B577C1"/>
    <w:rsid w:val="71C4A80D"/>
    <w:rsid w:val="72209732"/>
    <w:rsid w:val="72A4EF6B"/>
    <w:rsid w:val="72B4287B"/>
    <w:rsid w:val="72DBD264"/>
    <w:rsid w:val="736137A0"/>
    <w:rsid w:val="738D59CD"/>
    <w:rsid w:val="73943DDE"/>
    <w:rsid w:val="740D5424"/>
    <w:rsid w:val="752FE734"/>
    <w:rsid w:val="7596EFBA"/>
    <w:rsid w:val="7666EFF6"/>
    <w:rsid w:val="7718EEEE"/>
    <w:rsid w:val="771D9A17"/>
    <w:rsid w:val="77DB5F0F"/>
    <w:rsid w:val="78548532"/>
    <w:rsid w:val="786E1FCC"/>
    <w:rsid w:val="788CFE76"/>
    <w:rsid w:val="7892480D"/>
    <w:rsid w:val="78C47FE5"/>
    <w:rsid w:val="78FA7CAD"/>
    <w:rsid w:val="7923C515"/>
    <w:rsid w:val="79470C4F"/>
    <w:rsid w:val="79A67C99"/>
    <w:rsid w:val="79B76AD1"/>
    <w:rsid w:val="79BED9A6"/>
    <w:rsid w:val="79F32D36"/>
    <w:rsid w:val="7A11B005"/>
    <w:rsid w:val="7A3B09EB"/>
    <w:rsid w:val="7A61D7FB"/>
    <w:rsid w:val="7A777CAA"/>
    <w:rsid w:val="7A964D0E"/>
    <w:rsid w:val="7AE0F049"/>
    <w:rsid w:val="7B1244F8"/>
    <w:rsid w:val="7B464802"/>
    <w:rsid w:val="7B8EFD97"/>
    <w:rsid w:val="7BD972F1"/>
    <w:rsid w:val="7C1F9EE5"/>
    <w:rsid w:val="7C5DEFC3"/>
    <w:rsid w:val="7C8126FE"/>
    <w:rsid w:val="7CD5285D"/>
    <w:rsid w:val="7D5A5B30"/>
    <w:rsid w:val="7D689FE5"/>
    <w:rsid w:val="7E1AC9D5"/>
    <w:rsid w:val="7E7725AB"/>
    <w:rsid w:val="7EAF63A2"/>
    <w:rsid w:val="7F29DD2D"/>
    <w:rsid w:val="7FA99FE6"/>
    <w:rsid w:val="7FD27664"/>
    <w:rsid w:val="7FD5203A"/>
    <w:rsid w:val="7FE58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FF3A8671-8C19-42A9-9594-E502F9BC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40D"/>
    <w:pPr>
      <w:spacing w:before="0" w:after="160" w:line="259" w:lineRule="auto"/>
      <w:ind w:left="720"/>
      <w:contextualSpacing/>
      <w:jc w:val="left"/>
    </w:pPr>
    <w:rPr>
      <w:rFonts w:asciiTheme="minorHAnsi" w:hAnsiTheme="minorHAnsi" w:cstheme="minorBidi"/>
      <w:sz w:val="22"/>
      <w:lang w:val="en-US"/>
    </w:rPr>
  </w:style>
  <w:style w:type="character" w:styleId="CommentReference">
    <w:name w:val="annotation reference"/>
    <w:basedOn w:val="DefaultParagraphFont"/>
    <w:uiPriority w:val="99"/>
    <w:semiHidden/>
    <w:unhideWhenUsed/>
    <w:rsid w:val="009561CC"/>
    <w:rPr>
      <w:sz w:val="16"/>
      <w:szCs w:val="16"/>
    </w:rPr>
  </w:style>
  <w:style w:type="paragraph" w:styleId="CommentText">
    <w:name w:val="annotation text"/>
    <w:basedOn w:val="Normal"/>
    <w:link w:val="CommentTextChar"/>
    <w:uiPriority w:val="99"/>
    <w:unhideWhenUsed/>
    <w:rsid w:val="009561CC"/>
    <w:rPr>
      <w:sz w:val="20"/>
      <w:szCs w:val="20"/>
    </w:rPr>
  </w:style>
  <w:style w:type="character" w:customStyle="1" w:styleId="CommentTextChar">
    <w:name w:val="Comment Text Char"/>
    <w:basedOn w:val="DefaultParagraphFont"/>
    <w:link w:val="CommentText"/>
    <w:uiPriority w:val="99"/>
    <w:rsid w:val="009561CC"/>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561CC"/>
    <w:rPr>
      <w:b/>
      <w:bCs/>
    </w:rPr>
  </w:style>
  <w:style w:type="character" w:customStyle="1" w:styleId="CommentSubjectChar">
    <w:name w:val="Comment Subject Char"/>
    <w:basedOn w:val="CommentTextChar"/>
    <w:link w:val="CommentSubject"/>
    <w:uiPriority w:val="99"/>
    <w:semiHidden/>
    <w:rsid w:val="009561CC"/>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561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1CC"/>
    <w:rPr>
      <w:rFonts w:ascii="Segoe UI" w:hAnsi="Segoe UI" w:cs="Segoe UI"/>
      <w:sz w:val="18"/>
      <w:szCs w:val="18"/>
      <w:lang w:val="en-GB"/>
    </w:rPr>
  </w:style>
  <w:style w:type="paragraph" w:styleId="ListBullet">
    <w:name w:val="List Bullet"/>
    <w:basedOn w:val="Normal"/>
    <w:uiPriority w:val="99"/>
    <w:semiHidden/>
    <w:unhideWhenUsed/>
    <w:rsid w:val="00991687"/>
    <w:pPr>
      <w:numPr>
        <w:numId w:val="1"/>
      </w:numPr>
      <w:contextualSpacing/>
    </w:pPr>
  </w:style>
  <w:style w:type="paragraph" w:styleId="ListBullet2">
    <w:name w:val="List Bullet 2"/>
    <w:basedOn w:val="Normal"/>
    <w:uiPriority w:val="99"/>
    <w:semiHidden/>
    <w:unhideWhenUsed/>
    <w:rsid w:val="00991687"/>
    <w:pPr>
      <w:numPr>
        <w:numId w:val="2"/>
      </w:numPr>
      <w:contextualSpacing/>
    </w:pPr>
  </w:style>
  <w:style w:type="paragraph" w:styleId="ListBullet3">
    <w:name w:val="List Bullet 3"/>
    <w:basedOn w:val="Normal"/>
    <w:uiPriority w:val="99"/>
    <w:semiHidden/>
    <w:unhideWhenUsed/>
    <w:rsid w:val="00991687"/>
    <w:pPr>
      <w:numPr>
        <w:numId w:val="3"/>
      </w:numPr>
      <w:contextualSpacing/>
    </w:pPr>
  </w:style>
  <w:style w:type="paragraph" w:styleId="ListBullet4">
    <w:name w:val="List Bullet 4"/>
    <w:basedOn w:val="Normal"/>
    <w:uiPriority w:val="99"/>
    <w:semiHidden/>
    <w:unhideWhenUsed/>
    <w:rsid w:val="00991687"/>
    <w:pPr>
      <w:numPr>
        <w:numId w:val="4"/>
      </w:numPr>
      <w:contextualSpacing/>
    </w:pPr>
  </w:style>
  <w:style w:type="paragraph" w:styleId="Revision">
    <w:name w:val="Revision"/>
    <w:hidden/>
    <w:uiPriority w:val="99"/>
    <w:semiHidden/>
    <w:rsid w:val="00FA537D"/>
    <w:pPr>
      <w:spacing w:after="0" w:line="240" w:lineRule="auto"/>
    </w:pPr>
    <w:rPr>
      <w:rFonts w:ascii="Times New Roman" w:hAnsi="Times New Roman" w:cs="Times New Roman"/>
      <w:sz w:val="24"/>
      <w:lang w:val="en-GB"/>
    </w:rPr>
  </w:style>
  <w:style w:type="character" w:customStyle="1" w:styleId="Mention1">
    <w:name w:val="Mention1"/>
    <w:basedOn w:val="DefaultParagraphFont"/>
    <w:uiPriority w:val="99"/>
    <w:unhideWhenUsed/>
    <w:rPr>
      <w:color w:val="2B579A"/>
      <w:shd w:val="clear" w:color="auto" w:fill="E6E6E6"/>
    </w:rPr>
  </w:style>
  <w:style w:type="paragraph" w:styleId="Caption">
    <w:name w:val="caption"/>
    <w:basedOn w:val="Normal"/>
    <w:next w:val="Normal"/>
    <w:uiPriority w:val="35"/>
    <w:semiHidden/>
    <w:unhideWhenUsed/>
    <w:qFormat/>
    <w:rsid w:val="007951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9512F"/>
    <w:pPr>
      <w:spacing w:after="0"/>
    </w:pPr>
  </w:style>
  <w:style w:type="paragraph" w:styleId="ListNumber">
    <w:name w:val="List Number"/>
    <w:basedOn w:val="Normal"/>
    <w:uiPriority w:val="99"/>
    <w:semiHidden/>
    <w:unhideWhenUsed/>
    <w:rsid w:val="0079512F"/>
    <w:pPr>
      <w:numPr>
        <w:numId w:val="7"/>
      </w:numPr>
      <w:contextualSpacing/>
    </w:pPr>
  </w:style>
  <w:style w:type="paragraph" w:styleId="ListNumber2">
    <w:name w:val="List Number 2"/>
    <w:basedOn w:val="Normal"/>
    <w:uiPriority w:val="99"/>
    <w:semiHidden/>
    <w:unhideWhenUsed/>
    <w:rsid w:val="0079512F"/>
    <w:pPr>
      <w:numPr>
        <w:numId w:val="8"/>
      </w:numPr>
      <w:contextualSpacing/>
    </w:pPr>
  </w:style>
  <w:style w:type="paragraph" w:styleId="ListNumber3">
    <w:name w:val="List Number 3"/>
    <w:basedOn w:val="Normal"/>
    <w:uiPriority w:val="99"/>
    <w:semiHidden/>
    <w:unhideWhenUsed/>
    <w:rsid w:val="0079512F"/>
    <w:pPr>
      <w:numPr>
        <w:numId w:val="9"/>
      </w:numPr>
      <w:contextualSpacing/>
    </w:pPr>
  </w:style>
  <w:style w:type="paragraph" w:styleId="ListNumber4">
    <w:name w:val="List Number 4"/>
    <w:basedOn w:val="Normal"/>
    <w:uiPriority w:val="99"/>
    <w:semiHidden/>
    <w:unhideWhenUsed/>
    <w:rsid w:val="0079512F"/>
    <w:pPr>
      <w:numPr>
        <w:numId w:val="10"/>
      </w:numPr>
      <w:contextualSpacing/>
    </w:pPr>
  </w:style>
  <w:style w:type="paragraph" w:customStyle="1" w:styleId="li">
    <w:name w:val="li"/>
    <w:basedOn w:val="Normal"/>
    <w:rsid w:val="008344D7"/>
    <w:pPr>
      <w:spacing w:before="100" w:beforeAutospacing="1" w:after="100" w:afterAutospacing="1"/>
      <w:jc w:val="left"/>
    </w:pPr>
    <w:rPr>
      <w:rFonts w:eastAsia="Times New Roman"/>
      <w:szCs w:val="24"/>
      <w:lang w:val="en-US"/>
    </w:rPr>
  </w:style>
  <w:style w:type="paragraph" w:customStyle="1" w:styleId="Normal1">
    <w:name w:val="Normal1"/>
    <w:basedOn w:val="Normal"/>
    <w:rsid w:val="008344D7"/>
    <w:pPr>
      <w:spacing w:before="100" w:beforeAutospacing="1" w:after="100" w:afterAutospacing="1"/>
      <w:jc w:val="left"/>
    </w:pPr>
    <w:rPr>
      <w:rFonts w:eastAsia="Times New Roman"/>
      <w:szCs w:val="24"/>
      <w:lang w:val="en-US"/>
    </w:rPr>
  </w:style>
  <w:style w:type="paragraph" w:customStyle="1" w:styleId="Arti">
    <w:name w:val="Arti"/>
    <w:basedOn w:val="Normal"/>
    <w:rsid w:val="00732FC1"/>
  </w:style>
  <w:style w:type="paragraph" w:customStyle="1" w:styleId="Article">
    <w:name w:val="Article"/>
    <w:basedOn w:val="Arti"/>
    <w:rsid w:val="00732FC1"/>
  </w:style>
  <w:style w:type="character" w:styleId="Hyperlink">
    <w:name w:val="Hyperlink"/>
    <w:basedOn w:val="DefaultParagraphFont"/>
    <w:uiPriority w:val="99"/>
    <w:unhideWhenUsed/>
    <w:rsid w:val="00AD0092"/>
    <w:rPr>
      <w:color w:val="0000FF" w:themeColor="hyperlink"/>
      <w:u w:val="single"/>
    </w:rPr>
  </w:style>
  <w:style w:type="character" w:customStyle="1" w:styleId="UnresolvedMention">
    <w:name w:val="Unresolved Mention"/>
    <w:basedOn w:val="DefaultParagraphFont"/>
    <w:uiPriority w:val="99"/>
    <w:semiHidden/>
    <w:unhideWhenUsed/>
    <w:rsid w:val="00442B73"/>
    <w:rPr>
      <w:color w:val="605E5C"/>
      <w:shd w:val="clear" w:color="auto" w:fill="E1DFDD"/>
    </w:rPr>
  </w:style>
  <w:style w:type="paragraph" w:customStyle="1" w:styleId="paragraph">
    <w:name w:val="paragraph"/>
    <w:basedOn w:val="Normal"/>
    <w:rsid w:val="000E3F48"/>
    <w:pPr>
      <w:spacing w:before="100" w:beforeAutospacing="1" w:after="100" w:afterAutospacing="1"/>
      <w:jc w:val="left"/>
    </w:pPr>
    <w:rPr>
      <w:rFonts w:eastAsia="Times New Roman"/>
      <w:szCs w:val="24"/>
      <w:lang w:val="en-IE" w:eastAsia="en-IE"/>
    </w:rPr>
  </w:style>
  <w:style w:type="character" w:customStyle="1" w:styleId="normaltextrun">
    <w:name w:val="normaltextrun"/>
    <w:rsid w:val="000E3F48"/>
  </w:style>
  <w:style w:type="character" w:customStyle="1" w:styleId="HeaderChar">
    <w:name w:val="Header Char"/>
    <w:basedOn w:val="DefaultParagraphFont"/>
    <w:link w:val="Header"/>
    <w:uiPriority w:val="99"/>
    <w:rsid w:val="00067D13"/>
    <w:rPr>
      <w:rFonts w:ascii="Times New Roman" w:hAnsi="Times New Roman" w:cs="Times New Roman"/>
      <w:sz w:val="24"/>
      <w:lang w:val="en-GB"/>
    </w:rPr>
  </w:style>
  <w:style w:type="character" w:customStyle="1" w:styleId="FooterChar">
    <w:name w:val="Footer Char"/>
    <w:basedOn w:val="DefaultParagraphFont"/>
    <w:link w:val="Footer"/>
    <w:uiPriority w:val="99"/>
    <w:rsid w:val="00067D1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67D1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67D13"/>
    <w:pPr>
      <w:spacing w:before="0"/>
      <w:jc w:val="right"/>
    </w:pPr>
    <w:rPr>
      <w:sz w:val="28"/>
    </w:rPr>
  </w:style>
  <w:style w:type="paragraph" w:customStyle="1" w:styleId="FooterSensitivity">
    <w:name w:val="Footer Sensitivity"/>
    <w:basedOn w:val="Normal"/>
    <w:rsid w:val="00067D1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67D13"/>
    <w:pPr>
      <w:tabs>
        <w:tab w:val="center" w:pos="4535"/>
        <w:tab w:val="right" w:pos="9071"/>
      </w:tabs>
      <w:spacing w:before="0"/>
    </w:pPr>
  </w:style>
  <w:style w:type="paragraph" w:customStyle="1" w:styleId="HeaderLandscape">
    <w:name w:val="HeaderLandscape"/>
    <w:basedOn w:val="Normal"/>
    <w:rsid w:val="00067D13"/>
    <w:pPr>
      <w:tabs>
        <w:tab w:val="center" w:pos="7285"/>
        <w:tab w:val="right" w:pos="14003"/>
      </w:tabs>
      <w:spacing w:before="0"/>
    </w:pPr>
  </w:style>
  <w:style w:type="paragraph" w:styleId="Footer">
    <w:name w:val="footer"/>
    <w:basedOn w:val="Normal"/>
    <w:link w:val="FooterChar"/>
    <w:uiPriority w:val="99"/>
    <w:unhideWhenUsed/>
    <w:rsid w:val="00067D1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67D1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8963">
      <w:bodyDiv w:val="1"/>
      <w:marLeft w:val="0"/>
      <w:marRight w:val="0"/>
      <w:marTop w:val="0"/>
      <w:marBottom w:val="0"/>
      <w:divBdr>
        <w:top w:val="none" w:sz="0" w:space="0" w:color="auto"/>
        <w:left w:val="none" w:sz="0" w:space="0" w:color="auto"/>
        <w:bottom w:val="none" w:sz="0" w:space="0" w:color="auto"/>
        <w:right w:val="none" w:sz="0" w:space="0" w:color="auto"/>
      </w:divBdr>
    </w:div>
    <w:div w:id="119037214">
      <w:bodyDiv w:val="1"/>
      <w:marLeft w:val="0"/>
      <w:marRight w:val="0"/>
      <w:marTop w:val="0"/>
      <w:marBottom w:val="0"/>
      <w:divBdr>
        <w:top w:val="none" w:sz="0" w:space="0" w:color="auto"/>
        <w:left w:val="none" w:sz="0" w:space="0" w:color="auto"/>
        <w:bottom w:val="none" w:sz="0" w:space="0" w:color="auto"/>
        <w:right w:val="none" w:sz="0" w:space="0" w:color="auto"/>
      </w:divBdr>
    </w:div>
    <w:div w:id="146089930">
      <w:bodyDiv w:val="1"/>
      <w:marLeft w:val="0"/>
      <w:marRight w:val="0"/>
      <w:marTop w:val="0"/>
      <w:marBottom w:val="0"/>
      <w:divBdr>
        <w:top w:val="none" w:sz="0" w:space="0" w:color="auto"/>
        <w:left w:val="none" w:sz="0" w:space="0" w:color="auto"/>
        <w:bottom w:val="none" w:sz="0" w:space="0" w:color="auto"/>
        <w:right w:val="none" w:sz="0" w:space="0" w:color="auto"/>
      </w:divBdr>
      <w:divsChild>
        <w:div w:id="662120690">
          <w:marLeft w:val="0"/>
          <w:marRight w:val="0"/>
          <w:marTop w:val="0"/>
          <w:marBottom w:val="0"/>
          <w:divBdr>
            <w:top w:val="none" w:sz="0" w:space="0" w:color="auto"/>
            <w:left w:val="none" w:sz="0" w:space="0" w:color="auto"/>
            <w:bottom w:val="none" w:sz="0" w:space="0" w:color="auto"/>
            <w:right w:val="none" w:sz="0" w:space="0" w:color="auto"/>
          </w:divBdr>
        </w:div>
      </w:divsChild>
    </w:div>
    <w:div w:id="212041382">
      <w:bodyDiv w:val="1"/>
      <w:marLeft w:val="0"/>
      <w:marRight w:val="0"/>
      <w:marTop w:val="0"/>
      <w:marBottom w:val="0"/>
      <w:divBdr>
        <w:top w:val="none" w:sz="0" w:space="0" w:color="auto"/>
        <w:left w:val="none" w:sz="0" w:space="0" w:color="auto"/>
        <w:bottom w:val="none" w:sz="0" w:space="0" w:color="auto"/>
        <w:right w:val="none" w:sz="0" w:space="0" w:color="auto"/>
      </w:divBdr>
    </w:div>
    <w:div w:id="455877678">
      <w:bodyDiv w:val="1"/>
      <w:marLeft w:val="0"/>
      <w:marRight w:val="0"/>
      <w:marTop w:val="0"/>
      <w:marBottom w:val="0"/>
      <w:divBdr>
        <w:top w:val="none" w:sz="0" w:space="0" w:color="auto"/>
        <w:left w:val="none" w:sz="0" w:space="0" w:color="auto"/>
        <w:bottom w:val="none" w:sz="0" w:space="0" w:color="auto"/>
        <w:right w:val="none" w:sz="0" w:space="0" w:color="auto"/>
      </w:divBdr>
      <w:divsChild>
        <w:div w:id="1793792333">
          <w:marLeft w:val="0"/>
          <w:marRight w:val="0"/>
          <w:marTop w:val="0"/>
          <w:marBottom w:val="0"/>
          <w:divBdr>
            <w:top w:val="none" w:sz="0" w:space="0" w:color="auto"/>
            <w:left w:val="none" w:sz="0" w:space="0" w:color="auto"/>
            <w:bottom w:val="none" w:sz="0" w:space="0" w:color="auto"/>
            <w:right w:val="none" w:sz="0" w:space="0" w:color="auto"/>
          </w:divBdr>
        </w:div>
      </w:divsChild>
    </w:div>
    <w:div w:id="1208906219">
      <w:bodyDiv w:val="1"/>
      <w:marLeft w:val="0"/>
      <w:marRight w:val="0"/>
      <w:marTop w:val="0"/>
      <w:marBottom w:val="0"/>
      <w:divBdr>
        <w:top w:val="none" w:sz="0" w:space="0" w:color="auto"/>
        <w:left w:val="none" w:sz="0" w:space="0" w:color="auto"/>
        <w:bottom w:val="none" w:sz="0" w:space="0" w:color="auto"/>
        <w:right w:val="none" w:sz="0" w:space="0" w:color="auto"/>
      </w:divBdr>
      <w:divsChild>
        <w:div w:id="372731437">
          <w:marLeft w:val="0"/>
          <w:marRight w:val="0"/>
          <w:marTop w:val="0"/>
          <w:marBottom w:val="0"/>
          <w:divBdr>
            <w:top w:val="none" w:sz="0" w:space="0" w:color="auto"/>
            <w:left w:val="none" w:sz="0" w:space="0" w:color="auto"/>
            <w:bottom w:val="none" w:sz="0" w:space="0" w:color="auto"/>
            <w:right w:val="none" w:sz="0" w:space="0" w:color="auto"/>
          </w:divBdr>
        </w:div>
      </w:divsChild>
    </w:div>
    <w:div w:id="1560675259">
      <w:bodyDiv w:val="1"/>
      <w:marLeft w:val="0"/>
      <w:marRight w:val="0"/>
      <w:marTop w:val="0"/>
      <w:marBottom w:val="0"/>
      <w:divBdr>
        <w:top w:val="none" w:sz="0" w:space="0" w:color="auto"/>
        <w:left w:val="none" w:sz="0" w:space="0" w:color="auto"/>
        <w:bottom w:val="none" w:sz="0" w:space="0" w:color="auto"/>
        <w:right w:val="none" w:sz="0" w:space="0" w:color="auto"/>
      </w:divBdr>
      <w:divsChild>
        <w:div w:id="1292981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B0363-840D-4E1C-816C-0A55F25FFDBB}">
  <ds:schemaRefs>
    <ds:schemaRef ds:uri="http://schemas.microsoft.com/sharepoint/v3/contenttype/forms"/>
  </ds:schemaRefs>
</ds:datastoreItem>
</file>

<file path=customXml/itemProps2.xml><?xml version="1.0" encoding="utf-8"?>
<ds:datastoreItem xmlns:ds="http://schemas.openxmlformats.org/officeDocument/2006/customXml" ds:itemID="{6C33240B-58E1-44A6-8471-7B9AC362D0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D15FD3-A47A-4864-94C1-205CA3296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75421E-941D-4BA3-B154-BF371A5F4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11</Pages>
  <Words>3863</Words>
  <Characters>22024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2026-06-16T07:01:00Z</dcterms:created>
  <dcterms:modified xsi:type="dcterms:W3CDTF">2026-06-18T06:56:00Z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2023-07-03T08:34:22Z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1cc9b214-39e5-49ed-8dc9-8503820f5bac</vt:lpwstr>
  </property>
  <property fmtid="{D5CDD505-2E9C-101B-9397-08002B2CF9AE}" pid="11" name="MSIP_Label_6bd9ddd1-4d20-43f6-abfa-fc3c07406f94_ContentBits">
    <vt:lpwstr>0</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SJ-019</vt:lpwstr>
  </property>
  <property fmtid="{D5CDD505-2E9C-101B-9397-08002B2CF9AE}" pid="15" name="ContentTypeId">
    <vt:lpwstr>0x010100FF1B87D5ABF651429579392F313233BD</vt:lpwstr>
  </property>
  <property fmtid="{D5CDD505-2E9C-101B-9397-08002B2CF9AE}" pid="16" name="Created using">
    <vt:lpwstr>LW 9.0, Build 20230317</vt:lpwstr>
  </property>
  <property fmtid="{D5CDD505-2E9C-101B-9397-08002B2CF9AE}" pid="17" name="DQCStatus">
    <vt:lpwstr>Yellow (DQC version 03)</vt:lpwstr>
  </property>
</Properties>
</file>